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2024</w:t>
      </w:r>
      <w:r>
        <w:fldChar w:fldCharType="end"/>
      </w:r>
      <w:r>
        <w:t xml:space="preserve">, </w:t>
      </w:r>
      <w:r>
        <w:fldChar w:fldCharType="begin"/>
      </w:r>
      <w:r>
        <w:instrText xml:space="preserve"> DocProperty FromSuffix </w:instrText>
      </w:r>
      <w:r>
        <w:fldChar w:fldCharType="separate"/>
      </w:r>
      <w:r>
        <w:t>14-t0-00</w:t>
      </w:r>
      <w:r>
        <w:fldChar w:fldCharType="end"/>
      </w:r>
      <w:r>
        <w:t>] and [</w:t>
      </w:r>
      <w:r>
        <w:fldChar w:fldCharType="begin"/>
      </w:r>
      <w:r>
        <w:instrText xml:space="preserve"> DocProperty ToAsAtDate</w:instrText>
      </w:r>
      <w:r>
        <w:fldChar w:fldCharType="separate"/>
      </w:r>
      <w:r>
        <w:t>26 Jun 2025</w:t>
      </w:r>
      <w:r>
        <w:fldChar w:fldCharType="end"/>
      </w:r>
      <w:r>
        <w:t xml:space="preserve">, </w:t>
      </w:r>
      <w:r>
        <w:fldChar w:fldCharType="begin"/>
      </w:r>
      <w:r>
        <w:instrText xml:space="preserve"> DocProperty ToSuffix</w:instrText>
      </w:r>
      <w:r>
        <w:fldChar w:fldCharType="separate"/>
      </w:r>
      <w:r>
        <w:t>15-a0-00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Fish Resources Management Act 1994</w:t>
      </w:r>
    </w:p>
    <w:p>
      <w:pPr>
        <w:pStyle w:val="NameofActReg"/>
      </w:pPr>
      <w:r>
        <w:t>Fish Resources Management Regulations 1995</w:t>
      </w:r>
    </w:p>
    <w:p>
      <w:pPr>
        <w:pStyle w:val="Heading2"/>
        <w:pageBreakBefore w:val="0"/>
        <w:spacing w:before="240"/>
      </w:pPr>
      <w:bookmarkStart w:id="1" w:name="_Toc184372421"/>
      <w:bookmarkStart w:id="2" w:name="_Toc184377573"/>
      <w:bookmarkStart w:id="3" w:name="_Toc184384930"/>
      <w:bookmarkStart w:id="4" w:name="_Toc201508327"/>
      <w:bookmarkStart w:id="5" w:name="_Toc201754158"/>
      <w:bookmarkStart w:id="6" w:name="_Toc20175888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201758889"/>
      <w:bookmarkStart w:id="8" w:name="_Toc184384931"/>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rPr>
        <w:t>.</w:t>
      </w:r>
    </w:p>
    <w:p>
      <w:pPr>
        <w:pStyle w:val="Heading5"/>
        <w:rPr>
          <w:snapToGrid w:val="0"/>
        </w:rPr>
      </w:pPr>
      <w:bookmarkStart w:id="9" w:name="_Toc201758890"/>
      <w:bookmarkStart w:id="10" w:name="_Toc184384932"/>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p>
    <w:p>
      <w:pPr>
        <w:pStyle w:val="Heading5"/>
        <w:rPr>
          <w:snapToGrid w:val="0"/>
        </w:rPr>
      </w:pPr>
      <w:bookmarkStart w:id="11" w:name="_Toc201758891"/>
      <w:bookmarkStart w:id="12" w:name="_Toc184384933"/>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rPr>
          <w:rStyle w:val="DraftersNotes"/>
          <w:b w:val="0"/>
          <w:i w:val="0"/>
        </w:rPr>
      </w:pPr>
      <w:r>
        <w:tab/>
      </w:r>
      <w:r>
        <w:rPr>
          <w:rStyle w:val="CharDefText"/>
        </w:rPr>
        <w:t>Cockburn Sound</w:t>
      </w:r>
      <w:r>
        <w:t xml:space="preserve"> means all waters bounded by a line commencing at a point at 32° 03.353′ south latitude and </w:t>
      </w:r>
      <w:r>
        <w:lastRenderedPageBreak/>
        <w:t>115° 43.943′ east longitude (at the western extremity of the South Mole on the mainland); then extending north-westerly along the geodesic to a point at 32° 03.230′ south latitude and 115° 43.465′ east longitude (at the western extremity of the North Mole on the mainland); then south-westerly along the geodesic to a point at 32° 03.975′ south latitude and 115° 38.141′ east longitude (at Straggler Rocks); then south-easterly along the geodesic to a point at 32° 05.137′ south latitude and 115° 39.560′ east longitude (on Mewstone); then southerly along the geodesic to a point at 32° 07.125′ south latitude and 115° 39.818′ east longitude (on Carnac Island); then generally southerly along the high water mark of the eastern side of Carnac Island to a point at 32° 07.479′ south latitude and 115° 39.913′ east longitude (on Carnac Island); then southerly along the geodesic to a point at 32° 09.394′ south latitude and 115° 39.654′ east longitude (at Entrance Point on Garden Island); then generally southerly along the high water mark of the eastern side of Garden Island to a point at 32° 14.677′ south latitude and 115° 40.929′ east longitude (at South West Point on Garden Island); then southerly along the geodesic to a point at 32° 15.873′ south latitude and 115° 41.170′ east longitude (at John Point on the mainland); then generally northerly along the high water mark to the commencement point;</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lastRenderedPageBreak/>
        <w:tab/>
      </w:r>
      <w:r>
        <w:rPr>
          <w:rStyle w:val="CharDefText"/>
        </w:rPr>
        <w:t>day trip</w:t>
      </w:r>
      <w:r>
        <w:t xml:space="preserve"> — </w:t>
      </w:r>
    </w:p>
    <w:p>
      <w:pPr>
        <w:pStyle w:val="Defpara"/>
      </w:pPr>
      <w:r>
        <w:tab/>
        <w:t>(a)</w:t>
      </w:r>
      <w:r>
        <w:tab/>
        <w:t>means a voyage undertaken by a person on a boat; but</w:t>
      </w:r>
    </w:p>
    <w:p>
      <w:pPr>
        <w:pStyle w:val="Defpara"/>
      </w:pPr>
      <w:r>
        <w:tab/>
        <w:t>(b)</w:t>
      </w:r>
      <w:r>
        <w:tab/>
        <w:t xml:space="preserve">does not include a voyage undertaken by a person on a boat if the voyage — </w:t>
      </w:r>
    </w:p>
    <w:p>
      <w:pPr>
        <w:pStyle w:val="Defsubpara"/>
      </w:pPr>
      <w:r>
        <w:tab/>
        <w:t>(i)</w:t>
      </w:r>
      <w:r>
        <w:tab/>
        <w:t>takes place over more than one day; or</w:t>
      </w:r>
    </w:p>
    <w:p>
      <w:pPr>
        <w:pStyle w:val="Defsubpara"/>
      </w:pPr>
      <w:r>
        <w:tab/>
        <w:t>(ii)</w:t>
      </w:r>
      <w:r>
        <w:tab/>
        <w:t>is undertaken on a fishing boat for a commercial purpose;</w:t>
      </w:r>
    </w:p>
    <w:p>
      <w:pPr>
        <w:pStyle w:val="Defstart"/>
      </w:pPr>
      <w:r>
        <w:tab/>
      </w:r>
      <w:r>
        <w:rPr>
          <w:rStyle w:val="CharDefText"/>
        </w:rPr>
        <w:t>demersal finfish</w:t>
      </w:r>
      <w:r>
        <w:t xml:space="preserve"> means a fish of a species listed in Schedule 3 Division 1 Subdivision 1 column 1, Subdivision 2 column 1 or Subdivision 3 column 1;</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tab/>
      </w:r>
      <w:r>
        <w:rPr>
          <w:rStyle w:val="CharDefText"/>
        </w:rPr>
        <w:t>extended fishing tour</w:t>
      </w:r>
      <w:r>
        <w:t xml:space="preserve"> means a voyage undertaken by a person on a charter boat that takes place over more than one day;</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Class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keepNext/>
        <w:keepLines/>
      </w:pPr>
      <w:r>
        <w:rPr>
          <w:b/>
        </w:rPr>
        <w:tab/>
      </w:r>
      <w:r>
        <w:rPr>
          <w:rStyle w:val="CharDefText"/>
        </w:rPr>
        <w:t>fishing net</w:t>
      </w:r>
      <w:r>
        <w:t xml:space="preserve"> means any fishing net other than —</w:t>
      </w:r>
    </w:p>
    <w:p>
      <w:pPr>
        <w:pStyle w:val="Defpara"/>
        <w:keepNext/>
        <w:keepLines/>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tab/>
      </w:r>
      <w:r>
        <w:rPr>
          <w:rStyle w:val="CharDefText"/>
        </w:rPr>
        <w:t>Geographe Bay and Inland Waters</w:t>
      </w:r>
      <w:r>
        <w:t xml:space="preserve"> — </w:t>
      </w:r>
    </w:p>
    <w:p>
      <w:pPr>
        <w:pStyle w:val="Defpara"/>
      </w:pPr>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p>
    <w:p>
      <w:pPr>
        <w:pStyle w:val="Defsubpara"/>
      </w:pPr>
      <w:r>
        <w:tab/>
        <w:t>(i)</w:t>
      </w:r>
      <w:r>
        <w:tab/>
        <w:t>west along the parallel to a point at 33° 27.11′ south latitude and 115° 00.29′ east longitude; then</w:t>
      </w:r>
    </w:p>
    <w:p>
      <w:pPr>
        <w:pStyle w:val="Defsubpara"/>
      </w:pPr>
      <w:r>
        <w:tab/>
        <w:t>(ii)</w:t>
      </w:r>
      <w:r>
        <w:tab/>
        <w:t>south along the meridian to a point at 33° 31.86′ south latitude and 115° 00.29′ east longitude (on the mainland at Cape Naturaliste); then</w:t>
      </w:r>
    </w:p>
    <w:p>
      <w:pPr>
        <w:pStyle w:val="Defsubpara"/>
      </w:pPr>
      <w:r>
        <w:tab/>
        <w:t>(iii)</w:t>
      </w:r>
      <w:r>
        <w:tab/>
        <w:t>generally easterly along the high water mark to the commencement point;</w:t>
      </w:r>
    </w:p>
    <w:p>
      <w:pPr>
        <w:pStyle w:val="Defpara"/>
      </w:pPr>
      <w:r>
        <w:tab/>
      </w:r>
      <w:r>
        <w:tab/>
        <w:t>and</w:t>
      </w:r>
    </w:p>
    <w:p>
      <w:pPr>
        <w:pStyle w:val="Defpara"/>
      </w:pPr>
      <w:r>
        <w:tab/>
        <w:t>(b)</w:t>
      </w:r>
      <w:r>
        <w:tab/>
        <w:t>includes every river, estuary, inlet, constructed waterway and their tributaries between Cape Naturaliste and the commencement point;</w:t>
      </w:r>
    </w:p>
    <w:p>
      <w:pPr>
        <w:pStyle w:val="Defstart"/>
        <w:keepNex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tab/>
      </w:r>
      <w:r>
        <w:rPr>
          <w:rStyle w:val="CharDefText"/>
        </w:rPr>
        <w:t>Jungulu Special Purpose Zone (wilderness conservation)</w:t>
      </w:r>
      <w:r>
        <w:t xml:space="preserve"> means the area described in the </w:t>
      </w:r>
      <w:r>
        <w:rPr>
          <w:i/>
        </w:rPr>
        <w:t>Lalang</w:t>
      </w:r>
      <w:r>
        <w:rPr>
          <w:i/>
        </w:rPr>
        <w:noBreakHyphen/>
        <w:t>garram / Camden Sound Marine Park (Classified Waters) Notice 2020</w:t>
      </w:r>
      <w:r>
        <w:t xml:space="preserve"> Schedule 3 item 1;</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tab/>
      </w:r>
      <w:r>
        <w:rPr>
          <w:rStyle w:val="CharDefText"/>
        </w:rPr>
        <w:t>Lalang</w:t>
      </w:r>
      <w:r>
        <w:rPr>
          <w:rStyle w:val="CharDefText"/>
        </w:rPr>
        <w:noBreakHyphen/>
        <w:t>garram / Camden Sound Marine Park</w:t>
      </w:r>
      <w:r>
        <w:t xml:space="preserve"> means all waters reserved as the Lalang</w:t>
      </w:r>
      <w:r>
        <w:noBreakHyphen/>
        <w:t xml:space="preserve">garram / Camden Sound Marine Park under the </w:t>
      </w:r>
      <w:r>
        <w:rPr>
          <w:i/>
        </w:rPr>
        <w:t xml:space="preserve">Conservation and Land Management Act 1984 </w:t>
      </w:r>
      <w:r>
        <w:t>section 13 and classified as Class A;</w:t>
      </w:r>
    </w:p>
    <w:p>
      <w:pPr>
        <w:pStyle w:val="Defstart"/>
      </w:pPr>
      <w:r>
        <w:rPr>
          <w:b/>
        </w:rPr>
        <w:tab/>
      </w:r>
      <w:r>
        <w:rPr>
          <w:rStyle w:val="CharDefText"/>
        </w:rPr>
        <w:t>Lancelin Island Lagoon</w:t>
      </w:r>
      <w:r>
        <w:t xml:space="preserve"> means the waters of the Lancelin Island Lagoon as defined by the </w:t>
      </w:r>
      <w:r>
        <w:rPr>
          <w:i/>
        </w:rPr>
        <w:t>Lancelin Island Lagoon Fish Habitat Protection Area Order 2001</w:t>
      </w:r>
      <w:r>
        <w:t>;</w:t>
      </w:r>
    </w:p>
    <w:p>
      <w:pPr>
        <w:pStyle w:val="Defstart"/>
      </w:pPr>
      <w:r>
        <w:tab/>
      </w:r>
      <w:r>
        <w:rPr>
          <w:rStyle w:val="CharDefText"/>
        </w:rPr>
        <w:t>large pelagic finfish</w:t>
      </w:r>
      <w:r>
        <w:t xml:space="preserve"> means a fish of a species listed in Schedule 3 Division 2 Subdivision 1 column 1 or Subdivision 2 column 1;</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tab/>
      </w:r>
      <w:r>
        <w:rPr>
          <w:rStyle w:val="CharDefText"/>
        </w:rPr>
        <w:t>one day</w:t>
      </w:r>
      <w:r>
        <w:t xml:space="preserve"> means — </w:t>
      </w:r>
    </w:p>
    <w:p>
      <w:pPr>
        <w:pStyle w:val="Defpara"/>
      </w:pPr>
      <w:r>
        <w:tab/>
        <w:t>(a)</w:t>
      </w:r>
      <w:r>
        <w:tab/>
        <w:t>unless paragraph (b) applies — a period of 24 hours commencing at midnight; or</w:t>
      </w:r>
    </w:p>
    <w:p>
      <w:pPr>
        <w:pStyle w:val="Defpara"/>
      </w:pPr>
      <w:r>
        <w:tab/>
        <w:t>(b)</w:t>
      </w:r>
      <w:r>
        <w:tab/>
        <w:t>in relation to fishing for marron or prawns or fishing by means of a fishing net that is set — a period of 24 hours commencing at midday;</w:t>
      </w:r>
    </w:p>
    <w:p>
      <w:pPr>
        <w:pStyle w:val="Defstart"/>
        <w:keepNext/>
      </w:pPr>
      <w:r>
        <w:tab/>
      </w:r>
      <w:r>
        <w:rPr>
          <w:rStyle w:val="CharDefText"/>
        </w:rPr>
        <w:t>Pilbara and Kimberley Region</w:t>
      </w:r>
      <w:r>
        <w:t xml:space="preserve"> means —</w:t>
      </w:r>
    </w:p>
    <w:p>
      <w:pPr>
        <w:pStyle w:val="Defpara"/>
        <w:keepNext/>
      </w:pPr>
      <w:r>
        <w:tab/>
        <w:t>(a)</w:t>
      </w:r>
      <w:r>
        <w:tab/>
        <w:t>all land in the State; and</w:t>
      </w:r>
    </w:p>
    <w:p>
      <w:pPr>
        <w:pStyle w:val="Defpara"/>
        <w:keepNext/>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r>
        <w:rPr>
          <w:i/>
        </w:rPr>
        <w:t>Caravan Parks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keepNex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tab/>
      </w:r>
      <w:r>
        <w:rPr>
          <w:rStyle w:val="CharDefText"/>
        </w:rPr>
        <w:t>Swan and Canning Rivers</w:t>
      </w:r>
      <w:r>
        <w:t xml:space="preserve"> — </w:t>
      </w:r>
    </w:p>
    <w:p>
      <w:pPr>
        <w:pStyle w:val="Defpara"/>
      </w:pPr>
      <w:r>
        <w:tab/>
        <w:t>(a)</w:t>
      </w:r>
      <w:r>
        <w:tab/>
        <w:t>means all waters of the Swan and Canning Rivers, including their tributaries, upstream of a line commencing at a point at 32° 03.353′ south latitude and 115° 43.943′ east longitude (at the westernmost point of South Mole, Fremantle) and extending to 32° 03.230′ south latitude and 115° 43.465′ east longitude (at the westernmost point of North Mole, Fremantle); and</w:t>
      </w:r>
    </w:p>
    <w:p>
      <w:pPr>
        <w:pStyle w:val="Defpara"/>
      </w:pPr>
      <w:r>
        <w:tab/>
        <w:t>(b)</w:t>
      </w:r>
      <w:r>
        <w:tab/>
        <w:t>includes all waters of Rous Head Harbour;</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xml:space="preserve"> 12.9′ east longitude; thence along the geodesic to the intersection of 113</w:t>
      </w:r>
      <w:r>
        <w:sym w:font="Symbol" w:char="F0B0"/>
      </w:r>
      <w:r>
        <w:t xml:space="preserve"> 12.9′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keepNext/>
      </w:pPr>
      <w:r>
        <w:tab/>
      </w:r>
      <w:r>
        <w:rPr>
          <w:rStyle w:val="CharDefText"/>
        </w:rPr>
        <w:t>whole fish</w:t>
      </w:r>
      <w:r>
        <w:t xml:space="preserve"> means a finfish that — </w:t>
      </w:r>
    </w:p>
    <w:p>
      <w:pPr>
        <w:pStyle w:val="Defpara"/>
        <w:keepNext/>
      </w:pPr>
      <w:r>
        <w:tab/>
        <w:t>(a)</w:t>
      </w:r>
      <w:r>
        <w:tab/>
        <w:t>in the case of any type of finfish, including a large pelagic finfish —</w:t>
      </w:r>
    </w:p>
    <w:p>
      <w:pPr>
        <w:pStyle w:val="Defsubpara"/>
      </w:pPr>
      <w:r>
        <w:tab/>
        <w:t>(i)</w:t>
      </w:r>
      <w:r>
        <w:tab/>
        <w:t>is entire; or</w:t>
      </w:r>
    </w:p>
    <w:p>
      <w:pPr>
        <w:pStyle w:val="Defsubpara"/>
        <w:keepNext/>
      </w:pPr>
      <w:r>
        <w:tab/>
        <w:t>(ii)</w:t>
      </w:r>
      <w:r>
        <w:tab/>
        <w:t>is entire except that it has been gilled or gutted, or both;</w:t>
      </w:r>
    </w:p>
    <w:p>
      <w:pPr>
        <w:pStyle w:val="Defpara"/>
      </w:pPr>
      <w:r>
        <w:tab/>
      </w:r>
      <w:r>
        <w:tab/>
        <w:t>or</w:t>
      </w:r>
    </w:p>
    <w:p>
      <w:pPr>
        <w:pStyle w:val="Defpara"/>
        <w:keepNext/>
      </w:pPr>
      <w:r>
        <w:tab/>
        <w:t>(b)</w:t>
      </w:r>
      <w:r>
        <w:tab/>
        <w:t xml:space="preserve">in the case of a large pelagic finfish — has been cut into a maximum of 2 pieces, but — </w:t>
      </w:r>
    </w:p>
    <w:p>
      <w:pPr>
        <w:pStyle w:val="Defsubpara"/>
      </w:pPr>
      <w:r>
        <w:tab/>
        <w:t>(i)</w:t>
      </w:r>
      <w:r>
        <w:tab/>
        <w:t>has not otherwise been modified; or</w:t>
      </w:r>
    </w:p>
    <w:p>
      <w:pPr>
        <w:pStyle w:val="Defsubpara"/>
      </w:pPr>
      <w:r>
        <w:tab/>
        <w:t>(ii)</w:t>
      </w:r>
      <w:r>
        <w:tab/>
        <w:t>has not otherwise been modified except that it has been gilled or gutted, or both.</w:t>
      </w:r>
    </w:p>
    <w:p>
      <w:pPr>
        <w:pStyle w:val="Subsection"/>
        <w:keepNext/>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 29 Nov 2019 p. 4102; SL 2021/118 r. 4; SL 2022/128 r. 4; SL 2023/2 r. 4; SL 2024/234 r. 4.]</w:t>
      </w:r>
    </w:p>
    <w:p>
      <w:pPr>
        <w:pStyle w:val="Ednotesection"/>
      </w:pPr>
      <w:r>
        <w:t>[</w:t>
      </w:r>
      <w:r>
        <w:rPr>
          <w:b/>
        </w:rPr>
        <w:t>3A.</w:t>
      </w:r>
      <w:r>
        <w:tab/>
        <w:t>Deleted: Gazette 4 Nov 2005 p. 5301.]</w:t>
      </w:r>
    </w:p>
    <w:p>
      <w:pPr>
        <w:pStyle w:val="Heading5"/>
        <w:rPr>
          <w:snapToGrid w:val="0"/>
        </w:rPr>
      </w:pPr>
      <w:bookmarkStart w:id="13" w:name="_Toc201758892"/>
      <w:bookmarkStart w:id="14" w:name="_Toc184384934"/>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3"/>
      <w:bookmarkEnd w:id="14"/>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5" w:name="_Toc201758893"/>
      <w:bookmarkStart w:id="16" w:name="_Toc184384935"/>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5"/>
      <w:bookmarkEnd w:id="16"/>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7" w:name="_Toc201758894"/>
      <w:bookmarkStart w:id="18" w:name="_Toc184384936"/>
      <w:r>
        <w:rPr>
          <w:rStyle w:val="CharSectno"/>
        </w:rPr>
        <w:t>6</w:t>
      </w:r>
      <w:r>
        <w:rPr>
          <w:snapToGrid w:val="0"/>
        </w:rPr>
        <w:t>.</w:t>
      </w:r>
      <w:r>
        <w:rPr>
          <w:snapToGrid w:val="0"/>
        </w:rPr>
        <w:tab/>
        <w:t>Fee prescribed for exemption application (Act s. 7(4))</w:t>
      </w:r>
      <w:bookmarkEnd w:id="17"/>
      <w:bookmarkEnd w:id="18"/>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9" w:name="_Toc201758895"/>
      <w:bookmarkStart w:id="20" w:name="_Toc184384937"/>
      <w:r>
        <w:rPr>
          <w:rStyle w:val="CharSectno"/>
        </w:rPr>
        <w:t>7</w:t>
      </w:r>
      <w:r>
        <w:rPr>
          <w:snapToGrid w:val="0"/>
        </w:rPr>
        <w:t>.</w:t>
      </w:r>
      <w:r>
        <w:rPr>
          <w:snapToGrid w:val="0"/>
        </w:rPr>
        <w:tab/>
        <w:t>Exemption, power to require return of</w:t>
      </w:r>
      <w:bookmarkEnd w:id="19"/>
      <w:bookmarkEnd w:id="20"/>
    </w:p>
    <w:p>
      <w:pPr>
        <w:pStyle w:val="Subsection"/>
        <w:keepNext/>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keepNext/>
        <w:rPr>
          <w:snapToGrid w:val="0"/>
        </w:rPr>
      </w:pPr>
      <w:r>
        <w:rPr>
          <w:snapToGrid w:val="0"/>
        </w:rPr>
        <w:tab/>
        <w:t>(2)</w:t>
      </w:r>
      <w:r>
        <w:rPr>
          <w:snapToGrid w:val="0"/>
        </w:rPr>
        <w:tab/>
        <w:t>A person must not, without reasonable excuse, refuse or fail to comply with a requirement made under subregulation (1).</w:t>
      </w:r>
    </w:p>
    <w:p>
      <w:pPr>
        <w:pStyle w:val="Penstart"/>
        <w:keepNext/>
        <w:rPr>
          <w:snapToGrid w:val="0"/>
        </w:rPr>
      </w:pPr>
      <w:r>
        <w:rPr>
          <w:snapToGrid w:val="0"/>
        </w:rPr>
        <w:tab/>
        <w:t>Penalty: In the case of an individual, $5 000 or, in the case of a body corporate, $10 000.</w:t>
      </w:r>
    </w:p>
    <w:p>
      <w:pPr>
        <w:pStyle w:val="Footnotesection"/>
      </w:pPr>
      <w:r>
        <w:tab/>
        <w:t>[Regulation 7 amended: Gazette 6 Jul 2007 p. 3389.]</w:t>
      </w:r>
    </w:p>
    <w:p>
      <w:pPr>
        <w:pStyle w:val="Heading2"/>
      </w:pPr>
      <w:bookmarkStart w:id="21" w:name="_Toc184372429"/>
      <w:bookmarkStart w:id="22" w:name="_Toc184377581"/>
      <w:bookmarkStart w:id="23" w:name="_Toc184384938"/>
      <w:bookmarkStart w:id="24" w:name="_Toc201508335"/>
      <w:bookmarkStart w:id="25" w:name="_Toc201754166"/>
      <w:bookmarkStart w:id="26" w:name="_Toc201758896"/>
      <w:r>
        <w:rPr>
          <w:rStyle w:val="CharPartNo"/>
        </w:rPr>
        <w:t>Part 2</w:t>
      </w:r>
      <w:r>
        <w:rPr>
          <w:rStyle w:val="CharDivNo"/>
        </w:rPr>
        <w:t> </w:t>
      </w:r>
      <w:r>
        <w:t>—</w:t>
      </w:r>
      <w:r>
        <w:rPr>
          <w:rStyle w:val="CharDivText"/>
        </w:rPr>
        <w:t> </w:t>
      </w:r>
      <w:r>
        <w:rPr>
          <w:rStyle w:val="CharPartText"/>
        </w:rPr>
        <w:t>Administration</w:t>
      </w:r>
      <w:bookmarkEnd w:id="21"/>
      <w:bookmarkEnd w:id="22"/>
      <w:bookmarkEnd w:id="23"/>
      <w:bookmarkEnd w:id="24"/>
      <w:bookmarkEnd w:id="25"/>
      <w:bookmarkEnd w:id="26"/>
    </w:p>
    <w:p>
      <w:pPr>
        <w:pStyle w:val="Heading5"/>
        <w:rPr>
          <w:snapToGrid w:val="0"/>
        </w:rPr>
      </w:pPr>
      <w:bookmarkStart w:id="27" w:name="_Toc201758897"/>
      <w:bookmarkStart w:id="28" w:name="_Toc184384939"/>
      <w:r>
        <w:rPr>
          <w:rStyle w:val="CharSectno"/>
        </w:rPr>
        <w:t>8</w:t>
      </w:r>
      <w:r>
        <w:rPr>
          <w:snapToGrid w:val="0"/>
        </w:rPr>
        <w:t>.</w:t>
      </w:r>
      <w:r>
        <w:rPr>
          <w:snapToGrid w:val="0"/>
        </w:rPr>
        <w:tab/>
        <w:t>Common seal of Minister for Fisheries, use of etc.</w:t>
      </w:r>
      <w:bookmarkEnd w:id="27"/>
      <w:bookmarkEnd w:id="28"/>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Gazette 6 Jul 2007 p. 3389.]</w:t>
      </w:r>
    </w:p>
    <w:p>
      <w:pPr>
        <w:pStyle w:val="Ednotepart"/>
      </w:pPr>
      <w:r>
        <w:t>[Part 3 (r. 9) deleted: Gazette 23 Jan 2015 p. 400.]</w:t>
      </w:r>
    </w:p>
    <w:p>
      <w:pPr>
        <w:pStyle w:val="Heading2"/>
      </w:pPr>
      <w:bookmarkStart w:id="29" w:name="_Toc184372431"/>
      <w:bookmarkStart w:id="30" w:name="_Toc184377583"/>
      <w:bookmarkStart w:id="31" w:name="_Toc184384940"/>
      <w:bookmarkStart w:id="32" w:name="_Toc201508337"/>
      <w:bookmarkStart w:id="33" w:name="_Toc201754168"/>
      <w:bookmarkStart w:id="34" w:name="_Toc201758898"/>
      <w:r>
        <w:rPr>
          <w:rStyle w:val="CharPartNo"/>
        </w:rPr>
        <w:t>Part 4</w:t>
      </w:r>
      <w:r>
        <w:t> — </w:t>
      </w:r>
      <w:r>
        <w:rPr>
          <w:rStyle w:val="CharPartText"/>
        </w:rPr>
        <w:t>General regulation of fishing</w:t>
      </w:r>
      <w:bookmarkEnd w:id="29"/>
      <w:bookmarkEnd w:id="30"/>
      <w:bookmarkEnd w:id="31"/>
      <w:bookmarkEnd w:id="32"/>
      <w:bookmarkEnd w:id="33"/>
      <w:bookmarkEnd w:id="34"/>
    </w:p>
    <w:p>
      <w:pPr>
        <w:pStyle w:val="Heading3"/>
        <w:spacing w:before="180"/>
      </w:pPr>
      <w:bookmarkStart w:id="35" w:name="_Toc184372432"/>
      <w:bookmarkStart w:id="36" w:name="_Toc184377584"/>
      <w:bookmarkStart w:id="37" w:name="_Toc184384941"/>
      <w:bookmarkStart w:id="38" w:name="_Toc201508338"/>
      <w:bookmarkStart w:id="39" w:name="_Toc201754169"/>
      <w:bookmarkStart w:id="40" w:name="_Toc201758899"/>
      <w:r>
        <w:rPr>
          <w:rStyle w:val="CharDivNo"/>
        </w:rPr>
        <w:t>Division 1</w:t>
      </w:r>
      <w:r>
        <w:rPr>
          <w:snapToGrid w:val="0"/>
        </w:rPr>
        <w:t> — </w:t>
      </w:r>
      <w:r>
        <w:rPr>
          <w:rStyle w:val="CharDivText"/>
        </w:rPr>
        <w:t>Protected fish</w:t>
      </w:r>
      <w:bookmarkEnd w:id="35"/>
      <w:bookmarkEnd w:id="36"/>
      <w:bookmarkEnd w:id="37"/>
      <w:bookmarkEnd w:id="38"/>
      <w:bookmarkEnd w:id="39"/>
      <w:bookmarkEnd w:id="40"/>
    </w:p>
    <w:p>
      <w:pPr>
        <w:pStyle w:val="Heading5"/>
        <w:spacing w:before="180"/>
      </w:pPr>
      <w:bookmarkStart w:id="41" w:name="_Toc201758900"/>
      <w:bookmarkStart w:id="42" w:name="_Toc184384942"/>
      <w:r>
        <w:rPr>
          <w:rStyle w:val="CharSectno"/>
        </w:rPr>
        <w:t>10</w:t>
      </w:r>
      <w:r>
        <w:t>.</w:t>
      </w:r>
      <w:r>
        <w:tab/>
        <w:t>Classes of fish prescribed (Act s. 45)</w:t>
      </w:r>
      <w:bookmarkEnd w:id="41"/>
      <w:bookmarkEnd w:id="42"/>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Gazette 14 Sep 2012 p. 4372</w:t>
      </w:r>
      <w:r>
        <w:noBreakHyphen/>
        <w:t>3.]</w:t>
      </w:r>
    </w:p>
    <w:p>
      <w:pPr>
        <w:pStyle w:val="Heading5"/>
        <w:spacing w:before="180"/>
      </w:pPr>
      <w:bookmarkStart w:id="43" w:name="_Toc201758901"/>
      <w:bookmarkStart w:id="44" w:name="_Toc184384943"/>
      <w:r>
        <w:rPr>
          <w:rStyle w:val="CharSectno"/>
        </w:rPr>
        <w:t>11</w:t>
      </w:r>
      <w:r>
        <w:t>.</w:t>
      </w:r>
      <w:r>
        <w:tab/>
        <w:t>Defences etc. prescribed (Act s. 48)</w:t>
      </w:r>
      <w:bookmarkEnd w:id="43"/>
      <w:bookmarkEnd w:id="44"/>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whaler,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pPr>
        <w:pStyle w:val="Footnotesection"/>
      </w:pPr>
      <w:r>
        <w:tab/>
        <w:t>[Regulation 11 inserted: Gazette 10 Nov 2006 p. 4704</w:t>
      </w:r>
      <w:r>
        <w:noBreakHyphen/>
        <w:t>5; amended: Gazette 13 Feb 2009 p. 298; 2 Nov 2011 p. 4620; 4 Oct 2019 p. 3609.]</w:t>
      </w:r>
    </w:p>
    <w:p>
      <w:pPr>
        <w:pStyle w:val="Heading5"/>
        <w:spacing w:before="180"/>
        <w:rPr>
          <w:snapToGrid w:val="0"/>
        </w:rPr>
      </w:pPr>
      <w:bookmarkStart w:id="45" w:name="_Toc201758902"/>
      <w:bookmarkStart w:id="46" w:name="_Toc184384944"/>
      <w:r>
        <w:rPr>
          <w:rStyle w:val="CharSectno"/>
        </w:rPr>
        <w:t>12</w:t>
      </w:r>
      <w:r>
        <w:rPr>
          <w:snapToGrid w:val="0"/>
        </w:rPr>
        <w:t>.</w:t>
      </w:r>
      <w:r>
        <w:rPr>
          <w:snapToGrid w:val="0"/>
        </w:rPr>
        <w:tab/>
        <w:t>Certain protected rock lobsters and crabs to be released</w:t>
      </w:r>
      <w:bookmarkEnd w:id="45"/>
      <w:bookmarkEnd w:id="46"/>
    </w:p>
    <w:p>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keepNext/>
        <w:spacing w:before="120"/>
        <w:rPr>
          <w:snapToGrid w:val="0"/>
        </w:rPr>
      </w:pPr>
      <w:r>
        <w:rPr>
          <w:snapToGrid w:val="0"/>
        </w:rPr>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Gazette 7 Aug 2015 p. 3200</w:t>
      </w:r>
      <w:r>
        <w:noBreakHyphen/>
        <w:t>1; 4 Oct 2019 p. 3528.]</w:t>
      </w:r>
    </w:p>
    <w:p>
      <w:pPr>
        <w:pStyle w:val="Heading5"/>
        <w:spacing w:before="180"/>
        <w:rPr>
          <w:snapToGrid w:val="0"/>
        </w:rPr>
      </w:pPr>
      <w:bookmarkStart w:id="47" w:name="_Toc201758903"/>
      <w:bookmarkStart w:id="48" w:name="_Toc184384945"/>
      <w:r>
        <w:rPr>
          <w:rStyle w:val="CharSectno"/>
        </w:rPr>
        <w:t>13</w:t>
      </w:r>
      <w:r>
        <w:rPr>
          <w:snapToGrid w:val="0"/>
        </w:rPr>
        <w:t>.</w:t>
      </w:r>
      <w:r>
        <w:rPr>
          <w:snapToGrid w:val="0"/>
        </w:rPr>
        <w:tab/>
        <w:t>Mutilated etc. protected fish, possession of</w:t>
      </w:r>
      <w:bookmarkEnd w:id="47"/>
      <w:bookmarkEnd w:id="48"/>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49" w:name="_Toc184372437"/>
      <w:bookmarkStart w:id="50" w:name="_Toc184377589"/>
      <w:bookmarkStart w:id="51" w:name="_Toc184384946"/>
      <w:bookmarkStart w:id="52" w:name="_Toc201508343"/>
      <w:bookmarkStart w:id="53" w:name="_Toc201754174"/>
      <w:bookmarkStart w:id="54" w:name="_Toc201758904"/>
      <w:r>
        <w:rPr>
          <w:rStyle w:val="CharDivNo"/>
        </w:rPr>
        <w:t>Division 2</w:t>
      </w:r>
      <w:r>
        <w:rPr>
          <w:snapToGrid w:val="0"/>
        </w:rPr>
        <w:t> — </w:t>
      </w:r>
      <w:r>
        <w:rPr>
          <w:rStyle w:val="CharDivText"/>
        </w:rPr>
        <w:t>Requirements regarding fish trunks and fillets</w:t>
      </w:r>
      <w:bookmarkEnd w:id="49"/>
      <w:bookmarkEnd w:id="50"/>
      <w:bookmarkEnd w:id="51"/>
      <w:bookmarkEnd w:id="52"/>
      <w:bookmarkEnd w:id="53"/>
      <w:bookmarkEnd w:id="54"/>
    </w:p>
    <w:p>
      <w:pPr>
        <w:pStyle w:val="Footnoteheading"/>
        <w:keepNext/>
        <w:tabs>
          <w:tab w:val="left" w:pos="851"/>
        </w:tabs>
      </w:pPr>
      <w:r>
        <w:tab/>
        <w:t>[Heading inserted: Gazette 4 Nov 2005 p. 5301.]</w:t>
      </w:r>
    </w:p>
    <w:p>
      <w:pPr>
        <w:pStyle w:val="Ednotesection"/>
        <w:keepNext/>
      </w:pPr>
      <w:r>
        <w:t>[</w:t>
      </w:r>
      <w:r>
        <w:rPr>
          <w:b/>
        </w:rPr>
        <w:t>14A.</w:t>
      </w:r>
      <w:r>
        <w:tab/>
        <w:t>Deleted: SL 2021/118 r. 5.]</w:t>
      </w:r>
    </w:p>
    <w:p>
      <w:pPr>
        <w:pStyle w:val="Heading5"/>
        <w:spacing w:before="180"/>
      </w:pPr>
      <w:bookmarkStart w:id="55" w:name="_Toc201758905"/>
      <w:bookmarkStart w:id="56" w:name="_Toc184384947"/>
      <w:r>
        <w:rPr>
          <w:rStyle w:val="CharSectno"/>
        </w:rPr>
        <w:t>14</w:t>
      </w:r>
      <w:r>
        <w:t>.</w:t>
      </w:r>
      <w:r>
        <w:tab/>
        <w:t>How certain types of finfish must be landed</w:t>
      </w:r>
      <w:bookmarkEnd w:id="55"/>
      <w:bookmarkEnd w:id="56"/>
    </w:p>
    <w:p>
      <w:pPr>
        <w:pStyle w:val="Subsection"/>
        <w:keepNext/>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trPr>
          <w:tblHeader/>
        </w:trPr>
        <w:tc>
          <w:tcPr>
            <w:tcW w:w="992" w:type="dxa"/>
          </w:tcPr>
          <w:p>
            <w:pPr>
              <w:pStyle w:val="TableNAm"/>
              <w:rPr>
                <w:b/>
                <w:bCs/>
              </w:rPr>
            </w:pPr>
            <w:r>
              <w:rPr>
                <w:b/>
                <w:bCs/>
              </w:rPr>
              <w:t>Item</w:t>
            </w:r>
          </w:p>
        </w:tc>
        <w:tc>
          <w:tcPr>
            <w:tcW w:w="3544" w:type="dxa"/>
          </w:tcPr>
          <w:p>
            <w:pPr>
              <w:pStyle w:val="TableNAm"/>
              <w:rPr>
                <w:b/>
                <w:bCs/>
              </w:rPr>
            </w:pPr>
            <w:r>
              <w:rPr>
                <w:b/>
                <w:bCs/>
              </w:rPr>
              <w:t>Type of finfish</w:t>
            </w:r>
          </w:p>
        </w:tc>
        <w:tc>
          <w:tcPr>
            <w:tcW w:w="1559" w:type="dxa"/>
          </w:tcPr>
          <w:p>
            <w:pPr>
              <w:pStyle w:val="TableNAm"/>
              <w:rPr>
                <w:b/>
                <w:bCs/>
              </w:rPr>
            </w:pPr>
            <w:r>
              <w:rPr>
                <w:b/>
                <w:bCs/>
              </w:rPr>
              <w:t>Waters</w:t>
            </w:r>
          </w:p>
        </w:tc>
      </w:tr>
      <w:tr>
        <w:tc>
          <w:tcPr>
            <w:tcW w:w="992" w:type="dxa"/>
          </w:tcPr>
          <w:p>
            <w:pPr>
              <w:pStyle w:val="TableNAm"/>
            </w:pPr>
            <w:r>
              <w:t>1.</w:t>
            </w:r>
          </w:p>
        </w:tc>
        <w:tc>
          <w:tcPr>
            <w:tcW w:w="3544" w:type="dxa"/>
          </w:tcPr>
          <w:p>
            <w:pPr>
              <w:pStyle w:val="TableNAm"/>
            </w:pPr>
            <w:r>
              <w:t>Barramundi</w:t>
            </w:r>
          </w:p>
        </w:tc>
        <w:tc>
          <w:tcPr>
            <w:tcW w:w="1559" w:type="dxa"/>
          </w:tcPr>
          <w:p>
            <w:pPr>
              <w:pStyle w:val="TableNAm"/>
            </w:pPr>
            <w:r>
              <w:t>WA waters</w:t>
            </w:r>
          </w:p>
        </w:tc>
      </w:tr>
      <w:tr>
        <w:tc>
          <w:tcPr>
            <w:tcW w:w="992" w:type="dxa"/>
          </w:tcPr>
          <w:p>
            <w:pPr>
              <w:pStyle w:val="TableNAm"/>
            </w:pPr>
            <w:r>
              <w:t>2.</w:t>
            </w:r>
          </w:p>
        </w:tc>
        <w:tc>
          <w:tcPr>
            <w:tcW w:w="3544" w:type="dxa"/>
          </w:tcPr>
          <w:p>
            <w:pPr>
              <w:pStyle w:val="TableNAm"/>
            </w:pPr>
            <w:r>
              <w:t>Blackspotted rockcod</w:t>
            </w:r>
          </w:p>
        </w:tc>
        <w:tc>
          <w:tcPr>
            <w:tcW w:w="1559" w:type="dxa"/>
          </w:tcPr>
          <w:p>
            <w:pPr>
              <w:pStyle w:val="TableNAm"/>
            </w:pPr>
            <w:r>
              <w:t>WA waters</w:t>
            </w:r>
          </w:p>
        </w:tc>
      </w:tr>
      <w:tr>
        <w:tc>
          <w:tcPr>
            <w:tcW w:w="992" w:type="dxa"/>
          </w:tcPr>
          <w:p>
            <w:pPr>
              <w:pStyle w:val="TableNAm"/>
            </w:pPr>
            <w:r>
              <w:t>3.</w:t>
            </w:r>
          </w:p>
        </w:tc>
        <w:tc>
          <w:tcPr>
            <w:tcW w:w="3544" w:type="dxa"/>
          </w:tcPr>
          <w:p>
            <w:pPr>
              <w:pStyle w:val="TableNAm"/>
            </w:pPr>
            <w:r>
              <w:t>Goldspotted rockcod (estuary cod)</w:t>
            </w:r>
          </w:p>
        </w:tc>
        <w:tc>
          <w:tcPr>
            <w:tcW w:w="1559" w:type="dxa"/>
          </w:tcPr>
          <w:p>
            <w:pPr>
              <w:pStyle w:val="TableNAm"/>
            </w:pPr>
            <w:r>
              <w:t>WA waters</w:t>
            </w:r>
          </w:p>
        </w:tc>
      </w:tr>
      <w:tr>
        <w:tc>
          <w:tcPr>
            <w:tcW w:w="992" w:type="dxa"/>
          </w:tcPr>
          <w:p>
            <w:pPr>
              <w:pStyle w:val="TableNAm"/>
            </w:pPr>
            <w:r>
              <w:t>4.</w:t>
            </w:r>
          </w:p>
        </w:tc>
        <w:tc>
          <w:tcPr>
            <w:tcW w:w="3544" w:type="dxa"/>
          </w:tcPr>
          <w:p>
            <w:pPr>
              <w:pStyle w:val="TableNAm"/>
            </w:pPr>
            <w:r>
              <w:t>Whaler sharks</w:t>
            </w:r>
          </w:p>
        </w:tc>
        <w:tc>
          <w:tcPr>
            <w:tcW w:w="1559" w:type="dxa"/>
          </w:tcPr>
          <w:p>
            <w:pPr>
              <w:pStyle w:val="TableNAm"/>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Ednotesubsection"/>
        <w:spacing w:before="120"/>
      </w:pPr>
      <w:r>
        <w:tab/>
        <w:t>[(3)</w:t>
      </w:r>
      <w:r>
        <w:tab/>
        <w:t>deleted]</w:t>
      </w:r>
    </w:p>
    <w:p>
      <w:pPr>
        <w:pStyle w:val="Subsection"/>
        <w:keepNext/>
      </w:pPr>
      <w:r>
        <w:tab/>
        <w:t>(4)</w:t>
      </w:r>
      <w:r>
        <w:tab/>
        <w:t>A person must not bring onto land or carry through WA waters a finfish other than a finfish referred to in subregulation (1)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 (4) does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Gazette 29 Jan 2013 p. 302</w:t>
      </w:r>
      <w:r>
        <w:noBreakHyphen/>
        <w:t>3; amended: Gazette 28 Jun 2013 p. 2888-90; 30 May 2014 p. 1714; 8 Jan 2016 p. 21; 4 Oct 2019 p. 3528; SL 2021/118 r. 6.]</w:t>
      </w:r>
    </w:p>
    <w:p>
      <w:pPr>
        <w:pStyle w:val="Heading5"/>
      </w:pPr>
      <w:bookmarkStart w:id="57" w:name="_Toc201758906"/>
      <w:bookmarkStart w:id="58" w:name="_Toc184384948"/>
      <w:r>
        <w:rPr>
          <w:rStyle w:val="CharSectno"/>
        </w:rPr>
        <w:t>15</w:t>
      </w:r>
      <w:r>
        <w:t>.</w:t>
      </w:r>
      <w:r>
        <w:tab/>
        <w:t>Possession of sharks by commercial fishers</w:t>
      </w:r>
      <w:bookmarkEnd w:id="57"/>
      <w:bookmarkEnd w:id="58"/>
    </w:p>
    <w:p>
      <w:pPr>
        <w:pStyle w:val="Subsection"/>
      </w:pPr>
      <w:r>
        <w:tab/>
        <w:t>(1)</w:t>
      </w:r>
      <w:r>
        <w:tab/>
        <w:t xml:space="preserve">In this regulation — </w:t>
      </w:r>
    </w:p>
    <w:p>
      <w:pPr>
        <w:pStyle w:val="Defstart"/>
      </w:pPr>
      <w:r>
        <w:tab/>
      </w:r>
      <w:r>
        <w:rPr>
          <w:rStyle w:val="CharDefText"/>
        </w:rPr>
        <w:t>disposable part</w:t>
      </w:r>
      <w:r>
        <w:t xml:space="preserve">, in relation to a shark, means the following — </w:t>
      </w:r>
    </w:p>
    <w:p>
      <w:pPr>
        <w:pStyle w:val="Defpara"/>
      </w:pPr>
      <w:r>
        <w:tab/>
        <w:t>(a)</w:t>
      </w:r>
      <w:r>
        <w:tab/>
        <w:t>the head;</w:t>
      </w:r>
    </w:p>
    <w:p>
      <w:pPr>
        <w:pStyle w:val="Defpara"/>
        <w:rPr>
          <w:rStyle w:val="DraftersNotes"/>
          <w:b w:val="0"/>
          <w:i w:val="0"/>
        </w:rPr>
      </w:pPr>
      <w:r>
        <w:tab/>
        <w:t>(b)</w:t>
      </w:r>
      <w:r>
        <w:tab/>
        <w:t>a part of the shark that is removed during gutting;</w:t>
      </w:r>
    </w:p>
    <w:p>
      <w:pPr>
        <w:pStyle w:val="Defstart"/>
      </w:pPr>
      <w:r>
        <w:tab/>
      </w:r>
      <w:r>
        <w:rPr>
          <w:rStyle w:val="CharDefText"/>
        </w:rPr>
        <w:t>fin naturally attached</w:t>
      </w:r>
      <w:r>
        <w:t xml:space="preserve">, in relation to a shark — </w:t>
      </w:r>
    </w:p>
    <w:p>
      <w:pPr>
        <w:pStyle w:val="Defpara"/>
      </w:pPr>
      <w:r>
        <w:tab/>
        <w:t>(a)</w:t>
      </w:r>
      <w:r>
        <w:tab/>
        <w:t>means a fin that remains wholly or partly attached to the shark by the shark’s tissue; but</w:t>
      </w:r>
    </w:p>
    <w:p>
      <w:pPr>
        <w:pStyle w:val="Defpara"/>
      </w:pPr>
      <w:r>
        <w:tab/>
        <w:t>(b)</w:t>
      </w:r>
      <w:r>
        <w:tab/>
        <w:t>does not include a fin that has been severed and reattached to the shark;</w:t>
      </w:r>
    </w:p>
    <w:p>
      <w:pPr>
        <w:pStyle w:val="Defstart"/>
        <w:keepNext/>
      </w:pPr>
      <w:r>
        <w:tab/>
      </w:r>
      <w:r>
        <w:rPr>
          <w:rStyle w:val="CharDefText"/>
        </w:rPr>
        <w:t>whole shark</w:t>
      </w:r>
      <w:r>
        <w:t xml:space="preserve"> means a shark — </w:t>
      </w:r>
    </w:p>
    <w:p>
      <w:pPr>
        <w:pStyle w:val="Defpara"/>
      </w:pPr>
      <w:r>
        <w:tab/>
        <w:t>(a)</w:t>
      </w:r>
      <w:r>
        <w:tab/>
        <w:t>that has not had any part of the shark removed other than a disposable part; and</w:t>
      </w:r>
    </w:p>
    <w:p>
      <w:pPr>
        <w:pStyle w:val="Defpara"/>
      </w:pPr>
      <w:r>
        <w:tab/>
        <w:t>(b)</w:t>
      </w:r>
      <w:r>
        <w:tab/>
        <w:t>that has each fin naturally attached.</w:t>
      </w:r>
    </w:p>
    <w:p>
      <w:pPr>
        <w:pStyle w:val="Subsection"/>
      </w:pPr>
      <w:r>
        <w:tab/>
        <w:t>(2)</w:t>
      </w:r>
      <w:r>
        <w:tab/>
        <w:t>A master of a fishing boat must not have on the boat a shark other than a whole shark.</w:t>
      </w:r>
    </w:p>
    <w:p>
      <w:pPr>
        <w:pStyle w:val="Penstart"/>
      </w:pPr>
      <w:r>
        <w:tab/>
        <w:t>Penalty for this subregulation: a fine of $10 000 and the penalty provided in section 222 of the Act.</w:t>
      </w:r>
    </w:p>
    <w:p>
      <w:pPr>
        <w:pStyle w:val="Subsection"/>
      </w:pPr>
      <w:r>
        <w:tab/>
        <w:t>(3)</w:t>
      </w:r>
      <w:r>
        <w:tab/>
        <w:t>A person must not bring onto land a shark taken for a commercial purpose in accordance with an authorisation other than a whole shark.</w:t>
      </w:r>
    </w:p>
    <w:p>
      <w:pPr>
        <w:pStyle w:val="Penstart"/>
      </w:pPr>
      <w:r>
        <w:tab/>
        <w:t>Penalty for this subregulation: a fine of $10 000 and the penalty provided in section 222 of the Act.</w:t>
      </w:r>
    </w:p>
    <w:p>
      <w:pPr>
        <w:pStyle w:val="Subsection"/>
      </w:pPr>
      <w:r>
        <w:tab/>
        <w:t>(4)</w:t>
      </w:r>
      <w:r>
        <w:tab/>
        <w:t>If a provision of a management plan for a managed fishery is inconsistent with this regulation, the provision of the management plan prevails to the extent of the inconsistency.</w:t>
      </w:r>
    </w:p>
    <w:p>
      <w:pPr>
        <w:pStyle w:val="Footnotesection"/>
      </w:pPr>
      <w:r>
        <w:tab/>
        <w:t>[Regulation 15 inserted: SL 2023/2 r. 5.]</w:t>
      </w:r>
    </w:p>
    <w:p>
      <w:pPr>
        <w:pStyle w:val="Heading5"/>
      </w:pPr>
      <w:bookmarkStart w:id="59" w:name="_Toc201758907"/>
      <w:bookmarkStart w:id="60" w:name="_Toc184384949"/>
      <w:r>
        <w:rPr>
          <w:rStyle w:val="CharSectno"/>
        </w:rPr>
        <w:t>16</w:t>
      </w:r>
      <w:r>
        <w:t>.</w:t>
      </w:r>
      <w:r>
        <w:tab/>
        <w:t>Possession of rays by commercial fishers</w:t>
      </w:r>
      <w:bookmarkEnd w:id="59"/>
      <w:bookmarkEnd w:id="60"/>
    </w:p>
    <w:p>
      <w:pPr>
        <w:pStyle w:val="Subsection"/>
      </w:pPr>
      <w:r>
        <w:tab/>
        <w:t>(1)</w:t>
      </w:r>
      <w:r>
        <w:tab/>
        <w:t xml:space="preserve">In this regulation — </w:t>
      </w:r>
    </w:p>
    <w:p>
      <w:pPr>
        <w:pStyle w:val="Defstart"/>
      </w:pPr>
      <w:r>
        <w:tab/>
      </w:r>
      <w:r>
        <w:rPr>
          <w:rStyle w:val="CharDefText"/>
        </w:rPr>
        <w:t>disposable part</w:t>
      </w:r>
      <w:r>
        <w:t xml:space="preserve">, in relation to a ray, means any of the following — </w:t>
      </w:r>
    </w:p>
    <w:p>
      <w:pPr>
        <w:pStyle w:val="Defpara"/>
      </w:pPr>
      <w:r>
        <w:tab/>
        <w:t>(a)</w:t>
      </w:r>
      <w:r>
        <w:tab/>
        <w:t>the head;</w:t>
      </w:r>
    </w:p>
    <w:p>
      <w:pPr>
        <w:pStyle w:val="Defpara"/>
      </w:pPr>
      <w:r>
        <w:tab/>
        <w:t>(b)</w:t>
      </w:r>
      <w:r>
        <w:tab/>
        <w:t>the tail;</w:t>
      </w:r>
    </w:p>
    <w:p>
      <w:pPr>
        <w:pStyle w:val="Defpara"/>
      </w:pPr>
      <w:r>
        <w:tab/>
        <w:t>(c)</w:t>
      </w:r>
      <w:r>
        <w:tab/>
        <w:t>a part of the ray that is removed during gutting;</w:t>
      </w:r>
    </w:p>
    <w:p>
      <w:pPr>
        <w:pStyle w:val="Defstart"/>
      </w:pPr>
      <w:r>
        <w:tab/>
      </w:r>
      <w:r>
        <w:rPr>
          <w:rStyle w:val="CharDefText"/>
        </w:rPr>
        <w:t>whole ray</w:t>
      </w:r>
      <w:r>
        <w:t xml:space="preserve"> means a ray that has not had any part of the ray removed other than a disposable part.</w:t>
      </w:r>
    </w:p>
    <w:p>
      <w:pPr>
        <w:pStyle w:val="Subsection"/>
      </w:pPr>
      <w:r>
        <w:tab/>
        <w:t>(2)</w:t>
      </w:r>
      <w:r>
        <w:tab/>
        <w:t>A master of a fishing boat must not have on the boat a ray other than a whole ray.</w:t>
      </w:r>
    </w:p>
    <w:p>
      <w:pPr>
        <w:pStyle w:val="Penstart"/>
      </w:pPr>
      <w:r>
        <w:tab/>
        <w:t>Penalty for this subregulation: a fine of $10 000 and the penalty provided in section 222 of the Act.</w:t>
      </w:r>
    </w:p>
    <w:p>
      <w:pPr>
        <w:pStyle w:val="Subsection"/>
      </w:pPr>
      <w:r>
        <w:tab/>
        <w:t>(3)</w:t>
      </w:r>
      <w:r>
        <w:tab/>
        <w:t>A person must not bring onto land a ray taken for a commercial purpose in accordance with an authorisation other than a whole ray.</w:t>
      </w:r>
    </w:p>
    <w:p>
      <w:pPr>
        <w:pStyle w:val="Penstart"/>
      </w:pPr>
      <w:r>
        <w:tab/>
        <w:t>Penalty for this subregulation: a fine of $10 000 and the penalty provided in section 222 of the Act.</w:t>
      </w:r>
    </w:p>
    <w:p>
      <w:pPr>
        <w:pStyle w:val="Footnotesection"/>
      </w:pPr>
      <w:r>
        <w:tab/>
        <w:t>[Regulation 16 inserted: SL 2023/2 r. 5.]</w:t>
      </w:r>
    </w:p>
    <w:p>
      <w:pPr>
        <w:pStyle w:val="Ednotesection"/>
        <w:spacing w:before="200"/>
      </w:pPr>
      <w:r>
        <w:t>[</w:t>
      </w:r>
      <w:r>
        <w:rPr>
          <w:b/>
        </w:rPr>
        <w:t>16A.</w:t>
      </w:r>
      <w:r>
        <w:rPr>
          <w:b/>
        </w:rPr>
        <w:tab/>
      </w:r>
      <w:r>
        <w:t>Deleted: Gazette 29 Jan 2013 p. 302.]</w:t>
      </w:r>
    </w:p>
    <w:p>
      <w:pPr>
        <w:pStyle w:val="Ednotesection"/>
      </w:pPr>
      <w:r>
        <w:t>[</w:t>
      </w:r>
      <w:r>
        <w:rPr>
          <w:b/>
        </w:rPr>
        <w:t>16B.</w:t>
      </w:r>
      <w:r>
        <w:rPr>
          <w:b/>
        </w:rPr>
        <w:tab/>
      </w:r>
      <w:r>
        <w:t>Deleted: SL 2023/2 r. 5.]</w:t>
      </w:r>
    </w:p>
    <w:p>
      <w:pPr>
        <w:pStyle w:val="Heading3"/>
        <w:keepLines/>
      </w:pPr>
      <w:bookmarkStart w:id="61" w:name="_Toc184372441"/>
      <w:bookmarkStart w:id="62" w:name="_Toc184377593"/>
      <w:bookmarkStart w:id="63" w:name="_Toc184384950"/>
      <w:bookmarkStart w:id="64" w:name="_Toc201508347"/>
      <w:bookmarkStart w:id="65" w:name="_Toc201754178"/>
      <w:bookmarkStart w:id="66" w:name="_Toc201758908"/>
      <w:r>
        <w:rPr>
          <w:rStyle w:val="CharDivNo"/>
        </w:rPr>
        <w:t>Division 3</w:t>
      </w:r>
      <w:r>
        <w:t> — </w:t>
      </w:r>
      <w:r>
        <w:rPr>
          <w:rStyle w:val="CharDivText"/>
        </w:rPr>
        <w:t>Possession limits</w:t>
      </w:r>
      <w:bookmarkEnd w:id="61"/>
      <w:bookmarkEnd w:id="62"/>
      <w:bookmarkEnd w:id="63"/>
      <w:bookmarkEnd w:id="64"/>
      <w:bookmarkEnd w:id="65"/>
      <w:bookmarkEnd w:id="66"/>
    </w:p>
    <w:p>
      <w:pPr>
        <w:pStyle w:val="Footnoteheading"/>
        <w:keepNext/>
        <w:keepLines/>
        <w:tabs>
          <w:tab w:val="left" w:pos="851"/>
        </w:tabs>
      </w:pPr>
      <w:r>
        <w:tab/>
        <w:t>[Heading inserted: Gazette 1 Oct 2003 p. 4289.]</w:t>
      </w:r>
    </w:p>
    <w:p>
      <w:pPr>
        <w:pStyle w:val="Heading4"/>
      </w:pPr>
      <w:bookmarkStart w:id="67" w:name="_Toc184372442"/>
      <w:bookmarkStart w:id="68" w:name="_Toc184377594"/>
      <w:bookmarkStart w:id="69" w:name="_Toc184384951"/>
      <w:bookmarkStart w:id="70" w:name="_Toc201508348"/>
      <w:bookmarkStart w:id="71" w:name="_Toc201754179"/>
      <w:bookmarkStart w:id="72" w:name="_Toc201758909"/>
      <w:r>
        <w:t>Subdivision 1A — Preliminary</w:t>
      </w:r>
      <w:bookmarkEnd w:id="67"/>
      <w:bookmarkEnd w:id="68"/>
      <w:bookmarkEnd w:id="69"/>
      <w:bookmarkEnd w:id="70"/>
      <w:bookmarkEnd w:id="71"/>
      <w:bookmarkEnd w:id="72"/>
    </w:p>
    <w:p>
      <w:pPr>
        <w:pStyle w:val="Footnoteheading"/>
        <w:keepNext/>
      </w:pPr>
      <w:r>
        <w:tab/>
        <w:t>[Heading inserted: Gazette 4 Nov 2005 p. 5306.]</w:t>
      </w:r>
    </w:p>
    <w:p>
      <w:pPr>
        <w:pStyle w:val="Ednotesection"/>
        <w:spacing w:before="200"/>
      </w:pPr>
      <w:r>
        <w:t>[</w:t>
      </w:r>
      <w:r>
        <w:rPr>
          <w:b/>
        </w:rPr>
        <w:t>16C.</w:t>
      </w:r>
      <w:r>
        <w:rPr>
          <w:b/>
        </w:rPr>
        <w:tab/>
      </w:r>
      <w:r>
        <w:t>Deleted: SL 2021/118 r. 7.]</w:t>
      </w:r>
    </w:p>
    <w:p>
      <w:pPr>
        <w:pStyle w:val="Heading5"/>
        <w:spacing w:before="180"/>
      </w:pPr>
      <w:bookmarkStart w:id="73" w:name="_Toc201758910"/>
      <w:bookmarkStart w:id="74" w:name="_Toc184384952"/>
      <w:r>
        <w:rPr>
          <w:rStyle w:val="CharSectno"/>
        </w:rPr>
        <w:t>16CA</w:t>
      </w:r>
      <w:r>
        <w:t>.</w:t>
      </w:r>
      <w:r>
        <w:tab/>
        <w:t>Bag limits, application and effect of</w:t>
      </w:r>
      <w:bookmarkEnd w:id="73"/>
      <w:bookmarkEnd w:id="74"/>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keepNext/>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Gazette 4 Nov 2005 p. 5306.]</w:t>
      </w:r>
    </w:p>
    <w:p>
      <w:pPr>
        <w:pStyle w:val="Heading4"/>
      </w:pPr>
      <w:bookmarkStart w:id="75" w:name="_Toc184372444"/>
      <w:bookmarkStart w:id="76" w:name="_Toc184377596"/>
      <w:bookmarkStart w:id="77" w:name="_Toc184384953"/>
      <w:bookmarkStart w:id="78" w:name="_Toc201508350"/>
      <w:bookmarkStart w:id="79" w:name="_Toc201754181"/>
      <w:bookmarkStart w:id="80" w:name="_Toc201758911"/>
      <w:r>
        <w:t>Subdivision 1 — Possession limits for finfish</w:t>
      </w:r>
      <w:bookmarkEnd w:id="75"/>
      <w:bookmarkEnd w:id="76"/>
      <w:bookmarkEnd w:id="77"/>
      <w:bookmarkEnd w:id="78"/>
      <w:bookmarkEnd w:id="79"/>
      <w:bookmarkEnd w:id="80"/>
    </w:p>
    <w:p>
      <w:pPr>
        <w:pStyle w:val="Footnoteheading"/>
        <w:keepNext/>
        <w:tabs>
          <w:tab w:val="left" w:pos="851"/>
        </w:tabs>
      </w:pPr>
      <w:r>
        <w:tab/>
        <w:t>[Heading inserted: SL 2021/118 r. 8.]</w:t>
      </w:r>
    </w:p>
    <w:p>
      <w:pPr>
        <w:pStyle w:val="Heading5"/>
      </w:pPr>
      <w:bookmarkStart w:id="81" w:name="_Toc201758912"/>
      <w:bookmarkStart w:id="82" w:name="_Toc184384954"/>
      <w:r>
        <w:rPr>
          <w:rStyle w:val="CharSectno"/>
        </w:rPr>
        <w:t>16D</w:t>
      </w:r>
      <w:r>
        <w:t>.</w:t>
      </w:r>
      <w:r>
        <w:tab/>
        <w:t>Finfish possession limits (Act s. 51(1))</w:t>
      </w:r>
      <w:bookmarkEnd w:id="81"/>
      <w:bookmarkEnd w:id="82"/>
    </w:p>
    <w:p>
      <w:pPr>
        <w:pStyle w:val="Subsection"/>
      </w:pPr>
      <w:r>
        <w:tab/>
        <w:t>(1)</w:t>
      </w:r>
      <w:r>
        <w:tab/>
        <w:t>For the purposes of section 51(1) of the Act, the maximum quantity of finfish (other than Bait Fish, Garfish, Hardyhead or Mullet) that a person may be in possession of in the circumstances set out in column 1 of the Table is the quantity set out in column 2 opposite the circumstances.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324"/>
        <w:gridCol w:w="3034"/>
      </w:tblGrid>
      <w:tr>
        <w:trPr>
          <w:tblHeader/>
        </w:trPr>
        <w:tc>
          <w:tcPr>
            <w:tcW w:w="709" w:type="dxa"/>
            <w:noWrap/>
          </w:tcPr>
          <w:p>
            <w:pPr>
              <w:pStyle w:val="TableNAm"/>
              <w:jc w:val="center"/>
              <w:rPr>
                <w:b/>
                <w:bCs/>
              </w:rPr>
            </w:pPr>
          </w:p>
          <w:p>
            <w:pPr>
              <w:pStyle w:val="TableNAm"/>
              <w:jc w:val="center"/>
              <w:rPr>
                <w:b/>
                <w:bCs/>
              </w:rPr>
            </w:pPr>
            <w:r>
              <w:rPr>
                <w:b/>
                <w:bCs/>
              </w:rPr>
              <w:t>Item</w:t>
            </w:r>
          </w:p>
        </w:tc>
        <w:tc>
          <w:tcPr>
            <w:tcW w:w="2324" w:type="dxa"/>
            <w:noWrap/>
          </w:tcPr>
          <w:p>
            <w:pPr>
              <w:pStyle w:val="TableNAm"/>
              <w:jc w:val="center"/>
              <w:rPr>
                <w:b/>
                <w:bCs/>
              </w:rPr>
            </w:pPr>
            <w:r>
              <w:rPr>
                <w:b/>
                <w:bCs/>
              </w:rPr>
              <w:t>Column 1</w:t>
            </w:r>
          </w:p>
          <w:p>
            <w:pPr>
              <w:pStyle w:val="TableNAm"/>
              <w:jc w:val="center"/>
              <w:rPr>
                <w:b/>
                <w:bCs/>
              </w:rPr>
            </w:pPr>
            <w:r>
              <w:rPr>
                <w:b/>
                <w:bCs/>
              </w:rPr>
              <w:t>Circumstances</w:t>
            </w:r>
          </w:p>
        </w:tc>
        <w:tc>
          <w:tcPr>
            <w:tcW w:w="3034" w:type="dxa"/>
            <w:noWrap/>
          </w:tcPr>
          <w:p>
            <w:pPr>
              <w:pStyle w:val="TableNAm"/>
              <w:jc w:val="center"/>
              <w:rPr>
                <w:b/>
                <w:bCs/>
              </w:rPr>
            </w:pPr>
            <w:r>
              <w:rPr>
                <w:b/>
                <w:bCs/>
              </w:rPr>
              <w:t>Column 2</w:t>
            </w:r>
          </w:p>
          <w:p>
            <w:pPr>
              <w:pStyle w:val="TableNAm"/>
              <w:jc w:val="center"/>
              <w:rPr>
                <w:b/>
                <w:bCs/>
              </w:rPr>
            </w:pPr>
            <w:r>
              <w:rPr>
                <w:b/>
                <w:bCs/>
              </w:rPr>
              <w:t>Possession limit</w:t>
            </w:r>
          </w:p>
        </w:tc>
      </w:tr>
      <w:tr>
        <w:tc>
          <w:tcPr>
            <w:tcW w:w="709" w:type="dxa"/>
            <w:noWrap/>
          </w:tcPr>
          <w:p>
            <w:pPr>
              <w:pStyle w:val="TableNAm"/>
            </w:pPr>
            <w:r>
              <w:t>1.</w:t>
            </w:r>
          </w:p>
        </w:tc>
        <w:tc>
          <w:tcPr>
            <w:tcW w:w="2324" w:type="dxa"/>
            <w:noWrap/>
          </w:tcPr>
          <w:p>
            <w:pPr>
              <w:pStyle w:val="TableNAm"/>
            </w:pPr>
            <w:r>
              <w:t>The fish is located anywhere.</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2.</w:t>
            </w:r>
          </w:p>
        </w:tc>
        <w:tc>
          <w:tcPr>
            <w:tcW w:w="2324" w:type="dxa"/>
            <w:noWrap/>
          </w:tcPr>
          <w:p>
            <w:pPr>
              <w:pStyle w:val="TableNAm"/>
            </w:pPr>
            <w:r>
              <w:t>Item 4 does not apply to the person and the fish is located at a place that is not the person’s principal place of residence.</w:t>
            </w:r>
          </w:p>
        </w:tc>
        <w:tc>
          <w:tcPr>
            <w:tcW w:w="3034" w:type="dxa"/>
            <w:noWrap/>
          </w:tcPr>
          <w:p>
            <w:pPr>
              <w:pStyle w:val="TableNAm"/>
              <w:ind w:left="459" w:hanging="459"/>
            </w:pPr>
            <w:r>
              <w:t>(a)</w:t>
            </w:r>
            <w:r>
              <w:tab/>
              <w:t>20 kg of fillets, of which any amount in excess of 10 kg is fillets of large pelagic finfish that have the skin attached; or</w:t>
            </w:r>
          </w:p>
          <w:p>
            <w:pPr>
              <w:pStyle w:val="TableNAm"/>
              <w:keepLines/>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3.</w:t>
            </w:r>
          </w:p>
        </w:tc>
        <w:tc>
          <w:tcPr>
            <w:tcW w:w="2324" w:type="dxa"/>
            <w:noWrap/>
          </w:tcPr>
          <w:p>
            <w:pPr>
              <w:pStyle w:val="TableNAm"/>
            </w:pPr>
            <w:r>
              <w:t>The person is on, or has just completed, a day trip and the fish were taken during the course of the trip.</w:t>
            </w:r>
          </w:p>
        </w:tc>
        <w:tc>
          <w:tcPr>
            <w:tcW w:w="3034" w:type="dxa"/>
            <w:noWrap/>
          </w:tcPr>
          <w:p>
            <w:pPr>
              <w:pStyle w:val="TableNAm"/>
              <w:ind w:left="459" w:hanging="459"/>
            </w:pPr>
            <w:r>
              <w:t>(a)</w:t>
            </w:r>
            <w:r>
              <w:tab/>
              <w:t>Where all of the fish is filleted, 20 kg of fillets, of which any amount in excess of 10 kg is fillets of large pelagic finfish that have the skin attached; or</w:t>
            </w:r>
          </w:p>
          <w:p>
            <w:pPr>
              <w:pStyle w:val="TableNAm"/>
              <w:ind w:left="459" w:hanging="459"/>
            </w:pPr>
            <w:r>
              <w:t>(b)</w:t>
            </w:r>
            <w:r>
              <w:tab/>
              <w:t>where not all of the fish is filleted, one day’s bag limit of whole fish or fish trunks, not more than 10 kg of which is filleted.</w:t>
            </w:r>
          </w:p>
        </w:tc>
      </w:tr>
      <w:tr>
        <w:tc>
          <w:tcPr>
            <w:tcW w:w="709" w:type="dxa"/>
            <w:noWrap/>
          </w:tcPr>
          <w:p>
            <w:pPr>
              <w:pStyle w:val="TableNAm"/>
            </w:pPr>
            <w:r>
              <w:t>4.</w:t>
            </w:r>
          </w:p>
        </w:tc>
        <w:tc>
          <w:tcPr>
            <w:tcW w:w="2324" w:type="dxa"/>
            <w:noWrap/>
          </w:tcPr>
          <w:p>
            <w:pPr>
              <w:pStyle w:val="TableNAm"/>
            </w:pPr>
            <w:r>
              <w:t>The person is on, or has just completed, an extended fishing tour and the fish were taken during the course of the tour.</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keepLines/>
            </w:pPr>
            <w:r>
              <w:t>5.</w:t>
            </w:r>
          </w:p>
        </w:tc>
        <w:tc>
          <w:tcPr>
            <w:tcW w:w="2324" w:type="dxa"/>
            <w:noWrap/>
          </w:tcPr>
          <w:p>
            <w:pPr>
              <w:pStyle w:val="TableNAm"/>
              <w:keepLines/>
            </w:pPr>
            <w:r>
              <w:t>The fish is located in the Freycinet Estuary or the adjacent land area west of Shark Bay Road and north of Useless Loop Road.</w:t>
            </w:r>
          </w:p>
        </w:tc>
        <w:tc>
          <w:tcPr>
            <w:tcW w:w="3034" w:type="dxa"/>
            <w:noWrap/>
          </w:tcPr>
          <w:p>
            <w:pPr>
              <w:pStyle w:val="TableNAm"/>
              <w:keepLines/>
              <w:ind w:left="459" w:hanging="459"/>
            </w:pPr>
            <w:r>
              <w:t>(a)</w:t>
            </w:r>
            <w:r>
              <w:tab/>
              <w:t xml:space="preserve">5 kg of fillets; or </w:t>
            </w:r>
          </w:p>
          <w:p>
            <w:pPr>
              <w:pStyle w:val="TableNAm"/>
              <w:keepLines/>
              <w:ind w:left="459" w:hanging="459"/>
            </w:pPr>
            <w:r>
              <w:t>(b)</w:t>
            </w:r>
            <w:r>
              <w:tab/>
              <w:t>one day’s bag limit of whole fish or fish trunks.</w:t>
            </w:r>
          </w:p>
        </w:tc>
      </w:tr>
      <w:tr>
        <w:tc>
          <w:tcPr>
            <w:tcW w:w="709" w:type="dxa"/>
            <w:noWrap/>
          </w:tcPr>
          <w:p>
            <w:pPr>
              <w:pStyle w:val="TableNAm"/>
              <w:keepNext/>
            </w:pPr>
            <w:r>
              <w:t>6.</w:t>
            </w:r>
          </w:p>
        </w:tc>
        <w:tc>
          <w:tcPr>
            <w:tcW w:w="2324" w:type="dxa"/>
            <w:noWrap/>
          </w:tcPr>
          <w:p>
            <w:pPr>
              <w:pStyle w:val="TableNAm"/>
              <w:keepNext/>
            </w:pPr>
            <w:r>
              <w:t xml:space="preserve">The fish is located in — </w:t>
            </w:r>
          </w:p>
          <w:p>
            <w:pPr>
              <w:pStyle w:val="TableNAm"/>
              <w:keepNext/>
              <w:ind w:left="459" w:hanging="459"/>
            </w:pPr>
            <w:r>
              <w:t>(a)</w:t>
            </w:r>
            <w:r>
              <w:tab/>
              <w:t>the Abrolhos Islands reserve; or</w:t>
            </w:r>
          </w:p>
          <w:p>
            <w:pPr>
              <w:pStyle w:val="TableNAm"/>
              <w:keepNext/>
              <w:ind w:left="459" w:hanging="459"/>
            </w:pPr>
            <w:r>
              <w:t>(b)</w:t>
            </w:r>
            <w:r>
              <w:tab/>
              <w:t>the Abrolhos Islands Fish Habitat Protection Area.</w:t>
            </w:r>
          </w:p>
        </w:tc>
        <w:tc>
          <w:tcPr>
            <w:tcW w:w="3034" w:type="dxa"/>
            <w:noWrap/>
          </w:tcPr>
          <w:p>
            <w:pPr>
              <w:pStyle w:val="TableNAm"/>
              <w:keepNext/>
              <w:ind w:left="459" w:hanging="459"/>
            </w:pPr>
            <w:r>
              <w:t>(a)</w:t>
            </w:r>
            <w:r>
              <w:tab/>
              <w:t>10 kg of fillets, of which any amount in excess of 5 kg is fillets of large pelagic finfish that have the skin attached; or</w:t>
            </w:r>
          </w:p>
          <w:p>
            <w:pPr>
              <w:pStyle w:val="TableNAm"/>
              <w:keepNext/>
              <w:ind w:left="459" w:hanging="459"/>
            </w:pPr>
            <w:r>
              <w:t>(b)</w:t>
            </w:r>
            <w:r>
              <w:tab/>
              <w:t>one day’s bag limit of whole fish or fish trunks.</w:t>
            </w:r>
          </w:p>
        </w:tc>
      </w:tr>
      <w:tr>
        <w:tc>
          <w:tcPr>
            <w:tcW w:w="709" w:type="dxa"/>
            <w:noWrap/>
          </w:tcPr>
          <w:p>
            <w:pPr>
              <w:pStyle w:val="TableNAm"/>
            </w:pPr>
            <w:r>
              <w:t>7.</w:t>
            </w:r>
          </w:p>
        </w:tc>
        <w:tc>
          <w:tcPr>
            <w:tcW w:w="2324" w:type="dxa"/>
            <w:noWrap/>
          </w:tcPr>
          <w:p>
            <w:pPr>
              <w:pStyle w:val="TableNAm"/>
            </w:pPr>
            <w:r>
              <w:t>The fish is barramundi and is located at a place that is not the person’s principal place of residence.</w:t>
            </w:r>
          </w:p>
        </w:tc>
        <w:tc>
          <w:tcPr>
            <w:tcW w:w="3034" w:type="dxa"/>
            <w:noWrap/>
          </w:tcPr>
          <w:p>
            <w:pPr>
              <w:pStyle w:val="TableNAm"/>
            </w:pPr>
            <w:r>
              <w:t>2 barramundi.</w:t>
            </w:r>
          </w:p>
        </w:tc>
      </w:tr>
      <w:tr>
        <w:tc>
          <w:tcPr>
            <w:tcW w:w="709" w:type="dxa"/>
            <w:noWrap/>
          </w:tcPr>
          <w:p>
            <w:pPr>
              <w:pStyle w:val="TableNAm"/>
            </w:pPr>
            <w:r>
              <w:t>8.</w:t>
            </w:r>
          </w:p>
        </w:tc>
        <w:tc>
          <w:tcPr>
            <w:tcW w:w="2324" w:type="dxa"/>
            <w:noWrap/>
          </w:tcPr>
          <w:p>
            <w:pPr>
              <w:pStyle w:val="TableNAm"/>
            </w:pPr>
            <w:r>
              <w:t>The fish is located in the Jungulu Special Purpose Zone (wilderness conservation) of the Lalang</w:t>
            </w:r>
            <w:r>
              <w:noBreakHyphen/>
              <w:t>garram / Camden Sound Marine Park.</w:t>
            </w:r>
          </w:p>
        </w:tc>
        <w:tc>
          <w:tcPr>
            <w:tcW w:w="3034" w:type="dxa"/>
            <w:noWrap/>
          </w:tcPr>
          <w:p>
            <w:pPr>
              <w:pStyle w:val="TableNAm"/>
              <w:ind w:left="459" w:hanging="459"/>
            </w:pPr>
            <w:r>
              <w:t>(a)</w:t>
            </w:r>
            <w:r>
              <w:tab/>
              <w:t>1 whole fish; or</w:t>
            </w:r>
          </w:p>
          <w:p>
            <w:pPr>
              <w:pStyle w:val="TableNAm"/>
              <w:keepNext/>
              <w:keepLines/>
              <w:ind w:left="459" w:hanging="459"/>
            </w:pPr>
            <w:r>
              <w:t>(b)</w:t>
            </w:r>
            <w:r>
              <w:tab/>
              <w:t>2 fillets of fish.</w:t>
            </w:r>
          </w:p>
        </w:tc>
      </w:tr>
    </w:tbl>
    <w:p>
      <w:pPr>
        <w:pStyle w:val="PermNoteHeading"/>
      </w:pPr>
      <w:r>
        <w:tab/>
        <w:t>Notes for this Table:</w:t>
      </w:r>
    </w:p>
    <w:p>
      <w:pPr>
        <w:pStyle w:val="PermNoteText"/>
      </w:pPr>
      <w:r>
        <w:tab/>
        <w:t>1.</w:t>
      </w:r>
      <w:r>
        <w:tab/>
        <w:t>The possession limit set out in item 1 applies to a person in each case.</w:t>
      </w:r>
    </w:p>
    <w:p>
      <w:pPr>
        <w:pStyle w:val="PermNoteText"/>
      </w:pPr>
      <w:r>
        <w:tab/>
        <w:t>2.</w:t>
      </w:r>
      <w:r>
        <w:tab/>
        <w:t>If 1 or more of the possession limits set out in items 2 to 8 also apply to the person, each of those limits and the limit set out in item 1 apply simultaneously.</w:t>
      </w:r>
    </w:p>
    <w:p>
      <w:pPr>
        <w:pStyle w:val="Subsection"/>
        <w:keepNext/>
      </w:pPr>
      <w:r>
        <w:tab/>
        <w:t>(2)</w:t>
      </w:r>
      <w:r>
        <w:tab/>
        <w:t xml:space="preserve">For the purposes of — </w:t>
      </w:r>
    </w:p>
    <w:p>
      <w:pPr>
        <w:pStyle w:val="Indenta"/>
      </w:pPr>
      <w:r>
        <w:tab/>
        <w:t>(a)</w:t>
      </w:r>
      <w:r>
        <w:tab/>
        <w:t>the Table to subregulation (1), fish on a boat that are not in the possession of any other person on the boat are taken to be in the possession of the master of the boat; and</w:t>
      </w:r>
    </w:p>
    <w:p>
      <w:pPr>
        <w:pStyle w:val="Indenta"/>
        <w:keepNext/>
      </w:pPr>
      <w:r>
        <w:tab/>
        <w:t>(b)</w:t>
      </w:r>
      <w:r>
        <w:tab/>
        <w:t>determining the number of fish in a person’s possession under column 2 paragraph (b) of item 3 or item 7 of the Table to subregulation (1), 2 fillets are taken to be equivalent to 1 whole fish.</w:t>
      </w:r>
    </w:p>
    <w:p>
      <w:pPr>
        <w:pStyle w:val="Footnotesection"/>
        <w:spacing w:before="80"/>
      </w:pPr>
      <w:r>
        <w:tab/>
        <w:t>[Regulation 16D inserted: SL 2021/118 r. 9; amended: SL 2022/128 r. 5; SL 2023/2 r. 6.]</w:t>
      </w:r>
    </w:p>
    <w:p>
      <w:pPr>
        <w:pStyle w:val="Heading5"/>
      </w:pPr>
      <w:bookmarkStart w:id="83" w:name="_Toc201758913"/>
      <w:bookmarkStart w:id="84" w:name="_Toc184384955"/>
      <w:r>
        <w:rPr>
          <w:rStyle w:val="CharSectno"/>
        </w:rPr>
        <w:t>16DA</w:t>
      </w:r>
      <w:r>
        <w:t>.</w:t>
      </w:r>
      <w:r>
        <w:tab/>
        <w:t>Demersal finfish on boats</w:t>
      </w:r>
      <w:bookmarkEnd w:id="83"/>
      <w:bookmarkEnd w:id="84"/>
    </w:p>
    <w:p>
      <w:pPr>
        <w:pStyle w:val="Subsection"/>
      </w:pPr>
      <w:r>
        <w:tab/>
        <w:t>(1A)</w:t>
      </w:r>
      <w:r>
        <w:tab/>
        <w:t xml:space="preserve">In this regulation — </w:t>
      </w:r>
    </w:p>
    <w:p>
      <w:pPr>
        <w:pStyle w:val="Defstart"/>
      </w:pPr>
      <w:r>
        <w:tab/>
      </w:r>
      <w:r>
        <w:rPr>
          <w:rStyle w:val="CharDefText"/>
        </w:rPr>
        <w:t>excluded boat</w:t>
      </w:r>
      <w:r>
        <w:t xml:space="preserve"> means — </w:t>
      </w:r>
    </w:p>
    <w:p>
      <w:pPr>
        <w:pStyle w:val="Defpara"/>
      </w:pPr>
      <w:r>
        <w:tab/>
        <w:t>(a)</w:t>
      </w:r>
      <w:r>
        <w:tab/>
        <w:t>a fishing boat; or</w:t>
      </w:r>
    </w:p>
    <w:p>
      <w:pPr>
        <w:pStyle w:val="Defpara"/>
      </w:pPr>
      <w:r>
        <w:tab/>
        <w:t>(b)</w:t>
      </w:r>
      <w:r>
        <w:tab/>
        <w:t>a charter boat while it is being used to conduct a fishing tour.</w:t>
      </w:r>
    </w:p>
    <w:p>
      <w:pPr>
        <w:pStyle w:val="Subsection"/>
        <w:keepNext/>
      </w:pPr>
      <w:r>
        <w:tab/>
        <w:t>(1)</w:t>
      </w:r>
      <w:r>
        <w:tab/>
        <w:t>The master of a boat, other than an excluded boat, being used in the West Coast Region must ensure that the number of demersal finfish on or attached to the boat, and any tender or other vessel operating with or attached to the boat, at any one time is not more than 4.</w:t>
      </w:r>
    </w:p>
    <w:p>
      <w:pPr>
        <w:pStyle w:val="Penstart"/>
      </w:pPr>
      <w:r>
        <w:tab/>
        <w:t>Penalty for this subregulation: a fine of $10 000 and the penalty provided in section 222 of the Act.</w:t>
      </w:r>
    </w:p>
    <w:p>
      <w:pPr>
        <w:pStyle w:val="Subsection"/>
        <w:keepNext/>
      </w:pPr>
      <w:r>
        <w:tab/>
        <w:t>(2)</w:t>
      </w:r>
      <w:r>
        <w:tab/>
        <w:t>For the purposes of determining the number of demersal finfish under subregulation (1), 2 fillets are taken to be equivalent to 1 whole fish.</w:t>
      </w:r>
    </w:p>
    <w:p>
      <w:pPr>
        <w:pStyle w:val="Footnotesection"/>
        <w:spacing w:before="80"/>
      </w:pPr>
      <w:r>
        <w:tab/>
        <w:t>[Regulation 16DA inserted: SL 2023/2 r. 7; amended: SL 2024/263 r. 4.]</w:t>
      </w:r>
    </w:p>
    <w:p>
      <w:pPr>
        <w:pStyle w:val="Heading5"/>
      </w:pPr>
      <w:bookmarkStart w:id="85" w:name="_Toc201758914"/>
      <w:bookmarkStart w:id="86" w:name="_Toc184384956"/>
      <w:r>
        <w:rPr>
          <w:rStyle w:val="CharSectno"/>
        </w:rPr>
        <w:t>16DB</w:t>
      </w:r>
      <w:r>
        <w:t>.</w:t>
      </w:r>
      <w:r>
        <w:tab/>
        <w:t>Fish on fishing boats (commercial)</w:t>
      </w:r>
      <w:bookmarkEnd w:id="85"/>
      <w:bookmarkEnd w:id="86"/>
    </w:p>
    <w:p>
      <w:pPr>
        <w:pStyle w:val="Subsection"/>
      </w:pPr>
      <w:r>
        <w:tab/>
        <w:t>(1)</w:t>
      </w:r>
      <w:r>
        <w:tab/>
        <w:t>The master of a fishing boat must ensure that the number of fish of the types specified in column 1 of an item of the Table that are on, or attached to, the boat at any one time does not exceed the number set out in column 2 of that item.</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99"/>
        <w:gridCol w:w="1517"/>
      </w:tblGrid>
      <w:tr>
        <w:trPr>
          <w:tblHeader/>
        </w:trPr>
        <w:tc>
          <w:tcPr>
            <w:tcW w:w="851" w:type="dxa"/>
            <w:noWrap/>
          </w:tcPr>
          <w:p>
            <w:pPr>
              <w:pStyle w:val="TableNAm"/>
              <w:keepNext/>
              <w:keepLines/>
              <w:jc w:val="center"/>
              <w:rPr>
                <w:b/>
                <w:bCs/>
              </w:rPr>
            </w:pPr>
          </w:p>
          <w:p>
            <w:pPr>
              <w:pStyle w:val="TableNAm"/>
              <w:keepNext/>
              <w:keepLines/>
              <w:jc w:val="center"/>
              <w:rPr>
                <w:b/>
                <w:bCs/>
              </w:rPr>
            </w:pPr>
            <w:r>
              <w:rPr>
                <w:b/>
                <w:bCs/>
              </w:rPr>
              <w:t>Item</w:t>
            </w:r>
          </w:p>
        </w:tc>
        <w:tc>
          <w:tcPr>
            <w:tcW w:w="3699" w:type="dxa"/>
            <w:noWrap/>
          </w:tcPr>
          <w:p>
            <w:pPr>
              <w:pStyle w:val="TableNAm"/>
              <w:keepNext/>
              <w:keepLines/>
              <w:jc w:val="center"/>
              <w:rPr>
                <w:b/>
                <w:bCs/>
              </w:rPr>
            </w:pPr>
            <w:r>
              <w:rPr>
                <w:b/>
                <w:bCs/>
              </w:rPr>
              <w:t>Column 1</w:t>
            </w:r>
          </w:p>
          <w:p>
            <w:pPr>
              <w:pStyle w:val="TableNAm"/>
              <w:keepNext/>
              <w:keepLines/>
              <w:jc w:val="center"/>
              <w:rPr>
                <w:b/>
                <w:bCs/>
              </w:rPr>
            </w:pPr>
            <w:r>
              <w:rPr>
                <w:b/>
                <w:bCs/>
              </w:rPr>
              <w:t>Types of fish</w:t>
            </w:r>
          </w:p>
        </w:tc>
        <w:tc>
          <w:tcPr>
            <w:tcW w:w="1517" w:type="dxa"/>
            <w:noWrap/>
          </w:tcPr>
          <w:p>
            <w:pPr>
              <w:pStyle w:val="TableNAm"/>
              <w:keepNext/>
              <w:keepLines/>
              <w:jc w:val="center"/>
              <w:rPr>
                <w:b/>
                <w:bCs/>
              </w:rPr>
            </w:pPr>
            <w:r>
              <w:rPr>
                <w:b/>
                <w:bCs/>
              </w:rPr>
              <w:t>Column 2</w:t>
            </w:r>
          </w:p>
          <w:p>
            <w:pPr>
              <w:pStyle w:val="TableNAm"/>
              <w:keepNext/>
              <w:keepLines/>
              <w:jc w:val="center"/>
              <w:rPr>
                <w:b/>
                <w:bCs/>
              </w:rPr>
            </w:pPr>
            <w:r>
              <w:rPr>
                <w:b/>
                <w:bCs/>
              </w:rPr>
              <w:t>Number of fish</w:t>
            </w:r>
          </w:p>
        </w:tc>
      </w:tr>
      <w:tr>
        <w:tc>
          <w:tcPr>
            <w:tcW w:w="851" w:type="dxa"/>
            <w:noWrap/>
          </w:tcPr>
          <w:p>
            <w:pPr>
              <w:pStyle w:val="TableNAm"/>
              <w:keepNext/>
              <w:keepLines/>
            </w:pPr>
            <w:r>
              <w:t>1.</w:t>
            </w:r>
          </w:p>
        </w:tc>
        <w:tc>
          <w:tcPr>
            <w:tcW w:w="3699" w:type="dxa"/>
            <w:noWrap/>
          </w:tcPr>
          <w:p>
            <w:pPr>
              <w:pStyle w:val="TableNAm"/>
              <w:keepNext/>
              <w:keepLines/>
            </w:pPr>
            <w:r>
              <w:t>Billfish (Marlins, Sailfish and Spearfish)</w:t>
            </w:r>
          </w:p>
          <w:p>
            <w:pPr>
              <w:pStyle w:val="TableNAm"/>
              <w:keepNext/>
              <w:keepLines/>
            </w:pPr>
            <w:r>
              <w:t>Swordfish</w:t>
            </w:r>
          </w:p>
          <w:p>
            <w:pPr>
              <w:pStyle w:val="TableNAm"/>
              <w:keepNext/>
              <w:keepLines/>
            </w:pPr>
            <w:r>
              <w:t>Tuna, Southern Bluefin</w:t>
            </w:r>
          </w:p>
        </w:tc>
        <w:tc>
          <w:tcPr>
            <w:tcW w:w="1517" w:type="dxa"/>
            <w:noWrap/>
            <w:vAlign w:val="center"/>
          </w:tcPr>
          <w:p>
            <w:pPr>
              <w:pStyle w:val="TableNAm"/>
              <w:keepNext/>
              <w:keepLines/>
              <w:jc w:val="center"/>
            </w:pPr>
            <w:r>
              <w:t>0</w:t>
            </w:r>
          </w:p>
        </w:tc>
      </w:tr>
      <w:tr>
        <w:tc>
          <w:tcPr>
            <w:tcW w:w="851" w:type="dxa"/>
            <w:noWrap/>
          </w:tcPr>
          <w:p>
            <w:pPr>
              <w:pStyle w:val="TableNAm"/>
            </w:pPr>
            <w:r>
              <w:t>2.</w:t>
            </w:r>
          </w:p>
        </w:tc>
        <w:tc>
          <w:tcPr>
            <w:tcW w:w="3699" w:type="dxa"/>
            <w:noWrap/>
          </w:tcPr>
          <w:p>
            <w:pPr>
              <w:pStyle w:val="TableNAm"/>
            </w:pPr>
            <w:r>
              <w:t>Tuna, Bigeye</w:t>
            </w:r>
          </w:p>
          <w:p>
            <w:pPr>
              <w:pStyle w:val="TableNAm"/>
            </w:pPr>
            <w:r>
              <w:t>Tuna, Yellowfin</w:t>
            </w:r>
          </w:p>
        </w:tc>
        <w:tc>
          <w:tcPr>
            <w:tcW w:w="1517" w:type="dxa"/>
            <w:noWrap/>
            <w:vAlign w:val="center"/>
          </w:tcPr>
          <w:p>
            <w:pPr>
              <w:pStyle w:val="TableNAm"/>
              <w:jc w:val="center"/>
            </w:pPr>
            <w:r>
              <w:t>2</w:t>
            </w:r>
          </w:p>
        </w:tc>
      </w:tr>
      <w:tr>
        <w:tc>
          <w:tcPr>
            <w:tcW w:w="851" w:type="dxa"/>
            <w:noWrap/>
          </w:tcPr>
          <w:p>
            <w:pPr>
              <w:pStyle w:val="TableNAm"/>
            </w:pPr>
            <w:r>
              <w:t>3.</w:t>
            </w:r>
          </w:p>
        </w:tc>
        <w:tc>
          <w:tcPr>
            <w:tcW w:w="3699" w:type="dxa"/>
            <w:noWrap/>
          </w:tcPr>
          <w:p>
            <w:pPr>
              <w:pStyle w:val="TableNAm"/>
            </w:pPr>
            <w:r>
              <w:t>Albacore</w:t>
            </w:r>
          </w:p>
          <w:p>
            <w:pPr>
              <w:pStyle w:val="TableNAm"/>
            </w:pPr>
            <w:r>
              <w:t>Mackerel, Blue</w:t>
            </w:r>
          </w:p>
          <w:p>
            <w:pPr>
              <w:pStyle w:val="TableNAm"/>
            </w:pPr>
            <w:r>
              <w:t>Mackerel, Common Jack</w:t>
            </w:r>
          </w:p>
          <w:p>
            <w:pPr>
              <w:pStyle w:val="TableNAm"/>
            </w:pPr>
            <w:r>
              <w:t>Mackerel, Peruvian Jack</w:t>
            </w:r>
          </w:p>
          <w:p>
            <w:pPr>
              <w:pStyle w:val="TableNAm"/>
            </w:pPr>
            <w:r>
              <w:t>Redbait</w:t>
            </w:r>
          </w:p>
          <w:p>
            <w:pPr>
              <w:pStyle w:val="TableNAm"/>
            </w:pPr>
            <w:r>
              <w:t>Scad, Yellowtail</w:t>
            </w:r>
          </w:p>
          <w:p>
            <w:pPr>
              <w:pStyle w:val="TableNAm"/>
            </w:pPr>
            <w:r>
              <w:t>Tuna, Longtail</w:t>
            </w:r>
          </w:p>
          <w:p>
            <w:pPr>
              <w:pStyle w:val="TableNAm"/>
            </w:pPr>
            <w:r>
              <w:t>Tuna, Skipjack</w:t>
            </w:r>
          </w:p>
          <w:p>
            <w:pPr>
              <w:pStyle w:val="TableNAm"/>
            </w:pPr>
            <w:r>
              <w:t>Fish of the Family Bramidae when taken in WA waters outside the 200 m isobath</w:t>
            </w:r>
          </w:p>
        </w:tc>
        <w:tc>
          <w:tcPr>
            <w:tcW w:w="1517" w:type="dxa"/>
            <w:noWrap/>
            <w:vAlign w:val="center"/>
          </w:tcPr>
          <w:p>
            <w:pPr>
              <w:pStyle w:val="TableNAm"/>
              <w:jc w:val="center"/>
            </w:pPr>
            <w:r>
              <w:t>10</w:t>
            </w:r>
          </w:p>
        </w:tc>
      </w:tr>
    </w:tbl>
    <w:p>
      <w:pPr>
        <w:pStyle w:val="Penstart"/>
        <w:keepNext/>
      </w:pPr>
      <w:r>
        <w:tab/>
        <w:t>Penalty for this subregulation:</w:t>
      </w:r>
    </w:p>
    <w:p>
      <w:pPr>
        <w:pStyle w:val="Penpara"/>
      </w:pPr>
      <w:r>
        <w:tab/>
        <w:t>(a)</w:t>
      </w:r>
      <w:r>
        <w:tab/>
        <w:t>for an individual, a fine of $5 000;</w:t>
      </w:r>
    </w:p>
    <w:p>
      <w:pPr>
        <w:pStyle w:val="Penpara"/>
      </w:pPr>
      <w:r>
        <w:tab/>
        <w:t>(b)</w:t>
      </w:r>
      <w:r>
        <w:tab/>
        <w:t>for a body corporate, a fine of $10 000.</w:t>
      </w:r>
    </w:p>
    <w:p>
      <w:pPr>
        <w:pStyle w:val="Subsection"/>
        <w:keepNext/>
      </w:pPr>
      <w:r>
        <w:tab/>
        <w:t>(2)</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if all the fish held or transported on the fishing boat were taken solely for a non</w:t>
      </w:r>
      <w:r>
        <w:noBreakHyphen/>
        <w:t>commercial purpose.</w:t>
      </w:r>
    </w:p>
    <w:p>
      <w:pPr>
        <w:pStyle w:val="Subsection"/>
        <w:keepNext/>
      </w:pPr>
      <w:r>
        <w:tab/>
        <w:t>(3)</w:t>
      </w:r>
      <w:r>
        <w:tab/>
        <w:t>If this regulation applies, the fish referred to in subregulation (1) are taken not to be in the possession of a person for the purposes of regulation 16D.</w:t>
      </w:r>
    </w:p>
    <w:p>
      <w:pPr>
        <w:pStyle w:val="Footnotesection"/>
        <w:spacing w:before="80"/>
      </w:pPr>
      <w:r>
        <w:tab/>
        <w:t>[Regulation 16DB inserted: SL 2021/118 r. 9.]</w:t>
      </w:r>
    </w:p>
    <w:p>
      <w:pPr>
        <w:pStyle w:val="Heading4"/>
      </w:pPr>
      <w:bookmarkStart w:id="87" w:name="_Toc184372448"/>
      <w:bookmarkStart w:id="88" w:name="_Toc184377600"/>
      <w:bookmarkStart w:id="89" w:name="_Toc184384957"/>
      <w:bookmarkStart w:id="90" w:name="_Toc201508354"/>
      <w:bookmarkStart w:id="91" w:name="_Toc201754185"/>
      <w:bookmarkStart w:id="92" w:name="_Toc201758915"/>
      <w:r>
        <w:t>Subdivision 2 — Possession limits for other fish</w:t>
      </w:r>
      <w:bookmarkEnd w:id="87"/>
      <w:bookmarkEnd w:id="88"/>
      <w:bookmarkEnd w:id="89"/>
      <w:bookmarkEnd w:id="90"/>
      <w:bookmarkEnd w:id="91"/>
      <w:bookmarkEnd w:id="92"/>
    </w:p>
    <w:p>
      <w:pPr>
        <w:pStyle w:val="Footnoteheading"/>
        <w:keepNext/>
        <w:tabs>
          <w:tab w:val="left" w:pos="851"/>
        </w:tabs>
      </w:pPr>
      <w:r>
        <w:tab/>
        <w:t>[Heading inserted: SL 2021/118 r. 10.]</w:t>
      </w:r>
    </w:p>
    <w:p>
      <w:pPr>
        <w:pStyle w:val="Heading5"/>
        <w:spacing w:before="240"/>
        <w:rPr>
          <w:snapToGrid w:val="0"/>
        </w:rPr>
      </w:pPr>
      <w:bookmarkStart w:id="93" w:name="_Toc201758916"/>
      <w:bookmarkStart w:id="94" w:name="_Toc184384958"/>
      <w:r>
        <w:rPr>
          <w:rStyle w:val="CharSectno"/>
        </w:rPr>
        <w:t>16E</w:t>
      </w:r>
      <w:r>
        <w:t>.</w:t>
      </w:r>
      <w:r>
        <w:tab/>
        <w:t>Fish on boats (Act s. 51(1))</w:t>
      </w:r>
      <w:bookmarkEnd w:id="93"/>
      <w:bookmarkEnd w:id="94"/>
    </w:p>
    <w:p>
      <w:pPr>
        <w:pStyle w:val="Ednotesubsection"/>
        <w:spacing w:before="120"/>
      </w:pPr>
      <w:r>
        <w:tab/>
        <w:t>[(1)</w:t>
      </w:r>
      <w:r>
        <w:noBreakHyphen/>
        <w:t>(3)</w:t>
      </w:r>
      <w:r>
        <w:tab/>
        <w:t>deleted]</w:t>
      </w:r>
    </w:p>
    <w:p>
      <w:pPr>
        <w:pStyle w:val="Subsection"/>
        <w:keepNext/>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Cockburn Sound or the Swan and Canning Rivers; and</w:t>
      </w:r>
    </w:p>
    <w:p>
      <w:pPr>
        <w:pStyle w:val="Indenti"/>
      </w:pPr>
      <w:r>
        <w:tab/>
        <w:t>(ia)</w:t>
      </w:r>
      <w:r>
        <w:tab/>
        <w:t>2 days’ bag limit of blue swimmer (blue manna) crabs in WA waters other than Cockburn Sound or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Cockburn Sound or the Swan and Canning Rivers; and</w:t>
      </w:r>
    </w:p>
    <w:p>
      <w:pPr>
        <w:pStyle w:val="Indenti"/>
      </w:pPr>
      <w:r>
        <w:tab/>
        <w:t>(ii)</w:t>
      </w:r>
      <w:r>
        <w:tab/>
        <w:t>2 days’ bag limit of blue swimmer (blue manna) crabs in WA waters other than Cockburn Sound or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Cockburn Sound or the Swan and Canning Rivers; and</w:t>
      </w:r>
    </w:p>
    <w:p>
      <w:pPr>
        <w:pStyle w:val="Indenti"/>
      </w:pPr>
      <w:r>
        <w:tab/>
        <w:t>(ia)</w:t>
      </w:r>
      <w:r>
        <w:tab/>
        <w:t>2 days’ bag limit of blue swimmer (blue manna) crabs in WA waters other than Cockburn Sound or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Cockburn Sound or the Swan and Canning Rivers; and</w:t>
      </w:r>
    </w:p>
    <w:p>
      <w:pPr>
        <w:pStyle w:val="Indenti"/>
      </w:pPr>
      <w:r>
        <w:tab/>
        <w:t>(ii)</w:t>
      </w:r>
      <w:r>
        <w:tab/>
        <w:t>2 days’ bag limit of blue swimmer (blue manna) crabs in WA waters other than Cockburn Sound or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Cockburn Sound or the Swan and Canning Rivers; and</w:t>
      </w:r>
    </w:p>
    <w:p>
      <w:pPr>
        <w:pStyle w:val="Indenti"/>
      </w:pPr>
      <w:r>
        <w:tab/>
        <w:t>(ia)</w:t>
      </w:r>
      <w:r>
        <w:tab/>
        <w:t>2 days’ bag limit of blue swimmer (blue manna) crabs in WA waters other than Cockburn Sound or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Cockburn Sound or the Swan and Canning Rivers; and</w:t>
      </w:r>
    </w:p>
    <w:p>
      <w:pPr>
        <w:pStyle w:val="Indenti"/>
      </w:pPr>
      <w:r>
        <w:tab/>
        <w:t>(ii)</w:t>
      </w:r>
      <w:r>
        <w:tab/>
        <w:t>2 days’ bag limit of blue swimmer (blue manna) crabs in WA waters other than Cockburn Sound or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keepNext/>
        <w:rPr>
          <w:snapToGrid w:val="0"/>
        </w:rPr>
      </w:pPr>
      <w:r>
        <w:tab/>
        <w:t>(vi)</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keepNext/>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Ednotesubsection"/>
        <w:spacing w:before="120"/>
      </w:pPr>
      <w:r>
        <w:tab/>
        <w:t>[(3E)</w:t>
      </w:r>
      <w:r>
        <w:tab/>
        <w:t>deleted]</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keepNext/>
      </w:pPr>
      <w:r>
        <w:tab/>
        <w:t>(5)</w:t>
      </w:r>
      <w:r>
        <w:tab/>
        <w:t>For the purposes of subregulation (3B), fish on a boat that are not in the possession of any other person on the boat are taken to be in the possession of the master of the boat.</w:t>
      </w:r>
    </w:p>
    <w:p>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 29 Nov 2019 p. 4103-5; SL 2021/118 r. 11; SL 2024/234 r. 5.]</w:t>
      </w:r>
    </w:p>
    <w:p>
      <w:pPr>
        <w:pStyle w:val="Ednotesection"/>
        <w:spacing w:before="200"/>
      </w:pPr>
      <w:r>
        <w:t>[</w:t>
      </w:r>
      <w:r>
        <w:rPr>
          <w:b/>
        </w:rPr>
        <w:t>16FA, 16F.</w:t>
      </w:r>
      <w:r>
        <w:t xml:space="preserve"> Deleted: Gazette 29 Jan 2013 p. 307.]</w:t>
      </w:r>
    </w:p>
    <w:p>
      <w:pPr>
        <w:pStyle w:val="Heading5"/>
        <w:spacing w:before="200"/>
      </w:pPr>
      <w:bookmarkStart w:id="95" w:name="_Toc201758917"/>
      <w:bookmarkStart w:id="96" w:name="_Toc184384959"/>
      <w:r>
        <w:rPr>
          <w:rStyle w:val="CharSectno"/>
        </w:rPr>
        <w:t>16GA</w:t>
      </w:r>
      <w:r>
        <w:t>.</w:t>
      </w:r>
      <w:r>
        <w:tab/>
        <w:t>Rock lobster (Act s. 51(1))</w:t>
      </w:r>
      <w:bookmarkEnd w:id="95"/>
      <w:bookmarkEnd w:id="96"/>
    </w:p>
    <w:p>
      <w:pPr>
        <w:pStyle w:val="Subsection"/>
        <w:keepNext/>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ind w:left="890" w:hanging="890"/>
      </w:pPr>
      <w:r>
        <w:tab/>
        <w:t>[Regulation 16GA inserted: Gazette 29 Jan 2013 p. 304.]</w:t>
      </w:r>
    </w:p>
    <w:p>
      <w:pPr>
        <w:pStyle w:val="Ednotesection"/>
        <w:spacing w:before="200"/>
      </w:pPr>
      <w:r>
        <w:t>[</w:t>
      </w:r>
      <w:r>
        <w:rPr>
          <w:b/>
        </w:rPr>
        <w:t>16GB.</w:t>
      </w:r>
      <w:r>
        <w:rPr>
          <w:b/>
        </w:rPr>
        <w:tab/>
      </w:r>
      <w:r>
        <w:t>Deleted: SL 2021/118 r. 12.]</w:t>
      </w:r>
    </w:p>
    <w:p>
      <w:pPr>
        <w:pStyle w:val="Heading5"/>
        <w:spacing w:before="240"/>
      </w:pPr>
      <w:bookmarkStart w:id="97" w:name="_Toc201758918"/>
      <w:bookmarkStart w:id="98" w:name="_Toc184384960"/>
      <w:r>
        <w:rPr>
          <w:rStyle w:val="CharSectno"/>
        </w:rPr>
        <w:t>16GC</w:t>
      </w:r>
      <w:r>
        <w:t>.</w:t>
      </w:r>
      <w:r>
        <w:tab/>
        <w:t>Marron (Act s. 51(1), (2))</w:t>
      </w:r>
      <w:bookmarkEnd w:id="97"/>
      <w:bookmarkEnd w:id="98"/>
    </w:p>
    <w:p>
      <w:pPr>
        <w:pStyle w:val="Subsection"/>
        <w:keepNext/>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keepNext/>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keepNext/>
      </w:pPr>
      <w:r>
        <w:tab/>
        <w:t>(ii)</w:t>
      </w:r>
      <w:r>
        <w:tab/>
        <w:t>for the purpose of being processed in accordance with that licence.</w:t>
      </w:r>
    </w:p>
    <w:p>
      <w:pPr>
        <w:pStyle w:val="Footnotesection"/>
        <w:ind w:left="890" w:hanging="890"/>
      </w:pPr>
      <w:r>
        <w:tab/>
        <w:t>[Regulation 16GC inserted: Gazette 29 Jan 2013 p. 305.]</w:t>
      </w:r>
    </w:p>
    <w:p>
      <w:pPr>
        <w:pStyle w:val="Heading5"/>
      </w:pPr>
      <w:bookmarkStart w:id="99" w:name="_Toc201758919"/>
      <w:bookmarkStart w:id="100" w:name="_Toc184384961"/>
      <w:r>
        <w:rPr>
          <w:rStyle w:val="CharSectno"/>
        </w:rPr>
        <w:t>16GD</w:t>
      </w:r>
      <w:r>
        <w:t>.</w:t>
      </w:r>
      <w:r>
        <w:tab/>
        <w:t>Abalone (Act s. 51(1))</w:t>
      </w:r>
      <w:bookmarkEnd w:id="99"/>
      <w:bookmarkEnd w:id="100"/>
    </w:p>
    <w:p>
      <w:pPr>
        <w:pStyle w:val="Subsection"/>
        <w:keepNext/>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keepNext/>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keepNext/>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keepNext/>
      </w:pPr>
      <w:r>
        <w:tab/>
        <w:t>(b)</w:t>
      </w:r>
      <w:r>
        <w:tab/>
        <w:t>20 prescribed abalone.</w:t>
      </w:r>
    </w:p>
    <w:p>
      <w:pPr>
        <w:pStyle w:val="Footnotesection"/>
        <w:ind w:left="890" w:hanging="890"/>
      </w:pPr>
      <w:r>
        <w:tab/>
        <w:t>[Regulation 16GD inserted: Gazette 29 Jan 2013 p. 306.]</w:t>
      </w:r>
    </w:p>
    <w:p>
      <w:pPr>
        <w:pStyle w:val="Ednotesection"/>
        <w:spacing w:before="200"/>
      </w:pPr>
      <w:r>
        <w:t>[</w:t>
      </w:r>
      <w:r>
        <w:rPr>
          <w:b/>
        </w:rPr>
        <w:t>16GE.</w:t>
      </w:r>
      <w:r>
        <w:rPr>
          <w:b/>
        </w:rPr>
        <w:tab/>
      </w:r>
      <w:r>
        <w:t>Deleted: SL 2021/118 r. 13.]</w:t>
      </w:r>
    </w:p>
    <w:p>
      <w:pPr>
        <w:pStyle w:val="Ednotesubdivision"/>
        <w:tabs>
          <w:tab w:val="left" w:pos="1843"/>
        </w:tabs>
      </w:pPr>
      <w:r>
        <w:t>[Subdivision 3:</w:t>
      </w:r>
      <w:r>
        <w:tab/>
        <w:t>r. 16G-16H deleted: SL 2021/118 r. 14;</w:t>
      </w:r>
      <w:r>
        <w:br/>
      </w:r>
      <w:r>
        <w:tab/>
        <w:t>r. 16I-16J deleted: Gazette 8 Jan 2016 p. 21</w:t>
      </w:r>
      <w:r>
        <w:noBreakHyphen/>
        <w:t>22.]</w:t>
      </w:r>
    </w:p>
    <w:p>
      <w:pPr>
        <w:pStyle w:val="Ednotesubdivision"/>
      </w:pPr>
      <w:r>
        <w:t>[Subdivision 4:</w:t>
      </w:r>
      <w:r>
        <w:tab/>
        <w:t>r. 16K deleted: SL 2021/118 r. 14;</w:t>
      </w:r>
      <w:r>
        <w:br/>
      </w:r>
      <w:r>
        <w:tab/>
      </w:r>
      <w:r>
        <w:tab/>
      </w:r>
      <w:r>
        <w:tab/>
        <w:t>r. 16L-18 deleted: Gazette 29 Jan 2013 p. 308;</w:t>
      </w:r>
      <w:r>
        <w:br/>
      </w:r>
      <w:r>
        <w:tab/>
      </w:r>
      <w:r>
        <w:tab/>
      </w:r>
      <w:r>
        <w:tab/>
        <w:t>r. 19 delete: 1 Oct 2003 p. 4297.]</w:t>
      </w:r>
    </w:p>
    <w:p>
      <w:pPr>
        <w:pStyle w:val="Heading4"/>
        <w:spacing w:before="180"/>
      </w:pPr>
      <w:bookmarkStart w:id="101" w:name="_Toc184372453"/>
      <w:bookmarkStart w:id="102" w:name="_Toc184377605"/>
      <w:bookmarkStart w:id="103" w:name="_Toc184384962"/>
      <w:bookmarkStart w:id="104" w:name="_Toc201508359"/>
      <w:bookmarkStart w:id="105" w:name="_Toc201754190"/>
      <w:bookmarkStart w:id="106" w:name="_Toc201758920"/>
      <w:r>
        <w:t>Subdivision 5 — Miscellaneous</w:t>
      </w:r>
      <w:bookmarkEnd w:id="101"/>
      <w:bookmarkEnd w:id="102"/>
      <w:bookmarkEnd w:id="103"/>
      <w:bookmarkEnd w:id="104"/>
      <w:bookmarkEnd w:id="105"/>
      <w:bookmarkEnd w:id="106"/>
    </w:p>
    <w:p>
      <w:pPr>
        <w:pStyle w:val="Footnoteheading"/>
        <w:keepNext/>
      </w:pPr>
      <w:r>
        <w:tab/>
        <w:t>[Heading inserted: Gazette 29 Jan 2013 p. 308.]</w:t>
      </w:r>
    </w:p>
    <w:p>
      <w:pPr>
        <w:pStyle w:val="Heading5"/>
        <w:spacing w:before="200"/>
        <w:rPr>
          <w:snapToGrid w:val="0"/>
        </w:rPr>
      </w:pPr>
      <w:bookmarkStart w:id="107" w:name="_Toc201758921"/>
      <w:bookmarkStart w:id="108" w:name="_Toc184384963"/>
      <w:r>
        <w:rPr>
          <w:rStyle w:val="CharSectno"/>
        </w:rPr>
        <w:t>20</w:t>
      </w:r>
      <w:r>
        <w:rPr>
          <w:snapToGrid w:val="0"/>
        </w:rPr>
        <w:t>.</w:t>
      </w:r>
      <w:r>
        <w:rPr>
          <w:snapToGrid w:val="0"/>
        </w:rPr>
        <w:tab/>
        <w:t>Defence prescribed (Act s. 51(2))</w:t>
      </w:r>
      <w:bookmarkEnd w:id="107"/>
      <w:bookmarkEnd w:id="108"/>
    </w:p>
    <w:p>
      <w:pPr>
        <w:pStyle w:val="Subsection"/>
        <w:keepNext/>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Gazette 30 Aug 1996 p. 4319; 4 Jul 1997 p. 3475; 30 Sep 1997 p. 5417; 1 Oct 2003 p. 4297</w:t>
      </w:r>
      <w:r>
        <w:noBreakHyphen/>
        <w:t>8; 4 Nov 2005 p. 5309.]</w:t>
      </w:r>
    </w:p>
    <w:p>
      <w:pPr>
        <w:pStyle w:val="Heading5"/>
      </w:pPr>
      <w:bookmarkStart w:id="109" w:name="_Toc201758922"/>
      <w:bookmarkStart w:id="110" w:name="_Toc184384964"/>
      <w:r>
        <w:rPr>
          <w:rStyle w:val="CharSectno"/>
        </w:rPr>
        <w:t>21</w:t>
      </w:r>
      <w:r>
        <w:t>.</w:t>
      </w:r>
      <w:r>
        <w:tab/>
        <w:t>People presumed to be in possession of fish (Act s. 51)</w:t>
      </w:r>
      <w:bookmarkEnd w:id="109"/>
      <w:bookmarkEnd w:id="110"/>
    </w:p>
    <w:p>
      <w:pPr>
        <w:pStyle w:val="Subsection"/>
        <w:keepNext/>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keepNext/>
        <w:spacing w:before="120"/>
      </w:pPr>
      <w:r>
        <w:tab/>
        <w:t>[(2)</w:t>
      </w:r>
      <w:r>
        <w:tab/>
        <w:t>deleted]</w:t>
      </w:r>
    </w:p>
    <w:p>
      <w:pPr>
        <w:pStyle w:val="Footnotesection"/>
      </w:pPr>
      <w:r>
        <w:tab/>
        <w:t>[Regulation 21 inserted: Gazette 1 Oct 2003 p. 4298</w:t>
      </w:r>
      <w:r>
        <w:noBreakHyphen/>
        <w:t>9; amended: Gazette 29 Jan 2013 p. 308.]</w:t>
      </w:r>
    </w:p>
    <w:p>
      <w:pPr>
        <w:pStyle w:val="Heading3"/>
        <w:keepLines/>
      </w:pPr>
      <w:bookmarkStart w:id="111" w:name="_Toc184372456"/>
      <w:bookmarkStart w:id="112" w:name="_Toc184377608"/>
      <w:bookmarkStart w:id="113" w:name="_Toc184384965"/>
      <w:bookmarkStart w:id="114" w:name="_Toc201508362"/>
      <w:bookmarkStart w:id="115" w:name="_Toc201754193"/>
      <w:bookmarkStart w:id="116" w:name="_Toc201758923"/>
      <w:r>
        <w:rPr>
          <w:rStyle w:val="CharDivNo"/>
        </w:rPr>
        <w:t>Division 4</w:t>
      </w:r>
      <w:r>
        <w:t> — </w:t>
      </w:r>
      <w:r>
        <w:rPr>
          <w:rStyle w:val="CharDivText"/>
        </w:rPr>
        <w:t>Labelling of fish</w:t>
      </w:r>
      <w:bookmarkEnd w:id="111"/>
      <w:bookmarkEnd w:id="112"/>
      <w:bookmarkEnd w:id="113"/>
      <w:bookmarkEnd w:id="114"/>
      <w:bookmarkEnd w:id="115"/>
      <w:bookmarkEnd w:id="116"/>
    </w:p>
    <w:p>
      <w:pPr>
        <w:pStyle w:val="Footnoteheading"/>
        <w:keepNext/>
        <w:keepLines/>
      </w:pPr>
      <w:r>
        <w:tab/>
        <w:t>[Heading inserted: Gazette 1 Oct 2003 p. 4299.]</w:t>
      </w:r>
    </w:p>
    <w:p>
      <w:pPr>
        <w:pStyle w:val="Heading5"/>
      </w:pPr>
      <w:bookmarkStart w:id="117" w:name="_Toc201758924"/>
      <w:bookmarkStart w:id="118" w:name="_Toc184384966"/>
      <w:r>
        <w:rPr>
          <w:rStyle w:val="CharSectno"/>
        </w:rPr>
        <w:t>21A</w:t>
      </w:r>
      <w:r>
        <w:t>.</w:t>
      </w:r>
      <w:r>
        <w:tab/>
        <w:t>Terms used</w:t>
      </w:r>
      <w:bookmarkEnd w:id="117"/>
      <w:bookmarkEnd w:id="118"/>
    </w:p>
    <w:p>
      <w:pPr>
        <w:pStyle w:val="Subsection"/>
        <w:keepNext/>
      </w:pPr>
      <w:r>
        <w:tab/>
        <w:t>(1)</w:t>
      </w:r>
      <w:r>
        <w:tab/>
        <w:t>In this Division —</w:t>
      </w:r>
    </w:p>
    <w:p>
      <w:pPr>
        <w:pStyle w:val="Defstart"/>
      </w:pPr>
      <w:r>
        <w:tab/>
      </w:r>
      <w:r>
        <w:rPr>
          <w:rStyle w:val="CharDefText"/>
        </w:rPr>
        <w:t>package</w:t>
      </w:r>
      <w:r>
        <w:t xml:space="preserve"> means any type of wrapping, package or container;</w:t>
      </w:r>
    </w:p>
    <w:p>
      <w:pPr>
        <w:pStyle w:val="Defstart"/>
      </w:pPr>
      <w:r>
        <w:tab/>
      </w:r>
      <w:r>
        <w:rPr>
          <w:rStyle w:val="CharDefText"/>
        </w:rPr>
        <w:t>store</w:t>
      </w:r>
      <w:r>
        <w:t>, in relation to fish, includes the act of placing the fish in a refrigerator, freezer, icebox or other storage container.</w:t>
      </w:r>
    </w:p>
    <w:p>
      <w:pPr>
        <w:pStyle w:val="Subsection"/>
        <w:keepNext/>
      </w:pPr>
      <w:r>
        <w:tab/>
        <w:t>(2)</w:t>
      </w:r>
      <w:r>
        <w:tab/>
        <w:t>For the purposes of this Division, a person is, in the absence of proof to the contrary, taken to have packaged or stored fish if the person uses or has control of —</w:t>
      </w:r>
    </w:p>
    <w:p>
      <w:pPr>
        <w:pStyle w:val="Indenta"/>
      </w:pPr>
      <w:r>
        <w:tab/>
        <w:t>(a)</w:t>
      </w:r>
      <w:r>
        <w:tab/>
        <w:t>a vehicle in which the fish is located; or</w:t>
      </w:r>
    </w:p>
    <w:p>
      <w:pPr>
        <w:pStyle w:val="Indenta"/>
        <w:keepNext/>
      </w:pPr>
      <w:r>
        <w:tab/>
        <w:t>(b)</w:t>
      </w:r>
      <w:r>
        <w:tab/>
        <w:t>a refrigerator, freezer, icebox or other storage container in which the fish is stored.</w:t>
      </w:r>
    </w:p>
    <w:p>
      <w:pPr>
        <w:pStyle w:val="Footnotesection"/>
        <w:keepLines w:val="0"/>
        <w:rPr>
          <w:snapToGrid/>
        </w:rPr>
      </w:pPr>
      <w:r>
        <w:rPr>
          <w:snapToGrid/>
        </w:rPr>
        <w:tab/>
        <w:t>[Regulation 21A inserted: SL 2021/118 r. 15.]</w:t>
      </w:r>
    </w:p>
    <w:p>
      <w:pPr>
        <w:pStyle w:val="Heading5"/>
        <w:keepLines w:val="0"/>
      </w:pPr>
      <w:bookmarkStart w:id="119" w:name="_Toc201758925"/>
      <w:bookmarkStart w:id="120" w:name="_Toc184384967"/>
      <w:r>
        <w:rPr>
          <w:rStyle w:val="CharSectno"/>
        </w:rPr>
        <w:t>22</w:t>
      </w:r>
      <w:r>
        <w:t>.</w:t>
      </w:r>
      <w:r>
        <w:tab/>
        <w:t>Labelling requirements for packed or stored finfish</w:t>
      </w:r>
      <w:bookmarkEnd w:id="119"/>
      <w:bookmarkEnd w:id="120"/>
    </w:p>
    <w:p>
      <w:pPr>
        <w:pStyle w:val="Subsection"/>
        <w:keepNext/>
      </w:pPr>
      <w:r>
        <w:tab/>
        <w:t>(1)</w:t>
      </w:r>
      <w:r>
        <w:tab/>
        <w:t xml:space="preserve">A person who packages or stores finfish must ensure that a label, as described in subregulation (2), is securely attached — </w:t>
      </w:r>
    </w:p>
    <w:p>
      <w:pPr>
        <w:pStyle w:val="Indenta"/>
      </w:pPr>
      <w:r>
        <w:tab/>
        <w:t>(a)</w:t>
      </w:r>
      <w:r>
        <w:tab/>
        <w:t>to each package containing finfish; and</w:t>
      </w:r>
    </w:p>
    <w:p>
      <w:pPr>
        <w:pStyle w:val="Indenta"/>
        <w:keepNext/>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finfish or package to which the label is attached; and</w:t>
      </w:r>
    </w:p>
    <w:p>
      <w:pPr>
        <w:pStyle w:val="Indenta"/>
      </w:pPr>
      <w:r>
        <w:tab/>
        <w:t>(c)</w:t>
      </w:r>
      <w:r>
        <w:tab/>
        <w:t>be attached to the finfish or package in such a manner that it is clearly visible for inspection.</w:t>
      </w:r>
    </w:p>
    <w:p>
      <w:pPr>
        <w:pStyle w:val="Subsection"/>
        <w:keepNext/>
      </w:pPr>
      <w:r>
        <w:tab/>
        <w:t>(3)</w:t>
      </w:r>
      <w:r>
        <w:tab/>
        <w:t>Subregulation (1) does not apply to, and in respect of —</w:t>
      </w:r>
    </w:p>
    <w:p>
      <w:pPr>
        <w:pStyle w:val="Indenta"/>
      </w:pPr>
      <w:r>
        <w:tab/>
        <w:t>(a)</w:t>
      </w:r>
      <w:r>
        <w:tab/>
        <w:t>finfish taken for a commercial purpose by a person in accordance with an authorisation; or</w:t>
      </w:r>
    </w:p>
    <w:p>
      <w:pPr>
        <w:pStyle w:val="Indenta"/>
      </w:pPr>
      <w:r>
        <w:tab/>
        <w:t>(b)</w:t>
      </w:r>
      <w:r>
        <w:tab/>
        <w:t>finfish kept, bred, hatched or cultured by the person in accordance with an aquaculture licence; or</w:t>
      </w:r>
    </w:p>
    <w:p>
      <w:pPr>
        <w:pStyle w:val="Indenta"/>
      </w:pPr>
      <w:r>
        <w:tab/>
        <w:t>(c)</w:t>
      </w:r>
      <w:r>
        <w:tab/>
        <w:t>Bait Fish, Garfish, Hardyhead or Mullet; or</w:t>
      </w:r>
    </w:p>
    <w:p>
      <w:pPr>
        <w:pStyle w:val="Indenta"/>
        <w:keepNext/>
      </w:pPr>
      <w:r>
        <w:tab/>
        <w:t>(d)</w:t>
      </w:r>
      <w:r>
        <w:tab/>
        <w:t>finfish —</w:t>
      </w:r>
    </w:p>
    <w:p>
      <w:pPr>
        <w:pStyle w:val="Indenti"/>
      </w:pPr>
      <w:r>
        <w:tab/>
        <w:t>(i)</w:t>
      </w:r>
      <w:r>
        <w:tab/>
        <w:t>in the possession and under the direct physical control of the person who took the finfish; and</w:t>
      </w:r>
    </w:p>
    <w:p>
      <w:pPr>
        <w:pStyle w:val="Indenti"/>
        <w:keepNext/>
      </w:pPr>
      <w:r>
        <w:tab/>
        <w:t>(ii)</w:t>
      </w:r>
      <w:r>
        <w:tab/>
        <w:t>packaged or stored together only with finfish taken by the same person;</w:t>
      </w:r>
    </w:p>
    <w:p>
      <w:pPr>
        <w:pStyle w:val="Indenta"/>
      </w:pPr>
      <w:r>
        <w:tab/>
      </w:r>
      <w:r>
        <w:tab/>
        <w:t>or</w:t>
      </w:r>
    </w:p>
    <w:p>
      <w:pPr>
        <w:pStyle w:val="Indenta"/>
      </w:pPr>
      <w:r>
        <w:tab/>
        <w:t>(e)</w:t>
      </w:r>
      <w:r>
        <w:tab/>
        <w:t>finfish taken by a person on, or who has just completed, a day trip; or</w:t>
      </w:r>
    </w:p>
    <w:p>
      <w:pPr>
        <w:pStyle w:val="Indenta"/>
      </w:pPr>
      <w:r>
        <w:tab/>
        <w:t>(ea)</w:t>
      </w:r>
      <w:r>
        <w:tab/>
        <w:t>finfish to which the labelling requirements under regulation 22AA apply; or</w:t>
      </w:r>
    </w:p>
    <w:p>
      <w:pPr>
        <w:pStyle w:val="Indenta"/>
        <w:keepNext/>
      </w:pPr>
      <w:r>
        <w:tab/>
        <w:t>(f)</w:t>
      </w:r>
      <w:r>
        <w:tab/>
        <w:t>finfish taken by a person and packaged or stored with finfish not taken by the person, if —</w:t>
      </w:r>
    </w:p>
    <w:p>
      <w:pPr>
        <w:pStyle w:val="Indenti"/>
      </w:pPr>
      <w:r>
        <w:tab/>
        <w:t>(i)</w:t>
      </w:r>
      <w:r>
        <w:tab/>
        <w:t>the quantity of finfish packaged or stored together does not exceed the total of the maximum quantity of finfish that one person may be in possession of in accordance with regulation 16D(1) Table item 1; and</w:t>
      </w:r>
    </w:p>
    <w:p>
      <w:pPr>
        <w:pStyle w:val="Indenti"/>
      </w:pPr>
      <w:r>
        <w:tab/>
        <w:t>(ii)</w:t>
      </w:r>
      <w:r>
        <w:tab/>
        <w:t>no other finfish are packaged or stored by the person.</w:t>
      </w:r>
    </w:p>
    <w:p>
      <w:pPr>
        <w:pStyle w:val="Ednotesubsection"/>
        <w:keepNext/>
      </w:pPr>
      <w:r>
        <w:tab/>
        <w:t>[(4), (5)</w:t>
      </w:r>
      <w:r>
        <w:tab/>
        <w:t>deleted]</w:t>
      </w:r>
    </w:p>
    <w:p>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 SL 2021/118 r. 16.]</w:t>
      </w:r>
    </w:p>
    <w:p>
      <w:pPr>
        <w:pStyle w:val="Heading5"/>
      </w:pPr>
      <w:bookmarkStart w:id="121" w:name="_Toc201758926"/>
      <w:bookmarkStart w:id="122" w:name="_Toc184384968"/>
      <w:r>
        <w:rPr>
          <w:rStyle w:val="CharSectno"/>
        </w:rPr>
        <w:t>22AA</w:t>
      </w:r>
      <w:r>
        <w:t>.</w:t>
      </w:r>
      <w:r>
        <w:tab/>
        <w:t>Labelling requirements for higher quantity of finfish taken on extended fishing tour</w:t>
      </w:r>
      <w:bookmarkEnd w:id="121"/>
      <w:bookmarkEnd w:id="122"/>
    </w:p>
    <w:p>
      <w:pPr>
        <w:pStyle w:val="Subsection"/>
        <w:keepNext/>
      </w:pPr>
      <w:r>
        <w:tab/>
        <w:t>(1)</w:t>
      </w:r>
      <w:r>
        <w:tab/>
        <w:t>This regulation applies if —</w:t>
      </w:r>
    </w:p>
    <w:p>
      <w:pPr>
        <w:pStyle w:val="Indenta"/>
      </w:pPr>
      <w:r>
        <w:tab/>
        <w:t>(a)</w:t>
      </w:r>
      <w:r>
        <w:tab/>
        <w:t>finfish (other than Bait Fish, Garfish, Hardyhead or Mullet) are taken during an extended fishing tour; and</w:t>
      </w:r>
    </w:p>
    <w:p>
      <w:pPr>
        <w:pStyle w:val="Indenta"/>
      </w:pPr>
      <w:r>
        <w:tab/>
        <w:t>(b)</w:t>
      </w:r>
      <w:r>
        <w:tab/>
        <w:t>the finfish are brought onto land by a person at the completion of the tour; and</w:t>
      </w:r>
    </w:p>
    <w:p>
      <w:pPr>
        <w:pStyle w:val="Indenta"/>
      </w:pPr>
      <w:r>
        <w:tab/>
        <w:t>(c)</w:t>
      </w:r>
      <w:r>
        <w:tab/>
        <w:t>the quantity of finfish brought onto land by the person is greater than the possession limit for finfish set out in regulation 16D(1) Table item 2.</w:t>
      </w:r>
    </w:p>
    <w:p>
      <w:pPr>
        <w:pStyle w:val="Subsection"/>
        <w:keepNext/>
      </w:pPr>
      <w:r>
        <w:tab/>
        <w:t>(2)</w:t>
      </w:r>
      <w:r>
        <w:tab/>
        <w:t xml:space="preserve">A person who packages or stores the finfish must ensure that a label, as described in subregulation (3), is securely attached — </w:t>
      </w:r>
    </w:p>
    <w:p>
      <w:pPr>
        <w:pStyle w:val="Indenta"/>
      </w:pPr>
      <w:r>
        <w:tab/>
        <w:t>(a)</w:t>
      </w:r>
      <w:r>
        <w:tab/>
        <w:t>to each package containing the finfish; and</w:t>
      </w:r>
    </w:p>
    <w:p>
      <w:pPr>
        <w:pStyle w:val="Indenta"/>
        <w:keepNext/>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(3)</w:t>
      </w:r>
      <w:r>
        <w:tab/>
        <w:t>For the purposes of subregulation (2), a label must —</w:t>
      </w:r>
    </w:p>
    <w:p>
      <w:pPr>
        <w:pStyle w:val="Indenta"/>
      </w:pPr>
      <w:r>
        <w:tab/>
        <w:t>(a)</w:t>
      </w:r>
      <w:r>
        <w:tab/>
        <w:t>be not less than 75 mm in length and 25 mm in width; and</w:t>
      </w:r>
    </w:p>
    <w:p>
      <w:pPr>
        <w:pStyle w:val="Indenta"/>
        <w:keepNext/>
      </w:pPr>
      <w:r>
        <w:tab/>
        <w:t>(b)</w:t>
      </w:r>
      <w:r>
        <w:tab/>
        <w:t xml:space="preserve">have legibly written on it — </w:t>
      </w:r>
    </w:p>
    <w:p>
      <w:pPr>
        <w:pStyle w:val="Indenti"/>
      </w:pPr>
      <w:r>
        <w:tab/>
        <w:t>(i)</w:t>
      </w:r>
      <w:r>
        <w:tab/>
        <w:t>the full name of the owner of the package or finfish to which the label is attached; and</w:t>
      </w:r>
    </w:p>
    <w:p>
      <w:pPr>
        <w:pStyle w:val="Indenti"/>
      </w:pPr>
      <w:r>
        <w:tab/>
        <w:t>(ii)</w:t>
      </w:r>
      <w:r>
        <w:tab/>
        <w:t>the name of the boat on which the extended fishing tour was undertaken; and</w:t>
      </w:r>
    </w:p>
    <w:p>
      <w:pPr>
        <w:pStyle w:val="Indenti"/>
        <w:keepNext/>
      </w:pPr>
      <w:r>
        <w:tab/>
        <w:t>(iii)</w:t>
      </w:r>
      <w:r>
        <w:tab/>
        <w:t>the date on which the finfish was brought onto land following completion of the tour;</w:t>
      </w:r>
    </w:p>
    <w:p>
      <w:pPr>
        <w:pStyle w:val="Indenta"/>
      </w:pPr>
      <w:r>
        <w:tab/>
      </w:r>
      <w:r>
        <w:tab/>
        <w:t>and</w:t>
      </w:r>
    </w:p>
    <w:p>
      <w:pPr>
        <w:pStyle w:val="Indenta"/>
        <w:keepNext/>
      </w:pPr>
      <w:r>
        <w:tab/>
        <w:t>(c)</w:t>
      </w:r>
      <w:r>
        <w:tab/>
        <w:t>be attached to the package or finfish in such a manner that it is clearly visible for inspection.</w:t>
      </w:r>
    </w:p>
    <w:p>
      <w:pPr>
        <w:pStyle w:val="Footnotesection"/>
        <w:keepLines w:val="0"/>
        <w:rPr>
          <w:snapToGrid/>
        </w:rPr>
      </w:pPr>
      <w:r>
        <w:rPr>
          <w:snapToGrid/>
        </w:rPr>
        <w:tab/>
        <w:t>[Regulation 22AA inserted: SL 2021/118 r. 17.]</w:t>
      </w:r>
    </w:p>
    <w:p>
      <w:pPr>
        <w:pStyle w:val="Ednotedivision"/>
        <w:spacing w:before="200"/>
      </w:pPr>
      <w:r>
        <w:t>[Division 3: Former heading and r. 23</w:t>
      </w:r>
      <w:r>
        <w:noBreakHyphen/>
        <w:t>29 deleted: Gazette 1 Oct 2003 p. 4299.]</w:t>
      </w:r>
    </w:p>
    <w:p>
      <w:pPr>
        <w:pStyle w:val="Ednotedivision"/>
        <w:spacing w:before="200"/>
      </w:pPr>
      <w:r>
        <w:t>[Division 3A: Heading and r. 29A</w:t>
      </w:r>
      <w:r>
        <w:noBreakHyphen/>
        <w:t>29C deleted: Gazette 1 Oct 2003 p. 4299.]</w:t>
      </w:r>
    </w:p>
    <w:p>
      <w:pPr>
        <w:pStyle w:val="Ednotedivision"/>
        <w:spacing w:before="200"/>
      </w:pPr>
      <w:r>
        <w:t>[Division 4: Former heading and r. 30 deleted: Gazette 1 Oct 2003 p. 4299.]</w:t>
      </w:r>
    </w:p>
    <w:p>
      <w:pPr>
        <w:pStyle w:val="Ednotedivision"/>
        <w:spacing w:before="200"/>
      </w:pPr>
      <w:r>
        <w:t>[Division 4A: Heading and r. 30A, 30B deleted: Gazette 1 Oct 2003 p. 4299.]</w:t>
      </w:r>
    </w:p>
    <w:p>
      <w:pPr>
        <w:pStyle w:val="Ednotedivision"/>
        <w:keepNext/>
        <w:spacing w:before="200"/>
      </w:pPr>
      <w:r>
        <w:t>[Division 4B: Heading and r. 30BA, 30C, 30E</w:t>
      </w:r>
      <w:r>
        <w:noBreakHyphen/>
        <w:t>30EC deleted: Gazette 1 Oct 2003 p. 4299; r. 30D deleted: Gazette 28 Feb 2003 p. 661.]</w:t>
      </w:r>
    </w:p>
    <w:p>
      <w:pPr>
        <w:pStyle w:val="Ednotedivision"/>
        <w:spacing w:before="200"/>
      </w:pPr>
      <w:r>
        <w:t>[Division 4C</w:t>
      </w:r>
      <w:r>
        <w:noBreakHyphen/>
        <w:t>4F: Headings and r. 30F</w:t>
      </w:r>
      <w:r>
        <w:noBreakHyphen/>
        <w:t>30M deleted: Gazette 1 Oct 2003 p. 4299.]</w:t>
      </w:r>
    </w:p>
    <w:p>
      <w:pPr>
        <w:pStyle w:val="Heading3"/>
      </w:pPr>
      <w:bookmarkStart w:id="123" w:name="_Toc184372460"/>
      <w:bookmarkStart w:id="124" w:name="_Toc184377612"/>
      <w:bookmarkStart w:id="125" w:name="_Toc184384969"/>
      <w:bookmarkStart w:id="126" w:name="_Toc201508366"/>
      <w:bookmarkStart w:id="127" w:name="_Toc201754197"/>
      <w:bookmarkStart w:id="128" w:name="_Toc201758927"/>
      <w:r>
        <w:rPr>
          <w:rStyle w:val="CharDivNo"/>
        </w:rPr>
        <w:t>Division 5</w:t>
      </w:r>
      <w:r>
        <w:rPr>
          <w:snapToGrid w:val="0"/>
        </w:rPr>
        <w:t> — </w:t>
      </w:r>
      <w:r>
        <w:rPr>
          <w:rStyle w:val="CharDivText"/>
        </w:rPr>
        <w:t>Requirements regarding rock lobsters</w:t>
      </w:r>
      <w:bookmarkEnd w:id="123"/>
      <w:bookmarkEnd w:id="124"/>
      <w:bookmarkEnd w:id="125"/>
      <w:bookmarkEnd w:id="126"/>
      <w:bookmarkEnd w:id="127"/>
      <w:bookmarkEnd w:id="128"/>
    </w:p>
    <w:p>
      <w:pPr>
        <w:pStyle w:val="Heading5"/>
      </w:pPr>
      <w:bookmarkStart w:id="129" w:name="_Toc201758928"/>
      <w:bookmarkStart w:id="130" w:name="_Toc184384970"/>
      <w:r>
        <w:rPr>
          <w:rStyle w:val="CharSectno"/>
        </w:rPr>
        <w:t>22A</w:t>
      </w:r>
      <w:r>
        <w:t>.</w:t>
      </w:r>
      <w:r>
        <w:tab/>
        <w:t>Term used: gear identification float</w:t>
      </w:r>
      <w:bookmarkEnd w:id="129"/>
      <w:bookmarkEnd w:id="130"/>
    </w:p>
    <w:p>
      <w:pPr>
        <w:pStyle w:val="Subsection"/>
        <w:keepNext/>
      </w:pPr>
      <w:r>
        <w:tab/>
      </w:r>
      <w:r>
        <w:tab/>
        <w:t>In this Division —</w:t>
      </w:r>
    </w:p>
    <w:p>
      <w:pPr>
        <w:pStyle w:val="Defstart"/>
        <w:keepNex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Gazette 18 Mar 2016 p. 743.]</w:t>
      </w:r>
    </w:p>
    <w:p>
      <w:pPr>
        <w:pStyle w:val="Heading5"/>
      </w:pPr>
      <w:bookmarkStart w:id="131" w:name="_Toc201758929"/>
      <w:bookmarkStart w:id="132" w:name="_Toc184384971"/>
      <w:r>
        <w:rPr>
          <w:rStyle w:val="CharSectno"/>
        </w:rPr>
        <w:t>22B</w:t>
      </w:r>
      <w:r>
        <w:t>.</w:t>
      </w:r>
      <w:r>
        <w:tab/>
        <w:t>Persons taken to be using rock lobster pots</w:t>
      </w:r>
      <w:bookmarkEnd w:id="131"/>
      <w:bookmarkEnd w:id="132"/>
    </w:p>
    <w:p>
      <w:pPr>
        <w:pStyle w:val="Subsection"/>
        <w:keepNext/>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Gazette 18 Mar 2016 p. 744.]</w:t>
      </w:r>
    </w:p>
    <w:p>
      <w:pPr>
        <w:pStyle w:val="Heading5"/>
      </w:pPr>
      <w:bookmarkStart w:id="133" w:name="_Toc201758930"/>
      <w:bookmarkStart w:id="134" w:name="_Toc184384972"/>
      <w:r>
        <w:rPr>
          <w:rStyle w:val="CharSectno"/>
        </w:rPr>
        <w:t>31</w:t>
      </w:r>
      <w:r>
        <w:t>.</w:t>
      </w:r>
      <w:r>
        <w:tab/>
        <w:t>Rock lobster: permitted ways to fish for and tail marking</w:t>
      </w:r>
      <w:bookmarkEnd w:id="133"/>
      <w:bookmarkEnd w:id="134"/>
    </w:p>
    <w:p>
      <w:pPr>
        <w:pStyle w:val="Subsection"/>
        <w:keepNext/>
      </w:pPr>
      <w:r>
        <w:tab/>
        <w:t>(1)</w:t>
      </w:r>
      <w:r>
        <w:tab/>
        <w:t>In this regulation —</w:t>
      </w:r>
    </w:p>
    <w:p>
      <w:pPr>
        <w:pStyle w:val="Defstart"/>
        <w:keepNex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keepNext/>
        <w:spacing w:before="180"/>
      </w:pPr>
      <w:r>
        <w:tab/>
        <w:t>(2)</w:t>
      </w:r>
      <w:r>
        <w:tab/>
        <w:t xml:space="preserve">A person must not fish for rock lobster other than — </w:t>
      </w:r>
    </w:p>
    <w:p>
      <w:pPr>
        <w:pStyle w:val="Indenta"/>
        <w:keepNext/>
        <w:spacing w:before="100"/>
      </w:pPr>
      <w:r>
        <w:tab/>
        <w:t>(a)</w:t>
      </w:r>
      <w:r>
        <w:tab/>
        <w:t>by hand —</w:t>
      </w:r>
    </w:p>
    <w:p>
      <w:pPr>
        <w:pStyle w:val="Indenti"/>
        <w:spacing w:before="100"/>
      </w:pPr>
      <w:r>
        <w:tab/>
        <w:t>(i)</w:t>
      </w:r>
      <w:r>
        <w:tab/>
        <w:t>without the use of an instrument; or</w:t>
      </w:r>
    </w:p>
    <w:p>
      <w:pPr>
        <w:pStyle w:val="Indenti"/>
        <w:keepNext/>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keepNext/>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keepNext/>
        <w:spacing w:before="100"/>
      </w:pPr>
      <w:r>
        <w:tab/>
        <w:t>(ii)</w:t>
      </w:r>
      <w:r>
        <w:tab/>
        <w:t>are pulled from the water personally by the person.</w:t>
      </w:r>
    </w:p>
    <w:p>
      <w:pPr>
        <w:pStyle w:val="Penstart"/>
        <w:spacing w:before="100"/>
      </w:pPr>
      <w:r>
        <w:tab/>
        <w:t>Penalty: a fine of $5 000 and the penalty provided in section 222 of the Act.</w:t>
      </w:r>
    </w:p>
    <w:p>
      <w:pPr>
        <w:pStyle w:val="Subsection"/>
        <w:keepNext/>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keepNext/>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Gazette 27 Aug 2013 p. 4054-5.]</w:t>
      </w:r>
    </w:p>
    <w:p>
      <w:pPr>
        <w:pStyle w:val="Heading5"/>
      </w:pPr>
      <w:bookmarkStart w:id="135" w:name="_Toc201758931"/>
      <w:bookmarkStart w:id="136" w:name="_Toc184384973"/>
      <w:r>
        <w:rPr>
          <w:rStyle w:val="CharSectno"/>
        </w:rPr>
        <w:t>31A</w:t>
      </w:r>
      <w:r>
        <w:t>.</w:t>
      </w:r>
      <w:r>
        <w:tab/>
        <w:t>Limits on type of bait for rock lobster</w:t>
      </w:r>
      <w:bookmarkEnd w:id="135"/>
      <w:bookmarkEnd w:id="136"/>
    </w:p>
    <w:p>
      <w:pPr>
        <w:pStyle w:val="Subsection"/>
        <w:keepNext/>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 rock lobster tail or any part of a rock lobster tail.</w:t>
      </w:r>
    </w:p>
    <w:p>
      <w:pPr>
        <w:pStyle w:val="Penstart"/>
      </w:pPr>
      <w:r>
        <w:tab/>
        <w:t>Penalty for this subregulation: a fine of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for use as bait —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 rock lobster tail or any part of a rock lobster tail.</w:t>
      </w:r>
    </w:p>
    <w:p>
      <w:pPr>
        <w:pStyle w:val="Penstart"/>
      </w:pPr>
      <w:r>
        <w:tab/>
        <w:t>Penalty for this subregulation: a fine of $10 000.</w:t>
      </w:r>
    </w:p>
    <w:p>
      <w:pPr>
        <w:pStyle w:val="Subsection"/>
      </w:pPr>
      <w:r>
        <w:tab/>
        <w:t>(3)</w:t>
      </w:r>
      <w:r>
        <w:tab/>
        <w:t>Subregulations (1)(b) and (2)(b) do not apply to the skin of any fish.</w:t>
      </w:r>
    </w:p>
    <w:p>
      <w:pPr>
        <w:pStyle w:val="Subsection"/>
        <w:keepNext/>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keepNext/>
      </w:pPr>
      <w:r>
        <w:tab/>
        <w:t>(b)</w:t>
      </w:r>
      <w:r>
        <w:tab/>
        <w:t>was human clothing intended to be used as human clothing.</w:t>
      </w:r>
    </w:p>
    <w:p>
      <w:pPr>
        <w:pStyle w:val="Footnotesection"/>
      </w:pPr>
      <w:r>
        <w:tab/>
        <w:t>[Regulation 31A inserted: Gazette 29 Nov 2002 p. 5654</w:t>
      </w:r>
      <w:r>
        <w:noBreakHyphen/>
        <w:t>5; amended: SL 2023/2 r. 8.]</w:t>
      </w:r>
    </w:p>
    <w:p>
      <w:pPr>
        <w:pStyle w:val="Heading5"/>
        <w:keepLines w:val="0"/>
        <w:spacing w:before="240"/>
        <w:rPr>
          <w:snapToGrid w:val="0"/>
        </w:rPr>
      </w:pPr>
      <w:bookmarkStart w:id="137" w:name="_Toc201758932"/>
      <w:bookmarkStart w:id="138" w:name="_Toc184384974"/>
      <w:r>
        <w:rPr>
          <w:rStyle w:val="CharSectno"/>
        </w:rPr>
        <w:t>32</w:t>
      </w:r>
      <w:r>
        <w:rPr>
          <w:snapToGrid w:val="0"/>
        </w:rPr>
        <w:t>.</w:t>
      </w:r>
      <w:r>
        <w:rPr>
          <w:snapToGrid w:val="0"/>
        </w:rPr>
        <w:tab/>
        <w:t>Requirements for rock lobster pot floats</w:t>
      </w:r>
      <w:bookmarkEnd w:id="137"/>
      <w:bookmarkEnd w:id="138"/>
    </w:p>
    <w:p>
      <w:pPr>
        <w:pStyle w:val="Subsection"/>
        <w:keepNext/>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under the authority of a managed fishery licence granted in respect of the West Coast Rock Lobster Managed Fishery, the number of the managed fishery licence; or</w:t>
      </w:r>
    </w:p>
    <w:p>
      <w:pPr>
        <w:pStyle w:val="Indenti"/>
        <w:keepNext/>
      </w:pPr>
      <w:r>
        <w:tab/>
        <w:t>(iii)</w:t>
      </w:r>
      <w:r>
        <w:tab/>
        <w:t>in the case of a pot set or pulled by a person participating in a fishing tour —</w:t>
      </w:r>
    </w:p>
    <w:p>
      <w:pPr>
        <w:pStyle w:val="IndentI0"/>
      </w:pPr>
      <w:r>
        <w:tab/>
        <w:t>(I)</w:t>
      </w:r>
      <w:r>
        <w:tab/>
        <w:t>if the fishing tour is conducted by the holder of a fishing tour operator licence — the letters “F.T.O.” followed by the operator’s licence number; or</w:t>
      </w:r>
    </w:p>
    <w:p>
      <w:pPr>
        <w:pStyle w:val="IndentI0"/>
        <w:keepNext/>
      </w:pPr>
      <w:r>
        <w:tab/>
        <w:t>(II)</w:t>
      </w:r>
      <w:r>
        <w:tab/>
        <w:t>if the fishing tour is conducted by the holder of a restricted fishing tour operator licence — the letters “R.F.T.O.” followed by the operator’s licence number;</w:t>
      </w:r>
    </w:p>
    <w:p>
      <w:pPr>
        <w:pStyle w:val="Indenti"/>
      </w:pPr>
      <w:r>
        <w:tab/>
      </w:r>
      <w:r>
        <w:tab/>
        <w:t>or</w:t>
      </w:r>
    </w:p>
    <w:p>
      <w:pPr>
        <w:pStyle w:val="Indenti"/>
        <w:keepNext/>
      </w:pPr>
      <w:r>
        <w:tab/>
        <w:t>(iv)</w:t>
      </w:r>
      <w:r>
        <w:tab/>
        <w:t>in the case of a pot set or pulled other than in the circumstances mentioned in subparagraph (i), (ii) or (iii), the gear identification number of the person setting or pulling the pot;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keepNext/>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keepNext/>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keepNext/>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keepNext/>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Gazette 27 Aug 2013 p. 4055; 18 Mar 2016 p. 744; 4 Oct 2019 p. 3530.]</w:t>
      </w:r>
    </w:p>
    <w:p>
      <w:pPr>
        <w:pStyle w:val="Ednotesection"/>
        <w:spacing w:before="240"/>
      </w:pPr>
      <w:r>
        <w:t>[</w:t>
      </w:r>
      <w:r>
        <w:rPr>
          <w:b/>
        </w:rPr>
        <w:t>33, 34.</w:t>
      </w:r>
      <w:r>
        <w:tab/>
        <w:t>Deleted: Gazette 27 Aug 2010 p. 4106.]</w:t>
      </w:r>
    </w:p>
    <w:p>
      <w:pPr>
        <w:pStyle w:val="Heading5"/>
      </w:pPr>
      <w:bookmarkStart w:id="139" w:name="_Toc184300109"/>
      <w:bookmarkStart w:id="140" w:name="_Toc184300301"/>
      <w:bookmarkStart w:id="141" w:name="_Toc201758933"/>
      <w:bookmarkStart w:id="142" w:name="_Toc184384975"/>
      <w:r>
        <w:rPr>
          <w:rStyle w:val="CharSectno"/>
        </w:rPr>
        <w:t>35</w:t>
      </w:r>
      <w:r>
        <w:t>.</w:t>
      </w:r>
      <w:r>
        <w:tab/>
        <w:t>Possession of rock lobster tails</w:t>
      </w:r>
      <w:bookmarkEnd w:id="139"/>
      <w:bookmarkEnd w:id="140"/>
      <w:bookmarkEnd w:id="141"/>
      <w:bookmarkEnd w:id="142"/>
    </w:p>
    <w:p>
      <w:pPr>
        <w:pStyle w:val="Subsection"/>
      </w:pPr>
      <w:r>
        <w:tab/>
      </w:r>
      <w:r>
        <w:tab/>
        <w:t xml:space="preserve">A person must not be in possession in WA waters of a rock lobster tail unless — </w:t>
      </w:r>
    </w:p>
    <w:p>
      <w:pPr>
        <w:pStyle w:val="Indenta"/>
      </w:pPr>
      <w:r>
        <w:tab/>
        <w:t>(a)</w:t>
      </w:r>
      <w:r>
        <w:tab/>
        <w:t>the rock lobster tail is being consumed or prepared for immediate consumption; or</w:t>
      </w:r>
    </w:p>
    <w:p>
      <w:pPr>
        <w:pStyle w:val="Indenta"/>
      </w:pPr>
      <w:r>
        <w:tab/>
        <w:t>(b)</w:t>
      </w:r>
      <w:r>
        <w:tab/>
        <w:t xml:space="preserve">the rock lobster tail — </w:t>
      </w:r>
    </w:p>
    <w:p>
      <w:pPr>
        <w:pStyle w:val="Indenti"/>
      </w:pPr>
      <w:r>
        <w:tab/>
        <w:t>(i)</w:t>
      </w:r>
      <w:r>
        <w:tab/>
        <w:t>is on a charter boat while the boat is being used to conduct a fishing tour; and</w:t>
      </w:r>
    </w:p>
    <w:p>
      <w:pPr>
        <w:pStyle w:val="Indenti"/>
      </w:pPr>
      <w:r>
        <w:tab/>
        <w:t>(ii)</w:t>
      </w:r>
      <w:r>
        <w:tab/>
        <w:t>is, or will be, prepared for consumption in the course of carrying on a business;</w:t>
      </w:r>
    </w:p>
    <w:p>
      <w:pPr>
        <w:pStyle w:val="Indenta"/>
      </w:pPr>
      <w:r>
        <w:tab/>
      </w:r>
      <w:r>
        <w:tab/>
        <w:t>or</w:t>
      </w:r>
    </w:p>
    <w:p>
      <w:pPr>
        <w:pStyle w:val="Indenta"/>
      </w:pPr>
      <w:r>
        <w:tab/>
        <w:t>(c)</w:t>
      </w:r>
      <w:r>
        <w:tab/>
        <w:t>the rock lobster tail is on a commercial passenger vessel that is not engaged in fishing.</w:t>
      </w:r>
    </w:p>
    <w:p>
      <w:pPr>
        <w:pStyle w:val="Penstart"/>
      </w:pPr>
      <w:r>
        <w:tab/>
      </w:r>
      <w:r>
        <w:tab/>
        <w:t>Penalty:</w:t>
      </w:r>
    </w:p>
    <w:p>
      <w:pPr>
        <w:pStyle w:val="Penpara"/>
      </w:pPr>
      <w:r>
        <w:tab/>
        <w:t>(a)</w:t>
      </w:r>
      <w:r>
        <w:tab/>
        <w:t>for an individual, a fine of $5 000 and the penalty provided in section 222 of the Act;</w:t>
      </w:r>
    </w:p>
    <w:p>
      <w:pPr>
        <w:pStyle w:val="Penpara"/>
      </w:pPr>
      <w:r>
        <w:tab/>
        <w:t>(b)</w:t>
      </w:r>
      <w:r>
        <w:tab/>
        <w:t>for a body corporate, a fine of $10 000 and the penalty provided in section 222 of the Act.</w:t>
      </w:r>
    </w:p>
    <w:p>
      <w:pPr>
        <w:pStyle w:val="Footnotesection"/>
      </w:pPr>
      <w:r>
        <w:tab/>
        <w:t>[Regulation 35 inserted: SL 2024/263 r. 5.]</w:t>
      </w:r>
    </w:p>
    <w:p>
      <w:pPr>
        <w:pStyle w:val="Heading5"/>
      </w:pPr>
      <w:bookmarkStart w:id="143" w:name="_Toc184300110"/>
      <w:bookmarkStart w:id="144" w:name="_Toc184300302"/>
      <w:bookmarkStart w:id="145" w:name="_Toc201758934"/>
      <w:bookmarkStart w:id="146" w:name="_Toc184384976"/>
      <w:r>
        <w:rPr>
          <w:rStyle w:val="CharSectno"/>
        </w:rPr>
        <w:t>35A</w:t>
      </w:r>
      <w:r>
        <w:t>.</w:t>
      </w:r>
      <w:r>
        <w:tab/>
        <w:t>Sale of rock lobster parts</w:t>
      </w:r>
      <w:bookmarkEnd w:id="143"/>
      <w:bookmarkEnd w:id="144"/>
      <w:bookmarkEnd w:id="145"/>
      <w:bookmarkEnd w:id="146"/>
      <w:r>
        <w:t xml:space="preserve"> </w:t>
      </w:r>
    </w:p>
    <w:p>
      <w:pPr>
        <w:pStyle w:val="Subsection"/>
        <w:keepNext/>
      </w:pPr>
      <w:r>
        <w:tab/>
      </w:r>
      <w:r>
        <w:tab/>
        <w:t xml:space="preserve">A person must not sell a part only of a rock lobster unless — </w:t>
      </w:r>
    </w:p>
    <w:p>
      <w:pPr>
        <w:pStyle w:val="Indenta"/>
      </w:pPr>
      <w:r>
        <w:tab/>
        <w:t>(a)</w:t>
      </w:r>
      <w:r>
        <w:tab/>
        <w:t>the person is authorised to do so under a fish processor’s licence and the part is a part of a whole rock lobster which was processed at the place specified in the licence as the place at which fish are to be processed; or</w:t>
      </w:r>
    </w:p>
    <w:p>
      <w:pPr>
        <w:pStyle w:val="Indenta"/>
      </w:pPr>
      <w:r>
        <w:tab/>
        <w:t>(b)</w:t>
      </w:r>
      <w:r>
        <w:tab/>
        <w:t>the part was purchased from the place specified in a fish processor’s licence as the place at which rock lobster is to be processed and the person has a receipt detailing that purchase; or</w:t>
      </w:r>
    </w:p>
    <w:p>
      <w:pPr>
        <w:pStyle w:val="Indenta"/>
      </w:pPr>
      <w:r>
        <w:tab/>
        <w:t>(c)</w:t>
      </w:r>
      <w:r>
        <w:tab/>
        <w:t>the rock lobster was kept, bred, hatched or cultured in accordance with an aquaculture licence.</w:t>
      </w:r>
    </w:p>
    <w:p>
      <w:pPr>
        <w:pStyle w:val="Penstart"/>
      </w:pPr>
      <w:r>
        <w:tab/>
      </w:r>
      <w:r>
        <w:tab/>
        <w:t>Penalty:</w:t>
      </w:r>
    </w:p>
    <w:p>
      <w:pPr>
        <w:pStyle w:val="Penpara"/>
      </w:pPr>
      <w:r>
        <w:tab/>
        <w:t>(a)</w:t>
      </w:r>
      <w:r>
        <w:tab/>
        <w:t>for an individual, a fine of $5 000 and the penalty provided in section 222 of the Act;</w:t>
      </w:r>
    </w:p>
    <w:p>
      <w:pPr>
        <w:pStyle w:val="Penpara"/>
      </w:pPr>
      <w:r>
        <w:tab/>
        <w:t>(b)</w:t>
      </w:r>
      <w:r>
        <w:tab/>
        <w:t>for a body corporate, a fine of $10 000 and the penalty provided in section 222 of the Act.</w:t>
      </w:r>
    </w:p>
    <w:p>
      <w:pPr>
        <w:pStyle w:val="Footnotesection"/>
      </w:pPr>
      <w:r>
        <w:tab/>
        <w:t>[Regulation 35A inserted: SL 2024/263 r. 5.]</w:t>
      </w:r>
    </w:p>
    <w:p>
      <w:pPr>
        <w:pStyle w:val="Heading5"/>
        <w:spacing w:before="240"/>
        <w:rPr>
          <w:snapToGrid w:val="0"/>
        </w:rPr>
      </w:pPr>
      <w:bookmarkStart w:id="147" w:name="_Toc201758935"/>
      <w:bookmarkStart w:id="148" w:name="_Toc184384977"/>
      <w:r>
        <w:rPr>
          <w:rStyle w:val="CharSectno"/>
        </w:rPr>
        <w:t>36</w:t>
      </w:r>
      <w:r>
        <w:rPr>
          <w:snapToGrid w:val="0"/>
        </w:rPr>
        <w:t>.</w:t>
      </w:r>
      <w:r>
        <w:rPr>
          <w:snapToGrid w:val="0"/>
        </w:rPr>
        <w:tab/>
      </w:r>
      <w:r>
        <w:t>Boats used to fish for rock lobsters</w:t>
      </w:r>
      <w:bookmarkEnd w:id="147"/>
      <w:bookmarkEnd w:id="148"/>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keepNext/>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keepNext/>
      </w:pPr>
      <w:r>
        <w:tab/>
        <w:t>(ii)</w:t>
      </w:r>
      <w:r>
        <w:tab/>
        <w:t>if the boat —</w:t>
      </w:r>
    </w:p>
    <w:p>
      <w:pPr>
        <w:pStyle w:val="IndentI0"/>
      </w:pPr>
      <w:r>
        <w:tab/>
        <w:t>(I)</w:t>
      </w:r>
      <w:r>
        <w:tab/>
        <w:t>makes only one voyage in a day; or</w:t>
      </w:r>
    </w:p>
    <w:p>
      <w:pPr>
        <w:pStyle w:val="IndentI0"/>
        <w:keepNext/>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pPr>
      <w:r>
        <w:tab/>
        <w:t>(2B)</w:t>
      </w:r>
      <w:r>
        <w:tab/>
        <w:t>Subregulation (1)(b) does not apply in respect of a person who is on board a boat that is specified on a fishing tour operator’s licence, or a restricted fishing tour operator’s licence, granted under regulation 128J and is —</w:t>
      </w:r>
    </w:p>
    <w:p>
      <w:pPr>
        <w:pStyle w:val="Indenta"/>
      </w:pPr>
      <w:r>
        <w:tab/>
        <w:t>(a)</w:t>
      </w:r>
      <w:r>
        <w:tab/>
        <w:t>a participant of a fishing tour; or</w:t>
      </w:r>
    </w:p>
    <w:p>
      <w:pPr>
        <w:pStyle w:val="Indenta"/>
      </w:pPr>
      <w:r>
        <w:tab/>
        <w:t>(b)</w:t>
      </w:r>
      <w:r>
        <w:tab/>
        <w:t>a master, or a member of the crew, of the boat during a fishing tour.</w:t>
      </w:r>
    </w:p>
    <w:p>
      <w:pPr>
        <w:pStyle w:val="Subsection"/>
        <w:keepNext/>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keepNext/>
      </w:pPr>
      <w:r>
        <w:tab/>
        <w:t>Penalty for an offence under subregulation (1) or (2): a fine of $5 000.</w:t>
      </w:r>
    </w:p>
    <w:p>
      <w:pPr>
        <w:pStyle w:val="Footnotesection"/>
      </w:pPr>
      <w:r>
        <w:tab/>
        <w:t>[Regulation 36 amended: Gazette 10 Nov 2006 p. 4707; 6 Jul 2007 p. 3387; 5 Nov 2009 p. 4412; 25 Sep 2012 p. 4520; 30 Jun 2015 p. 2331</w:t>
      </w:r>
      <w:r>
        <w:noBreakHyphen/>
        <w:t>2; 4 Oct 2019 p. 3531.]</w:t>
      </w:r>
    </w:p>
    <w:p>
      <w:pPr>
        <w:pStyle w:val="Heading5"/>
        <w:rPr>
          <w:snapToGrid w:val="0"/>
        </w:rPr>
      </w:pPr>
      <w:bookmarkStart w:id="149" w:name="_Toc201758936"/>
      <w:bookmarkStart w:id="150" w:name="_Toc184384978"/>
      <w:r>
        <w:rPr>
          <w:rStyle w:val="CharSectno"/>
        </w:rPr>
        <w:t>37</w:t>
      </w:r>
      <w:r>
        <w:rPr>
          <w:snapToGrid w:val="0"/>
        </w:rPr>
        <w:t>.</w:t>
      </w:r>
      <w:r>
        <w:rPr>
          <w:snapToGrid w:val="0"/>
        </w:rPr>
        <w:tab/>
        <w:t>Offences against r. 36, defences for</w:t>
      </w:r>
      <w:bookmarkEnd w:id="149"/>
      <w:bookmarkEnd w:id="150"/>
    </w:p>
    <w:p>
      <w:pPr>
        <w:pStyle w:val="Subsection"/>
        <w:keepNext/>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keepNext/>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Gazette 25 Sep 2012 p. 4520.]</w:t>
      </w:r>
    </w:p>
    <w:p>
      <w:pPr>
        <w:pStyle w:val="Heading5"/>
        <w:rPr>
          <w:snapToGrid w:val="0"/>
        </w:rPr>
      </w:pPr>
      <w:bookmarkStart w:id="151" w:name="_Toc201758937"/>
      <w:bookmarkStart w:id="152" w:name="_Toc184384979"/>
      <w:r>
        <w:rPr>
          <w:rStyle w:val="CharSectno"/>
        </w:rPr>
        <w:t>38</w:t>
      </w:r>
      <w:r>
        <w:rPr>
          <w:snapToGrid w:val="0"/>
        </w:rPr>
        <w:t>.</w:t>
      </w:r>
      <w:r>
        <w:rPr>
          <w:snapToGrid w:val="0"/>
        </w:rPr>
        <w:tab/>
        <w:t>Rock lobster pots, requirements for</w:t>
      </w:r>
      <w:bookmarkEnd w:id="151"/>
      <w:bookmarkEnd w:id="152"/>
    </w:p>
    <w:p>
      <w:pPr>
        <w:pStyle w:val="Subsection"/>
        <w:keepNext/>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tab/>
      </w:r>
      <w:r>
        <w:rPr>
          <w:rStyle w:val="CharDefText"/>
        </w:rPr>
        <w:t xml:space="preserve">Easter Group Zone </w:t>
      </w:r>
      <w:r>
        <w:t>means the waters of the Easter Group bounded by a line commencing at the point 28° 38.128′ south latitude and 113° 38.951′ east longitude and extending — 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keepNext/>
        <w:keepLines/>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Next/>
        <w:keepLines/>
      </w:pPr>
      <w:r>
        <w:tab/>
        <w:t>(b)</w:t>
      </w:r>
      <w:r>
        <w:tab/>
        <w:t>complies with subregulation (4).</w:t>
      </w:r>
    </w:p>
    <w:p>
      <w:pPr>
        <w:pStyle w:val="Penstart"/>
      </w:pPr>
      <w:r>
        <w:tab/>
        <w:t>Penalty for this subregulation: a fine of $5 000.</w:t>
      </w:r>
    </w:p>
    <w:p>
      <w:pPr>
        <w:pStyle w:val="Subsection"/>
        <w:keepNext/>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keepNext/>
      </w:pPr>
      <w:r>
        <w:tab/>
        <w:t>(b)</w:t>
      </w:r>
      <w:r>
        <w:tab/>
        <w:t>it is —</w:t>
      </w:r>
    </w:p>
    <w:p>
      <w:pPr>
        <w:pStyle w:val="Indenti"/>
      </w:pPr>
      <w:r>
        <w:tab/>
        <w:t>(i)</w:t>
      </w:r>
      <w:r>
        <w:tab/>
        <w:t>constructed; and</w:t>
      </w:r>
    </w:p>
    <w:p>
      <w:pPr>
        <w:pStyle w:val="Indenti"/>
        <w:keepNext/>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keepNext/>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keepNext/>
      </w:pPr>
      <w:r>
        <w:tab/>
        <w:t>(ii)</w:t>
      </w:r>
      <w:r>
        <w:tab/>
        <w:t>the longest cross</w:t>
      </w:r>
      <w:r>
        <w:noBreakHyphen/>
        <w:t>sectional measurement is not more than 30 mm.</w:t>
      </w:r>
    </w:p>
    <w:p>
      <w:pPr>
        <w:pStyle w:val="Footnotesection"/>
      </w:pPr>
      <w:r>
        <w:tab/>
        <w:t>[Regulation 38 amended: Gazette 31 Oct 2003 p. 4562; 10 Nov 2006 p. 4707</w:t>
      </w:r>
      <w:r>
        <w:noBreakHyphen/>
        <w:t>8; 4 Sep 2007 p. 4519; 1 Mar 2011 p. 673</w:t>
      </w:r>
      <w:r>
        <w:noBreakHyphen/>
        <w:t>5; 4 Oct 2016 p. 4237.]</w:t>
      </w:r>
    </w:p>
    <w:p>
      <w:pPr>
        <w:pStyle w:val="Heading3"/>
        <w:keepLines/>
        <w:spacing w:before="180"/>
      </w:pPr>
      <w:bookmarkStart w:id="153" w:name="_Toc184372470"/>
      <w:bookmarkStart w:id="154" w:name="_Toc184377623"/>
      <w:bookmarkStart w:id="155" w:name="_Toc184384980"/>
      <w:bookmarkStart w:id="156" w:name="_Toc201508377"/>
      <w:bookmarkStart w:id="157" w:name="_Toc201754208"/>
      <w:bookmarkStart w:id="158" w:name="_Toc201758938"/>
      <w:r>
        <w:rPr>
          <w:rStyle w:val="CharDivNo"/>
        </w:rPr>
        <w:t>Division 5A</w:t>
      </w:r>
      <w:r>
        <w:t xml:space="preserve"> — </w:t>
      </w:r>
      <w:r>
        <w:rPr>
          <w:rStyle w:val="CharDivText"/>
        </w:rPr>
        <w:t>Requirements regarding crabs</w:t>
      </w:r>
      <w:bookmarkEnd w:id="153"/>
      <w:bookmarkEnd w:id="154"/>
      <w:bookmarkEnd w:id="155"/>
      <w:bookmarkEnd w:id="156"/>
      <w:bookmarkEnd w:id="157"/>
      <w:bookmarkEnd w:id="158"/>
    </w:p>
    <w:p>
      <w:pPr>
        <w:pStyle w:val="Footnoteheading"/>
        <w:keepNext/>
      </w:pPr>
      <w:r>
        <w:tab/>
        <w:t>[Heading inserted: Gazette 21 Dec 1999 p. 6407; amended: Gazette 7 Aug 2015 p. 3201.]</w:t>
      </w:r>
    </w:p>
    <w:p>
      <w:pPr>
        <w:pStyle w:val="Heading5"/>
        <w:spacing w:before="180"/>
      </w:pPr>
      <w:bookmarkStart w:id="159" w:name="_Toc201758939"/>
      <w:bookmarkStart w:id="160" w:name="_Toc184384981"/>
      <w:r>
        <w:rPr>
          <w:rStyle w:val="CharSectno"/>
        </w:rPr>
        <w:t>38A</w:t>
      </w:r>
      <w:r>
        <w:t>.</w:t>
      </w:r>
      <w:r>
        <w:tab/>
        <w:t>Term used: deep sea crab</w:t>
      </w:r>
      <w:bookmarkEnd w:id="159"/>
      <w:bookmarkEnd w:id="160"/>
    </w:p>
    <w:p>
      <w:pPr>
        <w:pStyle w:val="Subsection"/>
        <w:keepNext/>
        <w:spacing w:before="120"/>
      </w:pPr>
      <w:r>
        <w:tab/>
      </w:r>
      <w:r>
        <w:tab/>
        <w:t>In this Division —</w:t>
      </w:r>
    </w:p>
    <w:p>
      <w:pPr>
        <w:pStyle w:val="Defstart"/>
        <w:keepNex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Gazette 21 Dec 1999 p. 6407; amended: Gazette 13 Nov 2007 p. 5691.]</w:t>
      </w:r>
    </w:p>
    <w:p>
      <w:pPr>
        <w:pStyle w:val="Heading5"/>
        <w:spacing w:before="180"/>
      </w:pPr>
      <w:bookmarkStart w:id="161" w:name="_Toc201758940"/>
      <w:bookmarkStart w:id="162" w:name="_Toc184384982"/>
      <w:r>
        <w:rPr>
          <w:rStyle w:val="CharSectno"/>
        </w:rPr>
        <w:t>38B</w:t>
      </w:r>
      <w:r>
        <w:t>.</w:t>
      </w:r>
      <w:r>
        <w:tab/>
        <w:t>Possession and sale of parts of deep sea crabs</w:t>
      </w:r>
      <w:bookmarkEnd w:id="161"/>
      <w:bookmarkEnd w:id="162"/>
    </w:p>
    <w:p>
      <w:pPr>
        <w:pStyle w:val="Subsection"/>
        <w:keepNext/>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keepNext/>
      </w:pPr>
      <w:r>
        <w:tab/>
        <w:t>(ii)</w:t>
      </w:r>
      <w:r>
        <w:tab/>
        <w:t>prepared, or being prepared, for immediate consumption.</w:t>
      </w:r>
    </w:p>
    <w:p>
      <w:pPr>
        <w:pStyle w:val="Penstart"/>
        <w:keepNext/>
      </w:pPr>
      <w:r>
        <w:tab/>
        <w:t>Penalty: In the case of an individual, $5 000 or, in the case of a body corporate, $10 000 and, in either case, the penalty provided in section 222 of the Act.</w:t>
      </w:r>
    </w:p>
    <w:p>
      <w:pPr>
        <w:pStyle w:val="Footnotesection"/>
      </w:pPr>
      <w:r>
        <w:tab/>
        <w:t>[Regulation 38B inserted: Gazette 21 Dec 1999 p. 6407; amended: Gazette 4 Nov 2005 p. 5311.]</w:t>
      </w:r>
    </w:p>
    <w:p>
      <w:pPr>
        <w:pStyle w:val="Heading5"/>
        <w:spacing w:before="180"/>
      </w:pPr>
      <w:bookmarkStart w:id="163" w:name="_Toc201758941"/>
      <w:bookmarkStart w:id="164" w:name="_Toc184384983"/>
      <w:r>
        <w:rPr>
          <w:rStyle w:val="CharSectno"/>
        </w:rPr>
        <w:t>38C</w:t>
      </w:r>
      <w:r>
        <w:t>.</w:t>
      </w:r>
      <w:r>
        <w:tab/>
        <w:t>Parts of deep sea crabs not to be landed</w:t>
      </w:r>
      <w:bookmarkEnd w:id="163"/>
      <w:bookmarkEnd w:id="164"/>
    </w:p>
    <w:p>
      <w:pPr>
        <w:pStyle w:val="Subsection"/>
        <w:keepNext/>
      </w:pPr>
      <w:r>
        <w:tab/>
      </w:r>
      <w:r>
        <w:tab/>
        <w:t>A person must not bring onto land, or attempt to bring onto land, a part only of a deep sea crab.</w:t>
      </w:r>
    </w:p>
    <w:p>
      <w:pPr>
        <w:pStyle w:val="Penstart"/>
        <w:keepNext/>
      </w:pPr>
      <w:r>
        <w:tab/>
        <w:t>Penalty: In the case of an individual, $5 000 or, in the case of a body corporate, $10 000 and, in either case, the penalty provided in section 222 of the Act.</w:t>
      </w:r>
    </w:p>
    <w:p>
      <w:pPr>
        <w:pStyle w:val="Footnotesection"/>
      </w:pPr>
      <w:r>
        <w:tab/>
        <w:t>[Regulation 38C inserted: Gazette 21 Dec 1999 p. 6407; amended: Gazette 4 Nov 2005 p. 5311.]</w:t>
      </w:r>
    </w:p>
    <w:p>
      <w:pPr>
        <w:pStyle w:val="Heading5"/>
      </w:pPr>
      <w:bookmarkStart w:id="165" w:name="_Toc201758942"/>
      <w:bookmarkStart w:id="166" w:name="_Toc184384984"/>
      <w:r>
        <w:rPr>
          <w:rStyle w:val="CharSectno"/>
        </w:rPr>
        <w:t>38DA</w:t>
      </w:r>
      <w:r>
        <w:t>.</w:t>
      </w:r>
      <w:r>
        <w:tab/>
        <w:t>Possession of parts of raw crab other than deep sea crab</w:t>
      </w:r>
      <w:bookmarkEnd w:id="165"/>
      <w:bookmarkEnd w:id="166"/>
    </w:p>
    <w:p>
      <w:pPr>
        <w:pStyle w:val="Subsection"/>
        <w:keepNext/>
      </w:pPr>
      <w:r>
        <w:tab/>
      </w:r>
      <w:r>
        <w:tab/>
        <w:t>A person must not possess a part only of a raw crab that is not a deep sea crab unless the part is prepared, or being prepared, for immediate consumption.</w:t>
      </w:r>
    </w:p>
    <w:p>
      <w:pPr>
        <w:pStyle w:val="Penstart"/>
        <w:keepNext/>
      </w:pPr>
      <w:r>
        <w:tab/>
        <w:t xml:space="preserve">Penalty: </w:t>
      </w:r>
    </w:p>
    <w:p>
      <w:pPr>
        <w:pStyle w:val="Penpara"/>
      </w:pPr>
      <w:r>
        <w:tab/>
        <w:t>(a)</w:t>
      </w:r>
      <w:r>
        <w:tab/>
        <w:t xml:space="preserve">in the case of an individual — a fine of $5 000 and the penalty provided in section 222 of the Act; or </w:t>
      </w:r>
    </w:p>
    <w:p>
      <w:pPr>
        <w:pStyle w:val="Penpara"/>
        <w:keepNext/>
      </w:pPr>
      <w:r>
        <w:tab/>
        <w:t>(b)</w:t>
      </w:r>
      <w:r>
        <w:tab/>
        <w:t>in the case of a body corporate — a fine of $10 000 and the penalty provided in section 222 of the Act.</w:t>
      </w:r>
    </w:p>
    <w:p>
      <w:pPr>
        <w:pStyle w:val="Footnotesection"/>
      </w:pPr>
      <w:r>
        <w:tab/>
        <w:t>[Regulation 38DA inserted: Gazette 7 Aug 2015 p.3201</w:t>
      </w:r>
      <w:r>
        <w:noBreakHyphen/>
        <w:t>2 .]</w:t>
      </w:r>
    </w:p>
    <w:p>
      <w:pPr>
        <w:pStyle w:val="Heading3"/>
        <w:keepLines/>
      </w:pPr>
      <w:bookmarkStart w:id="167" w:name="_Toc184372475"/>
      <w:bookmarkStart w:id="168" w:name="_Toc184377628"/>
      <w:bookmarkStart w:id="169" w:name="_Toc184384985"/>
      <w:bookmarkStart w:id="170" w:name="_Toc201508382"/>
      <w:bookmarkStart w:id="171" w:name="_Toc201754213"/>
      <w:bookmarkStart w:id="172" w:name="_Toc201758943"/>
      <w:r>
        <w:rPr>
          <w:rStyle w:val="CharDivNo"/>
        </w:rPr>
        <w:t>Division 5B</w:t>
      </w:r>
      <w:r>
        <w:t> — </w:t>
      </w:r>
      <w:r>
        <w:rPr>
          <w:rStyle w:val="CharDivText"/>
        </w:rPr>
        <w:t>Requirements regarding abalone and sea urchins</w:t>
      </w:r>
      <w:bookmarkEnd w:id="167"/>
      <w:bookmarkEnd w:id="168"/>
      <w:bookmarkEnd w:id="169"/>
      <w:bookmarkEnd w:id="170"/>
      <w:bookmarkEnd w:id="171"/>
      <w:bookmarkEnd w:id="172"/>
    </w:p>
    <w:p>
      <w:pPr>
        <w:pStyle w:val="Footnoteheading"/>
        <w:keepNext/>
        <w:keepLines/>
        <w:tabs>
          <w:tab w:val="left" w:pos="851"/>
        </w:tabs>
      </w:pPr>
      <w:r>
        <w:tab/>
        <w:t>[Heading inserted: Gazette 1 Oct 2003 p. 4301; amended: Gazette 27 Aug 2013 p. 4055.]</w:t>
      </w:r>
    </w:p>
    <w:p>
      <w:pPr>
        <w:pStyle w:val="Heading5"/>
      </w:pPr>
      <w:bookmarkStart w:id="173" w:name="_Toc201758944"/>
      <w:bookmarkStart w:id="174" w:name="_Toc184384986"/>
      <w:r>
        <w:rPr>
          <w:rStyle w:val="CharSectno"/>
        </w:rPr>
        <w:t>38DB</w:t>
      </w:r>
      <w:r>
        <w:t>.</w:t>
      </w:r>
      <w:r>
        <w:tab/>
        <w:t>Term used: fishing season</w:t>
      </w:r>
      <w:bookmarkEnd w:id="173"/>
      <w:bookmarkEnd w:id="174"/>
    </w:p>
    <w:p>
      <w:pPr>
        <w:pStyle w:val="Subsection"/>
        <w:keepNext/>
      </w:pPr>
      <w:r>
        <w:tab/>
      </w:r>
      <w:r>
        <w:tab/>
        <w:t>In this Division —</w:t>
      </w:r>
    </w:p>
    <w:p>
      <w:pPr>
        <w:pStyle w:val="Defstart"/>
        <w:keepNext/>
      </w:pPr>
      <w:r>
        <w:tab/>
      </w:r>
      <w:r>
        <w:rPr>
          <w:rStyle w:val="CharDefText"/>
        </w:rPr>
        <w:t>fishing season</w:t>
      </w:r>
      <w:r>
        <w:t xml:space="preserve"> means —</w:t>
      </w:r>
    </w:p>
    <w:p>
      <w:pPr>
        <w:pStyle w:val="Defpara"/>
        <w:keepNext/>
      </w:pPr>
      <w:r>
        <w:tab/>
        <w:t>(a)</w:t>
      </w:r>
      <w:r>
        <w:tab/>
        <w:t>for Abalone Zone 1, between 7 am and 8 am on the second Saturday in January, the first and third Saturdays in February and the second Saturday in December in any year; and</w:t>
      </w:r>
    </w:p>
    <w:p>
      <w:pPr>
        <w:pStyle w:val="Defpara"/>
        <w:keepNext/>
      </w:pPr>
      <w:r>
        <w:tab/>
        <w:t>(b)</w:t>
      </w:r>
      <w:r>
        <w:tab/>
        <w:t>for Abalone Zones 2 and 3, the period beginning on 1 October in any year and ending on 15 May in the following year.</w:t>
      </w:r>
    </w:p>
    <w:p>
      <w:pPr>
        <w:pStyle w:val="Footnotesection"/>
      </w:pPr>
      <w:r>
        <w:tab/>
        <w:t>[Regulation 38DB inserted: Gazette 4 Oct 2019 p. 3532.]</w:t>
      </w:r>
    </w:p>
    <w:p>
      <w:pPr>
        <w:pStyle w:val="Heading5"/>
        <w:spacing w:before="180"/>
      </w:pPr>
      <w:bookmarkStart w:id="175" w:name="_Toc201758945"/>
      <w:bookmarkStart w:id="176" w:name="_Toc184384987"/>
      <w:r>
        <w:rPr>
          <w:rStyle w:val="CharSectno"/>
        </w:rPr>
        <w:t>38D</w:t>
      </w:r>
      <w:r>
        <w:t>.</w:t>
      </w:r>
      <w:r>
        <w:tab/>
        <w:t>When fishing for abalone and sea urchins allowed</w:t>
      </w:r>
      <w:bookmarkEnd w:id="175"/>
      <w:bookmarkEnd w:id="176"/>
    </w:p>
    <w:p>
      <w:pPr>
        <w:pStyle w:val="Ednotesubsection"/>
        <w:keepNext/>
      </w:pPr>
      <w:r>
        <w:tab/>
        <w:t>[(1)</w:t>
      </w:r>
      <w:r>
        <w:tab/>
        <w:t>deleted]</w:t>
      </w:r>
    </w:p>
    <w:p>
      <w:pPr>
        <w:pStyle w:val="Subsection"/>
        <w:keepNext/>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keepNext/>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A person must not fish for sea urchins for a commercial purpose in Abalone Zone 1, 2 or 3 unless the person is authorised to take sea urchins under a commercial fishing licence.</w:t>
      </w:r>
    </w:p>
    <w:p>
      <w:pPr>
        <w:pStyle w:val="Penstart"/>
      </w:pPr>
      <w:r>
        <w:tab/>
        <w:t>Penalty for this subregulation: a fine of $5 000 and the penalty provided in section 222 of the Act.</w:t>
      </w:r>
    </w:p>
    <w:p>
      <w:pPr>
        <w:pStyle w:val="Footnotesection"/>
        <w:keepLines w:val="0"/>
        <w:spacing w:before="60"/>
        <w:ind w:left="890" w:hanging="890"/>
      </w:pPr>
      <w:r>
        <w:tab/>
        <w:t>[Regulation 38D inserted: Gazette 27 Aug 2013 p. 4055-6; amended: Gazette 27 Oct 2017 p. 5416; 4 Oct 2019 p. 3532; SL 2024/263 r. 6.]</w:t>
      </w:r>
    </w:p>
    <w:p>
      <w:pPr>
        <w:pStyle w:val="Heading5"/>
        <w:spacing w:before="180"/>
      </w:pPr>
      <w:bookmarkStart w:id="177" w:name="_Toc201758946"/>
      <w:bookmarkStart w:id="178" w:name="_Toc184384988"/>
      <w:r>
        <w:rPr>
          <w:rStyle w:val="CharSectno"/>
        </w:rPr>
        <w:t>38E</w:t>
      </w:r>
      <w:r>
        <w:t>.</w:t>
      </w:r>
      <w:r>
        <w:tab/>
        <w:t>Diving for abalone using breathing apparatus prohibited in Abalone Zone 1</w:t>
      </w:r>
      <w:bookmarkEnd w:id="177"/>
      <w:bookmarkEnd w:id="178"/>
    </w:p>
    <w:p>
      <w:pPr>
        <w:pStyle w:val="Subsection"/>
        <w:keepNext/>
      </w:pPr>
      <w:r>
        <w:tab/>
      </w:r>
      <w:r>
        <w:tab/>
        <w:t xml:space="preserve">A </w:t>
      </w:r>
      <w:r>
        <w:rPr>
          <w:snapToGrid w:val="0"/>
        </w:rPr>
        <w:t>person</w:t>
      </w:r>
      <w:r>
        <w:t xml:space="preserve"> must not fish for abalone in Abalone Zone 1 by diving while using compressed air breathing apparatus.</w:t>
      </w:r>
    </w:p>
    <w:p>
      <w:pPr>
        <w:pStyle w:val="Penstart"/>
        <w:keepNext/>
        <w:spacing w:before="100"/>
      </w:pPr>
      <w:r>
        <w:tab/>
        <w:t>Penalty: $5 000 and the penalty provided in section 222 of the Act.</w:t>
      </w:r>
    </w:p>
    <w:p>
      <w:pPr>
        <w:pStyle w:val="Footnotesection"/>
      </w:pPr>
      <w:r>
        <w:tab/>
        <w:t>[Regulation 38E inserted: Gazette 28 Nov 2003 p. 4775.]</w:t>
      </w:r>
    </w:p>
    <w:p>
      <w:pPr>
        <w:pStyle w:val="Heading5"/>
      </w:pPr>
      <w:bookmarkStart w:id="179" w:name="_Toc201758947"/>
      <w:bookmarkStart w:id="180" w:name="_Toc184384989"/>
      <w:r>
        <w:rPr>
          <w:rStyle w:val="CharSectno"/>
        </w:rPr>
        <w:t>38EA</w:t>
      </w:r>
      <w:r>
        <w:t>.</w:t>
      </w:r>
      <w:r>
        <w:tab/>
        <w:t>Possession of fishing gear in Abalone Zone outside fishing season</w:t>
      </w:r>
      <w:bookmarkEnd w:id="179"/>
      <w:bookmarkEnd w:id="180"/>
    </w:p>
    <w:p>
      <w:pPr>
        <w:pStyle w:val="Subsection"/>
        <w:keepNext/>
      </w:pPr>
      <w:r>
        <w:tab/>
        <w:t>(1)</w:t>
      </w:r>
      <w:r>
        <w:tab/>
        <w:t>A person must not, in Abalone Zone 1, 2 or 3, be in possession of any fishing gear capable of being used to take abalone at any time other than during the fishing season for that Abalone Zone.</w:t>
      </w:r>
    </w:p>
    <w:p>
      <w:pPr>
        <w:pStyle w:val="Penstart"/>
      </w:pPr>
      <w:r>
        <w:tab/>
        <w:t>Penalty for this subregulation: a fine of $5 000.</w:t>
      </w:r>
    </w:p>
    <w:p>
      <w:pPr>
        <w:pStyle w:val="Subsection"/>
        <w:keepNext/>
      </w:pPr>
      <w:r>
        <w:tab/>
        <w:t>(2)</w:t>
      </w:r>
      <w:r>
        <w:tab/>
        <w:t>Subregulation (1) does not apply to a person who —</w:t>
      </w:r>
    </w:p>
    <w:p>
      <w:pPr>
        <w:pStyle w:val="Indenta"/>
      </w:pPr>
      <w:r>
        <w:tab/>
        <w:t>(a)</w:t>
      </w:r>
      <w:r>
        <w:tab/>
        <w:t>is authorised to take abalone for a commercial purpose under an authorisation; or</w:t>
      </w:r>
    </w:p>
    <w:p>
      <w:pPr>
        <w:pStyle w:val="Indenta"/>
        <w:keepNext/>
      </w:pPr>
      <w:r>
        <w:tab/>
        <w:t>(b)</w:t>
      </w:r>
      <w:r>
        <w:tab/>
        <w:t>has a reasonable excuse for being in possession of the fishing gear.</w:t>
      </w:r>
    </w:p>
    <w:p>
      <w:pPr>
        <w:pStyle w:val="Footnotesection"/>
      </w:pPr>
      <w:r>
        <w:tab/>
        <w:t>[Regulation 38EA inserted: Gazette 4 Oct 2019 p. 3532</w:t>
      </w:r>
      <w:r>
        <w:noBreakHyphen/>
        <w:t>3.]</w:t>
      </w:r>
    </w:p>
    <w:p>
      <w:pPr>
        <w:pStyle w:val="Heading5"/>
      </w:pPr>
      <w:bookmarkStart w:id="181" w:name="_Toc201758948"/>
      <w:bookmarkStart w:id="182" w:name="_Toc184384990"/>
      <w:r>
        <w:rPr>
          <w:rStyle w:val="CharSectno"/>
        </w:rPr>
        <w:t>38EB</w:t>
      </w:r>
      <w:r>
        <w:t>.</w:t>
      </w:r>
      <w:r>
        <w:tab/>
        <w:t>Possession of abalone</w:t>
      </w:r>
      <w:bookmarkEnd w:id="181"/>
      <w:bookmarkEnd w:id="182"/>
    </w:p>
    <w:p>
      <w:pPr>
        <w:pStyle w:val="Subsection"/>
        <w:keepNext/>
      </w:pPr>
      <w:r>
        <w:tab/>
        <w:t>(1)</w:t>
      </w:r>
      <w:r>
        <w:tab/>
        <w:t>A person must not, in Abalone Zone 1, 2 or 3, be in possession of abalone unless the person —</w:t>
      </w:r>
    </w:p>
    <w:p>
      <w:pPr>
        <w:pStyle w:val="Indenta"/>
      </w:pPr>
      <w:r>
        <w:tab/>
        <w:t>(a)</w:t>
      </w:r>
      <w:r>
        <w:tab/>
        <w:t>holds a recreational fishing licence authorising the person to fish for abalone; and</w:t>
      </w:r>
    </w:p>
    <w:p>
      <w:pPr>
        <w:pStyle w:val="Indenta"/>
        <w:keepNext/>
      </w:pPr>
      <w:r>
        <w:tab/>
        <w:t>(b)</w:t>
      </w:r>
      <w:r>
        <w:tab/>
        <w:t>is fishing during the fishing season for that Abalone Zone or in possession of the abalone during the period of 12 hours commencing immediately after that fishing season.</w:t>
      </w:r>
    </w:p>
    <w:p>
      <w:pPr>
        <w:pStyle w:val="Penstart"/>
        <w:keepNext/>
      </w:pPr>
      <w:r>
        <w:tab/>
        <w:t>Penalty for this subregulation: a fine of $5 000 and the penalty provided in section 222 of the Act.</w:t>
      </w:r>
    </w:p>
    <w:p>
      <w:pPr>
        <w:pStyle w:val="Subsection"/>
        <w:keepNext/>
      </w:pPr>
      <w:r>
        <w:tab/>
        <w:t>(2)</w:t>
      </w:r>
      <w:r>
        <w:tab/>
        <w:t>Subregulation (1) does not apply to a person who is authorised to take abalone for a commercial purpose under an authorisation.</w:t>
      </w:r>
    </w:p>
    <w:p>
      <w:pPr>
        <w:pStyle w:val="Footnotesection"/>
      </w:pPr>
      <w:r>
        <w:tab/>
        <w:t>[Regulation 38EB inserted: Gazette 4 Oct 2019 p. 3533.]</w:t>
      </w:r>
    </w:p>
    <w:p>
      <w:pPr>
        <w:pStyle w:val="Heading5"/>
        <w:spacing w:before="180"/>
      </w:pPr>
      <w:bookmarkStart w:id="183" w:name="_Toc201758949"/>
      <w:bookmarkStart w:id="184" w:name="_Toc184384991"/>
      <w:r>
        <w:rPr>
          <w:rStyle w:val="CharSectno"/>
        </w:rPr>
        <w:t>38F</w:t>
      </w:r>
      <w:r>
        <w:t>.</w:t>
      </w:r>
      <w:r>
        <w:tab/>
        <w:t>Use of abalone material as bait</w:t>
      </w:r>
      <w:bookmarkEnd w:id="183"/>
      <w:bookmarkEnd w:id="184"/>
    </w:p>
    <w:p>
      <w:pPr>
        <w:pStyle w:val="Subsection"/>
        <w:keepNext/>
      </w:pPr>
      <w:r>
        <w:tab/>
      </w:r>
      <w:r>
        <w:tab/>
        <w:t>A person must not fish for any fish using as bait any abalone material.</w:t>
      </w:r>
    </w:p>
    <w:p>
      <w:pPr>
        <w:pStyle w:val="Penstart"/>
        <w:keepNext/>
        <w:spacing w:before="100"/>
      </w:pPr>
      <w:r>
        <w:tab/>
        <w:t>Penalty: a fine of $10 000 and the penalty provided in section 222 of the Act.</w:t>
      </w:r>
    </w:p>
    <w:p>
      <w:pPr>
        <w:pStyle w:val="Footnotesection"/>
      </w:pPr>
      <w:r>
        <w:tab/>
        <w:t>[Regulation 38F inserted: Gazette 2 Aug 2011 p. 3166-7.]</w:t>
      </w:r>
    </w:p>
    <w:p>
      <w:pPr>
        <w:pStyle w:val="Heading5"/>
        <w:spacing w:before="180"/>
      </w:pPr>
      <w:bookmarkStart w:id="185" w:name="_Toc201758950"/>
      <w:bookmarkStart w:id="186" w:name="_Toc184384992"/>
      <w:r>
        <w:rPr>
          <w:rStyle w:val="CharSectno"/>
        </w:rPr>
        <w:t>38GA</w:t>
      </w:r>
      <w:r>
        <w:t>.</w:t>
      </w:r>
      <w:r>
        <w:tab/>
        <w:t>Possession of abalone material</w:t>
      </w:r>
      <w:bookmarkEnd w:id="185"/>
      <w:bookmarkEnd w:id="186"/>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keepNext/>
      </w:pPr>
      <w:r>
        <w:tab/>
        <w:t>Penalty: a fine of $10 000.</w:t>
      </w:r>
    </w:p>
    <w:p>
      <w:pPr>
        <w:pStyle w:val="Footnotesection"/>
        <w:ind w:left="890" w:hanging="890"/>
      </w:pPr>
      <w:r>
        <w:tab/>
        <w:t>[Regulation 38GA inserted: Gazette 2 Aug 2011 p. 3167; amended: Gazette 2 Nov 2011 p. 4620.]</w:t>
      </w:r>
    </w:p>
    <w:p>
      <w:pPr>
        <w:pStyle w:val="Heading3"/>
      </w:pPr>
      <w:bookmarkStart w:id="187" w:name="_Toc184372483"/>
      <w:bookmarkStart w:id="188" w:name="_Toc184377636"/>
      <w:bookmarkStart w:id="189" w:name="_Toc184384993"/>
      <w:bookmarkStart w:id="190" w:name="_Toc201508390"/>
      <w:bookmarkStart w:id="191" w:name="_Toc201754221"/>
      <w:bookmarkStart w:id="192" w:name="_Toc201758951"/>
      <w:r>
        <w:rPr>
          <w:rStyle w:val="CharDivNo"/>
        </w:rPr>
        <w:t>Division 5C</w:t>
      </w:r>
      <w:r>
        <w:t> — </w:t>
      </w:r>
      <w:r>
        <w:rPr>
          <w:rStyle w:val="CharDivText"/>
        </w:rPr>
        <w:t>Requirements regarding marron</w:t>
      </w:r>
      <w:bookmarkEnd w:id="187"/>
      <w:bookmarkEnd w:id="188"/>
      <w:bookmarkEnd w:id="189"/>
      <w:bookmarkEnd w:id="190"/>
      <w:bookmarkEnd w:id="191"/>
      <w:bookmarkEnd w:id="192"/>
    </w:p>
    <w:p>
      <w:pPr>
        <w:pStyle w:val="Footnoteheading"/>
        <w:keepNext/>
      </w:pPr>
      <w:r>
        <w:tab/>
        <w:t>[Heading inserted: Gazette 29 Dec 2000 p. 7968.]</w:t>
      </w:r>
    </w:p>
    <w:p>
      <w:pPr>
        <w:pStyle w:val="Heading4"/>
        <w:spacing w:before="200"/>
      </w:pPr>
      <w:bookmarkStart w:id="193" w:name="_Toc184372484"/>
      <w:bookmarkStart w:id="194" w:name="_Toc184377637"/>
      <w:bookmarkStart w:id="195" w:name="_Toc184384994"/>
      <w:bookmarkStart w:id="196" w:name="_Toc201508391"/>
      <w:bookmarkStart w:id="197" w:name="_Toc201754222"/>
      <w:bookmarkStart w:id="198" w:name="_Toc201758952"/>
      <w:r>
        <w:t>Subdivision 1 — Interpretation</w:t>
      </w:r>
      <w:bookmarkEnd w:id="193"/>
      <w:bookmarkEnd w:id="194"/>
      <w:bookmarkEnd w:id="195"/>
      <w:bookmarkEnd w:id="196"/>
      <w:bookmarkEnd w:id="197"/>
      <w:bookmarkEnd w:id="198"/>
    </w:p>
    <w:p>
      <w:pPr>
        <w:pStyle w:val="Footnoteheading"/>
        <w:keepNext/>
      </w:pPr>
      <w:r>
        <w:tab/>
        <w:t>[Heading inserted: Gazette 29 Dec 2000 p. 7968.]</w:t>
      </w:r>
    </w:p>
    <w:p>
      <w:pPr>
        <w:pStyle w:val="Heading5"/>
        <w:spacing w:before="180"/>
      </w:pPr>
      <w:bookmarkStart w:id="199" w:name="_Toc201758953"/>
      <w:bookmarkStart w:id="200" w:name="_Toc184384995"/>
      <w:r>
        <w:rPr>
          <w:rStyle w:val="CharSectno"/>
        </w:rPr>
        <w:t>38G</w:t>
      </w:r>
      <w:r>
        <w:t>.</w:t>
      </w:r>
      <w:r>
        <w:tab/>
        <w:t>Terms used</w:t>
      </w:r>
      <w:bookmarkEnd w:id="199"/>
      <w:bookmarkEnd w:id="200"/>
    </w:p>
    <w:p>
      <w:pPr>
        <w:pStyle w:val="Subsection"/>
        <w:keepNext/>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keepNext/>
      </w:pPr>
      <w:r>
        <w:tab/>
        <w:t>(b)</w:t>
      </w:r>
      <w:r>
        <w:tab/>
        <w:t>has within the base ring an internal rigid rectangular mesh —</w:t>
      </w:r>
    </w:p>
    <w:p>
      <w:pPr>
        <w:pStyle w:val="Defsubpara"/>
      </w:pPr>
      <w:r>
        <w:tab/>
        <w:t>(i)</w:t>
      </w:r>
      <w:r>
        <w:tab/>
        <w:t>constructed of material that has a diameter of not more than 5 mm; and</w:t>
      </w:r>
    </w:p>
    <w:p>
      <w:pPr>
        <w:pStyle w:val="Defsubpara"/>
        <w:keepNext/>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keepNex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keepNext/>
        <w:spacing w:before="100"/>
      </w:pPr>
      <w:r>
        <w:tab/>
      </w:r>
      <w:r>
        <w:rPr>
          <w:rStyle w:val="CharDefText"/>
        </w:rPr>
        <w:t>marron scoop net</w:t>
      </w:r>
      <w:r>
        <w:t xml:space="preserve"> means a net that —</w:t>
      </w:r>
    </w:p>
    <w:p>
      <w:pPr>
        <w:pStyle w:val="Defpara"/>
        <w:keepNext/>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Next/>
        <w:keepLines w:val="0"/>
      </w:pPr>
      <w:r>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keepNext/>
      </w:pPr>
      <w:r>
        <w:tab/>
        <w:t>(e)</w:t>
      </w:r>
      <w:r>
        <w:tab/>
        <w:t>is fitted with a handle that is not more than 1 400 mm in length.</w:t>
      </w:r>
    </w:p>
    <w:p>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pPr>
        <w:pStyle w:val="Heading4"/>
        <w:keepLines/>
      </w:pPr>
      <w:bookmarkStart w:id="201" w:name="_Toc184372486"/>
      <w:bookmarkStart w:id="202" w:name="_Toc184377639"/>
      <w:bookmarkStart w:id="203" w:name="_Toc184384996"/>
      <w:bookmarkStart w:id="204" w:name="_Toc201508393"/>
      <w:bookmarkStart w:id="205" w:name="_Toc201754224"/>
      <w:bookmarkStart w:id="206" w:name="_Toc201758954"/>
      <w:r>
        <w:t>Subdivision 2 — General restrictions on fishing for marron</w:t>
      </w:r>
      <w:bookmarkEnd w:id="201"/>
      <w:bookmarkEnd w:id="202"/>
      <w:bookmarkEnd w:id="203"/>
      <w:bookmarkEnd w:id="204"/>
      <w:bookmarkEnd w:id="205"/>
      <w:bookmarkEnd w:id="206"/>
    </w:p>
    <w:p>
      <w:pPr>
        <w:pStyle w:val="Footnoteheading"/>
        <w:keepNext/>
      </w:pPr>
      <w:r>
        <w:tab/>
        <w:t>[Heading inserted: Gazette 29 Dec 2000 p. 7969.]</w:t>
      </w:r>
    </w:p>
    <w:p>
      <w:pPr>
        <w:pStyle w:val="Heading5"/>
      </w:pPr>
      <w:bookmarkStart w:id="207" w:name="_Toc201758955"/>
      <w:bookmarkStart w:id="208" w:name="_Toc184384997"/>
      <w:r>
        <w:rPr>
          <w:rStyle w:val="CharSectno"/>
        </w:rPr>
        <w:t>38H</w:t>
      </w:r>
      <w:r>
        <w:t>.</w:t>
      </w:r>
      <w:r>
        <w:tab/>
        <w:t>Marron, permitted ways to fish for</w:t>
      </w:r>
      <w:bookmarkEnd w:id="207"/>
      <w:bookmarkEnd w:id="208"/>
    </w:p>
    <w:p>
      <w:pPr>
        <w:pStyle w:val="Subsection"/>
        <w:keepNext/>
      </w:pPr>
      <w:r>
        <w:tab/>
      </w:r>
      <w:r>
        <w:tab/>
        <w:t>Subject to regulation 38I, a person must not fish for marron by using anything except —</w:t>
      </w:r>
    </w:p>
    <w:p>
      <w:pPr>
        <w:pStyle w:val="Indenta"/>
      </w:pPr>
      <w:r>
        <w:tab/>
        <w:t>(a)</w:t>
      </w:r>
      <w:r>
        <w:tab/>
        <w:t>not more than 6 marron drop nets; or</w:t>
      </w:r>
    </w:p>
    <w:p>
      <w:pPr>
        <w:pStyle w:val="Indenta"/>
        <w:keepNext/>
      </w:pPr>
      <w:r>
        <w:tab/>
        <w:t>(b)</w:t>
      </w:r>
      <w:r>
        <w:tab/>
        <w:t>a single marron pole snare; or</w:t>
      </w:r>
    </w:p>
    <w:p>
      <w:pPr>
        <w:pStyle w:val="Indenta"/>
        <w:keepNext/>
      </w:pPr>
      <w:r>
        <w:tab/>
        <w:t>(c)</w:t>
      </w:r>
      <w:r>
        <w:tab/>
        <w:t>a single marron scoop net.</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38H inserted: Gazette 22 Jan 2002 p. 359; amended: Gazette 1 Oct 2003 p. 4301.]</w:t>
      </w:r>
    </w:p>
    <w:p>
      <w:pPr>
        <w:pStyle w:val="Heading5"/>
      </w:pPr>
      <w:bookmarkStart w:id="209" w:name="_Toc201758956"/>
      <w:bookmarkStart w:id="210" w:name="_Toc184384998"/>
      <w:r>
        <w:rPr>
          <w:rStyle w:val="CharSectno"/>
        </w:rPr>
        <w:t>38I</w:t>
      </w:r>
      <w:r>
        <w:t>.</w:t>
      </w:r>
      <w:r>
        <w:tab/>
        <w:t>Single marron pole snare only to be used in some waters</w:t>
      </w:r>
      <w:bookmarkEnd w:id="209"/>
      <w:bookmarkEnd w:id="210"/>
    </w:p>
    <w:p>
      <w:pPr>
        <w:pStyle w:val="Subsection"/>
        <w:keepNext/>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 xml:space="preserve">This </w:t>
      </w:r>
      <w:r>
        <w:rPr>
          <w:snapToGrid w:val="0"/>
        </w:rPr>
        <w:t>subregulation</w:t>
      </w:r>
      <w:r>
        <w:t xml:space="preserve"> applies to the waters —</w:t>
      </w:r>
    </w:p>
    <w:p>
      <w:pPr>
        <w:pStyle w:val="Ednotepara"/>
        <w:keepNext/>
        <w:spacing w:before="80"/>
        <w:rPr>
          <w:iCs/>
        </w:rPr>
      </w:pPr>
      <w:r>
        <w:rPr>
          <w:iCs/>
        </w:rPr>
        <w:tab/>
        <w:t>[(a), (b)</w:t>
      </w:r>
      <w:r>
        <w:rPr>
          <w:iCs/>
        </w:rP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subject to regulation 38J, of the Margaret River, including its tributaries; and</w:t>
      </w:r>
    </w:p>
    <w:p>
      <w:pPr>
        <w:pStyle w:val="Indenta"/>
        <w:keepNext/>
      </w:pPr>
      <w:r>
        <w:tab/>
        <w:t>(h)</w:t>
      </w:r>
      <w:r>
        <w:tab/>
        <w:t>of Big Brook Dam, Drakes Brook Dam, Glen Mervyn Dam, Logue Brook Dam and Lake Navarino (Waroona Dam).</w:t>
      </w:r>
    </w:p>
    <w:p>
      <w:pPr>
        <w:pStyle w:val="Footnotesection"/>
      </w:pPr>
      <w:r>
        <w:tab/>
        <w:t>[Regulation 38I inserted: Gazette 29 Dec 2000 p. 7970</w:t>
      </w:r>
      <w:r>
        <w:noBreakHyphen/>
        <w:t>1; amended: Gazette 22 Dec 2005 p. 6221; 29 Dec 2006 p. 5890; 13 Oct 2009 p. 4032.]</w:t>
      </w:r>
    </w:p>
    <w:p>
      <w:pPr>
        <w:pStyle w:val="Heading5"/>
      </w:pPr>
      <w:bookmarkStart w:id="211" w:name="_Toc201758957"/>
      <w:bookmarkStart w:id="212" w:name="_Toc184384999"/>
      <w:r>
        <w:rPr>
          <w:rStyle w:val="CharSectno"/>
        </w:rPr>
        <w:t>38J</w:t>
      </w:r>
      <w:r>
        <w:t>.</w:t>
      </w:r>
      <w:r>
        <w:tab/>
        <w:t>Marron fishing prohibited in certain Margaret River waters</w:t>
      </w:r>
      <w:bookmarkEnd w:id="211"/>
      <w:bookmarkEnd w:id="212"/>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keepLines w:val="0"/>
        <w:ind w:left="890" w:hanging="890"/>
      </w:pPr>
      <w:r>
        <w:tab/>
        <w:t>[Regulation 38J inserted: Gazette 29 Dec 2000 p. 7971; amended: Gazette 13 Dec 2002 p. 5797; 13 Oct 2009 p. 4032.]</w:t>
      </w:r>
    </w:p>
    <w:p>
      <w:pPr>
        <w:pStyle w:val="Ednotesection"/>
        <w:spacing w:before="180"/>
      </w:pPr>
      <w:r>
        <w:t>[</w:t>
      </w:r>
      <w:r>
        <w:rPr>
          <w:b/>
        </w:rPr>
        <w:t>38JA.</w:t>
      </w:r>
      <w:r>
        <w:tab/>
        <w:t>Deleted: Gazette 22 Dec 2005 p. 6221.]</w:t>
      </w:r>
    </w:p>
    <w:p>
      <w:pPr>
        <w:pStyle w:val="Heading5"/>
        <w:spacing w:before="180"/>
      </w:pPr>
      <w:bookmarkStart w:id="213" w:name="_Toc201758958"/>
      <w:bookmarkStart w:id="214" w:name="_Toc184385000"/>
      <w:r>
        <w:rPr>
          <w:rStyle w:val="CharSectno"/>
        </w:rPr>
        <w:t>38K</w:t>
      </w:r>
      <w:r>
        <w:t>.</w:t>
      </w:r>
      <w:r>
        <w:tab/>
        <w:t>Marron fishing prohibited from boats or by swimming or diving</w:t>
      </w:r>
      <w:bookmarkEnd w:id="213"/>
      <w:bookmarkEnd w:id="214"/>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Gazette 29 Dec 2000 p. 7971.]</w:t>
      </w:r>
    </w:p>
    <w:p>
      <w:pPr>
        <w:pStyle w:val="Heading5"/>
      </w:pPr>
      <w:bookmarkStart w:id="215" w:name="_Toc201758959"/>
      <w:bookmarkStart w:id="216" w:name="_Toc184385001"/>
      <w:r>
        <w:rPr>
          <w:rStyle w:val="CharSectno"/>
        </w:rPr>
        <w:t>38L</w:t>
      </w:r>
      <w:r>
        <w:t>.</w:t>
      </w:r>
      <w:r>
        <w:tab/>
        <w:t>Marron nets not to be transported in boats in most cases</w:t>
      </w:r>
      <w:bookmarkEnd w:id="215"/>
      <w:bookmarkEnd w:id="216"/>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keepNext/>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Gazette 29 Dec 2000 p. 7971; amended: Gazette 29 Dec 2006 p. 5890.]</w:t>
      </w:r>
    </w:p>
    <w:p>
      <w:pPr>
        <w:pStyle w:val="Heading4"/>
      </w:pPr>
      <w:bookmarkStart w:id="217" w:name="_Toc184372492"/>
      <w:bookmarkStart w:id="218" w:name="_Toc184377645"/>
      <w:bookmarkStart w:id="219" w:name="_Toc184385002"/>
      <w:bookmarkStart w:id="220" w:name="_Toc201508399"/>
      <w:bookmarkStart w:id="221" w:name="_Toc201754230"/>
      <w:bookmarkStart w:id="222" w:name="_Toc201758960"/>
      <w:r>
        <w:t>Subdivision 3 — Closed season restrictions relating to marron</w:t>
      </w:r>
      <w:bookmarkEnd w:id="217"/>
      <w:bookmarkEnd w:id="218"/>
      <w:bookmarkEnd w:id="219"/>
      <w:bookmarkEnd w:id="220"/>
      <w:bookmarkEnd w:id="221"/>
      <w:bookmarkEnd w:id="222"/>
    </w:p>
    <w:p>
      <w:pPr>
        <w:pStyle w:val="Footnoteheading"/>
        <w:keepNext/>
      </w:pPr>
      <w:r>
        <w:tab/>
        <w:t>[Heading inserted: Gazette 29 Dec 2000 p. 7972.]</w:t>
      </w:r>
    </w:p>
    <w:p>
      <w:pPr>
        <w:pStyle w:val="Heading5"/>
      </w:pPr>
      <w:bookmarkStart w:id="223" w:name="_Toc201758961"/>
      <w:bookmarkStart w:id="224" w:name="_Toc184385003"/>
      <w:r>
        <w:rPr>
          <w:rStyle w:val="CharSectno"/>
        </w:rPr>
        <w:t>38M</w:t>
      </w:r>
      <w:r>
        <w:t>.</w:t>
      </w:r>
      <w:r>
        <w:tab/>
        <w:t>Closed season for marron fishing</w:t>
      </w:r>
      <w:bookmarkEnd w:id="223"/>
      <w:bookmarkEnd w:id="224"/>
    </w:p>
    <w:p>
      <w:pPr>
        <w:pStyle w:val="Subsection"/>
        <w:keepNext/>
      </w:pPr>
      <w:r>
        <w:tab/>
      </w:r>
      <w:r>
        <w:tab/>
        <w:t>A person must not fish for marron during the closed season.</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38M inserted: Gazette 29 Dec 2000 p. 7972.]</w:t>
      </w:r>
    </w:p>
    <w:p>
      <w:pPr>
        <w:pStyle w:val="Heading5"/>
      </w:pPr>
      <w:bookmarkStart w:id="225" w:name="_Toc201758962"/>
      <w:bookmarkStart w:id="226" w:name="_Toc184385004"/>
      <w:r>
        <w:rPr>
          <w:rStyle w:val="CharSectno"/>
        </w:rPr>
        <w:t>38N</w:t>
      </w:r>
      <w:r>
        <w:t>.</w:t>
      </w:r>
      <w:r>
        <w:tab/>
        <w:t>Removing marron from private land in closed season</w:t>
      </w:r>
      <w:bookmarkEnd w:id="225"/>
      <w:bookmarkEnd w:id="226"/>
    </w:p>
    <w:p>
      <w:pPr>
        <w:pStyle w:val="Subsection"/>
        <w:keepNext/>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keepNext/>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keepNext/>
      </w:pPr>
      <w:r>
        <w:tab/>
        <w:t>(b)</w:t>
      </w:r>
      <w:r>
        <w:tab/>
        <w:t>had been kept, bred, hatched or cultured in accordance with an aquaculture licence.</w:t>
      </w:r>
    </w:p>
    <w:p>
      <w:pPr>
        <w:pStyle w:val="Footnotesection"/>
      </w:pPr>
      <w:r>
        <w:tab/>
        <w:t>[Regulation 38N inserted: Gazette 29 Dec 2000 p. 7972.]</w:t>
      </w:r>
    </w:p>
    <w:p>
      <w:pPr>
        <w:pStyle w:val="Heading5"/>
      </w:pPr>
      <w:bookmarkStart w:id="227" w:name="_Toc201758963"/>
      <w:bookmarkStart w:id="228" w:name="_Toc184385005"/>
      <w:r>
        <w:rPr>
          <w:rStyle w:val="CharSectno"/>
        </w:rPr>
        <w:t>38O</w:t>
      </w:r>
      <w:r>
        <w:t>.</w:t>
      </w:r>
      <w:r>
        <w:tab/>
        <w:t>Possession of marron during non</w:t>
      </w:r>
      <w:r>
        <w:noBreakHyphen/>
        <w:t>possession period</w:t>
      </w:r>
      <w:bookmarkEnd w:id="227"/>
      <w:bookmarkEnd w:id="228"/>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keepNext/>
      </w:pPr>
      <w:r>
        <w:tab/>
        <w:t>(3)</w:t>
      </w:r>
      <w:r>
        <w:tab/>
        <w:t xml:space="preserve">In </w:t>
      </w:r>
      <w:r>
        <w:rPr>
          <w:snapToGrid w:val="0"/>
        </w:rPr>
        <w:t>this</w:t>
      </w:r>
      <w:r>
        <w:t xml:space="preserve"> regulation —</w:t>
      </w:r>
    </w:p>
    <w:p>
      <w:pPr>
        <w:pStyle w:val="Defstart"/>
        <w:keepNex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Gazette 29 Dec 2000 p. 7973; amended: Gazette 29 Dec 2006 p. 5890; 13 Oct 2009 p. 4032.]</w:t>
      </w:r>
    </w:p>
    <w:p>
      <w:pPr>
        <w:pStyle w:val="Heading3"/>
      </w:pPr>
      <w:bookmarkStart w:id="229" w:name="_Toc184372496"/>
      <w:bookmarkStart w:id="230" w:name="_Toc184377649"/>
      <w:bookmarkStart w:id="231" w:name="_Toc184385006"/>
      <w:bookmarkStart w:id="232" w:name="_Toc201508403"/>
      <w:bookmarkStart w:id="233" w:name="_Toc201754234"/>
      <w:bookmarkStart w:id="234" w:name="_Toc201758964"/>
      <w:r>
        <w:rPr>
          <w:rStyle w:val="CharDivNo"/>
        </w:rPr>
        <w:t>Division 6</w:t>
      </w:r>
      <w:r>
        <w:rPr>
          <w:snapToGrid w:val="0"/>
        </w:rPr>
        <w:t> — </w:t>
      </w:r>
      <w:r>
        <w:rPr>
          <w:rStyle w:val="CharDivText"/>
        </w:rPr>
        <w:t>Requirements relating to the taking of certain fish</w:t>
      </w:r>
      <w:bookmarkEnd w:id="229"/>
      <w:bookmarkEnd w:id="230"/>
      <w:bookmarkEnd w:id="231"/>
      <w:bookmarkEnd w:id="232"/>
      <w:bookmarkEnd w:id="233"/>
      <w:bookmarkEnd w:id="234"/>
    </w:p>
    <w:p>
      <w:pPr>
        <w:pStyle w:val="Heading5"/>
        <w:rPr>
          <w:snapToGrid w:val="0"/>
        </w:rPr>
      </w:pPr>
      <w:bookmarkStart w:id="235" w:name="_Toc201758965"/>
      <w:bookmarkStart w:id="236" w:name="_Toc184385007"/>
      <w:r>
        <w:rPr>
          <w:rStyle w:val="CharSectno"/>
        </w:rPr>
        <w:t>39</w:t>
      </w:r>
      <w:r>
        <w:rPr>
          <w:snapToGrid w:val="0"/>
        </w:rPr>
        <w:t>.</w:t>
      </w:r>
      <w:r>
        <w:rPr>
          <w:snapToGrid w:val="0"/>
        </w:rPr>
        <w:tab/>
        <w:t>Prawns, permitted ways to fish for by recreational fishers</w:t>
      </w:r>
      <w:bookmarkEnd w:id="235"/>
      <w:bookmarkEnd w:id="236"/>
    </w:p>
    <w:p>
      <w:pPr>
        <w:pStyle w:val="Subsection"/>
        <w:keepNext/>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keepNext/>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keepNext/>
      </w:pPr>
      <w:r>
        <w:tab/>
        <w:t>(b)</w:t>
      </w:r>
      <w:r>
        <w:tab/>
        <w:t>set the net.</w:t>
      </w:r>
    </w:p>
    <w:p>
      <w:pPr>
        <w:pStyle w:val="Penstart"/>
        <w:keepNext/>
        <w:rPr>
          <w:snapToGrid w:val="0"/>
        </w:rPr>
      </w:pPr>
      <w:r>
        <w:rPr>
          <w:snapToGrid w:val="0"/>
        </w:rPr>
        <w:tab/>
        <w:t>Penalty: $3 000.</w:t>
      </w:r>
    </w:p>
    <w:p>
      <w:pPr>
        <w:pStyle w:val="Footnotesection"/>
      </w:pPr>
      <w:r>
        <w:tab/>
        <w:t>[Regulation 39 amended: Gazette 1 Oct 2003 p. 4301</w:t>
      </w:r>
      <w:r>
        <w:noBreakHyphen/>
        <w:t>2; 22 Jun 2012 p. 2779.]</w:t>
      </w:r>
    </w:p>
    <w:p>
      <w:pPr>
        <w:pStyle w:val="Heading5"/>
        <w:keepLines w:val="0"/>
        <w:rPr>
          <w:snapToGrid w:val="0"/>
        </w:rPr>
      </w:pPr>
      <w:bookmarkStart w:id="237" w:name="_Toc201758966"/>
      <w:bookmarkStart w:id="238" w:name="_Toc184385008"/>
      <w:r>
        <w:rPr>
          <w:rStyle w:val="CharSectno"/>
        </w:rPr>
        <w:t>40</w:t>
      </w:r>
      <w:r>
        <w:rPr>
          <w:snapToGrid w:val="0"/>
        </w:rPr>
        <w:t>.</w:t>
      </w:r>
      <w:r>
        <w:rPr>
          <w:snapToGrid w:val="0"/>
        </w:rPr>
        <w:tab/>
        <w:t>Freshwater prawns (cherabin): permitted ways to fish for</w:t>
      </w:r>
      <w:bookmarkEnd w:id="237"/>
      <w:bookmarkEnd w:id="238"/>
    </w:p>
    <w:p>
      <w:pPr>
        <w:pStyle w:val="Subsection"/>
        <w:keepNext/>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Gazette 29 Jun 2004 p. 2523; 6 Nov 2009 p. 4471; 4 Oct 2019 p. 3609.]</w:t>
      </w:r>
    </w:p>
    <w:p>
      <w:pPr>
        <w:pStyle w:val="Heading5"/>
        <w:spacing w:before="200"/>
        <w:rPr>
          <w:snapToGrid w:val="0"/>
        </w:rPr>
      </w:pPr>
      <w:bookmarkStart w:id="239" w:name="_Toc201758967"/>
      <w:bookmarkStart w:id="240" w:name="_Toc184385009"/>
      <w:r>
        <w:rPr>
          <w:rStyle w:val="CharSectno"/>
        </w:rPr>
        <w:t>41</w:t>
      </w:r>
      <w:r>
        <w:rPr>
          <w:snapToGrid w:val="0"/>
        </w:rPr>
        <w:t>.</w:t>
      </w:r>
      <w:r>
        <w:rPr>
          <w:snapToGrid w:val="0"/>
        </w:rPr>
        <w:tab/>
        <w:t>Abalone, who may shuck or possess when shucked</w:t>
      </w:r>
      <w:bookmarkEnd w:id="239"/>
      <w:bookmarkEnd w:id="240"/>
    </w:p>
    <w:p>
      <w:pPr>
        <w:pStyle w:val="Subsection"/>
        <w:keepNext/>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keepNext/>
        <w:spacing w:before="60"/>
      </w:pPr>
      <w:r>
        <w:tab/>
        <w:t>(c)</w:t>
      </w:r>
      <w:r>
        <w:tab/>
        <w:t>within 200 m of, and on the landward side of, the high water mark,</w:t>
      </w:r>
    </w:p>
    <w:p>
      <w:pPr>
        <w:pStyle w:val="Subsection"/>
        <w:keepNext/>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keepNext/>
        <w:keepLines/>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keepNext/>
              <w:spacing w:before="60"/>
              <w:rPr>
                <w:snapToGrid w:val="0"/>
                <w:sz w:val="22"/>
              </w:rPr>
            </w:pPr>
            <w:r>
              <w:rPr>
                <w:snapToGrid w:val="0"/>
                <w:sz w:val="22"/>
              </w:rPr>
              <w:t>The fish cleaning facility situated approximately 40 m in an easterly direction from the intersection of Wharton Road and Road No. 17027 (access road to the Duke of Orleans Caravan Park) at the Duke of Orleans Bay.</w:t>
            </w:r>
          </w:p>
        </w:tc>
      </w:tr>
    </w:tbl>
    <w:p>
      <w:pPr>
        <w:pStyle w:val="Footnotesection"/>
      </w:pPr>
      <w:r>
        <w:tab/>
        <w:t>[Regulation 41 amended: Gazette 19 Jun 1998 p. 3263; 4 Nov 2005 p. 5311; 2 Aug 2011 p. 3167; 2 Nov 2011 p. 4621.]</w:t>
      </w:r>
    </w:p>
    <w:p>
      <w:pPr>
        <w:pStyle w:val="Heading5"/>
        <w:rPr>
          <w:snapToGrid w:val="0"/>
        </w:rPr>
      </w:pPr>
      <w:bookmarkStart w:id="241" w:name="_Toc201758968"/>
      <w:bookmarkStart w:id="242" w:name="_Toc184385010"/>
      <w:r>
        <w:rPr>
          <w:rStyle w:val="CharSectno"/>
        </w:rPr>
        <w:t>42</w:t>
      </w:r>
      <w:r>
        <w:rPr>
          <w:snapToGrid w:val="0"/>
        </w:rPr>
        <w:t>.</w:t>
      </w:r>
      <w:r>
        <w:rPr>
          <w:snapToGrid w:val="0"/>
        </w:rPr>
        <w:tab/>
        <w:t>Molluscs (not abalone or oyster), shucking of</w:t>
      </w:r>
      <w:bookmarkEnd w:id="241"/>
      <w:bookmarkEnd w:id="242"/>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keepNext/>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keepNext/>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keepNext/>
        <w:rPr>
          <w:snapToGrid w:val="0"/>
        </w:rPr>
      </w:pPr>
      <w:r>
        <w:rPr>
          <w:snapToGrid w:val="0"/>
        </w:rPr>
        <w:tab/>
        <w:t>Penalty: $2 000.</w:t>
      </w:r>
    </w:p>
    <w:p>
      <w:pPr>
        <w:pStyle w:val="Footnotesection"/>
      </w:pPr>
      <w:r>
        <w:tab/>
        <w:t>[Regulation 42 amended: Gazette 1 Oct 2003 p. 4302; 4 Nov 2005 p. 5311.]</w:t>
      </w:r>
    </w:p>
    <w:p>
      <w:pPr>
        <w:pStyle w:val="Heading5"/>
        <w:spacing w:before="180"/>
        <w:rPr>
          <w:snapToGrid w:val="0"/>
        </w:rPr>
      </w:pPr>
      <w:bookmarkStart w:id="243" w:name="_Toc201758969"/>
      <w:bookmarkStart w:id="244" w:name="_Toc184385011"/>
      <w:r>
        <w:rPr>
          <w:rStyle w:val="CharSectno"/>
        </w:rPr>
        <w:t>43</w:t>
      </w:r>
      <w:r>
        <w:rPr>
          <w:snapToGrid w:val="0"/>
        </w:rPr>
        <w:t>.</w:t>
      </w:r>
      <w:r>
        <w:rPr>
          <w:snapToGrid w:val="0"/>
        </w:rPr>
        <w:tab/>
        <w:t>Trout, obstructing etc.</w:t>
      </w:r>
      <w:bookmarkEnd w:id="243"/>
      <w:bookmarkEnd w:id="244"/>
    </w:p>
    <w:p>
      <w:pPr>
        <w:pStyle w:val="Subsection"/>
        <w:keepNext/>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keepNext/>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Ednotesection"/>
      </w:pPr>
      <w:r>
        <w:t>[</w:t>
      </w:r>
      <w:r>
        <w:rPr>
          <w:b/>
          <w:bCs/>
        </w:rPr>
        <w:t>44.</w:t>
      </w:r>
      <w:r>
        <w:tab/>
        <w:t>Deleted: SL 2024/263 r. 7.]</w:t>
      </w:r>
    </w:p>
    <w:p>
      <w:pPr>
        <w:pStyle w:val="Ednotesection"/>
      </w:pPr>
      <w:r>
        <w:t>[</w:t>
      </w:r>
      <w:r>
        <w:rPr>
          <w:b/>
        </w:rPr>
        <w:t>44A.</w:t>
      </w:r>
      <w:r>
        <w:tab/>
        <w:t>Deleted: Gazette 4 Oct 2019 p. 3533.]</w:t>
      </w:r>
    </w:p>
    <w:p>
      <w:pPr>
        <w:pStyle w:val="Heading5"/>
        <w:rPr>
          <w:snapToGrid w:val="0"/>
        </w:rPr>
      </w:pPr>
      <w:bookmarkStart w:id="245" w:name="_Toc201758970"/>
      <w:bookmarkStart w:id="246" w:name="_Toc184385012"/>
      <w:r>
        <w:rPr>
          <w:rStyle w:val="CharSectno"/>
        </w:rPr>
        <w:t>45</w:t>
      </w:r>
      <w:r>
        <w:t>.</w:t>
      </w:r>
      <w:r>
        <w:tab/>
        <w:t>Closed season for recreational fishing for demersal scalefish in West Coast Region</w:t>
      </w:r>
      <w:bookmarkEnd w:id="245"/>
      <w:bookmarkEnd w:id="246"/>
    </w:p>
    <w:p>
      <w:pPr>
        <w:pStyle w:val="Subsection"/>
        <w:keepNext/>
      </w:pPr>
      <w:r>
        <w:tab/>
        <w:t>(1)</w:t>
      </w:r>
      <w:r>
        <w:tab/>
        <w:t xml:space="preserve">In this regulation — </w:t>
      </w:r>
    </w:p>
    <w:p>
      <w:pPr>
        <w:pStyle w:val="Defstart"/>
        <w:keepNext/>
      </w:pPr>
      <w:r>
        <w:tab/>
      </w:r>
      <w:r>
        <w:rPr>
          <w:rStyle w:val="CharDefText"/>
        </w:rPr>
        <w:t>closed season</w:t>
      </w:r>
      <w:r>
        <w:t xml:space="preserve"> — </w:t>
      </w:r>
    </w:p>
    <w:p>
      <w:pPr>
        <w:pStyle w:val="Defpara"/>
        <w:keepNext/>
      </w:pPr>
      <w:r>
        <w:tab/>
        <w:t>(a)</w:t>
      </w:r>
      <w:r>
        <w:tab/>
        <w:t xml:space="preserve">means the period — </w:t>
      </w:r>
    </w:p>
    <w:p>
      <w:pPr>
        <w:pStyle w:val="Defsubpara"/>
      </w:pPr>
      <w:r>
        <w:tab/>
        <w:t>(i)</w:t>
      </w:r>
      <w:r>
        <w:tab/>
        <w:t>beginning on 1 February in a year and ending on 31 March in that year; and</w:t>
      </w:r>
    </w:p>
    <w:p>
      <w:pPr>
        <w:pStyle w:val="Defsubpara"/>
      </w:pPr>
      <w:r>
        <w:tab/>
        <w:t>(ii)</w:t>
      </w:r>
      <w:r>
        <w:tab/>
        <w:t>beginning on 1 August in a year and ending on 15 September in that year; and</w:t>
      </w:r>
    </w:p>
    <w:p>
      <w:pPr>
        <w:pStyle w:val="Defsubpara"/>
      </w:pPr>
      <w:r>
        <w:tab/>
        <w:t>(iii)</w:t>
      </w:r>
      <w:r>
        <w:tab/>
        <w:t>beginning on 15 October in a year and ending on 15 December in that year;</w:t>
      </w:r>
    </w:p>
    <w:p>
      <w:pPr>
        <w:pStyle w:val="Defpara"/>
      </w:pPr>
      <w:r>
        <w:tab/>
      </w:r>
      <w:r>
        <w:tab/>
        <w:t>but</w:t>
      </w:r>
    </w:p>
    <w:p>
      <w:pPr>
        <w:pStyle w:val="Defpara"/>
      </w:pPr>
      <w:r>
        <w:tab/>
        <w:t>(b)</w:t>
      </w:r>
      <w:r>
        <w:tab/>
        <w:t>does not include the period beginning on 29 March 2024 and ending on 31 March 2024;</w:t>
      </w:r>
    </w:p>
    <w:p>
      <w:pPr>
        <w:pStyle w:val="Defstart"/>
        <w:keepNext/>
      </w:pPr>
      <w:r>
        <w:tab/>
      </w:r>
      <w:r>
        <w:rPr>
          <w:rStyle w:val="CharDefText"/>
        </w:rPr>
        <w:t>demersal scalefish</w:t>
      </w:r>
      <w:r>
        <w:t xml:space="preserve"> — </w:t>
      </w:r>
    </w:p>
    <w:p>
      <w:pPr>
        <w:pStyle w:val="Defpara"/>
      </w:pPr>
      <w:r>
        <w:tab/>
        <w:t>(a)</w:t>
      </w:r>
      <w:r>
        <w:tab/>
        <w:t>means a species of fish specified in Schedule 3 Division  1 Subdivision 2 column 1; but</w:t>
      </w:r>
    </w:p>
    <w:p>
      <w:pPr>
        <w:pStyle w:val="Defpara"/>
        <w:keepNext/>
      </w:pPr>
      <w:r>
        <w:tab/>
        <w:t>(b)</w:t>
      </w:r>
      <w:r>
        <w:tab/>
        <w:t xml:space="preserve">does not include — </w:t>
      </w:r>
    </w:p>
    <w:p>
      <w:pPr>
        <w:pStyle w:val="Defsubpara"/>
      </w:pPr>
      <w:r>
        <w:tab/>
        <w:t>(i)</w:t>
      </w:r>
      <w:r>
        <w:tab/>
        <w:t>Boarfish; or</w:t>
      </w:r>
    </w:p>
    <w:p>
      <w:pPr>
        <w:pStyle w:val="Defsubpara"/>
      </w:pPr>
      <w:r>
        <w:tab/>
        <w:t>(ii)</w:t>
      </w:r>
      <w:r>
        <w:tab/>
        <w:t>John Dory; or</w:t>
      </w:r>
    </w:p>
    <w:p>
      <w:pPr>
        <w:pStyle w:val="Defsubpara"/>
        <w:keepNext/>
      </w:pPr>
      <w:r>
        <w:tab/>
        <w:t>(iii)</w:t>
      </w:r>
      <w:r>
        <w:tab/>
        <w:t>Mirror Dory.</w:t>
      </w:r>
    </w:p>
    <w:p>
      <w:pPr>
        <w:pStyle w:val="Subsection"/>
        <w:keepNext/>
      </w:pPr>
      <w:r>
        <w:tab/>
        <w:t>(2)</w:t>
      </w:r>
      <w:r>
        <w:tab/>
        <w:t>During the closed season a person must not —</w:t>
      </w:r>
    </w:p>
    <w:p>
      <w:pPr>
        <w:pStyle w:val="Ednotepara"/>
      </w:pPr>
      <w:r>
        <w:tab/>
        <w:t>[(a)</w:t>
      </w:r>
      <w:r>
        <w:tab/>
        <w:t>deleted]</w:t>
      </w:r>
    </w:p>
    <w:p>
      <w:pPr>
        <w:pStyle w:val="Indenta"/>
      </w:pPr>
      <w:r>
        <w:tab/>
        <w:t>(b)</w:t>
      </w:r>
      <w:r>
        <w:tab/>
        <w:t>be in possession of demersal scalefish on a boat in the waters of the West Coast Region; or</w:t>
      </w:r>
    </w:p>
    <w:p>
      <w:pPr>
        <w:pStyle w:val="Indenta"/>
        <w:keepNext/>
      </w:pPr>
      <w:r>
        <w:tab/>
        <w:t>(c)</w:t>
      </w:r>
      <w:r>
        <w:tab/>
        <w:t>bring onto land in the West Coast Region any demersal scalefish.</w:t>
      </w:r>
    </w:p>
    <w:p>
      <w:pPr>
        <w:pStyle w:val="Penstart"/>
        <w:keepNext/>
      </w:pPr>
      <w:r>
        <w:tab/>
        <w:t>Penalty for this subregulation:</w:t>
      </w:r>
    </w:p>
    <w:p>
      <w:pPr>
        <w:pStyle w:val="Penpara"/>
      </w:pPr>
      <w:r>
        <w:tab/>
        <w:t>(a)</w:t>
      </w:r>
      <w:r>
        <w:tab/>
        <w:t>for a first offence, a fine of $5 000 and the penalty provided in section 222 of the Act;</w:t>
      </w:r>
    </w:p>
    <w:p>
      <w:pPr>
        <w:pStyle w:val="Penpara"/>
      </w:pPr>
      <w:r>
        <w:tab/>
        <w:t>(b)</w:t>
      </w:r>
      <w:r>
        <w:tab/>
        <w:t>for a second or subsequent offence, a fine of $10 000 and the penalty provided in section 222 of the Act.</w:t>
      </w:r>
    </w:p>
    <w:p>
      <w:pPr>
        <w:pStyle w:val="Subsection"/>
        <w:keepNext/>
      </w:pPr>
      <w:r>
        <w:tab/>
        <w:t>(3)</w:t>
      </w:r>
      <w:r>
        <w:tab/>
        <w:t xml:space="preserve">Subregulation (2)(b) and (c) do not apply to or in respect of demersal scalefish taken by a person — </w:t>
      </w:r>
    </w:p>
    <w:p>
      <w:pPr>
        <w:pStyle w:val="Indenta"/>
      </w:pPr>
      <w:r>
        <w:tab/>
        <w:t>(a)</w:t>
      </w:r>
      <w:r>
        <w:tab/>
        <w:t>for a commercial purpose in accordance with an authorisation; or</w:t>
      </w:r>
    </w:p>
    <w:p>
      <w:pPr>
        <w:pStyle w:val="Indenta"/>
      </w:pPr>
      <w:r>
        <w:tab/>
        <w:t>(b)</w:t>
      </w:r>
      <w:r>
        <w:tab/>
        <w:t>during a fishing tour on a charter boat.</w:t>
      </w:r>
    </w:p>
    <w:p>
      <w:pPr>
        <w:pStyle w:val="Subsection"/>
        <w:keepNext/>
      </w:pPr>
      <w:r>
        <w:tab/>
        <w:t>(4)</w:t>
      </w:r>
      <w:r>
        <w:tab/>
        <w:t>Subregulation (2)(c) does not apply to or in respect of demersal scalefish taken by a person fishing from the shore using a rod, reel and line or a hand</w:t>
      </w:r>
      <w:r>
        <w:noBreakHyphen/>
        <w:t>held line.</w:t>
      </w:r>
    </w:p>
    <w:p>
      <w:pPr>
        <w:pStyle w:val="Footnotesection"/>
      </w:pPr>
      <w:r>
        <w:tab/>
        <w:t>[Regulation 45 inserted: Gazette 29 Sep 2009 p. 3866</w:t>
      </w:r>
      <w:r>
        <w:noBreakHyphen/>
        <w:t>7; amended: Gazette 4 Oct 2019 p. 3533</w:t>
      </w:r>
      <w:r>
        <w:noBreakHyphen/>
        <w:t>4; SL 2023/2 r. 10; SL 2024/64 r. 4.]</w:t>
      </w:r>
    </w:p>
    <w:p>
      <w:pPr>
        <w:pStyle w:val="Ednotedivision"/>
      </w:pPr>
      <w:r>
        <w:t>[Division 7: Heading and r. 46</w:t>
      </w:r>
      <w:r>
        <w:noBreakHyphen/>
        <w:t>54 deleted: Gazette 1 Oct 2003 p. 4303; r. 55 deleted: Gazette 11 Feb 2003 p. 412.]</w:t>
      </w:r>
    </w:p>
    <w:p>
      <w:pPr>
        <w:pStyle w:val="Heading3"/>
      </w:pPr>
      <w:bookmarkStart w:id="247" w:name="_Toc184372504"/>
      <w:bookmarkStart w:id="248" w:name="_Toc184377656"/>
      <w:bookmarkStart w:id="249" w:name="_Toc184385013"/>
      <w:bookmarkStart w:id="250" w:name="_Toc201508410"/>
      <w:bookmarkStart w:id="251" w:name="_Toc201754241"/>
      <w:bookmarkStart w:id="252" w:name="_Toc201758971"/>
      <w:r>
        <w:rPr>
          <w:rStyle w:val="CharDivNo"/>
        </w:rPr>
        <w:t>Division 7A</w:t>
      </w:r>
      <w:r>
        <w:rPr>
          <w:snapToGrid w:val="0"/>
        </w:rPr>
        <w:t> — </w:t>
      </w:r>
      <w:r>
        <w:rPr>
          <w:rStyle w:val="CharDivText"/>
        </w:rPr>
        <w:t>Requirements relating to automatic location communicators</w:t>
      </w:r>
      <w:bookmarkEnd w:id="247"/>
      <w:bookmarkEnd w:id="248"/>
      <w:bookmarkEnd w:id="249"/>
      <w:bookmarkEnd w:id="250"/>
      <w:bookmarkEnd w:id="251"/>
      <w:bookmarkEnd w:id="252"/>
    </w:p>
    <w:p>
      <w:pPr>
        <w:pStyle w:val="Footnoteheading"/>
        <w:keepNext/>
        <w:rPr>
          <w:snapToGrid w:val="0"/>
        </w:rPr>
      </w:pPr>
      <w:r>
        <w:rPr>
          <w:snapToGrid w:val="0"/>
        </w:rPr>
        <w:tab/>
        <w:t xml:space="preserve">[Heading </w:t>
      </w:r>
      <w:r>
        <w:t>inserted</w:t>
      </w:r>
      <w:r>
        <w:rPr>
          <w:snapToGrid w:val="0"/>
        </w:rPr>
        <w:t>: Gazette 2 Jan 1998 p. 25.]</w:t>
      </w:r>
    </w:p>
    <w:p>
      <w:pPr>
        <w:pStyle w:val="Heading5"/>
      </w:pPr>
      <w:bookmarkStart w:id="253" w:name="_Toc201758972"/>
      <w:bookmarkStart w:id="254" w:name="_Toc184385014"/>
      <w:r>
        <w:rPr>
          <w:rStyle w:val="CharSectno"/>
        </w:rPr>
        <w:t>55A</w:t>
      </w:r>
      <w:r>
        <w:t>.</w:t>
      </w:r>
      <w:r>
        <w:tab/>
        <w:t>Terms used</w:t>
      </w:r>
      <w:bookmarkEnd w:id="253"/>
      <w:bookmarkEnd w:id="254"/>
    </w:p>
    <w:p>
      <w:pPr>
        <w:pStyle w:val="Subsection"/>
        <w:keepNext/>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pPr>
      <w:r>
        <w:tab/>
      </w:r>
      <w:r>
        <w:rPr>
          <w:rStyle w:val="CharDefText"/>
        </w:rPr>
        <w:t>automatic location communicator</w:t>
      </w:r>
      <w:r>
        <w:t xml:space="preserve"> or </w:t>
      </w:r>
      <w:r>
        <w:rPr>
          <w:rStyle w:val="CharDefText"/>
        </w:rPr>
        <w:t>ALC</w:t>
      </w:r>
      <w:r>
        <w:t xml:space="preserve"> means — </w:t>
      </w:r>
    </w:p>
    <w:p>
      <w:pPr>
        <w:pStyle w:val="Defpara"/>
      </w:pPr>
      <w:r>
        <w:tab/>
        <w:t>(a)</w:t>
      </w:r>
      <w:r>
        <w:tab/>
        <w:t>an electronic device for receiving, recording, generating, responding to and transmitting information, including information about the geographical position of a boat; and</w:t>
      </w:r>
    </w:p>
    <w:p>
      <w:pPr>
        <w:pStyle w:val="Defpara"/>
      </w:pPr>
      <w:r>
        <w:tab/>
        <w:t>(b)</w:t>
      </w:r>
      <w:r>
        <w:tab/>
        <w:t>includes hardware, software or firmware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Gazette 23 May 2006 p. 1858; amended: SL 2024/263 r. 8.]</w:t>
      </w:r>
    </w:p>
    <w:p>
      <w:pPr>
        <w:pStyle w:val="Heading5"/>
      </w:pPr>
      <w:bookmarkStart w:id="255" w:name="_Toc201758973"/>
      <w:bookmarkStart w:id="256" w:name="_Toc184385015"/>
      <w:r>
        <w:rPr>
          <w:rStyle w:val="CharSectno"/>
        </w:rPr>
        <w:t>55AA</w:t>
      </w:r>
      <w:r>
        <w:t>.</w:t>
      </w:r>
      <w:r>
        <w:tab/>
        <w:t>ALCs, approval of; directions for use of etc.</w:t>
      </w:r>
      <w:bookmarkEnd w:id="255"/>
      <w:bookmarkEnd w:id="256"/>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keepNext/>
      </w:pPr>
      <w:r>
        <w:tab/>
        <w:t>(5)</w:t>
      </w:r>
      <w:r>
        <w:tab/>
        <w:t>The CEO may by notice amend or revoke a notice under subregulation (1) or (3).</w:t>
      </w:r>
    </w:p>
    <w:p>
      <w:pPr>
        <w:pStyle w:val="Footnotesection"/>
      </w:pPr>
      <w:r>
        <w:tab/>
        <w:t>[Regulation 55AA inserted: Gazette 23 May 2006 p. 1858</w:t>
      </w:r>
      <w:r>
        <w:noBreakHyphen/>
        <w:t>9; amended: Gazette 6 Jul 2007 p. 3389; 18 Aug 2009 p. 3237.]</w:t>
      </w:r>
    </w:p>
    <w:p>
      <w:pPr>
        <w:pStyle w:val="Heading5"/>
        <w:rPr>
          <w:snapToGrid w:val="0"/>
        </w:rPr>
      </w:pPr>
      <w:bookmarkStart w:id="257" w:name="_Toc201758974"/>
      <w:bookmarkStart w:id="258" w:name="_Toc184385016"/>
      <w:r>
        <w:rPr>
          <w:rStyle w:val="CharSectno"/>
        </w:rPr>
        <w:t>55B</w:t>
      </w:r>
      <w:r>
        <w:rPr>
          <w:snapToGrid w:val="0"/>
        </w:rPr>
        <w:t>.</w:t>
      </w:r>
      <w:r>
        <w:rPr>
          <w:snapToGrid w:val="0"/>
        </w:rPr>
        <w:tab/>
        <w:t>ALC, CEO may direct installation of etc. in fishing boat</w:t>
      </w:r>
      <w:bookmarkEnd w:id="257"/>
      <w:bookmarkEnd w:id="258"/>
    </w:p>
    <w:p>
      <w:pPr>
        <w:pStyle w:val="Subsection"/>
        <w:keepNext/>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keepNext/>
        <w:spacing w:before="180"/>
      </w:pPr>
      <w:r>
        <w:tab/>
        <w:t>(3)</w:t>
      </w:r>
      <w:r>
        <w:tab/>
        <w:t>The CEO may by notice in writing given to the licence holder amend or revoke a notice.</w:t>
      </w:r>
    </w:p>
    <w:p>
      <w:pPr>
        <w:pStyle w:val="Footnotesection"/>
      </w:pPr>
      <w:r>
        <w:tab/>
        <w:t>[Regulation 55B inserted: Gazette 2 Jan 1998 p. 26; amended: Gazette 23 May 2006 p. 1859; 6 Jul 2007 p. 3389; 18 Aug 2009 p. 3237</w:t>
      </w:r>
      <w:r>
        <w:noBreakHyphen/>
        <w:t>8.]</w:t>
      </w:r>
    </w:p>
    <w:p>
      <w:pPr>
        <w:pStyle w:val="Heading5"/>
        <w:spacing w:before="240"/>
        <w:rPr>
          <w:snapToGrid w:val="0"/>
        </w:rPr>
      </w:pPr>
      <w:bookmarkStart w:id="259" w:name="_Toc201758975"/>
      <w:bookmarkStart w:id="260" w:name="_Toc184385017"/>
      <w:r>
        <w:rPr>
          <w:rStyle w:val="CharSectno"/>
        </w:rPr>
        <w:t>55C</w:t>
      </w:r>
      <w:r>
        <w:rPr>
          <w:snapToGrid w:val="0"/>
        </w:rPr>
        <w:t>.</w:t>
      </w:r>
      <w:r>
        <w:rPr>
          <w:snapToGrid w:val="0"/>
        </w:rPr>
        <w:tab/>
        <w:t>Master of fishing boat, duties of as to ALC</w:t>
      </w:r>
      <w:bookmarkEnd w:id="259"/>
      <w:bookmarkEnd w:id="260"/>
    </w:p>
    <w:p>
      <w:pPr>
        <w:pStyle w:val="Subsection"/>
        <w:keepNext/>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Defstart"/>
      </w:pPr>
      <w:r>
        <w:tab/>
      </w:r>
      <w:r>
        <w:rPr>
          <w:rStyle w:val="CharDefText"/>
        </w:rPr>
        <w:t>operating effectively</w:t>
      </w:r>
      <w:r>
        <w:t>, in relation to an ALC, means that the ALC is accurately receiving, recording, generating, responding to and transmitting information.</w:t>
      </w:r>
    </w:p>
    <w:p>
      <w:pPr>
        <w:pStyle w:val="Subsection"/>
        <w:keepNext/>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keepNext/>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keepNext/>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keepNext/>
        <w:rPr>
          <w:snapToGrid w:val="0"/>
        </w:rPr>
      </w:pPr>
      <w:r>
        <w:rPr>
          <w:snapToGrid w:val="0"/>
        </w:rPr>
        <w:tab/>
        <w:t>Penalty: $10 000.</w:t>
      </w:r>
    </w:p>
    <w:p>
      <w:pPr>
        <w:pStyle w:val="Footnotesection"/>
        <w:spacing w:before="100"/>
      </w:pPr>
      <w:r>
        <w:tab/>
        <w:t>[Regulation 55C inserted: Gazette 2 Jan 1998 p. 26</w:t>
      </w:r>
      <w:r>
        <w:noBreakHyphen/>
        <w:t>7; amended: Gazette 23 May 2006 p. 1859</w:t>
      </w:r>
      <w:r>
        <w:noBreakHyphen/>
        <w:t>60; 6 Jul 2007 p. 3389; SL 2024/263 r. 9.]</w:t>
      </w:r>
    </w:p>
    <w:p>
      <w:pPr>
        <w:pStyle w:val="Heading5"/>
        <w:spacing w:before="200"/>
        <w:rPr>
          <w:snapToGrid w:val="0"/>
        </w:rPr>
      </w:pPr>
      <w:bookmarkStart w:id="261" w:name="_Toc201758976"/>
      <w:bookmarkStart w:id="262" w:name="_Toc184385018"/>
      <w:r>
        <w:rPr>
          <w:rStyle w:val="CharSectno"/>
        </w:rPr>
        <w:t>55D</w:t>
      </w:r>
      <w:r>
        <w:rPr>
          <w:snapToGrid w:val="0"/>
        </w:rPr>
        <w:t>.</w:t>
      </w:r>
      <w:r>
        <w:rPr>
          <w:snapToGrid w:val="0"/>
        </w:rPr>
        <w:tab/>
        <w:t>Interfering etc. with ALC or approved seal</w:t>
      </w:r>
      <w:bookmarkEnd w:id="261"/>
      <w:bookmarkEnd w:id="262"/>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keepNext/>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Gazette 2 Jan 1998 p. 27; amended: Gazette 23 May 2006 p. 1860.]</w:t>
      </w:r>
    </w:p>
    <w:p>
      <w:pPr>
        <w:pStyle w:val="Heading3"/>
        <w:keepLines/>
      </w:pPr>
      <w:bookmarkStart w:id="263" w:name="_Toc184372510"/>
      <w:bookmarkStart w:id="264" w:name="_Toc184377662"/>
      <w:bookmarkStart w:id="265" w:name="_Toc184385019"/>
      <w:bookmarkStart w:id="266" w:name="_Toc201508416"/>
      <w:bookmarkStart w:id="267" w:name="_Toc201754247"/>
      <w:bookmarkStart w:id="268" w:name="_Toc201758977"/>
      <w:r>
        <w:rPr>
          <w:rStyle w:val="CharDivNo"/>
        </w:rPr>
        <w:t>Division 7B</w:t>
      </w:r>
      <w:r>
        <w:t> — </w:t>
      </w:r>
      <w:r>
        <w:rPr>
          <w:rStyle w:val="CharDivText"/>
        </w:rPr>
        <w:t>Requirements relating to bait bands</w:t>
      </w:r>
      <w:bookmarkEnd w:id="263"/>
      <w:bookmarkEnd w:id="264"/>
      <w:bookmarkEnd w:id="265"/>
      <w:bookmarkEnd w:id="266"/>
      <w:bookmarkEnd w:id="267"/>
      <w:bookmarkEnd w:id="268"/>
    </w:p>
    <w:p>
      <w:pPr>
        <w:pStyle w:val="Footnoteheading"/>
        <w:keepNext/>
        <w:keepLines/>
        <w:spacing w:before="100"/>
      </w:pPr>
      <w:r>
        <w:tab/>
        <w:t>[Heading inserted: Gazette 2 Nov 2011 p. 4622.]</w:t>
      </w:r>
    </w:p>
    <w:p>
      <w:pPr>
        <w:pStyle w:val="Heading5"/>
        <w:spacing w:before="200"/>
      </w:pPr>
      <w:bookmarkStart w:id="269" w:name="_Toc201758978"/>
      <w:bookmarkStart w:id="270" w:name="_Toc184385020"/>
      <w:r>
        <w:rPr>
          <w:rStyle w:val="CharSectno"/>
        </w:rPr>
        <w:t>55E</w:t>
      </w:r>
      <w:r>
        <w:t>.</w:t>
      </w:r>
      <w:r>
        <w:tab/>
        <w:t>Terms used</w:t>
      </w:r>
      <w:bookmarkEnd w:id="269"/>
      <w:bookmarkEnd w:id="270"/>
    </w:p>
    <w:p>
      <w:pPr>
        <w:pStyle w:val="Subsection"/>
        <w:keepNext/>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NDS Managed Fishery</w:t>
      </w:r>
      <w:r>
        <w:t xml:space="preserve"> means the Northern Demersal Scalefish Managed Fishery;</w:t>
      </w:r>
    </w:p>
    <w:p>
      <w:pPr>
        <w:pStyle w:val="Defstart"/>
      </w:pPr>
      <w:r>
        <w:tab/>
      </w:r>
      <w:r>
        <w:rPr>
          <w:rStyle w:val="CharDefText"/>
        </w:rPr>
        <w:t>PT Managed Fishery</w:t>
      </w:r>
      <w:r>
        <w:t xml:space="preserve"> means the Pilbara Trap Managed Fishery;</w:t>
      </w:r>
    </w:p>
    <w:p>
      <w:pPr>
        <w:pStyle w:val="Defstart"/>
        <w:keepNext/>
      </w:pPr>
      <w:r>
        <w:tab/>
      </w:r>
      <w:r>
        <w:rPr>
          <w:rStyle w:val="CharDefText"/>
        </w:rPr>
        <w:t>WCRL Managed Fishery</w:t>
      </w:r>
      <w:r>
        <w:t xml:space="preserve"> means the West Coast Rock Lobster Managed Fishery.</w:t>
      </w:r>
    </w:p>
    <w:p>
      <w:pPr>
        <w:pStyle w:val="Footnotesection"/>
      </w:pPr>
      <w:r>
        <w:tab/>
        <w:t>[Regulation 55E inserted: Gazette 2 Nov 2011 p. 4622; amended: Gazette 1 Mar 2013 p. 1092; SL 2024/263 r. 10.]</w:t>
      </w:r>
    </w:p>
    <w:p>
      <w:pPr>
        <w:pStyle w:val="Heading5"/>
        <w:spacing w:before="280"/>
      </w:pPr>
      <w:bookmarkStart w:id="271" w:name="_Toc201758979"/>
      <w:bookmarkStart w:id="272" w:name="_Toc184385021"/>
      <w:r>
        <w:rPr>
          <w:rStyle w:val="CharSectno"/>
        </w:rPr>
        <w:t>55F</w:t>
      </w:r>
      <w:r>
        <w:t>.</w:t>
      </w:r>
      <w:r>
        <w:tab/>
        <w:t>Bait bands on boats prohibited</w:t>
      </w:r>
      <w:bookmarkEnd w:id="271"/>
      <w:bookmarkEnd w:id="272"/>
    </w:p>
    <w:p>
      <w:pPr>
        <w:pStyle w:val="Subsection"/>
        <w:keepNext/>
        <w:spacing w:before="180"/>
      </w:pPr>
      <w:r>
        <w:tab/>
        <w:t>(1)</w:t>
      </w:r>
      <w:r>
        <w:tab/>
        <w:t>Subject to subregulations (2), (3), (4) and (5),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keepNext/>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is being used in that fishery to transport bait from a licensed carrier boat to the Abrolhos Islands; or</w:t>
      </w:r>
    </w:p>
    <w:p>
      <w:pPr>
        <w:pStyle w:val="Indenta"/>
        <w:spacing w:before="100"/>
      </w:pPr>
      <w:r>
        <w:tab/>
        <w:t>(b)</w:t>
      </w:r>
      <w:r>
        <w:tab/>
        <w:t>is a licensed fishing boat that is moored or anchored in that fishery not more than 800 m from the high water mark on the mainland or the Abrolhos Islands.</w:t>
      </w:r>
    </w:p>
    <w:p>
      <w:pPr>
        <w:pStyle w:val="Subsection"/>
        <w:keepNext/>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keepNext/>
        <w:spacing w:before="100"/>
      </w:pPr>
      <w:r>
        <w:tab/>
        <w:t>(b)</w:t>
      </w:r>
      <w:r>
        <w:tab/>
        <w:t>bait bands from a boat referred to in subregulation (3)(b).</w:t>
      </w:r>
    </w:p>
    <w:p>
      <w:pPr>
        <w:pStyle w:val="Subsection"/>
      </w:pPr>
      <w:r>
        <w:tab/>
        <w:t>(5)</w:t>
      </w:r>
      <w:r>
        <w:tab/>
        <w:t>Subregulation (1) does not apply in relation to a boat that is authorised to be used for or in connection with fishing in the NDS Managed Fishery or the PT Managed Fishery.</w:t>
      </w:r>
    </w:p>
    <w:p>
      <w:pPr>
        <w:pStyle w:val="Footnotesection"/>
      </w:pPr>
      <w:r>
        <w:tab/>
        <w:t>[Regulation 55F inserted: Gazette 2 Nov 2011 p. 4623; amended: SL 2024/263 r. 11.]</w:t>
      </w:r>
    </w:p>
    <w:p>
      <w:pPr>
        <w:pStyle w:val="Heading5"/>
      </w:pPr>
      <w:bookmarkStart w:id="273" w:name="_Toc184300118"/>
      <w:bookmarkStart w:id="274" w:name="_Toc184300310"/>
      <w:bookmarkStart w:id="275" w:name="_Toc201758980"/>
      <w:bookmarkStart w:id="276" w:name="_Toc184385022"/>
      <w:r>
        <w:rPr>
          <w:rStyle w:val="CharSectno"/>
        </w:rPr>
        <w:t>55FA</w:t>
      </w:r>
      <w:r>
        <w:t>.</w:t>
      </w:r>
      <w:r>
        <w:tab/>
        <w:t>Bait bands to be broken</w:t>
      </w:r>
      <w:bookmarkEnd w:id="273"/>
      <w:bookmarkEnd w:id="274"/>
      <w:bookmarkEnd w:id="275"/>
      <w:bookmarkEnd w:id="276"/>
    </w:p>
    <w:p>
      <w:pPr>
        <w:pStyle w:val="Subsection"/>
      </w:pPr>
      <w:r>
        <w:tab/>
        <w:t>(1)</w:t>
      </w:r>
      <w:r>
        <w:tab/>
        <w:t xml:space="preserve">In this regulation — </w:t>
      </w:r>
    </w:p>
    <w:p>
      <w:pPr>
        <w:pStyle w:val="Defstart"/>
      </w:pPr>
      <w:r>
        <w:tab/>
      </w:r>
      <w:r>
        <w:rPr>
          <w:rStyle w:val="CharDefText"/>
        </w:rPr>
        <w:t>broken</w:t>
      </w:r>
      <w:r>
        <w:t>, in relation to a bait band, means that the band is cut through or pulled open so that it no longer forms a continuous loop;</w:t>
      </w:r>
    </w:p>
    <w:p>
      <w:pPr>
        <w:pStyle w:val="Defstart"/>
      </w:pPr>
      <w:r>
        <w:tab/>
      </w:r>
      <w:r>
        <w:rPr>
          <w:rStyle w:val="CharDefText"/>
        </w:rPr>
        <w:t>specified boat</w:t>
      </w:r>
      <w:r>
        <w:t xml:space="preserve"> means a boat referred to in regulation 55F(5).</w:t>
      </w:r>
    </w:p>
    <w:p>
      <w:pPr>
        <w:pStyle w:val="Subsection"/>
        <w:keepNext/>
      </w:pPr>
      <w:r>
        <w:tab/>
        <w:t>(2)</w:t>
      </w:r>
      <w:r>
        <w:tab/>
        <w:t>The master of a specified boat must ensure that a bait band securing a carton is broken when the carton is opened.</w:t>
      </w:r>
    </w:p>
    <w:p>
      <w:pPr>
        <w:pStyle w:val="Penstart"/>
      </w:pPr>
      <w:r>
        <w:tab/>
        <w:t>Penalty for this subregulation: a fine of $2 000.</w:t>
      </w:r>
    </w:p>
    <w:p>
      <w:pPr>
        <w:pStyle w:val="Footnotesection"/>
      </w:pPr>
      <w:r>
        <w:tab/>
        <w:t>[Regulation 55FA inserted: SL 2024/263 r. 12.]</w:t>
      </w:r>
    </w:p>
    <w:p>
      <w:pPr>
        <w:pStyle w:val="Heading3"/>
      </w:pPr>
      <w:bookmarkStart w:id="277" w:name="_Toc184372513"/>
      <w:bookmarkStart w:id="278" w:name="_Toc184377666"/>
      <w:bookmarkStart w:id="279" w:name="_Toc184385023"/>
      <w:bookmarkStart w:id="280" w:name="_Toc201508420"/>
      <w:bookmarkStart w:id="281" w:name="_Toc201754251"/>
      <w:bookmarkStart w:id="282" w:name="_Toc201758981"/>
      <w:r>
        <w:rPr>
          <w:rStyle w:val="CharDivNo"/>
        </w:rPr>
        <w:t>Division 7C</w:t>
      </w:r>
      <w:r>
        <w:t> — </w:t>
      </w:r>
      <w:r>
        <w:rPr>
          <w:rStyle w:val="CharDivText"/>
        </w:rPr>
        <w:t>Requirements relating to aquatic eco</w:t>
      </w:r>
      <w:r>
        <w:rPr>
          <w:rStyle w:val="CharDivText"/>
        </w:rPr>
        <w:noBreakHyphen/>
        <w:t>tourism</w:t>
      </w:r>
      <w:bookmarkEnd w:id="277"/>
      <w:bookmarkEnd w:id="278"/>
      <w:bookmarkEnd w:id="279"/>
      <w:bookmarkEnd w:id="280"/>
      <w:bookmarkEnd w:id="281"/>
      <w:bookmarkEnd w:id="282"/>
    </w:p>
    <w:p>
      <w:pPr>
        <w:pStyle w:val="Footnoteheading"/>
        <w:keepNext/>
      </w:pPr>
      <w:r>
        <w:tab/>
        <w:t>[Heading inserted: Gazette 30 May 2014 p. 1733.]</w:t>
      </w:r>
    </w:p>
    <w:p>
      <w:pPr>
        <w:pStyle w:val="Heading5"/>
      </w:pPr>
      <w:bookmarkStart w:id="283" w:name="_Toc201758982"/>
      <w:bookmarkStart w:id="284" w:name="_Toc184385024"/>
      <w:r>
        <w:rPr>
          <w:rStyle w:val="CharSectno"/>
        </w:rPr>
        <w:t>55G</w:t>
      </w:r>
      <w:r>
        <w:t>.</w:t>
      </w:r>
      <w:r>
        <w:tab/>
        <w:t>Activities and fish prohibited on aquatic eco</w:t>
      </w:r>
      <w:r>
        <w:noBreakHyphen/>
        <w:t>tour</w:t>
      </w:r>
      <w:bookmarkEnd w:id="283"/>
      <w:bookmarkEnd w:id="284"/>
    </w:p>
    <w:p>
      <w:pPr>
        <w:pStyle w:val="Subsection"/>
        <w:keepNext/>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keepNext/>
      </w:pPr>
      <w:r>
        <w:tab/>
        <w:t>(c)</w:t>
      </w:r>
      <w:r>
        <w:tab/>
        <w:t>bring onto land any fish from the boat.</w:t>
      </w:r>
    </w:p>
    <w:p>
      <w:pPr>
        <w:pStyle w:val="Penstart"/>
      </w:pPr>
      <w:r>
        <w:tab/>
        <w:t>Penalty: a fine of $2 000 and the penalty provided in section 222 of the Act.</w:t>
      </w:r>
    </w:p>
    <w:p>
      <w:pPr>
        <w:pStyle w:val="Subsection"/>
        <w:keepNext/>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keepNext/>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keepNext/>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Gazette 30 May 2014 p. 1733.]</w:t>
      </w:r>
    </w:p>
    <w:p>
      <w:pPr>
        <w:pStyle w:val="Heading5"/>
      </w:pPr>
      <w:bookmarkStart w:id="285" w:name="_Toc201758983"/>
      <w:bookmarkStart w:id="286" w:name="_Toc184385025"/>
      <w:r>
        <w:rPr>
          <w:rStyle w:val="CharSectno"/>
        </w:rPr>
        <w:t>55H</w:t>
      </w:r>
      <w:r>
        <w:t>.</w:t>
      </w:r>
      <w:r>
        <w:tab/>
        <w:t>Shark tourism activities prohibited on aquatic eco</w:t>
      </w:r>
      <w:r>
        <w:noBreakHyphen/>
        <w:t>tour</w:t>
      </w:r>
      <w:bookmarkEnd w:id="285"/>
      <w:bookmarkEnd w:id="286"/>
    </w:p>
    <w:p>
      <w:pPr>
        <w:pStyle w:val="Subsection"/>
        <w:keepNext/>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keepNext/>
      </w:pPr>
      <w:r>
        <w:tab/>
        <w:t>(b)</w:t>
      </w:r>
      <w:r>
        <w:tab/>
        <w:t>engage in the tagging or marking of sharks; or</w:t>
      </w:r>
    </w:p>
    <w:p>
      <w:pPr>
        <w:pStyle w:val="Indenta"/>
        <w:keepNext/>
      </w:pPr>
      <w:r>
        <w:tab/>
        <w:t>(c)</w:t>
      </w:r>
      <w:r>
        <w:tab/>
        <w:t>use blood, berley or any vibrating, visual, sonic, electronic, electromagnetic or other equipment for the purpose of attracting sharks.</w:t>
      </w:r>
    </w:p>
    <w:p>
      <w:pPr>
        <w:pStyle w:val="Penstart"/>
      </w:pPr>
      <w:r>
        <w:tab/>
        <w:t>Penalty: a fine of $2 000.</w:t>
      </w:r>
    </w:p>
    <w:p>
      <w:pPr>
        <w:pStyle w:val="Subsection"/>
        <w:keepNext/>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keepNext/>
        <w:spacing w:before="60"/>
      </w:pPr>
      <w:r>
        <w:tab/>
        <w:t>(c)</w:t>
      </w:r>
      <w:r>
        <w:tab/>
        <w:t>provide or use, or allow participants in the tour to use, blood, berley or any vibrating, visual, sonic, electronic, electromagnetic or other equipment for the purpose of attracting sharks.</w:t>
      </w:r>
    </w:p>
    <w:p>
      <w:pPr>
        <w:pStyle w:val="Penstart"/>
        <w:keepNext/>
      </w:pPr>
      <w:r>
        <w:tab/>
        <w:t>Penalty: a fine of $10 000.</w:t>
      </w:r>
    </w:p>
    <w:p>
      <w:pPr>
        <w:pStyle w:val="Footnotesection"/>
        <w:spacing w:before="100"/>
      </w:pPr>
      <w:r>
        <w:tab/>
        <w:t>[Regulation 55H inserted: Gazette 30 May 2014 p. 1734.]</w:t>
      </w:r>
    </w:p>
    <w:p>
      <w:pPr>
        <w:pStyle w:val="Heading5"/>
      </w:pPr>
      <w:bookmarkStart w:id="287" w:name="_Toc201758984"/>
      <w:bookmarkStart w:id="288" w:name="_Toc184385026"/>
      <w:r>
        <w:rPr>
          <w:rStyle w:val="CharSectno"/>
        </w:rPr>
        <w:t>55I</w:t>
      </w:r>
      <w:r>
        <w:t>.</w:t>
      </w:r>
      <w:r>
        <w:tab/>
        <w:t>Boat not to be used for both commercial fishing and aquatic eco</w:t>
      </w:r>
      <w:r>
        <w:noBreakHyphen/>
        <w:t>tour during single trip</w:t>
      </w:r>
      <w:bookmarkEnd w:id="287"/>
      <w:bookmarkEnd w:id="288"/>
    </w:p>
    <w:p>
      <w:pPr>
        <w:pStyle w:val="Subsection"/>
        <w:keepNext/>
      </w:pPr>
      <w:r>
        <w:tab/>
      </w:r>
      <w:r>
        <w:tab/>
        <w:t>A person who uses a licensed fishing boat for or in connection with commercial fishing and an aquatic eco</w:t>
      </w:r>
      <w:r>
        <w:noBreakHyphen/>
        <w:t>tour in the course of a single trip commits an offence.</w:t>
      </w:r>
    </w:p>
    <w:p>
      <w:pPr>
        <w:pStyle w:val="Penstart"/>
        <w:keepNext/>
      </w:pPr>
      <w:r>
        <w:tab/>
        <w:t>Penalty: a fine of $5 000.</w:t>
      </w:r>
    </w:p>
    <w:p>
      <w:pPr>
        <w:pStyle w:val="Footnotesection"/>
        <w:spacing w:before="100"/>
      </w:pPr>
      <w:r>
        <w:tab/>
        <w:t>[Regulation 55I inserted: Gazette 30 May 2014 p. 1734.]</w:t>
      </w:r>
    </w:p>
    <w:p>
      <w:pPr>
        <w:pStyle w:val="Ednotedivision"/>
        <w:spacing w:before="200"/>
      </w:pPr>
      <w:r>
        <w:t>[</w:t>
      </w:r>
      <w:r>
        <w:rPr>
          <w:b/>
        </w:rPr>
        <w:t>55J</w:t>
      </w:r>
      <w:r>
        <w:rPr>
          <w:b/>
        </w:rPr>
        <w:noBreakHyphen/>
        <w:t>55L.</w:t>
      </w:r>
      <w:r>
        <w:rPr>
          <w:b/>
        </w:rPr>
        <w:tab/>
      </w:r>
      <w:r>
        <w:t>Deleted: Gazette 1 Oct 2003 p. 4303.]</w:t>
      </w:r>
    </w:p>
    <w:p>
      <w:pPr>
        <w:pStyle w:val="Heading3"/>
        <w:spacing w:before="200"/>
      </w:pPr>
      <w:bookmarkStart w:id="289" w:name="_Toc184372517"/>
      <w:bookmarkStart w:id="290" w:name="_Toc184377670"/>
      <w:bookmarkStart w:id="291" w:name="_Toc184385027"/>
      <w:bookmarkStart w:id="292" w:name="_Toc201508424"/>
      <w:bookmarkStart w:id="293" w:name="_Toc201754255"/>
      <w:bookmarkStart w:id="294" w:name="_Toc201758985"/>
      <w:r>
        <w:rPr>
          <w:rStyle w:val="CharDivNo"/>
        </w:rPr>
        <w:t>Division 8</w:t>
      </w:r>
      <w:r>
        <w:rPr>
          <w:snapToGrid w:val="0"/>
        </w:rPr>
        <w:t> — </w:t>
      </w:r>
      <w:r>
        <w:rPr>
          <w:rStyle w:val="CharDivText"/>
        </w:rPr>
        <w:t>Miscellaneous requirements</w:t>
      </w:r>
      <w:bookmarkEnd w:id="289"/>
      <w:bookmarkEnd w:id="290"/>
      <w:bookmarkEnd w:id="291"/>
      <w:bookmarkEnd w:id="292"/>
      <w:bookmarkEnd w:id="293"/>
      <w:bookmarkEnd w:id="294"/>
    </w:p>
    <w:p>
      <w:pPr>
        <w:pStyle w:val="Heading5"/>
        <w:spacing w:before="200"/>
        <w:rPr>
          <w:snapToGrid w:val="0"/>
        </w:rPr>
      </w:pPr>
      <w:bookmarkStart w:id="295" w:name="_Toc201758986"/>
      <w:bookmarkStart w:id="296" w:name="_Toc184385028"/>
      <w:r>
        <w:rPr>
          <w:rStyle w:val="CharSectno"/>
        </w:rPr>
        <w:t>56</w:t>
      </w:r>
      <w:r>
        <w:rPr>
          <w:snapToGrid w:val="0"/>
        </w:rPr>
        <w:t>.</w:t>
      </w:r>
      <w:r>
        <w:rPr>
          <w:snapToGrid w:val="0"/>
        </w:rPr>
        <w:tab/>
        <w:t>Documents to be carried on licensed fishing boat</w:t>
      </w:r>
      <w:bookmarkEnd w:id="295"/>
      <w:bookmarkEnd w:id="296"/>
    </w:p>
    <w:p>
      <w:pPr>
        <w:pStyle w:val="Subsection"/>
        <w:keepNext/>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keepNext/>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Gazette 6 Jul 2007 p. 3389.]</w:t>
      </w:r>
    </w:p>
    <w:p>
      <w:pPr>
        <w:pStyle w:val="Heading5"/>
      </w:pPr>
      <w:bookmarkStart w:id="297" w:name="_Toc201758987"/>
      <w:bookmarkStart w:id="298" w:name="_Toc184385029"/>
      <w:r>
        <w:rPr>
          <w:rStyle w:val="CharSectno"/>
        </w:rPr>
        <w:t>56A</w:t>
      </w:r>
      <w:r>
        <w:t>.</w:t>
      </w:r>
      <w:r>
        <w:tab/>
        <w:t>Fish hooks attached to rock lobster pots, float lines, moorings etc. not to be used to fish</w:t>
      </w:r>
      <w:bookmarkEnd w:id="297"/>
      <w:bookmarkEnd w:id="298"/>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keepNext/>
      </w:pPr>
      <w:r>
        <w:tab/>
        <w:t>Penalty: For a first offence $5 000 or, for a second or subsequent offence, $10 000 and, for any offence, the penalty provided in section 222 of the Act.</w:t>
      </w:r>
    </w:p>
    <w:p>
      <w:pPr>
        <w:pStyle w:val="Footnotesection"/>
      </w:pPr>
      <w:r>
        <w:tab/>
        <w:t>[Regulation 56A inserted: Gazette 29 Nov 2002 p. 5655; amended: Gazette 11 Feb 2003 p. 412.]</w:t>
      </w:r>
    </w:p>
    <w:p>
      <w:pPr>
        <w:pStyle w:val="Ednotesection"/>
      </w:pPr>
      <w:r>
        <w:t>[</w:t>
      </w:r>
      <w:r>
        <w:rPr>
          <w:b/>
        </w:rPr>
        <w:t>57.</w:t>
      </w:r>
      <w:r>
        <w:tab/>
        <w:t>Deleted: Gazette 30 May 2014 p. 1715.]</w:t>
      </w:r>
    </w:p>
    <w:p>
      <w:pPr>
        <w:pStyle w:val="Ednotesection"/>
      </w:pPr>
      <w:r>
        <w:t>[</w:t>
      </w:r>
      <w:r>
        <w:rPr>
          <w:b/>
        </w:rPr>
        <w:t>58.</w:t>
      </w:r>
      <w:r>
        <w:tab/>
        <w:t>Deleted: Gazette 1 Oct 2003 p. 4303.]</w:t>
      </w:r>
    </w:p>
    <w:p>
      <w:pPr>
        <w:pStyle w:val="Heading5"/>
        <w:keepLines w:val="0"/>
        <w:rPr>
          <w:snapToGrid w:val="0"/>
        </w:rPr>
      </w:pPr>
      <w:bookmarkStart w:id="299" w:name="_Toc201758988"/>
      <w:bookmarkStart w:id="300" w:name="_Toc184385030"/>
      <w:r>
        <w:rPr>
          <w:rStyle w:val="CharSectno"/>
        </w:rPr>
        <w:t>59</w:t>
      </w:r>
      <w:r>
        <w:rPr>
          <w:snapToGrid w:val="0"/>
        </w:rPr>
        <w:t>.</w:t>
      </w:r>
      <w:r>
        <w:rPr>
          <w:snapToGrid w:val="0"/>
        </w:rPr>
        <w:tab/>
        <w:t>Sale of fish by authorised trade names</w:t>
      </w:r>
      <w:bookmarkEnd w:id="299"/>
      <w:bookmarkEnd w:id="300"/>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keepNext/>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301" w:name="_Toc201758989"/>
      <w:bookmarkStart w:id="302" w:name="_Toc184385031"/>
      <w:r>
        <w:rPr>
          <w:rStyle w:val="CharSectno"/>
        </w:rPr>
        <w:t>60</w:t>
      </w:r>
      <w:r>
        <w:rPr>
          <w:snapToGrid w:val="0"/>
        </w:rPr>
        <w:t>.</w:t>
      </w:r>
      <w:r>
        <w:rPr>
          <w:snapToGrid w:val="0"/>
        </w:rPr>
        <w:tab/>
        <w:t>Rock lobsters, maximum size of packages etc. of</w:t>
      </w:r>
      <w:bookmarkEnd w:id="301"/>
      <w:bookmarkEnd w:id="302"/>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keepNext/>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303" w:name="_Toc201758990"/>
      <w:bookmarkStart w:id="304" w:name="_Toc184385032"/>
      <w:r>
        <w:rPr>
          <w:rStyle w:val="CharSectno"/>
        </w:rPr>
        <w:t>61</w:t>
      </w:r>
      <w:r>
        <w:rPr>
          <w:snapToGrid w:val="0"/>
        </w:rPr>
        <w:t>.</w:t>
      </w:r>
      <w:r>
        <w:rPr>
          <w:snapToGrid w:val="0"/>
        </w:rPr>
        <w:tab/>
      </w:r>
      <w:r>
        <w:t>Labelling requirements for sale of fish</w:t>
      </w:r>
      <w:bookmarkEnd w:id="303"/>
      <w:bookmarkEnd w:id="304"/>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keepNext/>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 xml:space="preserve">The </w:t>
      </w:r>
      <w:r>
        <w:rPr>
          <w:snapToGrid w:val="0"/>
        </w:rPr>
        <w:t>label referred to in subregulation (1) must specify the name and principal place of residence of the person selling the fish.</w:t>
      </w:r>
    </w:p>
    <w:p>
      <w:pPr>
        <w:pStyle w:val="Subsection"/>
        <w:keepNext/>
      </w:pPr>
      <w:r>
        <w:tab/>
        <w:t>(4A)</w:t>
      </w:r>
      <w:r>
        <w:tab/>
        <w:t xml:space="preserve">The labelling requirements under subregulation (4) do not apply to the following — </w:t>
      </w:r>
    </w:p>
    <w:p>
      <w:pPr>
        <w:pStyle w:val="Indenta"/>
      </w:pPr>
      <w:r>
        <w:tab/>
        <w:t>(a)</w:t>
      </w:r>
      <w:r>
        <w:tab/>
        <w:t xml:space="preserve">the nominated operator of a managed fishery licence issued under the </w:t>
      </w:r>
      <w:r>
        <w:rPr>
          <w:i/>
        </w:rPr>
        <w:t>Abalone Management Plan 1992</w:t>
      </w:r>
      <w:r>
        <w:t xml:space="preserve"> who sells abalone taken in accordance with that management plan;</w:t>
      </w:r>
    </w:p>
    <w:p>
      <w:pPr>
        <w:pStyle w:val="Indenta"/>
        <w:rPr>
          <w:iCs/>
        </w:rPr>
      </w:pPr>
      <w:r>
        <w:tab/>
        <w:t>(b)</w:t>
      </w:r>
      <w:r>
        <w:tab/>
        <w:t xml:space="preserve">a person acting under the authority of a managed fishery licence granted in respect of the South Coast Crustacean Managed Fishery </w:t>
      </w:r>
      <w:r>
        <w:rPr>
          <w:iCs/>
        </w:rPr>
        <w:t>who sells crustaceans taken in accordance with the</w:t>
      </w:r>
      <w:r>
        <w:rPr>
          <w:i/>
          <w:iCs/>
        </w:rPr>
        <w:t xml:space="preserve"> South Coast Crustacean Managed Fishery Management Plan 2015</w:t>
      </w:r>
      <w:r>
        <w:rPr>
          <w:iCs/>
        </w:rPr>
        <w:t>.</w:t>
      </w:r>
    </w:p>
    <w:p>
      <w:pPr>
        <w:pStyle w:val="Subsection"/>
        <w:keepNext/>
      </w:pPr>
      <w:r>
        <w:tab/>
        <w:t>(4B)</w:t>
      </w:r>
      <w:r>
        <w:tab/>
        <w:t xml:space="preserve">The label referred to in subregulation (1) must — </w:t>
      </w:r>
    </w:p>
    <w:p>
      <w:pPr>
        <w:pStyle w:val="Indenta"/>
        <w:keepNext/>
      </w:pPr>
      <w:r>
        <w:tab/>
        <w:t>(a)</w:t>
      </w:r>
      <w:r>
        <w:tab/>
        <w:t xml:space="preserve">in the case of a nominated operator referred to in subregulation (4A)(a) — </w:t>
      </w:r>
    </w:p>
    <w:p>
      <w:pPr>
        <w:pStyle w:val="Indenti"/>
      </w:pPr>
      <w:r>
        <w:tab/>
        <w:t>(i)</w:t>
      </w:r>
      <w:r>
        <w:tab/>
        <w:t>specify the number of the managed fishery licence that authorised the abalone to be taken; and</w:t>
      </w:r>
    </w:p>
    <w:p>
      <w:pPr>
        <w:pStyle w:val="Indenti"/>
        <w:keepNext/>
      </w:pPr>
      <w:r>
        <w:tab/>
        <w:t>(ii)</w:t>
      </w:r>
      <w:r>
        <w:tab/>
        <w:t>if a licensed fishing boat was used to take the abalone — specify the licensed fishing boat number;</w:t>
      </w:r>
    </w:p>
    <w:p>
      <w:pPr>
        <w:pStyle w:val="Indenta"/>
        <w:rPr>
          <w:rStyle w:val="DraftersNotes"/>
          <w:b w:val="0"/>
          <w:i w:val="0"/>
        </w:rPr>
      </w:pPr>
      <w:r>
        <w:tab/>
      </w:r>
      <w:r>
        <w:tab/>
        <w:t>or</w:t>
      </w:r>
    </w:p>
    <w:p>
      <w:pPr>
        <w:pStyle w:val="Indenta"/>
      </w:pPr>
      <w:r>
        <w:tab/>
        <w:t>(b)</w:t>
      </w:r>
      <w:r>
        <w:tab/>
        <w:t xml:space="preserve">in the case of a person referred to in subregulation (4A)(b) — comply with the labelling requirements set out in the </w:t>
      </w:r>
      <w:r>
        <w:rPr>
          <w:i/>
          <w:iCs/>
        </w:rPr>
        <w:t>South Coast Crustacean Managed Fishery Management Plan 2015</w:t>
      </w:r>
      <w:r>
        <w:rPr>
          <w:iCs/>
        </w:rPr>
        <w:t xml:space="preserve"> </w:t>
      </w:r>
      <w:r>
        <w:t>clause 29.</w:t>
      </w:r>
    </w:p>
    <w:p>
      <w:pPr>
        <w:pStyle w:val="Subsection"/>
        <w:keepNext/>
      </w:pPr>
      <w:r>
        <w:tab/>
        <w:t>(5)</w:t>
      </w:r>
      <w:r>
        <w:tab/>
        <w:t>The label referred to in subregulation (2) must clearly identify —</w:t>
      </w:r>
    </w:p>
    <w:p>
      <w:pPr>
        <w:pStyle w:val="Indenta"/>
      </w:pPr>
      <w:r>
        <w:tab/>
        <w:t>(a)</w:t>
      </w:r>
      <w:r>
        <w:tab/>
        <w:t>if the rock lobster was taken under the authority of a managed fishery licence granted in respect of the West Coast Rock Lobster Managed Fishery — the number of the managed fishery licence; or</w:t>
      </w:r>
    </w:p>
    <w:p>
      <w:pPr>
        <w:pStyle w:val="Indenta"/>
        <w:keepNext/>
      </w:pPr>
      <w:r>
        <w:tab/>
        <w:t>(b)</w:t>
      </w:r>
      <w:r>
        <w:tab/>
        <w:t>the following —</w:t>
      </w:r>
    </w:p>
    <w:p>
      <w:pPr>
        <w:pStyle w:val="Indenti"/>
      </w:pPr>
      <w:r>
        <w:tab/>
        <w:t>(i)</w:t>
      </w:r>
      <w:r>
        <w:tab/>
        <w:t>the licensed fishing boat number of any licensed fishing boat which was used to fish for the fish;</w:t>
      </w:r>
    </w:p>
    <w:p>
      <w:pPr>
        <w:pStyle w:val="Indenti"/>
      </w:pPr>
      <w:r>
        <w:tab/>
        <w:t>(ii)</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keepNext/>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keepNext/>
        <w:rPr>
          <w:snapToGrid w:val="0"/>
        </w:rPr>
      </w:pPr>
      <w:r>
        <w:rPr>
          <w:snapToGrid w:val="0"/>
        </w:rPr>
        <w:tab/>
        <w:t>Penalty: $3 000.</w:t>
      </w:r>
    </w:p>
    <w:p>
      <w:pPr>
        <w:pStyle w:val="Footnotesection"/>
      </w:pPr>
      <w:r>
        <w:tab/>
        <w:t>[Regulation 61 amended: Gazette 8 Sep 2000 p. 5186</w:t>
      </w:r>
      <w:r>
        <w:noBreakHyphen/>
        <w:t>7; 11 Feb 2003 p. 412; 6 Jul 2007 p. 3389; 4 Oct 2019 p. 3534</w:t>
      </w:r>
      <w:r>
        <w:noBreakHyphen/>
        <w:t>5; SL 2023/2 r. 11.]</w:t>
      </w:r>
    </w:p>
    <w:p>
      <w:pPr>
        <w:pStyle w:val="Heading5"/>
        <w:rPr>
          <w:snapToGrid w:val="0"/>
        </w:rPr>
      </w:pPr>
      <w:bookmarkStart w:id="305" w:name="_Toc201758991"/>
      <w:bookmarkStart w:id="306" w:name="_Toc184385033"/>
      <w:r>
        <w:rPr>
          <w:rStyle w:val="CharSectno"/>
        </w:rPr>
        <w:t>62</w:t>
      </w:r>
      <w:r>
        <w:rPr>
          <w:snapToGrid w:val="0"/>
        </w:rPr>
        <w:t>.</w:t>
      </w:r>
      <w:r>
        <w:rPr>
          <w:snapToGrid w:val="0"/>
        </w:rPr>
        <w:tab/>
        <w:t>Refuse etc. not to be deposited in waters etc. where fish are</w:t>
      </w:r>
      <w:bookmarkEnd w:id="305"/>
      <w:bookmarkEnd w:id="306"/>
    </w:p>
    <w:p>
      <w:pPr>
        <w:pStyle w:val="Subsection"/>
        <w:keepNext/>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Next/>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307" w:name="_Toc201758992"/>
      <w:bookmarkStart w:id="308" w:name="_Toc184385034"/>
      <w:r>
        <w:rPr>
          <w:rStyle w:val="CharSectno"/>
        </w:rPr>
        <w:t>63A</w:t>
      </w:r>
      <w:r>
        <w:t>.</w:t>
      </w:r>
      <w:r>
        <w:tab/>
        <w:t>Use of berley containing mammal or bird products</w:t>
      </w:r>
      <w:bookmarkEnd w:id="307"/>
      <w:bookmarkEnd w:id="308"/>
    </w:p>
    <w:p>
      <w:pPr>
        <w:pStyle w:val="Subsection"/>
        <w:keepNext/>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keepNext/>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keepNext/>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keepNext/>
        <w:spacing w:before="100"/>
      </w:pPr>
      <w:r>
        <w:tab/>
        <w:t>(b)</w:t>
      </w:r>
      <w:r>
        <w:tab/>
        <w:t>attached to a fish hook.</w:t>
      </w:r>
    </w:p>
    <w:p>
      <w:pPr>
        <w:pStyle w:val="Footnotesection"/>
      </w:pPr>
      <w:r>
        <w:tab/>
        <w:t>[Regulation 63A inserted: Gazette 18 Jun 2013 p. 2296.]</w:t>
      </w:r>
    </w:p>
    <w:p>
      <w:pPr>
        <w:pStyle w:val="Heading5"/>
        <w:spacing w:before="280"/>
        <w:rPr>
          <w:snapToGrid w:val="0"/>
        </w:rPr>
      </w:pPr>
      <w:bookmarkStart w:id="309" w:name="_Toc201758993"/>
      <w:bookmarkStart w:id="310" w:name="_Toc184385035"/>
      <w:r>
        <w:rPr>
          <w:rStyle w:val="CharSectno"/>
        </w:rPr>
        <w:t>63</w:t>
      </w:r>
      <w:r>
        <w:rPr>
          <w:snapToGrid w:val="0"/>
        </w:rPr>
        <w:t>.</w:t>
      </w:r>
      <w:r>
        <w:rPr>
          <w:snapToGrid w:val="0"/>
        </w:rPr>
        <w:tab/>
        <w:t>Fishing gear prohibited from use in waters, possession of</w:t>
      </w:r>
      <w:bookmarkEnd w:id="309"/>
      <w:bookmarkEnd w:id="310"/>
    </w:p>
    <w:p>
      <w:pPr>
        <w:pStyle w:val="Subsection"/>
        <w:keepNext/>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keepNext/>
        <w:spacing w:before="100"/>
        <w:rPr>
          <w:snapToGrid w:val="0"/>
        </w:rPr>
      </w:pPr>
      <w:r>
        <w:rPr>
          <w:snapToGrid w:val="0"/>
        </w:rPr>
        <w:tab/>
        <w:t>(b)</w:t>
      </w:r>
      <w:r>
        <w:rPr>
          <w:snapToGrid w:val="0"/>
        </w:rPr>
        <w:tab/>
        <w:t>carry that gear on any boat of which the person is master,</w:t>
      </w:r>
    </w:p>
    <w:p>
      <w:pPr>
        <w:pStyle w:val="Subsection"/>
        <w:keepNext/>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keepNext/>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keepNext/>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keepNext/>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311" w:name="_Toc201758994"/>
      <w:bookmarkStart w:id="312" w:name="_Toc184385036"/>
      <w:r>
        <w:rPr>
          <w:rStyle w:val="CharSectno"/>
        </w:rPr>
        <w:t>64</w:t>
      </w:r>
      <w:r>
        <w:rPr>
          <w:snapToGrid w:val="0"/>
        </w:rPr>
        <w:t>.</w:t>
      </w:r>
      <w:r>
        <w:rPr>
          <w:snapToGrid w:val="0"/>
        </w:rPr>
        <w:tab/>
        <w:t>Commercial fishers etc., duties of as to records and returns</w:t>
      </w:r>
      <w:bookmarkEnd w:id="311"/>
      <w:bookmarkEnd w:id="312"/>
    </w:p>
    <w:p>
      <w:pPr>
        <w:pStyle w:val="Subsection"/>
        <w:keepNext/>
      </w:pPr>
      <w:r>
        <w:tab/>
        <w:t>(1A)</w:t>
      </w:r>
      <w:r>
        <w:tab/>
        <w:t xml:space="preserve">In this regulation — </w:t>
      </w:r>
    </w:p>
    <w:p>
      <w:pPr>
        <w:pStyle w:val="Defstart"/>
        <w:keepNext/>
      </w:pPr>
      <w:r>
        <w:tab/>
      </w:r>
      <w:r>
        <w:rPr>
          <w:rStyle w:val="CharDefText"/>
        </w:rPr>
        <w:t>responsible person</w:t>
      </w:r>
      <w:r>
        <w:t xml:space="preserve">, in relation to an activity, means — </w:t>
      </w:r>
    </w:p>
    <w:p>
      <w:pPr>
        <w:pStyle w:val="Defpara"/>
        <w:keepNext/>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keepNext/>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keepNext/>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keepNext/>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keepNext/>
        <w:rPr>
          <w:snapToGrid w:val="0"/>
        </w:rPr>
      </w:pPr>
      <w:r>
        <w:rPr>
          <w:snapToGrid w:val="0"/>
        </w:rPr>
        <w:tab/>
        <w:t>(4)</w:t>
      </w:r>
      <w:r>
        <w:rPr>
          <w:snapToGrid w:val="0"/>
        </w:rPr>
        <w:tab/>
        <w:t xml:space="preserve">Subject to </w:t>
      </w:r>
      <w:r>
        <w:t xml:space="preserve">subregulations (4A) and (6), </w:t>
      </w:r>
      <w:r>
        <w:rPr>
          <w:snapToGrid w:val="0"/>
        </w:rPr>
        <w:t>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tab/>
        <w:t>(b)</w:t>
      </w:r>
      <w:r>
        <w:tab/>
        <w:t>send the return relating to each month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pPr>
      <w:r>
        <w:tab/>
        <w:t>(4A)</w:t>
      </w:r>
      <w:r>
        <w:tab/>
        <w:t xml:space="preserve">If the person who is to keep records under this regulation holds an aquaculture licence — </w:t>
      </w:r>
    </w:p>
    <w:p>
      <w:pPr>
        <w:pStyle w:val="Indenta"/>
      </w:pPr>
      <w:r>
        <w:tab/>
        <w:t>(a)</w:t>
      </w:r>
      <w:r>
        <w:tab/>
        <w:t>subregulation (4) does not apply; and</w:t>
      </w:r>
    </w:p>
    <w:p>
      <w:pPr>
        <w:pStyle w:val="Indenta"/>
      </w:pPr>
      <w:r>
        <w:tab/>
        <w:t>(b)</w:t>
      </w:r>
      <w:r>
        <w:tab/>
        <w:t xml:space="preserve">the person must submit a return to the Department regarding the activity each financial year — </w:t>
      </w:r>
    </w:p>
    <w:p>
      <w:pPr>
        <w:pStyle w:val="Indenti"/>
      </w:pPr>
      <w:r>
        <w:tab/>
        <w:t>(i)</w:t>
      </w:r>
      <w:r>
        <w:tab/>
        <w:t>in the form, if any, approved for that activity by the CEO; and</w:t>
      </w:r>
    </w:p>
    <w:p>
      <w:pPr>
        <w:pStyle w:val="Indenti"/>
      </w:pPr>
      <w:r>
        <w:tab/>
        <w:t>(ii)</w:t>
      </w:r>
      <w:r>
        <w:tab/>
        <w:t>by sending the return to the Department to arrive not later than 15 July in the following financial year.</w:t>
      </w:r>
    </w:p>
    <w:p>
      <w:pPr>
        <w:pStyle w:val="Subsection"/>
        <w:keepNext/>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keepNext/>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keepNext/>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 xml:space="preserve">The CEO may exempt a person who is to keep records under this regulation from submitting a monthly return under subregulation (4) </w:t>
      </w:r>
      <w:r>
        <w:t xml:space="preserve">or a return under subregulation (4A) </w:t>
      </w:r>
      <w:r>
        <w:rPr>
          <w:snapToGrid w:val="0"/>
        </w:rPr>
        <w:t>for the period of time, or in respect of the activities, specified in writing and sent to the person who is to be exempt.</w:t>
      </w:r>
    </w:p>
    <w:p>
      <w:pPr>
        <w:pStyle w:val="Subsection"/>
        <w:keepNext/>
      </w:pPr>
      <w:r>
        <w:tab/>
        <w:t>(6A)</w:t>
      </w:r>
      <w:r>
        <w:tab/>
        <w:t>A person who conducts a fishing tour on a boat must ensure that a record to be kept under this regulation exists or is made —</w:t>
      </w:r>
    </w:p>
    <w:p>
      <w:pPr>
        <w:pStyle w:val="Indenta"/>
      </w:pPr>
      <w:r>
        <w:tab/>
        <w:t>(a)</w:t>
      </w:r>
      <w:r>
        <w:tab/>
        <w:t>for, and by the end of, each day the fishing tour is conducted; and</w:t>
      </w:r>
    </w:p>
    <w:p>
      <w:pPr>
        <w:pStyle w:val="Indenta"/>
      </w:pPr>
      <w:r>
        <w:tab/>
        <w:t>(b)</w:t>
      </w:r>
      <w:r>
        <w:tab/>
        <w:t>before any participant in the fishing tour leaves the tour.</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keepNex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Gazette 15 Jan 1999 p. 113; 13 Aug 1999 p. 3826; 29 Jun 2001 p. 3164; 27 Jun 2003 p. 2389; 6 Jul 2007 p. 3389; 5 Nov 2009 p. 4412; 1 Mar 2011 p. 667; 26 Aug 2014 p. 3082; 7 Aug 2015 p. 3202; 4 Oct 2019 p. 3535; SL 2024/263 r. 13.]</w:t>
      </w:r>
    </w:p>
    <w:p>
      <w:pPr>
        <w:pStyle w:val="Heading5"/>
      </w:pPr>
      <w:bookmarkStart w:id="313" w:name="_Toc201758995"/>
      <w:bookmarkStart w:id="314" w:name="_Toc184385037"/>
      <w:r>
        <w:rPr>
          <w:rStyle w:val="CharSectno"/>
        </w:rPr>
        <w:t>64AA</w:t>
      </w:r>
      <w:r>
        <w:t>.</w:t>
      </w:r>
      <w:r>
        <w:tab/>
        <w:t>No fish taken for recreational purpose to be at certain premises</w:t>
      </w:r>
      <w:bookmarkEnd w:id="313"/>
      <w:bookmarkEnd w:id="314"/>
    </w:p>
    <w:p>
      <w:pPr>
        <w:pStyle w:val="Subsection"/>
        <w:keepNext/>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Defstart"/>
      </w:pPr>
      <w:r>
        <w:tab/>
      </w:r>
      <w:r>
        <w:rPr>
          <w:rStyle w:val="CharDefText"/>
        </w:rPr>
        <w:t>exempt business</w:t>
      </w:r>
      <w:r>
        <w:t xml:space="preserve"> means a business of providing accommodation and meals to the public.</w:t>
      </w:r>
    </w:p>
    <w:p>
      <w:pPr>
        <w:pStyle w:val="Subsection"/>
        <w:keepNext/>
      </w:pPr>
      <w:r>
        <w:tab/>
        <w:t>(2)</w:t>
      </w:r>
      <w:r>
        <w:tab/>
        <w:t>A person must not, at commercial premises, be in possession of fish that were taken for a recreational purpose.</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(2A)</w:t>
      </w:r>
      <w:r>
        <w:tab/>
        <w:t>Subregulation (2) does not apply to or in relation to a fish that is at commercial premises at which an exempt business is conducted.</w:t>
      </w:r>
    </w:p>
    <w:p>
      <w:pPr>
        <w:pStyle w:val="Subsection"/>
        <w:keepNext/>
      </w:pPr>
      <w:r>
        <w:tab/>
        <w:t>(2B)</w:t>
      </w:r>
      <w:r>
        <w:tab/>
        <w:t>A person must not cause or permit a fish that was taken by recreational fishing to be brought onto or stored at commercial premises unless —</w:t>
      </w:r>
    </w:p>
    <w:p>
      <w:pPr>
        <w:pStyle w:val="Indenta"/>
      </w:pPr>
      <w:r>
        <w:tab/>
        <w:t>(a)</w:t>
      </w:r>
      <w:r>
        <w:tab/>
        <w:t>the person conducts an exempt business at the premises; and</w:t>
      </w:r>
    </w:p>
    <w:p>
      <w:pPr>
        <w:pStyle w:val="Ednotepara"/>
        <w:spacing w:before="80"/>
      </w:pPr>
      <w:r>
        <w:tab/>
        <w:t>[(b), (c)</w:t>
      </w:r>
      <w:r>
        <w:tab/>
        <w:t>deleted]</w:t>
      </w:r>
    </w:p>
    <w:p>
      <w:pPr>
        <w:pStyle w:val="Indenta"/>
      </w:pPr>
      <w:r>
        <w:tab/>
        <w:t>(d)</w:t>
      </w:r>
      <w:r>
        <w:tab/>
        <w:t>the fish is not stored in a refrigerator, freezer, icebox or other storage container that contains a fish taken for a commercial purpose; and</w:t>
      </w:r>
    </w:p>
    <w:p>
      <w:pPr>
        <w:pStyle w:val="Indenta"/>
        <w:keepNext/>
      </w:pPr>
      <w:r>
        <w:tab/>
        <w:t>(e)</w:t>
      </w:r>
      <w:r>
        <w:tab/>
        <w:t xml:space="preserve">if the fish is a finfish — </w:t>
      </w:r>
    </w:p>
    <w:p>
      <w:pPr>
        <w:pStyle w:val="Indenti"/>
      </w:pPr>
      <w:r>
        <w:tab/>
        <w:t>(i)</w:t>
      </w:r>
      <w:r>
        <w:tab/>
        <w:t>the fish, or the package containing it, is labelled in accordance with regulation 22 or 22AA; and</w:t>
      </w:r>
    </w:p>
    <w:p>
      <w:pPr>
        <w:pStyle w:val="Indenti"/>
        <w:keepNext/>
      </w:pPr>
      <w:r>
        <w:tab/>
        <w:t>(ii)</w:t>
      </w:r>
      <w:r>
        <w:tab/>
        <w:t>the person whose name is on the label is staying in accommodation provided by the exempt business.</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(3)</w:t>
      </w:r>
      <w:r>
        <w:tab/>
        <w:t>For the purposes of subregulation (2) or (2B) fish is to be taken to have been taken for a recreational purpose if no record of the purchase or receipt of the fish has been kept under regulation 64.</w:t>
      </w:r>
    </w:p>
    <w:p>
      <w:pPr>
        <w:pStyle w:val="Subsection"/>
        <w:keepNext/>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Gazette 30 May 2014 p. 1716; amended: Gazette 4 Oct 2019 p. 3535</w:t>
      </w:r>
      <w:r>
        <w:noBreakHyphen/>
        <w:t>7; SL 2021/118 r. 18.]</w:t>
      </w:r>
    </w:p>
    <w:p>
      <w:pPr>
        <w:pStyle w:val="Heading2"/>
      </w:pPr>
      <w:bookmarkStart w:id="315" w:name="_Toc184372528"/>
      <w:bookmarkStart w:id="316" w:name="_Toc184377681"/>
      <w:bookmarkStart w:id="317" w:name="_Toc184385038"/>
      <w:bookmarkStart w:id="318" w:name="_Toc201508435"/>
      <w:bookmarkStart w:id="319" w:name="_Toc201754266"/>
      <w:bookmarkStart w:id="320" w:name="_Toc201758996"/>
      <w:r>
        <w:rPr>
          <w:rStyle w:val="CharPartNo"/>
        </w:rPr>
        <w:t>Part 4A</w:t>
      </w:r>
      <w:r>
        <w:rPr>
          <w:b w:val="0"/>
        </w:rPr>
        <w:t> </w:t>
      </w:r>
      <w:r>
        <w:t>—</w:t>
      </w:r>
      <w:r>
        <w:rPr>
          <w:b w:val="0"/>
        </w:rPr>
        <w:t> </w:t>
      </w:r>
      <w:r>
        <w:rPr>
          <w:rStyle w:val="CharPartText"/>
        </w:rPr>
        <w:t>Requirements regarding fishing gear</w:t>
      </w:r>
      <w:bookmarkEnd w:id="315"/>
      <w:bookmarkEnd w:id="316"/>
      <w:bookmarkEnd w:id="317"/>
      <w:bookmarkEnd w:id="318"/>
      <w:bookmarkEnd w:id="319"/>
      <w:bookmarkEnd w:id="320"/>
    </w:p>
    <w:p>
      <w:pPr>
        <w:pStyle w:val="Footnoteheading"/>
        <w:tabs>
          <w:tab w:val="left" w:pos="851"/>
        </w:tabs>
      </w:pPr>
      <w:r>
        <w:tab/>
        <w:t>[Heading inserted: Gazette 1 Oct 2003 p. 4304.]</w:t>
      </w:r>
    </w:p>
    <w:p>
      <w:pPr>
        <w:pStyle w:val="Heading3"/>
      </w:pPr>
      <w:bookmarkStart w:id="321" w:name="_Toc184372529"/>
      <w:bookmarkStart w:id="322" w:name="_Toc184377682"/>
      <w:bookmarkStart w:id="323" w:name="_Toc184385039"/>
      <w:bookmarkStart w:id="324" w:name="_Toc201508436"/>
      <w:bookmarkStart w:id="325" w:name="_Toc201754267"/>
      <w:bookmarkStart w:id="326" w:name="_Toc201758997"/>
      <w:r>
        <w:rPr>
          <w:rStyle w:val="CharDivNo"/>
        </w:rPr>
        <w:t>Division 1</w:t>
      </w:r>
      <w:r>
        <w:t> — </w:t>
      </w:r>
      <w:r>
        <w:rPr>
          <w:rStyle w:val="CharDivText"/>
        </w:rPr>
        <w:t>Preliminary</w:t>
      </w:r>
      <w:bookmarkEnd w:id="321"/>
      <w:bookmarkEnd w:id="322"/>
      <w:bookmarkEnd w:id="323"/>
      <w:bookmarkEnd w:id="324"/>
      <w:bookmarkEnd w:id="325"/>
      <w:bookmarkEnd w:id="326"/>
    </w:p>
    <w:p>
      <w:pPr>
        <w:pStyle w:val="Footnoteheading"/>
        <w:tabs>
          <w:tab w:val="left" w:pos="851"/>
        </w:tabs>
      </w:pPr>
      <w:r>
        <w:tab/>
        <w:t>[Heading inserted: Gazette 1 Oct 2003 p. 4304.]</w:t>
      </w:r>
    </w:p>
    <w:p>
      <w:pPr>
        <w:pStyle w:val="Heading5"/>
      </w:pPr>
      <w:bookmarkStart w:id="327" w:name="_Toc201758998"/>
      <w:bookmarkStart w:id="328" w:name="_Toc184385040"/>
      <w:r>
        <w:rPr>
          <w:rStyle w:val="CharSectno"/>
        </w:rPr>
        <w:t>64A</w:t>
      </w:r>
      <w:r>
        <w:t>.</w:t>
      </w:r>
      <w:r>
        <w:tab/>
        <w:t>Order of precedence of Div. 2, 3 and 4</w:t>
      </w:r>
      <w:bookmarkEnd w:id="327"/>
      <w:bookmarkEnd w:id="328"/>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Gazette 1 Oct 2003 p. 4304.]</w:t>
      </w:r>
    </w:p>
    <w:p>
      <w:pPr>
        <w:pStyle w:val="Heading5"/>
      </w:pPr>
      <w:bookmarkStart w:id="329" w:name="_Toc201758999"/>
      <w:bookmarkStart w:id="330" w:name="_Toc184385041"/>
      <w:r>
        <w:rPr>
          <w:rStyle w:val="CharSectno"/>
        </w:rPr>
        <w:t>64B</w:t>
      </w:r>
      <w:r>
        <w:t>.</w:t>
      </w:r>
      <w:r>
        <w:tab/>
        <w:t>Term used: attend</w:t>
      </w:r>
      <w:bookmarkEnd w:id="329"/>
      <w:bookmarkEnd w:id="330"/>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Gazette 1 Oct 2003 p. 4304.]</w:t>
      </w:r>
    </w:p>
    <w:p>
      <w:pPr>
        <w:pStyle w:val="Heading3"/>
      </w:pPr>
      <w:bookmarkStart w:id="331" w:name="_Toc184372532"/>
      <w:bookmarkStart w:id="332" w:name="_Toc184377685"/>
      <w:bookmarkStart w:id="333" w:name="_Toc184385042"/>
      <w:bookmarkStart w:id="334" w:name="_Toc201508439"/>
      <w:bookmarkStart w:id="335" w:name="_Toc201754270"/>
      <w:bookmarkStart w:id="336" w:name="_Toc201759000"/>
      <w:r>
        <w:rPr>
          <w:rStyle w:val="CharDivNo"/>
        </w:rPr>
        <w:t>Division 2</w:t>
      </w:r>
      <w:r>
        <w:t> — </w:t>
      </w:r>
      <w:r>
        <w:rPr>
          <w:rStyle w:val="CharDivText"/>
        </w:rPr>
        <w:t>Statewide requirements regarding fishing gear</w:t>
      </w:r>
      <w:bookmarkEnd w:id="331"/>
      <w:bookmarkEnd w:id="332"/>
      <w:bookmarkEnd w:id="333"/>
      <w:bookmarkEnd w:id="334"/>
      <w:bookmarkEnd w:id="335"/>
      <w:bookmarkEnd w:id="336"/>
    </w:p>
    <w:p>
      <w:pPr>
        <w:pStyle w:val="Footnoteheading"/>
        <w:tabs>
          <w:tab w:val="left" w:pos="851"/>
        </w:tabs>
      </w:pPr>
      <w:r>
        <w:tab/>
        <w:t>[Heading inserted: Gazette 1 Oct 2003 p. 4304.]</w:t>
      </w:r>
    </w:p>
    <w:p>
      <w:pPr>
        <w:pStyle w:val="Heading5"/>
      </w:pPr>
      <w:bookmarkStart w:id="337" w:name="_Toc201759001"/>
      <w:bookmarkStart w:id="338" w:name="_Toc184385043"/>
      <w:r>
        <w:rPr>
          <w:rStyle w:val="CharSectno"/>
        </w:rPr>
        <w:t>64CA</w:t>
      </w:r>
      <w:r>
        <w:t>.</w:t>
      </w:r>
      <w:r>
        <w:tab/>
        <w:t>Prohibited fishing methods</w:t>
      </w:r>
      <w:bookmarkEnd w:id="337"/>
      <w:bookmarkEnd w:id="338"/>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Gazette 30 May 2014 p. 1717.]</w:t>
      </w:r>
    </w:p>
    <w:p>
      <w:pPr>
        <w:pStyle w:val="Heading5"/>
        <w:spacing w:before="180"/>
      </w:pPr>
      <w:bookmarkStart w:id="339" w:name="_Toc201759002"/>
      <w:bookmarkStart w:id="340" w:name="_Toc184385044"/>
      <w:r>
        <w:rPr>
          <w:rStyle w:val="CharSectno"/>
        </w:rPr>
        <w:t>64C</w:t>
      </w:r>
      <w:r>
        <w:t>.</w:t>
      </w:r>
      <w:r>
        <w:tab/>
        <w:t>Fishing lines in use for recreational fishing must be attended</w:t>
      </w:r>
      <w:bookmarkEnd w:id="339"/>
      <w:bookmarkEnd w:id="340"/>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Gazette 1 Oct 2003 p. 4304.]</w:t>
      </w:r>
    </w:p>
    <w:p>
      <w:pPr>
        <w:pStyle w:val="Heading5"/>
      </w:pPr>
      <w:bookmarkStart w:id="341" w:name="_Toc201759003"/>
      <w:bookmarkStart w:id="342" w:name="_Toc184385045"/>
      <w:r>
        <w:rPr>
          <w:rStyle w:val="CharSectno"/>
        </w:rPr>
        <w:t>64D</w:t>
      </w:r>
      <w:r>
        <w:t>.</w:t>
      </w:r>
      <w:r>
        <w:tab/>
        <w:t>Nets, determining length, depth and mesh of</w:t>
      </w:r>
      <w:bookmarkEnd w:id="341"/>
      <w:bookmarkEnd w:id="342"/>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Gazette 1 Oct 2003 p. 4305.]</w:t>
      </w:r>
    </w:p>
    <w:p>
      <w:pPr>
        <w:pStyle w:val="Heading5"/>
      </w:pPr>
      <w:bookmarkStart w:id="343" w:name="_Toc201759004"/>
      <w:bookmarkStart w:id="344" w:name="_Toc184385046"/>
      <w:r>
        <w:rPr>
          <w:rStyle w:val="CharSectno"/>
        </w:rPr>
        <w:t>64DA</w:t>
      </w:r>
      <w:r>
        <w:t>.</w:t>
      </w:r>
      <w:r>
        <w:tab/>
        <w:t>Hauling nets for recreational fishing, use of</w:t>
      </w:r>
      <w:bookmarkEnd w:id="343"/>
      <w:bookmarkEnd w:id="344"/>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Gazette 22 Dec 2005 p. 6222.]</w:t>
      </w:r>
    </w:p>
    <w:p>
      <w:pPr>
        <w:pStyle w:val="Heading5"/>
      </w:pPr>
      <w:bookmarkStart w:id="345" w:name="_Toc201759005"/>
      <w:bookmarkStart w:id="346" w:name="_Toc184385047"/>
      <w:r>
        <w:rPr>
          <w:rStyle w:val="CharSectno"/>
        </w:rPr>
        <w:t>64E</w:t>
      </w:r>
      <w:r>
        <w:t>.</w:t>
      </w:r>
      <w:r>
        <w:tab/>
        <w:t>Limit on number of rods, reels, lines and baits used for recreational fishing</w:t>
      </w:r>
      <w:bookmarkEnd w:id="345"/>
      <w:bookmarkEnd w:id="346"/>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Penstart"/>
      </w:pPr>
      <w:r>
        <w:tab/>
        <w:t>Penalty for this subregulation: a fine of $2 000.</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must not fish for demersal finfish in the West Coast Region using a line with more than 1 bait or lure attached.</w:t>
      </w:r>
    </w:p>
    <w:p>
      <w:pPr>
        <w:pStyle w:val="Penstart"/>
      </w:pPr>
      <w:r>
        <w:tab/>
        <w:t>Penalty for this subregulation: a fine of $2 000.</w:t>
      </w:r>
    </w:p>
    <w:p>
      <w:pPr>
        <w:pStyle w:val="Subsection"/>
      </w:pPr>
      <w:r>
        <w:tab/>
        <w:t>(4)</w:t>
      </w:r>
      <w:r>
        <w:tab/>
        <w:t>A person, other than the holder of a commercial fishing licence, must not fish for fish other than demersal finfish in the West Coast Region using a line with more than 3 baits or lures attached.</w:t>
      </w:r>
    </w:p>
    <w:p>
      <w:pPr>
        <w:pStyle w:val="Penstart"/>
      </w:pPr>
      <w:r>
        <w:tab/>
        <w:t>Penalty for this subregulation: a fine of $2 000.</w:t>
      </w:r>
    </w:p>
    <w:p>
      <w:pPr>
        <w:pStyle w:val="Subsection"/>
        <w:keepNext/>
      </w:pPr>
      <w:r>
        <w:tab/>
        <w:t>(5)</w:t>
      </w:r>
      <w:r>
        <w:tab/>
        <w:t>A person, other than the holder of a commercial fishing licence, must not fish in WA waters other than the West Coast Region using a line with more than 3 baits or lures attached.</w:t>
      </w:r>
    </w:p>
    <w:p>
      <w:pPr>
        <w:pStyle w:val="Penstart"/>
        <w:keepNext/>
      </w:pPr>
      <w:r>
        <w:tab/>
        <w:t>Penalty for this subregulation: a fine of $2 000.</w:t>
      </w:r>
    </w:p>
    <w:p>
      <w:pPr>
        <w:pStyle w:val="Footnotesection"/>
        <w:ind w:left="890" w:hanging="890"/>
      </w:pPr>
      <w:r>
        <w:tab/>
        <w:t>[Regulation 64E inserted: Gazette 1 Oct 2003 p. 4305</w:t>
      </w:r>
      <w:r>
        <w:noBreakHyphen/>
        <w:t>6; amended: Gazette 27 Aug 2013 p. 4056; SL 2023/2 r. 12.]</w:t>
      </w:r>
    </w:p>
    <w:p>
      <w:pPr>
        <w:pStyle w:val="Heading5"/>
      </w:pPr>
      <w:bookmarkStart w:id="347" w:name="_Toc201759006"/>
      <w:bookmarkStart w:id="348" w:name="_Toc184385048"/>
      <w:r>
        <w:rPr>
          <w:rStyle w:val="CharSectno"/>
        </w:rPr>
        <w:t>64F</w:t>
      </w:r>
      <w:r>
        <w:t>.</w:t>
      </w:r>
      <w:r>
        <w:tab/>
        <w:t>Fishing nets, general requirements for</w:t>
      </w:r>
      <w:bookmarkEnd w:id="347"/>
      <w:bookmarkEnd w:id="348"/>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keepNext/>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keepNext/>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keepNext/>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keepNext/>
      </w:pPr>
      <w:r>
        <w:tab/>
        <w:t>(b)</w:t>
      </w:r>
      <w:r>
        <w:tab/>
        <w:t>to the taking of freshwater prawns (cherabin), crab, marron, freshwater crayfish or prawn.</w:t>
      </w:r>
    </w:p>
    <w:p>
      <w:pPr>
        <w:pStyle w:val="Penstart"/>
        <w:keepNext/>
      </w:pPr>
      <w:r>
        <w:tab/>
        <w:t>Penalty: $2 000.</w:t>
      </w:r>
    </w:p>
    <w:p>
      <w:pPr>
        <w:pStyle w:val="Footnotesection"/>
      </w:pPr>
      <w:r>
        <w:tab/>
        <w:t>[Regulation 64F inserted: Gazette 1 Oct 2003 p. 4306</w:t>
      </w:r>
      <w:r>
        <w:noBreakHyphen/>
        <w:t>7; amended: Gazette 4 Oct 2019 p. 3609.]</w:t>
      </w:r>
    </w:p>
    <w:p>
      <w:pPr>
        <w:pStyle w:val="Heading5"/>
      </w:pPr>
      <w:bookmarkStart w:id="349" w:name="_Toc201759007"/>
      <w:bookmarkStart w:id="350" w:name="_Toc184385049"/>
      <w:r>
        <w:rPr>
          <w:rStyle w:val="CharSectno"/>
        </w:rPr>
        <w:t>64G</w:t>
      </w:r>
      <w:r>
        <w:t>.</w:t>
      </w:r>
      <w:r>
        <w:tab/>
        <w:t>Fishing nets, minimum distance between when set</w:t>
      </w:r>
      <w:bookmarkEnd w:id="349"/>
      <w:bookmarkEnd w:id="350"/>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Gazette 1 Oct 2003 p. 4307.]</w:t>
      </w:r>
    </w:p>
    <w:p>
      <w:pPr>
        <w:pStyle w:val="Heading5"/>
      </w:pPr>
      <w:bookmarkStart w:id="351" w:name="_Toc201759008"/>
      <w:bookmarkStart w:id="352" w:name="_Toc184385050"/>
      <w:r>
        <w:rPr>
          <w:rStyle w:val="CharSectno"/>
        </w:rPr>
        <w:t>64H</w:t>
      </w:r>
      <w:r>
        <w:t>.</w:t>
      </w:r>
      <w:r>
        <w:tab/>
        <w:t>Fishing nets to be drawn so as to protect protected fish</w:t>
      </w:r>
      <w:bookmarkEnd w:id="351"/>
      <w:bookmarkEnd w:id="352"/>
    </w:p>
    <w:p>
      <w:pPr>
        <w:pStyle w:val="Subsection"/>
        <w:keepNext/>
      </w:pPr>
      <w:r>
        <w:tab/>
      </w:r>
      <w:r>
        <w:tab/>
        <w:t>A person must not in any waters draw a fishing net on shore or on board a boat in such a manner that any protected fish in the net are, or may be, killed.</w:t>
      </w:r>
    </w:p>
    <w:p>
      <w:pPr>
        <w:pStyle w:val="Penstart"/>
        <w:keepNext/>
      </w:pPr>
      <w:r>
        <w:tab/>
        <w:t>Penalty: $1 000.</w:t>
      </w:r>
    </w:p>
    <w:p>
      <w:pPr>
        <w:pStyle w:val="Footnotesection"/>
      </w:pPr>
      <w:r>
        <w:tab/>
        <w:t>[Regulation 64H inserted: Gazette 1 Oct 2003 p. 4308.]</w:t>
      </w:r>
    </w:p>
    <w:p>
      <w:pPr>
        <w:pStyle w:val="Heading5"/>
      </w:pPr>
      <w:bookmarkStart w:id="353" w:name="_Toc201759009"/>
      <w:bookmarkStart w:id="354" w:name="_Toc184385051"/>
      <w:r>
        <w:rPr>
          <w:rStyle w:val="CharSectno"/>
        </w:rPr>
        <w:t>64I</w:t>
      </w:r>
      <w:r>
        <w:t>.</w:t>
      </w:r>
      <w:r>
        <w:tab/>
        <w:t>Net fishing by commercial fishers in same area, priority rights between</w:t>
      </w:r>
      <w:bookmarkEnd w:id="353"/>
      <w:bookmarkEnd w:id="354"/>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keepNext/>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keepNext/>
      </w:pPr>
      <w:r>
        <w:tab/>
        <w:t>(c)</w:t>
      </w:r>
      <w:r>
        <w:tab/>
        <w:t>during a particular master’s turn, the master has —</w:t>
      </w:r>
    </w:p>
    <w:p>
      <w:pPr>
        <w:pStyle w:val="Indenti"/>
      </w:pPr>
      <w:r>
        <w:tab/>
        <w:t>(i)</w:t>
      </w:r>
      <w:r>
        <w:tab/>
        <w:t>exclusive right to fish the ground as long as a fishing net is ready to be shot; and</w:t>
      </w:r>
    </w:p>
    <w:p>
      <w:pPr>
        <w:pStyle w:val="Indenti"/>
        <w:keepNext/>
      </w:pPr>
      <w:r>
        <w:tab/>
        <w:t>(ii)</w:t>
      </w:r>
      <w:r>
        <w:tab/>
        <w:t>the right to use more than one fishing net where a school of fish is being shot;</w:t>
      </w:r>
    </w:p>
    <w:p>
      <w:pPr>
        <w:pStyle w:val="Indenta"/>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keepNext/>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keepNext/>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keepNext/>
      </w:pPr>
      <w:r>
        <w:tab/>
        <w:t>(c)</w:t>
      </w:r>
      <w:r>
        <w:tab/>
        <w:t>during a particular master’s turn, the master has —</w:t>
      </w:r>
    </w:p>
    <w:p>
      <w:pPr>
        <w:pStyle w:val="Indenti"/>
      </w:pPr>
      <w:r>
        <w:tab/>
        <w:t>(i)</w:t>
      </w:r>
      <w:r>
        <w:tab/>
        <w:t>exclusive right to fish the ground as long as a fishing net is ready to be set; and</w:t>
      </w:r>
    </w:p>
    <w:p>
      <w:pPr>
        <w:pStyle w:val="Indenti"/>
        <w:keepNext/>
      </w:pPr>
      <w:r>
        <w:tab/>
        <w:t>(ii)</w:t>
      </w:r>
      <w:r>
        <w:tab/>
        <w:t>the right to use more than one set fishing net;</w:t>
      </w:r>
    </w:p>
    <w:p>
      <w:pPr>
        <w:pStyle w:val="Indenta"/>
      </w:pPr>
      <w:r>
        <w:tab/>
      </w:r>
      <w:r>
        <w:tab/>
        <w:t>and</w:t>
      </w:r>
    </w:p>
    <w:p>
      <w:pPr>
        <w:pStyle w:val="Indenta"/>
        <w:keepNext/>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keepNext/>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keepNext/>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tab/>
        <w:t>(b)</w:t>
      </w:r>
      <w:r>
        <w:tab/>
        <w:t>obstruct the person having a turn; or</w:t>
      </w:r>
    </w:p>
    <w:p>
      <w:pPr>
        <w:pStyle w:val="Indenta"/>
        <w:keepNext/>
      </w:pPr>
      <w:r>
        <w:tab/>
        <w:t>(c)</w:t>
      </w:r>
      <w:r>
        <w:tab/>
        <w:t>set or place fishing nets so as to prevent fish getting to the ground.</w:t>
      </w:r>
    </w:p>
    <w:p>
      <w:pPr>
        <w:pStyle w:val="Penstart"/>
        <w:spacing w:before="120"/>
      </w:pPr>
      <w:r>
        <w:tab/>
        <w:t>Penalty: $2 000.</w:t>
      </w:r>
    </w:p>
    <w:p>
      <w:pPr>
        <w:pStyle w:val="Subsection"/>
        <w:keepNext/>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Gazette 1 Oct 2003 p. 4308</w:t>
      </w:r>
      <w:r>
        <w:noBreakHyphen/>
        <w:t>11.]</w:t>
      </w:r>
    </w:p>
    <w:p>
      <w:pPr>
        <w:pStyle w:val="Heading5"/>
      </w:pPr>
      <w:bookmarkStart w:id="355" w:name="_Toc201759010"/>
      <w:bookmarkStart w:id="356" w:name="_Toc184385052"/>
      <w:r>
        <w:rPr>
          <w:rStyle w:val="CharSectno"/>
        </w:rPr>
        <w:t>64J</w:t>
      </w:r>
      <w:r>
        <w:t>.</w:t>
      </w:r>
      <w:r>
        <w:tab/>
        <w:t>Fishing nets for recreational fishing, use of</w:t>
      </w:r>
      <w:bookmarkEnd w:id="355"/>
      <w:bookmarkEnd w:id="356"/>
    </w:p>
    <w:p>
      <w:pPr>
        <w:pStyle w:val="Subsection"/>
        <w:keepNext/>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keepNext/>
      </w:pPr>
      <w:r>
        <w:tab/>
        <w:t>(d)</w:t>
      </w:r>
      <w:r>
        <w:tab/>
        <w:t>in the waters lying south of a line drawn from Cape Inscription on Dirk Hartog Island due east to the mainland —</w:t>
      </w:r>
    </w:p>
    <w:p>
      <w:pPr>
        <w:pStyle w:val="Indenti"/>
      </w:pPr>
      <w:r>
        <w:tab/>
        <w:t>(i)</w:t>
      </w:r>
      <w:r>
        <w:tab/>
        <w:t>use any stake in connection with the setting of a fishing net; or</w:t>
      </w:r>
    </w:p>
    <w:p>
      <w:pPr>
        <w:pStyle w:val="Indenti"/>
        <w:keepNext/>
      </w:pPr>
      <w:r>
        <w:tab/>
        <w:t>(ii)</w:t>
      </w:r>
      <w:r>
        <w:tab/>
        <w:t>set or leave a set fishing net within the period beginning 1½ hours after sunrise and ending 1½ hours before sunset on any one day.</w:t>
      </w:r>
    </w:p>
    <w:p>
      <w:pPr>
        <w:pStyle w:val="Penstart"/>
        <w:keepNext/>
      </w:pPr>
      <w:r>
        <w:tab/>
        <w:t>Penalty: $2 000.</w:t>
      </w:r>
    </w:p>
    <w:p>
      <w:pPr>
        <w:pStyle w:val="Footnotesection"/>
      </w:pPr>
      <w:r>
        <w:tab/>
        <w:t>[Regulation 64J inserted: Gazette 1 Oct 2003 p. 4311; amended: Gazette 30 May 2014 p. 1717.]</w:t>
      </w:r>
    </w:p>
    <w:p>
      <w:pPr>
        <w:pStyle w:val="Heading5"/>
      </w:pPr>
      <w:bookmarkStart w:id="357" w:name="_Toc201759011"/>
      <w:bookmarkStart w:id="358" w:name="_Toc184385053"/>
      <w:r>
        <w:rPr>
          <w:rStyle w:val="CharSectno"/>
        </w:rPr>
        <w:t>64K</w:t>
      </w:r>
      <w:r>
        <w:t>.</w:t>
      </w:r>
      <w:r>
        <w:tab/>
        <w:t>Hauling nets not to be used for recreational fishing in estuaries etc.</w:t>
      </w:r>
      <w:bookmarkEnd w:id="357"/>
      <w:bookmarkEnd w:id="358"/>
    </w:p>
    <w:p>
      <w:pPr>
        <w:pStyle w:val="Subsection"/>
        <w:keepNext/>
      </w:pPr>
      <w:r>
        <w:tab/>
      </w:r>
      <w:r>
        <w:tab/>
        <w:t>A person, other than the holder of a commercial fishing licence, must not use a fishing net that is a hauling net in the waters of any estuary, river or inlet or in the entrance to any of those waters.</w:t>
      </w:r>
    </w:p>
    <w:p>
      <w:pPr>
        <w:pStyle w:val="Penstart"/>
        <w:keepNext/>
      </w:pPr>
      <w:r>
        <w:tab/>
        <w:t>Penalty: $2 000.</w:t>
      </w:r>
    </w:p>
    <w:p>
      <w:pPr>
        <w:pStyle w:val="Footnotesection"/>
      </w:pPr>
      <w:r>
        <w:tab/>
        <w:t>[Regulation 64K inserted: Gazette 1 Oct 2003 p. 4311</w:t>
      </w:r>
      <w:r>
        <w:noBreakHyphen/>
        <w:t>12.]</w:t>
      </w:r>
    </w:p>
    <w:p>
      <w:pPr>
        <w:pStyle w:val="Heading5"/>
      </w:pPr>
      <w:bookmarkStart w:id="359" w:name="_Toc201759012"/>
      <w:bookmarkStart w:id="360" w:name="_Toc184385054"/>
      <w:r>
        <w:rPr>
          <w:rStyle w:val="CharSectno"/>
        </w:rPr>
        <w:t>64L</w:t>
      </w:r>
      <w:r>
        <w:t>.</w:t>
      </w:r>
      <w:r>
        <w:tab/>
        <w:t>Crabs, permitted ways to fish for by recreational fishers</w:t>
      </w:r>
      <w:bookmarkEnd w:id="359"/>
      <w:bookmarkEnd w:id="360"/>
    </w:p>
    <w:p>
      <w:pPr>
        <w:pStyle w:val="Ednotesubsection"/>
        <w:keepNext/>
        <w:rPr>
          <w:b/>
        </w:rPr>
      </w:pPr>
      <w:r>
        <w:tab/>
        <w:t>[(1A)</w:t>
      </w:r>
      <w:r>
        <w:tab/>
        <w:t>deleted]</w:t>
      </w:r>
    </w:p>
    <w:p>
      <w:pPr>
        <w:pStyle w:val="Subsection"/>
        <w:keepNext/>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keepNext/>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keepNext/>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keepNext/>
      </w:pPr>
      <w:r>
        <w:tab/>
        <w:t>(e)</w:t>
      </w:r>
      <w:r>
        <w:tab/>
        <w:t>be constructed of material that is —</w:t>
      </w:r>
    </w:p>
    <w:p>
      <w:pPr>
        <w:pStyle w:val="Indenti"/>
      </w:pPr>
      <w:r>
        <w:tab/>
        <w:t>(i)</w:t>
      </w:r>
      <w:r>
        <w:tab/>
        <w:t>inflexible; and</w:t>
      </w:r>
    </w:p>
    <w:p>
      <w:pPr>
        <w:pStyle w:val="Indenti"/>
        <w:keepNext/>
      </w:pPr>
      <w:r>
        <w:tab/>
        <w:t>(ii)</w:t>
      </w:r>
      <w:r>
        <w:tab/>
        <w:t>not capable of ensnaring or entangling a crab.</w:t>
      </w:r>
    </w:p>
    <w:p>
      <w:pPr>
        <w:pStyle w:val="Penstart"/>
        <w:keepNext/>
      </w:pPr>
      <w:r>
        <w:tab/>
        <w:t>Penalty: $1 000.</w:t>
      </w:r>
    </w:p>
    <w:p>
      <w:pPr>
        <w:pStyle w:val="Footnotesection"/>
      </w:pPr>
      <w:r>
        <w:tab/>
        <w:t>[Regulation 64L inserted: Gazette 1 Oct 2003 p. 4312; amended: Gazette 6 Nov 2009 p. 4471; 7 Aug 2015 p. 3202</w:t>
      </w:r>
      <w:r>
        <w:noBreakHyphen/>
        <w:t>3; 4 Oct 2019 p. 3537.]</w:t>
      </w:r>
    </w:p>
    <w:p>
      <w:pPr>
        <w:pStyle w:val="Heading3"/>
        <w:keepNext w:val="0"/>
      </w:pPr>
      <w:bookmarkStart w:id="361" w:name="_Toc184372545"/>
      <w:bookmarkStart w:id="362" w:name="_Toc184377698"/>
      <w:bookmarkStart w:id="363" w:name="_Toc184385055"/>
      <w:bookmarkStart w:id="364" w:name="_Toc201508452"/>
      <w:bookmarkStart w:id="365" w:name="_Toc201754283"/>
      <w:bookmarkStart w:id="366" w:name="_Toc201759013"/>
      <w:r>
        <w:rPr>
          <w:rStyle w:val="CharDivNo"/>
        </w:rPr>
        <w:t>Division 3</w:t>
      </w:r>
      <w:r>
        <w:t> — </w:t>
      </w:r>
      <w:r>
        <w:rPr>
          <w:rStyle w:val="CharDivText"/>
        </w:rPr>
        <w:t>Requirements regarding fishing gear in the West Coast Region</w:t>
      </w:r>
      <w:bookmarkEnd w:id="361"/>
      <w:bookmarkEnd w:id="362"/>
      <w:bookmarkEnd w:id="363"/>
      <w:bookmarkEnd w:id="364"/>
      <w:bookmarkEnd w:id="365"/>
      <w:bookmarkEnd w:id="366"/>
    </w:p>
    <w:p>
      <w:pPr>
        <w:pStyle w:val="Footnoteheading"/>
        <w:keepNext/>
        <w:keepLines/>
        <w:tabs>
          <w:tab w:val="left" w:pos="851"/>
        </w:tabs>
        <w:spacing w:before="80"/>
      </w:pPr>
      <w:r>
        <w:tab/>
        <w:t>[Heading inserted: Gazette 1 Oct 2003 p. 4313.]</w:t>
      </w:r>
    </w:p>
    <w:p>
      <w:pPr>
        <w:pStyle w:val="Heading5"/>
      </w:pPr>
      <w:bookmarkStart w:id="367" w:name="_Toc201759014"/>
      <w:bookmarkStart w:id="368" w:name="_Toc184385056"/>
      <w:r>
        <w:rPr>
          <w:rStyle w:val="CharSectno"/>
        </w:rPr>
        <w:t>64M</w:t>
      </w:r>
      <w:r>
        <w:t>.</w:t>
      </w:r>
      <w:r>
        <w:tab/>
        <w:t>Term used: attend</w:t>
      </w:r>
      <w:bookmarkEnd w:id="367"/>
      <w:bookmarkEnd w:id="368"/>
    </w:p>
    <w:p>
      <w:pPr>
        <w:pStyle w:val="Subsection"/>
        <w:keepNext/>
      </w:pPr>
      <w:r>
        <w:tab/>
      </w:r>
      <w:r>
        <w:tab/>
        <w:t>In this Division —</w:t>
      </w:r>
    </w:p>
    <w:p>
      <w:pPr>
        <w:pStyle w:val="Defstart"/>
        <w:keepNext/>
      </w:pPr>
      <w:r>
        <w:rPr>
          <w:b/>
        </w:rPr>
        <w:tab/>
      </w:r>
      <w:r>
        <w:rPr>
          <w:rStyle w:val="CharDefText"/>
        </w:rPr>
        <w:t>attend</w:t>
      </w:r>
      <w:r>
        <w:t>, in respect of a net, means to be within 100 m of the net.</w:t>
      </w:r>
    </w:p>
    <w:p>
      <w:pPr>
        <w:pStyle w:val="Footnotesection"/>
      </w:pPr>
      <w:r>
        <w:tab/>
        <w:t>[Regulation 64M inserted: Gazette 1 Oct 2003 p. 4313.]</w:t>
      </w:r>
    </w:p>
    <w:p>
      <w:pPr>
        <w:pStyle w:val="Heading5"/>
      </w:pPr>
      <w:bookmarkStart w:id="369" w:name="_Toc201759015"/>
      <w:bookmarkStart w:id="370" w:name="_Toc184385057"/>
      <w:r>
        <w:rPr>
          <w:rStyle w:val="CharSectno"/>
        </w:rPr>
        <w:t>64N</w:t>
      </w:r>
      <w:r>
        <w:t>.</w:t>
      </w:r>
      <w:r>
        <w:tab/>
        <w:t>Application of this Division</w:t>
      </w:r>
      <w:bookmarkEnd w:id="369"/>
      <w:bookmarkEnd w:id="370"/>
    </w:p>
    <w:p>
      <w:pPr>
        <w:pStyle w:val="Subsection"/>
        <w:keepNext/>
      </w:pPr>
      <w:r>
        <w:tab/>
      </w:r>
      <w:r>
        <w:tab/>
        <w:t>Except as stated in regulation 64OAA, this Division does not apply to a person fishing for a commercial purpose in accordance with an authorisation.</w:t>
      </w:r>
    </w:p>
    <w:p>
      <w:pPr>
        <w:pStyle w:val="Footnotesection"/>
      </w:pPr>
      <w:r>
        <w:tab/>
        <w:t>[Regulation 64N inserted: Gazette 1 Oct 2003 p. 4313; amended: Gazette 8 Dec 2009 p. 4995.]</w:t>
      </w:r>
    </w:p>
    <w:p>
      <w:pPr>
        <w:pStyle w:val="Heading5"/>
      </w:pPr>
      <w:bookmarkStart w:id="371" w:name="_Toc201759016"/>
      <w:bookmarkStart w:id="372" w:name="_Toc184385058"/>
      <w:r>
        <w:rPr>
          <w:rStyle w:val="CharSectno"/>
        </w:rPr>
        <w:t>64NA</w:t>
      </w:r>
      <w:r>
        <w:t>.</w:t>
      </w:r>
      <w:r>
        <w:tab/>
        <w:t>Prawn hand trawl nets not to be used in certain places</w:t>
      </w:r>
      <w:bookmarkEnd w:id="371"/>
      <w:bookmarkEnd w:id="372"/>
    </w:p>
    <w:p>
      <w:pPr>
        <w:pStyle w:val="Subsection"/>
        <w:keepNext/>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keepNext/>
      </w:pPr>
      <w:r>
        <w:tab/>
        <w:t>(d)</w:t>
      </w:r>
      <w:r>
        <w:tab/>
        <w:t>the Dawesville Cut.</w:t>
      </w:r>
    </w:p>
    <w:p>
      <w:pPr>
        <w:pStyle w:val="Penstart"/>
        <w:keepNext/>
      </w:pPr>
      <w:r>
        <w:tab/>
        <w:t>Penalty: $2 000.</w:t>
      </w:r>
    </w:p>
    <w:p>
      <w:pPr>
        <w:pStyle w:val="Footnotesection"/>
      </w:pPr>
      <w:r>
        <w:tab/>
        <w:t>[Regulation 64NA inserted: Gazette 6 Jul 2007 p. 3388.]</w:t>
      </w:r>
    </w:p>
    <w:p>
      <w:pPr>
        <w:pStyle w:val="Heading5"/>
      </w:pPr>
      <w:bookmarkStart w:id="373" w:name="_Toc201759017"/>
      <w:bookmarkStart w:id="374" w:name="_Toc184385059"/>
      <w:r>
        <w:rPr>
          <w:rStyle w:val="CharSectno"/>
        </w:rPr>
        <w:t>64O</w:t>
      </w:r>
      <w:r>
        <w:t>.</w:t>
      </w:r>
      <w:r>
        <w:tab/>
        <w:t>Set fishing nets, use of</w:t>
      </w:r>
      <w:bookmarkEnd w:id="373"/>
      <w:bookmarkEnd w:id="374"/>
    </w:p>
    <w:p>
      <w:pPr>
        <w:pStyle w:val="Subsection"/>
        <w:keepNext/>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keepNext/>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keepNext/>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keepNext/>
      </w:pPr>
      <w:r>
        <w:tab/>
        <w:t>(ii)</w:t>
      </w:r>
      <w:r>
        <w:tab/>
        <w:t>in the waters referred to in subregulation (1)(b) or (c) — within the period beginning 1½ hours after sunrise and ending 1½ hours before sunset on any one day.</w:t>
      </w:r>
    </w:p>
    <w:p>
      <w:pPr>
        <w:pStyle w:val="Penstart"/>
        <w:keepNext/>
      </w:pPr>
      <w:r>
        <w:tab/>
        <w:t>Penalty: $2 000.</w:t>
      </w:r>
    </w:p>
    <w:p>
      <w:pPr>
        <w:pStyle w:val="Footnotesection"/>
        <w:spacing w:before="100"/>
      </w:pPr>
      <w:r>
        <w:tab/>
        <w:t>[Regulation 64O inserted: Gazette 1 Oct 2003 p. 4313; amended: Gazette 20 Dec 2011 p. 5375.]</w:t>
      </w:r>
    </w:p>
    <w:p>
      <w:pPr>
        <w:pStyle w:val="Heading5"/>
        <w:spacing w:before="200"/>
      </w:pPr>
      <w:bookmarkStart w:id="375" w:name="_Toc201759018"/>
      <w:bookmarkStart w:id="376" w:name="_Toc184385060"/>
      <w:r>
        <w:rPr>
          <w:rStyle w:val="CharSectno"/>
        </w:rPr>
        <w:t>64OAA</w:t>
      </w:r>
      <w:r>
        <w:t>.</w:t>
      </w:r>
      <w:r>
        <w:tab/>
        <w:t>Release weight to be on boat used to fish for demersal scalefish</w:t>
      </w:r>
      <w:bookmarkEnd w:id="375"/>
      <w:bookmarkEnd w:id="376"/>
    </w:p>
    <w:p>
      <w:pPr>
        <w:pStyle w:val="Subsection"/>
        <w:keepNext/>
      </w:pPr>
      <w:r>
        <w:tab/>
        <w:t>(1)</w:t>
      </w:r>
      <w:r>
        <w:tab/>
        <w:t>In this regulation —</w:t>
      </w:r>
    </w:p>
    <w:p>
      <w:pPr>
        <w:pStyle w:val="Defstart"/>
        <w:keepNex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keepNext/>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keepNext/>
      </w:pPr>
      <w:r>
        <w:tab/>
        <w:t>(3)</w:t>
      </w:r>
      <w:r>
        <w:tab/>
        <w:t>If a person is fishing for demersal finfish from a boat, other than a fishing boat, by means of a line, the master of the boat must ensure that there is a release weight on the boat.</w:t>
      </w:r>
    </w:p>
    <w:p>
      <w:pPr>
        <w:pStyle w:val="Penstart"/>
        <w:keepNext/>
      </w:pPr>
      <w:r>
        <w:tab/>
        <w:t>Penalty: $2 000.</w:t>
      </w:r>
    </w:p>
    <w:p>
      <w:pPr>
        <w:pStyle w:val="Footnotesection"/>
      </w:pPr>
      <w:r>
        <w:tab/>
        <w:t>[Regulation 64OAA inserted: Gazette 8 Dec 2009 p. 4995; amended: Gazette 1 Mar 2011 p. 671; SL 2021/118 r. 19.]</w:t>
      </w:r>
    </w:p>
    <w:p>
      <w:pPr>
        <w:pStyle w:val="Heading3"/>
        <w:spacing w:before="260"/>
      </w:pPr>
      <w:bookmarkStart w:id="377" w:name="_Toc184372551"/>
      <w:bookmarkStart w:id="378" w:name="_Toc184377704"/>
      <w:bookmarkStart w:id="379" w:name="_Toc184385061"/>
      <w:bookmarkStart w:id="380" w:name="_Toc201508458"/>
      <w:bookmarkStart w:id="381" w:name="_Toc201754289"/>
      <w:bookmarkStart w:id="382" w:name="_Toc201759019"/>
      <w:r>
        <w:rPr>
          <w:rStyle w:val="CharDivNo"/>
        </w:rPr>
        <w:t>Division 3A</w:t>
      </w:r>
      <w:r>
        <w:t> — </w:t>
      </w:r>
      <w:r>
        <w:rPr>
          <w:rStyle w:val="CharDivText"/>
        </w:rPr>
        <w:t>Requirements regarding fishing gear in the Pilbara and Kimberley Region</w:t>
      </w:r>
      <w:bookmarkEnd w:id="377"/>
      <w:bookmarkEnd w:id="378"/>
      <w:bookmarkEnd w:id="379"/>
      <w:bookmarkEnd w:id="380"/>
      <w:bookmarkEnd w:id="381"/>
      <w:bookmarkEnd w:id="382"/>
    </w:p>
    <w:p>
      <w:pPr>
        <w:pStyle w:val="Footnoteheading"/>
        <w:keepNext/>
      </w:pPr>
      <w:r>
        <w:tab/>
        <w:t>[Heading inserted: Gazette 22 Dec 2005 p. 6222.]</w:t>
      </w:r>
    </w:p>
    <w:p>
      <w:pPr>
        <w:pStyle w:val="Heading5"/>
        <w:spacing w:before="240"/>
      </w:pPr>
      <w:bookmarkStart w:id="383" w:name="_Toc201759020"/>
      <w:bookmarkStart w:id="384" w:name="_Toc184385062"/>
      <w:r>
        <w:rPr>
          <w:rStyle w:val="CharSectno"/>
        </w:rPr>
        <w:t>64OA</w:t>
      </w:r>
      <w:r>
        <w:t>.</w:t>
      </w:r>
      <w:r>
        <w:tab/>
        <w:t>Application of this Division</w:t>
      </w:r>
      <w:bookmarkEnd w:id="383"/>
      <w:bookmarkEnd w:id="384"/>
    </w:p>
    <w:p>
      <w:pPr>
        <w:pStyle w:val="Subsection"/>
        <w:keepNext/>
        <w:spacing w:before="180"/>
      </w:pPr>
      <w:r>
        <w:tab/>
      </w:r>
      <w:r>
        <w:tab/>
        <w:t>This Division does not apply to a person fishing for a commercial purpose in accordance with an authorisation.</w:t>
      </w:r>
    </w:p>
    <w:p>
      <w:pPr>
        <w:pStyle w:val="Footnotesection"/>
      </w:pPr>
      <w:r>
        <w:tab/>
        <w:t>[Regulation 64OA inserted: Gazette 22 Dec 2005 p. 6222.]</w:t>
      </w:r>
    </w:p>
    <w:p>
      <w:pPr>
        <w:pStyle w:val="Heading5"/>
        <w:spacing w:before="240"/>
      </w:pPr>
      <w:bookmarkStart w:id="385" w:name="_Toc201759021"/>
      <w:bookmarkStart w:id="386" w:name="_Toc184385063"/>
      <w:r>
        <w:rPr>
          <w:rStyle w:val="CharSectno"/>
        </w:rPr>
        <w:t>64OB</w:t>
      </w:r>
      <w:r>
        <w:t>.</w:t>
      </w:r>
      <w:r>
        <w:tab/>
        <w:t>Restrictions on use of haul and set nets</w:t>
      </w:r>
      <w:bookmarkEnd w:id="385"/>
      <w:bookmarkEnd w:id="386"/>
    </w:p>
    <w:p>
      <w:pPr>
        <w:pStyle w:val="Subsection"/>
        <w:keepNext/>
      </w:pPr>
      <w:r>
        <w:tab/>
        <w:t>(1)</w:t>
      </w:r>
      <w:r>
        <w:tab/>
        <w:t xml:space="preserve">A person must not fish in any waters of the Pilbara and Kimberley Region using — </w:t>
      </w:r>
    </w:p>
    <w:p>
      <w:pPr>
        <w:pStyle w:val="Indenta"/>
      </w:pPr>
      <w:r>
        <w:tab/>
        <w:t>(a)</w:t>
      </w:r>
      <w:r>
        <w:tab/>
        <w:t>a haul net; or</w:t>
      </w:r>
    </w:p>
    <w:p>
      <w:pPr>
        <w:pStyle w:val="Indenta"/>
        <w:keepNext/>
      </w:pPr>
      <w:r>
        <w:tab/>
        <w:t>(b)</w:t>
      </w:r>
      <w:r>
        <w:tab/>
        <w:t>a set net.</w:t>
      </w:r>
    </w:p>
    <w:p>
      <w:pPr>
        <w:pStyle w:val="Penstart"/>
      </w:pPr>
      <w:r>
        <w:tab/>
        <w:t>Penalty: a fine of $2 000.</w:t>
      </w:r>
    </w:p>
    <w:p>
      <w:pPr>
        <w:pStyle w:val="Subsection"/>
        <w:keepNext/>
      </w:pPr>
      <w:r>
        <w:tab/>
        <w:t>(2)</w:t>
      </w:r>
      <w:r>
        <w:tab/>
        <w:t>Subregulation (1)(a) does not apply if the person —</w:t>
      </w:r>
    </w:p>
    <w:p>
      <w:pPr>
        <w:pStyle w:val="Indenta"/>
      </w:pPr>
      <w:r>
        <w:tab/>
        <w:t>(a)</w:t>
      </w:r>
      <w:r>
        <w:tab/>
        <w:t>is fishing from an island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keepNext/>
      </w:pPr>
      <w:r>
        <w:tab/>
        <w:t>(3)</w:t>
      </w:r>
      <w:r>
        <w:tab/>
        <w:t>In this regulation —</w:t>
      </w:r>
    </w:p>
    <w:p>
      <w:pPr>
        <w:pStyle w:val="Defstart"/>
        <w:keepNext/>
      </w:pPr>
      <w:r>
        <w:tab/>
      </w:r>
      <w:r>
        <w:rPr>
          <w:rStyle w:val="CharDefText"/>
        </w:rPr>
        <w:t>Dampier Archipelago waters</w:t>
      </w:r>
      <w:r>
        <w:t xml:space="preserve"> — </w:t>
      </w:r>
    </w:p>
    <w:p>
      <w:pPr>
        <w:pStyle w:val="Defpara"/>
      </w:pPr>
      <w:r>
        <w:tab/>
        <w:t>(a)</w:t>
      </w:r>
      <w:r>
        <w:tab/>
        <w:t>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 but</w:t>
      </w:r>
    </w:p>
    <w:p>
      <w:pPr>
        <w:pStyle w:val="Defpara"/>
        <w:keepNext/>
      </w:pPr>
      <w:r>
        <w:tab/>
        <w:t>(b)</w:t>
      </w:r>
      <w:r>
        <w:tab/>
        <w:t xml:space="preserve">does not include a tidal inlet, pool, creek, river or tributary that is part of the waters bounded by the line set out in paragraph (a). </w:t>
      </w:r>
    </w:p>
    <w:p>
      <w:pPr>
        <w:pStyle w:val="Footnotesection"/>
      </w:pPr>
      <w:r>
        <w:tab/>
        <w:t>[Regulation 64OB inserted: Gazette 22 Dec 2005 p. 6222</w:t>
      </w:r>
      <w:r>
        <w:noBreakHyphen/>
        <w:t>3; amended: Gazette 7 Mar 2006 p. 975; 22 Jun 2012 p. 2779; 7 Aug 2015 p. 3203; SL 2023/2 r. 13.]</w:t>
      </w:r>
    </w:p>
    <w:p>
      <w:pPr>
        <w:pStyle w:val="Heading3"/>
      </w:pPr>
      <w:bookmarkStart w:id="387" w:name="_Toc184372554"/>
      <w:bookmarkStart w:id="388" w:name="_Toc184377707"/>
      <w:bookmarkStart w:id="389" w:name="_Toc184385064"/>
      <w:bookmarkStart w:id="390" w:name="_Toc201508461"/>
      <w:bookmarkStart w:id="391" w:name="_Toc201754292"/>
      <w:bookmarkStart w:id="392" w:name="_Toc201759022"/>
      <w:r>
        <w:rPr>
          <w:rStyle w:val="CharDivNo"/>
        </w:rPr>
        <w:t>Division 3B</w:t>
      </w:r>
      <w:r>
        <w:t> — </w:t>
      </w:r>
      <w:r>
        <w:rPr>
          <w:rStyle w:val="CharDivText"/>
        </w:rPr>
        <w:t>Requirements regarding fishing gear in the South Coast Region</w:t>
      </w:r>
      <w:bookmarkEnd w:id="387"/>
      <w:bookmarkEnd w:id="388"/>
      <w:bookmarkEnd w:id="389"/>
      <w:bookmarkEnd w:id="390"/>
      <w:bookmarkEnd w:id="391"/>
      <w:bookmarkEnd w:id="392"/>
    </w:p>
    <w:p>
      <w:pPr>
        <w:pStyle w:val="Footnoteheading"/>
        <w:keepNext/>
      </w:pPr>
      <w:r>
        <w:tab/>
        <w:t>[Heading inserted: Gazette 22 Dec 2005 p. 6223.]</w:t>
      </w:r>
    </w:p>
    <w:p>
      <w:pPr>
        <w:pStyle w:val="Heading5"/>
      </w:pPr>
      <w:bookmarkStart w:id="393" w:name="_Toc201759023"/>
      <w:bookmarkStart w:id="394" w:name="_Toc184385065"/>
      <w:r>
        <w:rPr>
          <w:rStyle w:val="CharSectno"/>
        </w:rPr>
        <w:t>64OC</w:t>
      </w:r>
      <w:r>
        <w:t>.</w:t>
      </w:r>
      <w:r>
        <w:tab/>
        <w:t>Application of this Division</w:t>
      </w:r>
      <w:bookmarkEnd w:id="393"/>
      <w:bookmarkEnd w:id="394"/>
    </w:p>
    <w:p>
      <w:pPr>
        <w:pStyle w:val="Subsection"/>
        <w:keepNext/>
      </w:pPr>
      <w:r>
        <w:tab/>
      </w:r>
      <w:r>
        <w:tab/>
        <w:t>This Division does not apply to a person fishing for a commercial purpose in accordance with an authorisation.</w:t>
      </w:r>
    </w:p>
    <w:p>
      <w:pPr>
        <w:pStyle w:val="Footnotesection"/>
      </w:pPr>
      <w:r>
        <w:tab/>
        <w:t>[Regulation 64OC inserted: Gazette 22 Dec 2005 p. 6223.]</w:t>
      </w:r>
    </w:p>
    <w:p>
      <w:pPr>
        <w:pStyle w:val="Heading5"/>
      </w:pPr>
      <w:bookmarkStart w:id="395" w:name="_Toc201759024"/>
      <w:bookmarkStart w:id="396" w:name="_Toc184385066"/>
      <w:r>
        <w:rPr>
          <w:rStyle w:val="CharSectno"/>
        </w:rPr>
        <w:t>64OD</w:t>
      </w:r>
      <w:r>
        <w:t>.</w:t>
      </w:r>
      <w:r>
        <w:tab/>
        <w:t>Set fishing nets, use of</w:t>
      </w:r>
      <w:bookmarkEnd w:id="395"/>
      <w:bookmarkEnd w:id="396"/>
    </w:p>
    <w:p>
      <w:pPr>
        <w:pStyle w:val="Subsection"/>
        <w:keepNext/>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during May — October, in the waters of Broke Inlet, Irwin Inlet, Stokes Inlet or Gairdner River.</w:t>
      </w:r>
    </w:p>
    <w:p>
      <w:pPr>
        <w:pStyle w:val="Subsection"/>
        <w:keepNext/>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keepNext/>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keepNext/>
      </w:pPr>
      <w:r>
        <w:rPr>
          <w:b/>
        </w:rPr>
        <w:tab/>
      </w:r>
      <w:r>
        <w:rPr>
          <w:rStyle w:val="CharDefText"/>
        </w:rPr>
        <w:t>November — April</w:t>
      </w:r>
      <w:r>
        <w:t xml:space="preserve"> means the period between 1 November in any year and 30 April in the following year.</w:t>
      </w:r>
    </w:p>
    <w:p>
      <w:pPr>
        <w:pStyle w:val="Penstart"/>
        <w:keepNext/>
      </w:pPr>
      <w:r>
        <w:tab/>
        <w:t>Penalty: $2 000.</w:t>
      </w:r>
    </w:p>
    <w:p>
      <w:pPr>
        <w:pStyle w:val="Footnotesection"/>
      </w:pPr>
      <w:r>
        <w:tab/>
        <w:t>[Regulation 64OD inserted: Gazette 22 Dec 2005 p. 6223</w:t>
      </w:r>
      <w:r>
        <w:noBreakHyphen/>
        <w:t>4.]</w:t>
      </w:r>
    </w:p>
    <w:p>
      <w:pPr>
        <w:pStyle w:val="Heading5"/>
        <w:spacing w:before="240"/>
      </w:pPr>
      <w:bookmarkStart w:id="397" w:name="_Toc201759025"/>
      <w:bookmarkStart w:id="398" w:name="_Toc184385067"/>
      <w:r>
        <w:rPr>
          <w:rStyle w:val="CharSectno"/>
        </w:rPr>
        <w:t>64OE</w:t>
      </w:r>
      <w:r>
        <w:t>.</w:t>
      </w:r>
      <w:r>
        <w:tab/>
        <w:t>Use of throw nets</w:t>
      </w:r>
      <w:bookmarkEnd w:id="397"/>
      <w:bookmarkEnd w:id="398"/>
    </w:p>
    <w:p>
      <w:pPr>
        <w:pStyle w:val="Subsection"/>
        <w:keepNext/>
      </w:pPr>
      <w:r>
        <w:tab/>
        <w:t>(1)</w:t>
      </w:r>
      <w:r>
        <w:tab/>
        <w:t>A person must not fish by using a fishing net that is a throw net in any ocean waters of the South Coast Region other than for the taking of Bait Fish, Garfish, Hardyhead or Mullet.</w:t>
      </w:r>
    </w:p>
    <w:p>
      <w:pPr>
        <w:pStyle w:val="Penstart"/>
      </w:pPr>
      <w:r>
        <w:tab/>
        <w:t>Penalty for this subregulation: a fine of $2 000.</w:t>
      </w:r>
    </w:p>
    <w:p>
      <w:pPr>
        <w:pStyle w:val="Subsection"/>
        <w:keepNext/>
      </w:pPr>
      <w:r>
        <w:tab/>
        <w:t>(2)</w:t>
      </w:r>
      <w:r>
        <w:tab/>
        <w:t>A person fishing by using a throw net in any ocean waters of the South Coast Region must not take any fish except Bait Fish, Garfish, Hardyhead or Mullet.</w:t>
      </w:r>
    </w:p>
    <w:p>
      <w:pPr>
        <w:pStyle w:val="Penstart"/>
      </w:pPr>
      <w:r>
        <w:tab/>
        <w:t>Penalty for this subregulation: a fine of $2 000.</w:t>
      </w:r>
    </w:p>
    <w:p>
      <w:pPr>
        <w:pStyle w:val="Subsection"/>
      </w:pPr>
      <w:r>
        <w:tab/>
        <w:t>(3)</w:t>
      </w:r>
      <w:r>
        <w:tab/>
        <w:t>Subregulations (1) and (2) do not apply to a person fishing for a commercial purpose in accordance with an authorisation.</w:t>
      </w:r>
    </w:p>
    <w:p>
      <w:pPr>
        <w:pStyle w:val="Ednotesubsection"/>
        <w:keepNext/>
      </w:pPr>
      <w:r>
        <w:tab/>
        <w:t>[(4)</w:t>
      </w:r>
      <w:r>
        <w:tab/>
        <w:t>deleted]</w:t>
      </w:r>
    </w:p>
    <w:p>
      <w:pPr>
        <w:pStyle w:val="Footnotesection"/>
      </w:pPr>
      <w:r>
        <w:tab/>
        <w:t>[Regulation 64OE inserted: Gazette 22 Dec 2005 p. 6224</w:t>
      </w:r>
      <w:r>
        <w:noBreakHyphen/>
        <w:t>5; amended: Gazette 4 Oct 2019 p. 3609; SL 2021/118 r. 20.]</w:t>
      </w:r>
    </w:p>
    <w:p>
      <w:pPr>
        <w:pStyle w:val="Heading3"/>
        <w:keepLines/>
      </w:pPr>
      <w:bookmarkStart w:id="399" w:name="_Toc184372558"/>
      <w:bookmarkStart w:id="400" w:name="_Toc184377711"/>
      <w:bookmarkStart w:id="401" w:name="_Toc184385068"/>
      <w:bookmarkStart w:id="402" w:name="_Toc201508465"/>
      <w:bookmarkStart w:id="403" w:name="_Toc201754296"/>
      <w:bookmarkStart w:id="404" w:name="_Toc201759026"/>
      <w:r>
        <w:rPr>
          <w:rStyle w:val="CharDivNo"/>
        </w:rPr>
        <w:t>Division 4</w:t>
      </w:r>
      <w:r>
        <w:t> — </w:t>
      </w:r>
      <w:r>
        <w:rPr>
          <w:rStyle w:val="CharDivText"/>
        </w:rPr>
        <w:t>Requirements regarding fishing gear in certain other areas</w:t>
      </w:r>
      <w:bookmarkEnd w:id="399"/>
      <w:bookmarkEnd w:id="400"/>
      <w:bookmarkEnd w:id="401"/>
      <w:bookmarkEnd w:id="402"/>
      <w:bookmarkEnd w:id="403"/>
      <w:bookmarkEnd w:id="404"/>
    </w:p>
    <w:p>
      <w:pPr>
        <w:pStyle w:val="Footnoteheading"/>
        <w:keepNext/>
        <w:keepLines/>
        <w:tabs>
          <w:tab w:val="left" w:pos="851"/>
        </w:tabs>
        <w:spacing w:before="80"/>
      </w:pPr>
      <w:r>
        <w:tab/>
        <w:t>[Heading inserted: Gazette 1 Oct 2003 p. 4314.]</w:t>
      </w:r>
    </w:p>
    <w:p>
      <w:pPr>
        <w:pStyle w:val="Heading5"/>
      </w:pPr>
      <w:bookmarkStart w:id="405" w:name="_Toc201759027"/>
      <w:bookmarkStart w:id="406" w:name="_Toc184385069"/>
      <w:r>
        <w:rPr>
          <w:rStyle w:val="CharSectno"/>
        </w:rPr>
        <w:t>64P</w:t>
      </w:r>
      <w:r>
        <w:t>.</w:t>
      </w:r>
      <w:r>
        <w:tab/>
        <w:t>Prawn hand trawl nets, use of in Swan River and Leschenault Estuary</w:t>
      </w:r>
      <w:bookmarkEnd w:id="405"/>
      <w:bookmarkEnd w:id="406"/>
    </w:p>
    <w:p>
      <w:pPr>
        <w:pStyle w:val="Subsection"/>
        <w:keepNext/>
      </w:pPr>
      <w:r>
        <w:tab/>
      </w:r>
      <w:r>
        <w:tab/>
        <w:t>A person must not use, or leave unattended, a prawn hand trawl net in the waters of —</w:t>
      </w:r>
    </w:p>
    <w:p>
      <w:pPr>
        <w:pStyle w:val="Indenta"/>
      </w:pPr>
      <w:r>
        <w:tab/>
        <w:t>(a)</w:t>
      </w:r>
      <w:r>
        <w:tab/>
        <w:t>the Leschenault Estuary; or</w:t>
      </w:r>
    </w:p>
    <w:p>
      <w:pPr>
        <w:pStyle w:val="Indenta"/>
        <w:keepNext/>
      </w:pPr>
      <w:r>
        <w:tab/>
        <w:t>(b)</w:t>
      </w:r>
      <w:r>
        <w:tab/>
        <w:t>the Swan River —</w:t>
      </w:r>
    </w:p>
    <w:p>
      <w:pPr>
        <w:pStyle w:val="Indenti"/>
      </w:pPr>
      <w:r>
        <w:tab/>
        <w:t>(i)</w:t>
      </w:r>
      <w:r>
        <w:tab/>
        <w:t>within 100 m of any part of the Pelican Point Nature Reserve (Reserve No. 40891); or</w:t>
      </w:r>
    </w:p>
    <w:p>
      <w:pPr>
        <w:pStyle w:val="Indenti"/>
        <w:keepNext/>
      </w:pPr>
      <w:r>
        <w:tab/>
        <w:t>(ii)</w:t>
      </w:r>
      <w:r>
        <w:tab/>
        <w:t>within 100 m of any part of the Milyu Nature Reserve (Reserve No. 33803).</w:t>
      </w:r>
    </w:p>
    <w:p>
      <w:pPr>
        <w:pStyle w:val="Penstart"/>
        <w:keepNext/>
      </w:pPr>
      <w:r>
        <w:tab/>
        <w:t>Penalty: $2 000.</w:t>
      </w:r>
    </w:p>
    <w:p>
      <w:pPr>
        <w:pStyle w:val="Footnotesection"/>
      </w:pPr>
      <w:r>
        <w:tab/>
        <w:t>[Regulation 64P inserted: Gazette 1 Oct 2003 p. 4314.]</w:t>
      </w:r>
    </w:p>
    <w:p>
      <w:pPr>
        <w:pStyle w:val="Heading5"/>
      </w:pPr>
      <w:bookmarkStart w:id="407" w:name="_Toc201759028"/>
      <w:bookmarkStart w:id="408" w:name="_Toc184385070"/>
      <w:r>
        <w:rPr>
          <w:rStyle w:val="CharSectno"/>
        </w:rPr>
        <w:t>64QA</w:t>
      </w:r>
      <w:r>
        <w:t>.</w:t>
      </w:r>
      <w:r>
        <w:tab/>
        <w:t>Use of fishing nets in Gascoyne Region</w:t>
      </w:r>
      <w:bookmarkEnd w:id="407"/>
      <w:bookmarkEnd w:id="408"/>
    </w:p>
    <w:p>
      <w:pPr>
        <w:pStyle w:val="Subsection"/>
        <w:keepNext/>
      </w:pPr>
      <w:r>
        <w:tab/>
        <w:t>(1)</w:t>
      </w:r>
      <w:r>
        <w:tab/>
        <w:t xml:space="preserve">In this regulation — </w:t>
      </w:r>
    </w:p>
    <w:p>
      <w:pPr>
        <w:pStyle w:val="Defstart"/>
      </w:pPr>
      <w:r>
        <w:tab/>
      </w:r>
      <w:r>
        <w:rPr>
          <w:rStyle w:val="CharDefText"/>
        </w:rPr>
        <w:t>attend</w:t>
      </w:r>
      <w:r>
        <w:t>, in relation to a net, means to be within 100 m of the net.</w:t>
      </w:r>
    </w:p>
    <w:p>
      <w:pPr>
        <w:pStyle w:val="Subsection"/>
        <w:keepNext/>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Gazette 7 Aug 2015 p. 3203.]</w:t>
      </w:r>
    </w:p>
    <w:p>
      <w:pPr>
        <w:pStyle w:val="Heading5"/>
      </w:pPr>
      <w:bookmarkStart w:id="409" w:name="_Toc201759029"/>
      <w:bookmarkStart w:id="410" w:name="_Toc184385071"/>
      <w:r>
        <w:rPr>
          <w:rStyle w:val="CharSectno"/>
        </w:rPr>
        <w:t>64Q</w:t>
      </w:r>
      <w:r>
        <w:t>.</w:t>
      </w:r>
      <w:r>
        <w:tab/>
        <w:t>Fishing nets, use of etc. by commercial fishers in certain areas</w:t>
      </w:r>
      <w:bookmarkEnd w:id="409"/>
      <w:bookmarkEnd w:id="410"/>
    </w:p>
    <w:p>
      <w:pPr>
        <w:pStyle w:val="Subsection"/>
        <w:keepNext/>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70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keepNext/>
              <w:rPr>
                <w:sz w:val="22"/>
              </w:rPr>
            </w:pPr>
            <w:r>
              <w:rPr>
                <w:sz w:val="22"/>
              </w:rPr>
              <w:t>6.</w:t>
            </w:r>
          </w:p>
        </w:tc>
        <w:tc>
          <w:tcPr>
            <w:tcW w:w="5636" w:type="dxa"/>
          </w:tcPr>
          <w:p>
            <w:pPr>
              <w:pStyle w:val="TableNAm"/>
              <w:keepNext/>
              <w:rPr>
                <w:sz w:val="22"/>
              </w:rPr>
            </w:pPr>
            <w:r>
              <w:rPr>
                <w:sz w:val="22"/>
              </w:rPr>
              <w:t>Lake Argyle Fishery, being the commercial fishing by fishing net for fish in the waters of Lake Argyle.</w:t>
            </w:r>
          </w:p>
        </w:tc>
      </w:tr>
    </w:tbl>
    <w:p>
      <w:pPr>
        <w:pStyle w:val="Footnotesection"/>
      </w:pPr>
      <w:r>
        <w:tab/>
        <w:t>[Regulation 64Q inserted: Gazette 1 Oct 2003 p. 4314</w:t>
      </w:r>
      <w:r>
        <w:noBreakHyphen/>
        <w:t>15; amended: Gazette 6 Jul 2007 p. 3388; 23 Jan 2015 p. 400.]</w:t>
      </w:r>
    </w:p>
    <w:p>
      <w:pPr>
        <w:pStyle w:val="Ednotesection"/>
      </w:pPr>
      <w:r>
        <w:t>[</w:t>
      </w:r>
      <w:r>
        <w:rPr>
          <w:b/>
        </w:rPr>
        <w:t>64R.</w:t>
      </w:r>
      <w:r>
        <w:tab/>
        <w:t>Deleted: Gazette 31 Oct 2003 p. 4561.]</w:t>
      </w:r>
    </w:p>
    <w:p>
      <w:pPr>
        <w:pStyle w:val="Heading5"/>
        <w:spacing w:before="240"/>
      </w:pPr>
      <w:bookmarkStart w:id="411" w:name="_Toc201759030"/>
      <w:bookmarkStart w:id="412" w:name="_Toc184385072"/>
      <w:r>
        <w:rPr>
          <w:rStyle w:val="CharSectno"/>
        </w:rPr>
        <w:t>64S</w:t>
      </w:r>
      <w:r>
        <w:t>.</w:t>
      </w:r>
      <w:r>
        <w:tab/>
        <w:t>Certain fishing gear not to be possessed near certain rivers and dams</w:t>
      </w:r>
      <w:bookmarkEnd w:id="411"/>
      <w:bookmarkEnd w:id="412"/>
    </w:p>
    <w:p>
      <w:pPr>
        <w:pStyle w:val="Subsection"/>
        <w:keepNext/>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pPr>
      <w:r>
        <w:tab/>
        <w:t>(b)</w:t>
      </w:r>
      <w:r>
        <w:tab/>
        <w:t>1 or more rods, reels and lines, or hand</w:t>
      </w:r>
      <w:r>
        <w:noBreakHyphen/>
        <w:t>held lines; and</w:t>
      </w:r>
    </w:p>
    <w:p>
      <w:pPr>
        <w:pStyle w:val="Indenta"/>
        <w:keepNext/>
        <w:keepLines/>
      </w:pPr>
      <w:r>
        <w:tab/>
        <w:t>(c)</w:t>
      </w:r>
      <w:r>
        <w:tab/>
        <w:t>a landing net, in accordance with regulation 64T.</w:t>
      </w:r>
    </w:p>
    <w:p>
      <w:pPr>
        <w:pStyle w:val="Penstart"/>
        <w:keepLines/>
      </w:pPr>
      <w:r>
        <w:tab/>
        <w:t>Penalty: For a first offence $5 000 or, for a second or subsequent offence, $10 000.</w:t>
      </w:r>
    </w:p>
    <w:p>
      <w:pPr>
        <w:pStyle w:val="Subsection"/>
        <w:keepNext/>
      </w:pPr>
      <w:r>
        <w:tab/>
        <w:t>(2)</w:t>
      </w:r>
      <w:r>
        <w:tab/>
        <w:t>Subregulation (1) applies to a person who is in or on, or within 50 m of, the waters of —</w:t>
      </w:r>
    </w:p>
    <w:p>
      <w:pPr>
        <w:pStyle w:val="Indenta"/>
      </w:pPr>
      <w:r>
        <w:tab/>
        <w:t>(a)</w:t>
      </w:r>
      <w:r>
        <w:tab/>
        <w:t>Capel River, including its tributaries; or</w:t>
      </w:r>
    </w:p>
    <w:p>
      <w:pPr>
        <w:pStyle w:val="Indenta"/>
      </w:pPr>
      <w:r>
        <w:tab/>
        <w:t>(b)</w:t>
      </w:r>
      <w:r>
        <w:tab/>
        <w:t>Preston River, including its tributaries; or</w:t>
      </w:r>
    </w:p>
    <w:p>
      <w:pPr>
        <w:pStyle w:val="Indenta"/>
        <w:keepNext/>
      </w:pPr>
      <w:r>
        <w:tab/>
        <w:t>(ca)</w:t>
      </w:r>
      <w:r>
        <w:tab/>
        <w:t>the Collie River —</w:t>
      </w:r>
    </w:p>
    <w:p>
      <w:pPr>
        <w:pStyle w:val="Indenti"/>
      </w:pPr>
      <w:r>
        <w:tab/>
        <w:t>(i)</w:t>
      </w:r>
      <w:r>
        <w:tab/>
        <w:t>upstream of the Australind Bypass Road and downstream of the Wellington Dam wall; and</w:t>
      </w:r>
    </w:p>
    <w:p>
      <w:pPr>
        <w:pStyle w:val="Indenti"/>
        <w:keepNext/>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1 or more rods, reels and lines, or hand</w:t>
      </w:r>
      <w:r>
        <w:noBreakHyphen/>
        <w:t>held lines; and</w:t>
      </w:r>
    </w:p>
    <w:p>
      <w:pPr>
        <w:pStyle w:val="Indenta"/>
        <w:keepNext/>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of the Margaret River,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keepNext/>
      </w:pPr>
      <w:r>
        <w:tab/>
        <w:t>(iii)</w:t>
      </w:r>
      <w:r>
        <w:tab/>
        <w:t>the tributaries flowing into the part of the river described in subparagraph (ii);</w:t>
      </w:r>
    </w:p>
    <w:p>
      <w:pPr>
        <w:pStyle w:val="Indenta"/>
      </w:pPr>
      <w:r>
        <w:tab/>
      </w:r>
      <w:r>
        <w:tab/>
        <w:t>or</w:t>
      </w:r>
    </w:p>
    <w:p>
      <w:pPr>
        <w:pStyle w:val="Indenta"/>
        <w:keepNext/>
      </w:pPr>
      <w:r>
        <w:tab/>
        <w:t>(h)</w:t>
      </w:r>
      <w:r>
        <w:tab/>
        <w:t>of Big Brook Dam, Drakes Brook Dam, Glen Mervyn Dam, Logue Brook Dam and Lake Navarino (Waroona Dam).</w:t>
      </w:r>
    </w:p>
    <w:p>
      <w:pPr>
        <w:pStyle w:val="Footnotesection"/>
      </w:pPr>
      <w:r>
        <w:tab/>
        <w:t>[Regulation 64S inserted: Gazette 1 Oct 2003 p. 4316</w:t>
      </w:r>
      <w:r>
        <w:noBreakHyphen/>
        <w:t>18; amended: Gazette 29 Dec 2006 p. 5891; 13 Oct 2009 p. 4033</w:t>
      </w:r>
      <w:r>
        <w:noBreakHyphen/>
        <w:t>4; 2 Nov 2011 p. 4624; SL 2024/263 r. 14.]</w:t>
      </w:r>
    </w:p>
    <w:p>
      <w:pPr>
        <w:pStyle w:val="Heading5"/>
      </w:pPr>
      <w:bookmarkStart w:id="413" w:name="_Toc201759031"/>
      <w:bookmarkStart w:id="414" w:name="_Toc184385073"/>
      <w:r>
        <w:rPr>
          <w:rStyle w:val="CharSectno"/>
        </w:rPr>
        <w:t>64T</w:t>
      </w:r>
      <w:r>
        <w:t>.</w:t>
      </w:r>
      <w:r>
        <w:tab/>
        <w:t>Landing nets, use of in certain rivers and dams</w:t>
      </w:r>
      <w:bookmarkEnd w:id="413"/>
      <w:bookmarkEnd w:id="414"/>
    </w:p>
    <w:p>
      <w:pPr>
        <w:pStyle w:val="Subsection"/>
        <w:keepNext/>
      </w:pPr>
      <w:r>
        <w:tab/>
      </w:r>
      <w:r>
        <w:tab/>
        <w:t>A person is not to use a landing net in any of the waters referred to in regulation 64S(2) or (4) unless the net is used only for the purpose of landing teleost fish taken by means of a rod, reel and line or a hand</w:t>
      </w:r>
      <w:r>
        <w:noBreakHyphen/>
        <w:t>held line.</w:t>
      </w:r>
    </w:p>
    <w:p>
      <w:pPr>
        <w:pStyle w:val="Penstart"/>
        <w:keepNext/>
      </w:pPr>
      <w:r>
        <w:tab/>
        <w:t>Penalty: For a first offence $5 000 or, for a second or subsequent offence, $10 000.</w:t>
      </w:r>
    </w:p>
    <w:p>
      <w:pPr>
        <w:pStyle w:val="Footnotesection"/>
      </w:pPr>
      <w:r>
        <w:tab/>
        <w:t>[Regulation 64T inserted: Gazette 1 Oct 2003 p. 4318; amended: Gazette 13 Oct 2009 p. 4034; SL 2024/263 r. 15.]</w:t>
      </w:r>
    </w:p>
    <w:p>
      <w:pPr>
        <w:pStyle w:val="Ednotesection"/>
      </w:pPr>
      <w:r>
        <w:t>[</w:t>
      </w:r>
      <w:r>
        <w:rPr>
          <w:b/>
        </w:rPr>
        <w:t>64U.</w:t>
      </w:r>
      <w:r>
        <w:tab/>
        <w:t>Deleted: Gazette 29 Dec 2006 p. 5891.]</w:t>
      </w:r>
    </w:p>
    <w:p>
      <w:pPr>
        <w:pStyle w:val="Heading2"/>
      </w:pPr>
      <w:bookmarkStart w:id="415" w:name="_Toc184372564"/>
      <w:bookmarkStart w:id="416" w:name="_Toc184377717"/>
      <w:bookmarkStart w:id="417" w:name="_Toc184385074"/>
      <w:bookmarkStart w:id="418" w:name="_Toc201508471"/>
      <w:bookmarkStart w:id="419" w:name="_Toc201754302"/>
      <w:bookmarkStart w:id="420" w:name="_Toc201759032"/>
      <w:r>
        <w:rPr>
          <w:rStyle w:val="CharPartNo"/>
        </w:rPr>
        <w:t>Part 4B</w:t>
      </w:r>
      <w:r>
        <w:rPr>
          <w:b w:val="0"/>
        </w:rPr>
        <w:t> </w:t>
      </w:r>
      <w:r>
        <w:t>—</w:t>
      </w:r>
      <w:r>
        <w:rPr>
          <w:b w:val="0"/>
        </w:rPr>
        <w:t> </w:t>
      </w:r>
      <w:r>
        <w:rPr>
          <w:rStyle w:val="CharPartText"/>
        </w:rPr>
        <w:t>Bag limits</w:t>
      </w:r>
      <w:bookmarkEnd w:id="415"/>
      <w:bookmarkEnd w:id="416"/>
      <w:bookmarkEnd w:id="417"/>
      <w:bookmarkEnd w:id="418"/>
      <w:bookmarkEnd w:id="419"/>
      <w:bookmarkEnd w:id="420"/>
    </w:p>
    <w:p>
      <w:pPr>
        <w:pStyle w:val="Footnoteheading"/>
        <w:tabs>
          <w:tab w:val="left" w:pos="851"/>
        </w:tabs>
      </w:pPr>
      <w:r>
        <w:tab/>
        <w:t>[Heading inserted: Gazette 1 Oct 2003 p. 4319.]</w:t>
      </w:r>
    </w:p>
    <w:p>
      <w:pPr>
        <w:pStyle w:val="Heading3"/>
      </w:pPr>
      <w:bookmarkStart w:id="421" w:name="_Toc184372565"/>
      <w:bookmarkStart w:id="422" w:name="_Toc184377718"/>
      <w:bookmarkStart w:id="423" w:name="_Toc184385075"/>
      <w:bookmarkStart w:id="424" w:name="_Toc201508472"/>
      <w:bookmarkStart w:id="425" w:name="_Toc201754303"/>
      <w:bookmarkStart w:id="426" w:name="_Toc201759033"/>
      <w:r>
        <w:rPr>
          <w:rStyle w:val="CharDivNo"/>
        </w:rPr>
        <w:t>Division 1</w:t>
      </w:r>
      <w:r>
        <w:t> — </w:t>
      </w:r>
      <w:r>
        <w:rPr>
          <w:rStyle w:val="CharDivText"/>
        </w:rPr>
        <w:t>Preliminary</w:t>
      </w:r>
      <w:bookmarkEnd w:id="421"/>
      <w:bookmarkEnd w:id="422"/>
      <w:bookmarkEnd w:id="423"/>
      <w:bookmarkEnd w:id="424"/>
      <w:bookmarkEnd w:id="425"/>
      <w:bookmarkEnd w:id="426"/>
    </w:p>
    <w:p>
      <w:pPr>
        <w:pStyle w:val="Footnoteheading"/>
        <w:tabs>
          <w:tab w:val="left" w:pos="851"/>
        </w:tabs>
      </w:pPr>
      <w:r>
        <w:tab/>
        <w:t>[Heading inserted: Gazette 1 Oct 2003 p. 4319.]</w:t>
      </w:r>
    </w:p>
    <w:p>
      <w:pPr>
        <w:pStyle w:val="Ednotesection"/>
      </w:pPr>
      <w:r>
        <w:t>[</w:t>
      </w:r>
      <w:r>
        <w:rPr>
          <w:b/>
        </w:rPr>
        <w:t>64V.</w:t>
      </w:r>
      <w:r>
        <w:rPr>
          <w:b/>
        </w:rPr>
        <w:tab/>
      </w:r>
      <w:r>
        <w:t>Deleted: Gazette 29 Jan 2013 p. 308.]</w:t>
      </w:r>
    </w:p>
    <w:p>
      <w:pPr>
        <w:pStyle w:val="Heading5"/>
      </w:pPr>
      <w:bookmarkStart w:id="427" w:name="_Toc201759034"/>
      <w:bookmarkStart w:id="428" w:name="_Toc184385076"/>
      <w:r>
        <w:rPr>
          <w:rStyle w:val="CharSectno"/>
        </w:rPr>
        <w:t>64W</w:t>
      </w:r>
      <w:r>
        <w:t>.</w:t>
      </w:r>
      <w:r>
        <w:tab/>
        <w:t>Defences prescribed (Act s. 50(3))</w:t>
      </w:r>
      <w:bookmarkEnd w:id="427"/>
      <w:bookmarkEnd w:id="428"/>
    </w:p>
    <w:p>
      <w:pPr>
        <w:pStyle w:val="Subsection"/>
      </w:pPr>
      <w:r>
        <w:tab/>
        <w:t>(1)</w:t>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Table items 1, 2 and 4;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pPr>
        <w:pStyle w:val="Indenta"/>
      </w:pPr>
      <w:r>
        <w:tab/>
        <w:t>(d)</w:t>
      </w:r>
      <w:r>
        <w:tab/>
        <w:t>for the person charged with taking, or bringing onto land, on any one day more fish than the bag limit of those fish to prove that —</w:t>
      </w:r>
    </w:p>
    <w:p>
      <w:pPr>
        <w:pStyle w:val="Indenti"/>
      </w:pPr>
      <w:r>
        <w:tab/>
        <w:t>(i)</w:t>
      </w:r>
      <w:r>
        <w:tab/>
        <w:t>the person was fishing from a boat; and</w:t>
      </w:r>
    </w:p>
    <w:p>
      <w:pPr>
        <w:pStyle w:val="Indenti"/>
      </w:pPr>
      <w:r>
        <w:tab/>
        <w:t>(ii)</w:t>
      </w:r>
      <w:r>
        <w:tab/>
        <w:t xml:space="preserve">at the time the fish were taken, or brought onto land, the person was acting in accordance with 1 of the following authorities to fish for the fish — </w:t>
      </w:r>
    </w:p>
    <w:p>
      <w:pPr>
        <w:pStyle w:val="IndentI0"/>
      </w:pPr>
      <w:r>
        <w:tab/>
        <w:t>(I)</w:t>
      </w:r>
      <w:r>
        <w:tab/>
        <w:t>a recreational fishing licence granted under regulation 124;</w:t>
      </w:r>
    </w:p>
    <w:p>
      <w:pPr>
        <w:pStyle w:val="IndentI0"/>
      </w:pPr>
      <w:r>
        <w:tab/>
        <w:t>(II)</w:t>
      </w:r>
      <w:r>
        <w:tab/>
        <w:t xml:space="preserve">a recreational (boat) fishing licence granted under regulation 124C; </w:t>
      </w:r>
    </w:p>
    <w:p>
      <w:pPr>
        <w:pStyle w:val="Indenti"/>
      </w:pPr>
      <w:r>
        <w:tab/>
      </w:r>
      <w:r>
        <w:tab/>
        <w:t>and</w:t>
      </w:r>
    </w:p>
    <w:p>
      <w:pPr>
        <w:pStyle w:val="Indenti"/>
      </w:pPr>
      <w:r>
        <w:tab/>
        <w:t>(iii)</w:t>
      </w:r>
      <w:r>
        <w:tab/>
        <w:t>the quantity of fish taken, or brought onto land, using the boat did not exceed the combined bag limit for the boat in relation to the fish calculated under subregulation (2).</w:t>
      </w:r>
    </w:p>
    <w:p>
      <w:pPr>
        <w:pStyle w:val="Subsection"/>
      </w:pPr>
      <w:r>
        <w:tab/>
        <w:t>(2)</w:t>
      </w:r>
      <w:r>
        <w:tab/>
        <w:t>For the purposes of subregulation (1)(d)(iii), the combined bag limit for a boat in relation to a fish is calculated by multiplying the bag limit for the fish by the number of persons who on the day —</w:t>
      </w:r>
    </w:p>
    <w:p>
      <w:pPr>
        <w:pStyle w:val="Indenta"/>
      </w:pPr>
      <w:r>
        <w:tab/>
        <w:t>(a)</w:t>
      </w:r>
      <w:r>
        <w:tab/>
        <w:t>are fishing from the boat; and</w:t>
      </w:r>
    </w:p>
    <w:p>
      <w:pPr>
        <w:pStyle w:val="Indenta"/>
      </w:pPr>
      <w:r>
        <w:tab/>
        <w:t>(b)</w:t>
      </w:r>
      <w:r>
        <w:tab/>
        <w:t>hold a recreational fishing licence or recreational (boat) fishing licence authorising the persons to fish for the fish.</w:t>
      </w:r>
    </w:p>
    <w:p>
      <w:pPr>
        <w:pStyle w:val="Footnotesection"/>
      </w:pPr>
      <w:r>
        <w:tab/>
        <w:t>[Regulation 64W inserted: Gazette 1 Oct 2003 p. 4319; amended: Gazette 4 Nov 2005 p. 5311</w:t>
      </w:r>
      <w:r>
        <w:noBreakHyphen/>
        <w:t>12; 1 Mar 2011 p. 671; 4 Oct 2019 p. 3537</w:t>
      </w:r>
      <w:r>
        <w:noBreakHyphen/>
        <w:t>8; SL 2021/118 r. 21.]</w:t>
      </w:r>
    </w:p>
    <w:p>
      <w:pPr>
        <w:pStyle w:val="Heading5"/>
      </w:pPr>
      <w:bookmarkStart w:id="429" w:name="_Toc201759035"/>
      <w:bookmarkStart w:id="430" w:name="_Toc184385077"/>
      <w:r>
        <w:rPr>
          <w:rStyle w:val="CharSectno"/>
        </w:rPr>
        <w:t>64X</w:t>
      </w:r>
      <w:r>
        <w:t>.</w:t>
      </w:r>
      <w:r>
        <w:tab/>
        <w:t>Bag limits, application of</w:t>
      </w:r>
      <w:bookmarkEnd w:id="429"/>
      <w:bookmarkEnd w:id="430"/>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Gazette 1 Oct 2003 p. 4320; amended: Gazette 28 Jun 2013 p. 2890-1.]</w:t>
      </w:r>
    </w:p>
    <w:p>
      <w:pPr>
        <w:pStyle w:val="Heading3"/>
      </w:pPr>
      <w:bookmarkStart w:id="431" w:name="_Toc184372568"/>
      <w:bookmarkStart w:id="432" w:name="_Toc184377721"/>
      <w:bookmarkStart w:id="433" w:name="_Toc184385078"/>
      <w:bookmarkStart w:id="434" w:name="_Toc201508475"/>
      <w:bookmarkStart w:id="435" w:name="_Toc201754306"/>
      <w:bookmarkStart w:id="436" w:name="_Toc201759036"/>
      <w:r>
        <w:rPr>
          <w:rStyle w:val="CharDivNo"/>
        </w:rPr>
        <w:t>Division 2</w:t>
      </w:r>
      <w:r>
        <w:t> — </w:t>
      </w:r>
      <w:r>
        <w:rPr>
          <w:rStyle w:val="CharDivText"/>
        </w:rPr>
        <w:t>Bag limits</w:t>
      </w:r>
      <w:bookmarkEnd w:id="431"/>
      <w:bookmarkEnd w:id="432"/>
      <w:bookmarkEnd w:id="433"/>
      <w:bookmarkEnd w:id="434"/>
      <w:bookmarkEnd w:id="435"/>
      <w:bookmarkEnd w:id="436"/>
      <w:r>
        <w:t xml:space="preserve"> </w:t>
      </w:r>
    </w:p>
    <w:p>
      <w:pPr>
        <w:pStyle w:val="Footnoteheading"/>
      </w:pPr>
      <w:r>
        <w:tab/>
        <w:t>[Heading inserted: Gazette 29 Jan 2013 p. 308.]</w:t>
      </w:r>
    </w:p>
    <w:p>
      <w:pPr>
        <w:pStyle w:val="Ednotesection"/>
      </w:pPr>
      <w:r>
        <w:t>[</w:t>
      </w:r>
      <w:r>
        <w:rPr>
          <w:b/>
        </w:rPr>
        <w:t>64Y- 64ZAA.</w:t>
      </w:r>
      <w:r>
        <w:tab/>
        <w:t>Deleted: Gazette 29 Jan 2013 p. 308.]</w:t>
      </w:r>
    </w:p>
    <w:p>
      <w:pPr>
        <w:pStyle w:val="Heading5"/>
      </w:pPr>
      <w:bookmarkStart w:id="437" w:name="_Toc201759037"/>
      <w:bookmarkStart w:id="438" w:name="_Toc184385079"/>
      <w:r>
        <w:rPr>
          <w:rStyle w:val="CharSectno"/>
        </w:rPr>
        <w:t>65A</w:t>
      </w:r>
      <w:r>
        <w:t>.</w:t>
      </w:r>
      <w:r>
        <w:tab/>
        <w:t>Bag limits for demersal finfish (regions other than West Coast Region)</w:t>
      </w:r>
      <w:bookmarkEnd w:id="437"/>
      <w:bookmarkEnd w:id="438"/>
    </w:p>
    <w:p>
      <w:pPr>
        <w:pStyle w:val="Subsection"/>
      </w:pPr>
      <w:r>
        <w:tab/>
        <w:t>(1)</w:t>
      </w:r>
      <w:r>
        <w:tab/>
        <w:t>For the purposes of section 50 of the Act, the quantity of fish specified in column 2 of Schedule 3 Division 1 Subdivision 1 directly opposite a species of fish specified in column 1 of that Subdivision is the bag limit in respect of fish of that species in the South Coast, Gascoyne and North Coast regions.</w:t>
      </w:r>
    </w:p>
    <w:p>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pPr>
        <w:pStyle w:val="Footnotesection"/>
      </w:pPr>
      <w:r>
        <w:tab/>
        <w:t>[Regulation 65A inserted: Gazette 29 Jan 2013 p. 308</w:t>
      </w:r>
      <w:r>
        <w:noBreakHyphen/>
        <w:t>9; amended: Gazette 4 Oct 2019 p. 3609</w:t>
      </w:r>
      <w:r>
        <w:noBreakHyphen/>
        <w:t>10; SL 2021/118 r. 22.]</w:t>
      </w:r>
    </w:p>
    <w:p>
      <w:pPr>
        <w:pStyle w:val="Heading5"/>
      </w:pPr>
      <w:bookmarkStart w:id="439" w:name="_Toc201759038"/>
      <w:bookmarkStart w:id="440" w:name="_Toc184385080"/>
      <w:r>
        <w:rPr>
          <w:rStyle w:val="CharSectno"/>
        </w:rPr>
        <w:t>65B</w:t>
      </w:r>
      <w:r>
        <w:t>.</w:t>
      </w:r>
      <w:r>
        <w:tab/>
        <w:t>Bag limits for demersal finfish (West Coast Region other than Abrolhos Island Fish Habitat Protection Area)</w:t>
      </w:r>
      <w:bookmarkEnd w:id="439"/>
      <w:bookmarkEnd w:id="440"/>
    </w:p>
    <w:p>
      <w:pPr>
        <w:pStyle w:val="Subsection"/>
      </w:pPr>
      <w:r>
        <w:tab/>
        <w:t>(1)</w:t>
      </w:r>
      <w:r>
        <w:tab/>
        <w:t>For the purposes of section 50 of the Act, the quantity of fish specified in column 2 of Schedule 3 Division 1 Subdivision 2 directly opposite a species of fish specified in column 1 of that Subdivision is the bag limit in respect of fish of that species in the West Coast Region other than the Abrolhos Island Fish Habitat Protection Area.</w:t>
      </w:r>
    </w:p>
    <w:p>
      <w:pPr>
        <w:pStyle w:val="Subsection"/>
      </w:pPr>
      <w:r>
        <w:tab/>
        <w:t>(2)</w:t>
      </w:r>
      <w:r>
        <w:tab/>
        <w:t>For the purposes of section 50 of the Act, the quantity of fish specified under the heading commencing “Grouped bag limit” in Schedule 3 Division 1 Subdivision 2 is the bag limit in respect of all species of fish specified in that Subdivision in the West Coast Region other than the Abrolhos Island Fish Habitat Protection Area.</w:t>
      </w:r>
    </w:p>
    <w:p>
      <w:pPr>
        <w:pStyle w:val="Footnotesection"/>
      </w:pPr>
      <w:r>
        <w:tab/>
        <w:t>[Regulation 65B inserted: Gazette 29 Jan 2013 p. 309; amended: Gazette 4 Oct 2019 p. 3610; SL 2021/118 r. 23; SL 2023/2 r. 14.]</w:t>
      </w:r>
    </w:p>
    <w:p>
      <w:pPr>
        <w:pStyle w:val="Heading5"/>
      </w:pPr>
      <w:bookmarkStart w:id="441" w:name="_Toc201759039"/>
      <w:bookmarkStart w:id="442" w:name="_Toc184385081"/>
      <w:r>
        <w:rPr>
          <w:rStyle w:val="CharSectno"/>
        </w:rPr>
        <w:t>65BA</w:t>
      </w:r>
      <w:r>
        <w:t>.</w:t>
      </w:r>
      <w:r>
        <w:tab/>
        <w:t>Bag limits for demersal finfish (Abrolhos Island Fish Habitat Protection Area)</w:t>
      </w:r>
      <w:bookmarkEnd w:id="441"/>
      <w:bookmarkEnd w:id="442"/>
    </w:p>
    <w:p>
      <w:pPr>
        <w:pStyle w:val="Subsection"/>
      </w:pPr>
      <w:r>
        <w:tab/>
        <w:t>(1)</w:t>
      </w:r>
      <w:r>
        <w:tab/>
        <w:t>For the purposes of section 50 of the Act, the quantity of fish specified in column 2 of Schedule 3 Division 1 Subdivision 3 directly opposite a species of fish specified in column 1 of that Subdivision is the bag limit in respect of fish of that species in the Abrolhos Island Fish Habitat Protection Area.</w:t>
      </w:r>
    </w:p>
    <w:p>
      <w:pPr>
        <w:pStyle w:val="Subsection"/>
      </w:pPr>
      <w:r>
        <w:tab/>
        <w:t>(2)</w:t>
      </w:r>
      <w:r>
        <w:tab/>
        <w:t>For the purposes of section 50 of the Act, the quantity of fish specified under the heading commencing “Grouped bag limit” in Schedule 3 Division 1 Subdivision 3 is the bag limit in respect of all species of fish specified in that Subdivision in the Abrolhos Island Fish Habitat Protection Area.</w:t>
      </w:r>
    </w:p>
    <w:p>
      <w:pPr>
        <w:pStyle w:val="Footnotesection"/>
      </w:pPr>
      <w:r>
        <w:tab/>
        <w:t>[Regulation 65BA inserted: SL 2023/2 r. 15.]</w:t>
      </w:r>
    </w:p>
    <w:p>
      <w:pPr>
        <w:pStyle w:val="Heading5"/>
      </w:pPr>
      <w:bookmarkStart w:id="443" w:name="_Toc201759040"/>
      <w:bookmarkStart w:id="444" w:name="_Toc184385082"/>
      <w:r>
        <w:rPr>
          <w:rStyle w:val="CharSectno"/>
        </w:rPr>
        <w:t>65C</w:t>
      </w:r>
      <w:r>
        <w:t>.</w:t>
      </w:r>
      <w:r>
        <w:tab/>
        <w:t>Bag limits for large pelagic finfish (regions other than Abrolhos Island Fish Habitat Protection Area)</w:t>
      </w:r>
      <w:bookmarkEnd w:id="443"/>
      <w:bookmarkEnd w:id="444"/>
    </w:p>
    <w:p>
      <w:pPr>
        <w:pStyle w:val="Subsection"/>
      </w:pPr>
      <w:r>
        <w:tab/>
        <w:t>(1)</w:t>
      </w:r>
      <w:r>
        <w:tab/>
        <w:t xml:space="preserve">For the purposes of section 50 of the Act, the quantity of fish specified in column 2 of Schedule 3 Division 2 Subdivision 1 directly opposite a species of fish specified in column 1 of that Subdivision is the bag limit in respect of fish of that species. </w:t>
      </w:r>
    </w:p>
    <w:p>
      <w:pPr>
        <w:pStyle w:val="Subsection"/>
        <w:keepNext/>
      </w:pPr>
      <w:r>
        <w:tab/>
        <w:t>(2)</w:t>
      </w:r>
      <w:r>
        <w:tab/>
        <w:t>For the purposes of section 50 of the Act, the quantity of fish specified under the heading commencing “Grouped bag limit” in Schedule 3 Division 2 Subdivision 1 is the bag limit in respect of all species of fish specified in that Subdivision.</w:t>
      </w:r>
    </w:p>
    <w:p>
      <w:pPr>
        <w:pStyle w:val="Footnotesection"/>
      </w:pPr>
      <w:r>
        <w:tab/>
        <w:t>[Regulation 65C inserted: Gazette 29 Jan 2013 p. 309</w:t>
      </w:r>
      <w:r>
        <w:noBreakHyphen/>
        <w:t>10; amended: Gazette 4 Oct 2019 p. 3610; SL 2021/118 r. 24; SL 2023/2 r. 16.]</w:t>
      </w:r>
    </w:p>
    <w:p>
      <w:pPr>
        <w:pStyle w:val="Heading5"/>
      </w:pPr>
      <w:bookmarkStart w:id="445" w:name="_Toc201759041"/>
      <w:bookmarkStart w:id="446" w:name="_Toc184385083"/>
      <w:r>
        <w:rPr>
          <w:rStyle w:val="CharSectno"/>
        </w:rPr>
        <w:t>65CA</w:t>
      </w:r>
      <w:r>
        <w:t>.</w:t>
      </w:r>
      <w:r>
        <w:tab/>
        <w:t>Bag limits for large pelagic finfish (Abrolhos Island Fish Habitat Protection Area)</w:t>
      </w:r>
      <w:bookmarkEnd w:id="445"/>
      <w:bookmarkEnd w:id="446"/>
    </w:p>
    <w:p>
      <w:pPr>
        <w:pStyle w:val="Subsection"/>
      </w:pPr>
      <w:r>
        <w:tab/>
        <w:t>(1)</w:t>
      </w:r>
      <w:r>
        <w:tab/>
        <w:t>For the purposes of section 50 of the Act, the quantity of fish specified in column 2 of Schedule 3 Division 2 Subdivision 2 directly opposite a species of fish specified in column 1 of that Subdivision is the bag limit in respect of fish of that species.</w:t>
      </w:r>
    </w:p>
    <w:p>
      <w:pPr>
        <w:pStyle w:val="Subsection"/>
        <w:keepNext/>
      </w:pPr>
      <w:r>
        <w:tab/>
        <w:t>(2)</w:t>
      </w:r>
      <w:r>
        <w:tab/>
        <w:t>For the purposes of section 50 of the Act, the quantity of fish specified under the heading commencing “Grouped bag limit” in Schedule 3 Division 2 Subdivision 2 is the bag limit in respect of all species of fish specified in that Subdivision.</w:t>
      </w:r>
    </w:p>
    <w:p>
      <w:pPr>
        <w:pStyle w:val="Footnotesection"/>
      </w:pPr>
      <w:r>
        <w:tab/>
        <w:t>[Regulation 65CA inserted: SL 2023/2 r. 17.]</w:t>
      </w:r>
    </w:p>
    <w:p>
      <w:pPr>
        <w:pStyle w:val="Heading5"/>
      </w:pPr>
      <w:bookmarkStart w:id="447" w:name="_Toc201759042"/>
      <w:bookmarkStart w:id="448" w:name="_Toc184385084"/>
      <w:r>
        <w:rPr>
          <w:rStyle w:val="CharSectno"/>
        </w:rPr>
        <w:t>65D</w:t>
      </w:r>
      <w:r>
        <w:t>.</w:t>
      </w:r>
      <w:r>
        <w:tab/>
        <w:t>Bag limits for nearshore or estuarine finfish</w:t>
      </w:r>
      <w:bookmarkEnd w:id="447"/>
      <w:bookmarkEnd w:id="448"/>
    </w:p>
    <w:p>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pPr>
        <w:pStyle w:val="Subsection"/>
        <w:keepNext/>
      </w:pPr>
      <w:r>
        <w:tab/>
        <w:t>(2)</w:t>
      </w:r>
      <w:r>
        <w:tab/>
        <w:t>For the purposes of section 50 of the Act, the quantity of fish specified under the heading commencing “Grouped bag limit” in Schedule 3 Division 3 is the bag limit in respect of all species of fish specified in that Division.</w:t>
      </w:r>
    </w:p>
    <w:p>
      <w:pPr>
        <w:pStyle w:val="Footnotesection"/>
      </w:pPr>
      <w:r>
        <w:tab/>
        <w:t>[Regulation 65D inserted: Gazette 29 Jan 2013 p. 310; amended: Gazette 4 Oct 2019 p. 3610.]</w:t>
      </w:r>
    </w:p>
    <w:p>
      <w:pPr>
        <w:pStyle w:val="Heading5"/>
        <w:spacing w:before="280"/>
      </w:pPr>
      <w:bookmarkStart w:id="449" w:name="_Toc201759043"/>
      <w:bookmarkStart w:id="450" w:name="_Toc184385085"/>
      <w:r>
        <w:rPr>
          <w:rStyle w:val="CharSectno"/>
        </w:rPr>
        <w:t>65E</w:t>
      </w:r>
      <w:r>
        <w:t>.</w:t>
      </w:r>
      <w:r>
        <w:tab/>
        <w:t>Bag limit for freshwater finfish</w:t>
      </w:r>
      <w:bookmarkEnd w:id="449"/>
      <w:bookmarkEnd w:id="450"/>
    </w:p>
    <w:p>
      <w:pPr>
        <w:pStyle w:val="Subsection"/>
        <w:keepNext/>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pPr>
        <w:pStyle w:val="Footnotesection"/>
      </w:pPr>
      <w:r>
        <w:tab/>
        <w:t>[Regulation 65E inserted: Gazette 28 Jun 2013 p. 2891; amended: Gazette 4 Oct 2019 p. 3610.]</w:t>
      </w:r>
    </w:p>
    <w:p>
      <w:pPr>
        <w:pStyle w:val="Heading5"/>
        <w:spacing w:before="280"/>
      </w:pPr>
      <w:bookmarkStart w:id="451" w:name="_Toc201759044"/>
      <w:bookmarkStart w:id="452" w:name="_Toc184385086"/>
      <w:r>
        <w:rPr>
          <w:rStyle w:val="CharSectno"/>
        </w:rPr>
        <w:t>65F</w:t>
      </w:r>
      <w:r>
        <w:t>.</w:t>
      </w:r>
      <w:r>
        <w:tab/>
        <w:t>Bag limits for other finfish</w:t>
      </w:r>
      <w:bookmarkEnd w:id="451"/>
      <w:bookmarkEnd w:id="452"/>
    </w:p>
    <w:p>
      <w:pPr>
        <w:pStyle w:val="Subsection"/>
        <w:keepNext/>
      </w:pPr>
      <w:r>
        <w:tab/>
        <w:t>(1A)</w:t>
      </w:r>
      <w:r>
        <w:tab/>
        <w:t xml:space="preserve">In this regulation — </w:t>
      </w:r>
    </w:p>
    <w:p>
      <w:pPr>
        <w:pStyle w:val="Defstart"/>
        <w:keepNex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Division 5 directly opposite a species of fish specified in column 1 of that Division is the bag limit in respect of fish of that species.</w:t>
      </w:r>
    </w:p>
    <w:p>
      <w:pPr>
        <w:pStyle w:val="Subsection"/>
      </w:pPr>
      <w:r>
        <w:tab/>
        <w:t>(1)</w:t>
      </w:r>
      <w:r>
        <w:tab/>
        <w:t>For the purposes of section 50 of the Act, the bag limit for Bait Fish and Hardyhead is 9 litres.</w:t>
      </w:r>
    </w:p>
    <w:p>
      <w:pPr>
        <w:pStyle w:val="Subsection"/>
        <w:keepNext/>
      </w:pPr>
      <w:r>
        <w:tab/>
        <w:t>(2)</w:t>
      </w:r>
      <w:r>
        <w:tab/>
        <w:t>For the purposes of section 50 of the Act, the bag limit in respect of all species of finfish specified in Schedule 3 Division 5 and all other species of finfish not otherwise referred to in this Division is a grouped bag limit of 30.</w:t>
      </w:r>
    </w:p>
    <w:p>
      <w:pPr>
        <w:pStyle w:val="Footnotesection"/>
      </w:pPr>
      <w:r>
        <w:tab/>
        <w:t>[Regulation 65F inserted: Gazette 29 Jan 2013 p. 310; amended: Gazette 28 Jun 2013 p. 2891-2; 20 Feb 2015 p. 679; 4 Oct 2019 p. 3610.]</w:t>
      </w:r>
    </w:p>
    <w:p>
      <w:pPr>
        <w:pStyle w:val="Heading5"/>
        <w:spacing w:before="280"/>
      </w:pPr>
      <w:bookmarkStart w:id="453" w:name="_Toc201759045"/>
      <w:bookmarkStart w:id="454" w:name="_Toc184385087"/>
      <w:r>
        <w:rPr>
          <w:rStyle w:val="CharSectno"/>
        </w:rPr>
        <w:t>65G</w:t>
      </w:r>
      <w:r>
        <w:t>.</w:t>
      </w:r>
      <w:r>
        <w:tab/>
        <w:t>Bag limits for crustaceans</w:t>
      </w:r>
      <w:bookmarkEnd w:id="453"/>
      <w:bookmarkEnd w:id="454"/>
    </w:p>
    <w:p>
      <w:pPr>
        <w:pStyle w:val="Subsection"/>
        <w:keepNext/>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pPr>
        <w:pStyle w:val="Footnotesection"/>
      </w:pPr>
      <w:r>
        <w:tab/>
        <w:t>[Regulation 65G inserted: Gazette 29 Jan 2013 p. 310; amended: Gazette 28 Jun 2013 p. 2892; 4 Oct 2019 p. 3610.]</w:t>
      </w:r>
    </w:p>
    <w:p>
      <w:pPr>
        <w:pStyle w:val="Heading5"/>
      </w:pPr>
      <w:bookmarkStart w:id="455" w:name="_Toc201759046"/>
      <w:bookmarkStart w:id="456" w:name="_Toc184385088"/>
      <w:r>
        <w:rPr>
          <w:rStyle w:val="CharSectno"/>
        </w:rPr>
        <w:t>65H</w:t>
      </w:r>
      <w:r>
        <w:t>.</w:t>
      </w:r>
      <w:r>
        <w:tab/>
        <w:t>Bag limits for molluscs and other invertebrates</w:t>
      </w:r>
      <w:bookmarkEnd w:id="455"/>
      <w:bookmarkEnd w:id="456"/>
    </w:p>
    <w:p>
      <w:pPr>
        <w:pStyle w:val="Subsection"/>
        <w:keepNext/>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pPr>
        <w:pStyle w:val="Footnotesection"/>
      </w:pPr>
      <w:r>
        <w:tab/>
        <w:t>[Regulation 65H inserted as regulation 66H: Gazette 29 Jan 2013 p. 311; renumbered as regulation 65H: Gazette 18 Jun 2013 p. 2296; amended: Gazette 28 Jun 2013 p. 2892; 4 Oct 2019 p. 3610.]</w:t>
      </w:r>
    </w:p>
    <w:p>
      <w:pPr>
        <w:pStyle w:val="Ednotesubdivision"/>
      </w:pPr>
      <w:r>
        <w:t>[Division 3 deleted: Gazette 29 Jan 2013 p. 311.]</w:t>
      </w:r>
    </w:p>
    <w:p>
      <w:pPr>
        <w:pStyle w:val="Ednotedivision"/>
      </w:pPr>
      <w:r>
        <w:t>[Division 4 deleted: Gazette 3 Feb 2009 p. 227.]</w:t>
      </w:r>
    </w:p>
    <w:p>
      <w:pPr>
        <w:pStyle w:val="Heading2"/>
      </w:pPr>
      <w:bookmarkStart w:id="457" w:name="_Toc184372579"/>
      <w:bookmarkStart w:id="458" w:name="_Toc184377732"/>
      <w:bookmarkStart w:id="459" w:name="_Toc184385089"/>
      <w:bookmarkStart w:id="460" w:name="_Toc201508486"/>
      <w:bookmarkStart w:id="461" w:name="_Toc201754317"/>
      <w:bookmarkStart w:id="462" w:name="_Toc201759047"/>
      <w:r>
        <w:rPr>
          <w:rStyle w:val="CharPartNo"/>
        </w:rPr>
        <w:t>Part 5</w:t>
      </w:r>
      <w:r>
        <w:rPr>
          <w:rStyle w:val="CharDivNo"/>
        </w:rPr>
        <w:t> </w:t>
      </w:r>
      <w:r>
        <w:t>—</w:t>
      </w:r>
      <w:r>
        <w:rPr>
          <w:rStyle w:val="CharDivText"/>
        </w:rPr>
        <w:t> </w:t>
      </w:r>
      <w:r>
        <w:rPr>
          <w:rStyle w:val="CharPartText"/>
        </w:rPr>
        <w:t>Fish processing</w:t>
      </w:r>
      <w:bookmarkEnd w:id="457"/>
      <w:bookmarkEnd w:id="458"/>
      <w:bookmarkEnd w:id="459"/>
      <w:bookmarkEnd w:id="460"/>
      <w:bookmarkEnd w:id="461"/>
      <w:bookmarkEnd w:id="462"/>
    </w:p>
    <w:p>
      <w:pPr>
        <w:pStyle w:val="Heading5"/>
        <w:rPr>
          <w:snapToGrid w:val="0"/>
        </w:rPr>
      </w:pPr>
      <w:bookmarkStart w:id="463" w:name="_Toc201759048"/>
      <w:bookmarkStart w:id="464" w:name="_Toc184385090"/>
      <w:r>
        <w:rPr>
          <w:rStyle w:val="CharSectno"/>
        </w:rPr>
        <w:t>65</w:t>
      </w:r>
      <w:r>
        <w:rPr>
          <w:snapToGrid w:val="0"/>
        </w:rPr>
        <w:t>.</w:t>
      </w:r>
      <w:r>
        <w:rPr>
          <w:snapToGrid w:val="0"/>
        </w:rPr>
        <w:tab/>
        <w:t>Classes of fish prescribed (Act s. 82(2)(a))</w:t>
      </w:r>
      <w:bookmarkEnd w:id="463"/>
      <w:bookmarkEnd w:id="464"/>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465" w:name="_Toc201759049"/>
      <w:bookmarkStart w:id="466" w:name="_Toc184385091"/>
      <w:r>
        <w:rPr>
          <w:rStyle w:val="CharSectno"/>
        </w:rPr>
        <w:t>66</w:t>
      </w:r>
      <w:r>
        <w:t>.</w:t>
      </w:r>
      <w:r>
        <w:tab/>
        <w:t>Fish processor’s licences, conditions of</w:t>
      </w:r>
      <w:bookmarkEnd w:id="465"/>
      <w:bookmarkEnd w:id="466"/>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Gazette 6 Jul 2007 p. 3389; 24 Sep 2013 p. 4438.]</w:t>
      </w:r>
    </w:p>
    <w:p>
      <w:pPr>
        <w:pStyle w:val="Heading2"/>
      </w:pPr>
      <w:bookmarkStart w:id="467" w:name="_Toc184372582"/>
      <w:bookmarkStart w:id="468" w:name="_Toc184377735"/>
      <w:bookmarkStart w:id="469" w:name="_Toc184385092"/>
      <w:bookmarkStart w:id="470" w:name="_Toc201508489"/>
      <w:bookmarkStart w:id="471" w:name="_Toc201754320"/>
      <w:bookmarkStart w:id="472" w:name="_Toc201759050"/>
      <w:r>
        <w:rPr>
          <w:rStyle w:val="CharPartNo"/>
        </w:rPr>
        <w:t>Part 6</w:t>
      </w:r>
      <w:r>
        <w:rPr>
          <w:rStyle w:val="CharDivNo"/>
        </w:rPr>
        <w:t> </w:t>
      </w:r>
      <w:r>
        <w:t>—</w:t>
      </w:r>
      <w:r>
        <w:rPr>
          <w:rStyle w:val="CharDivText"/>
        </w:rPr>
        <w:t> </w:t>
      </w:r>
      <w:r>
        <w:rPr>
          <w:rStyle w:val="CharPartText"/>
        </w:rPr>
        <w:t>Aquaculture</w:t>
      </w:r>
      <w:bookmarkEnd w:id="467"/>
      <w:bookmarkEnd w:id="468"/>
      <w:bookmarkEnd w:id="469"/>
      <w:bookmarkEnd w:id="470"/>
      <w:bookmarkEnd w:id="471"/>
      <w:bookmarkEnd w:id="472"/>
    </w:p>
    <w:p>
      <w:pPr>
        <w:pStyle w:val="Heading5"/>
        <w:rPr>
          <w:snapToGrid w:val="0"/>
        </w:rPr>
      </w:pPr>
      <w:bookmarkStart w:id="473" w:name="_Toc201759051"/>
      <w:bookmarkStart w:id="474" w:name="_Toc184385093"/>
      <w:r>
        <w:rPr>
          <w:rStyle w:val="CharSectno"/>
        </w:rPr>
        <w:t>67</w:t>
      </w:r>
      <w:r>
        <w:rPr>
          <w:snapToGrid w:val="0"/>
        </w:rPr>
        <w:t>.</w:t>
      </w:r>
      <w:r>
        <w:rPr>
          <w:snapToGrid w:val="0"/>
        </w:rPr>
        <w:tab/>
        <w:t>Aquaculture leases, application for</w:t>
      </w:r>
      <w:bookmarkEnd w:id="473"/>
      <w:bookmarkEnd w:id="474"/>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Gazette 6 Jul 2007 p. 3389.]</w:t>
      </w:r>
    </w:p>
    <w:p>
      <w:pPr>
        <w:pStyle w:val="Heading5"/>
        <w:rPr>
          <w:snapToGrid w:val="0"/>
        </w:rPr>
      </w:pPr>
      <w:bookmarkStart w:id="475" w:name="_Toc201759052"/>
      <w:bookmarkStart w:id="476" w:name="_Toc184385094"/>
      <w:r>
        <w:rPr>
          <w:rStyle w:val="CharSectno"/>
        </w:rPr>
        <w:t>68</w:t>
      </w:r>
      <w:r>
        <w:rPr>
          <w:snapToGrid w:val="0"/>
        </w:rPr>
        <w:t>.</w:t>
      </w:r>
      <w:r>
        <w:rPr>
          <w:snapToGrid w:val="0"/>
        </w:rPr>
        <w:tab/>
        <w:t>Classes of fish etc. prescribed (Act s. 91(a) and (d))</w:t>
      </w:r>
      <w:bookmarkEnd w:id="475"/>
      <w:bookmarkEnd w:id="476"/>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w:t>
      </w:r>
      <w:r>
        <w:t>yabbie</w:t>
      </w:r>
      <w:r>
        <w:rPr>
          <w:snapToGrid w:val="0"/>
        </w:rPr>
        <w:t>,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Gazette 25 Sep 1998 p. 5299; 4 Oct 2019 p. 3610.]</w:t>
      </w:r>
    </w:p>
    <w:p>
      <w:pPr>
        <w:pStyle w:val="Heading5"/>
      </w:pPr>
      <w:bookmarkStart w:id="477" w:name="_Toc201759053"/>
      <w:bookmarkStart w:id="478" w:name="_Toc184385095"/>
      <w:r>
        <w:rPr>
          <w:rStyle w:val="CharSectno"/>
        </w:rPr>
        <w:t>69A</w:t>
      </w:r>
      <w:r>
        <w:t>.</w:t>
      </w:r>
      <w:r>
        <w:tab/>
        <w:t>Classes of fish prescribed (Act s. 92A(4))</w:t>
      </w:r>
      <w:bookmarkEnd w:id="477"/>
      <w:bookmarkEnd w:id="478"/>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w:t>
            </w:r>
          </w:p>
        </w:tc>
      </w:tr>
    </w:tbl>
    <w:p>
      <w:pPr>
        <w:pStyle w:val="Footnotesection"/>
      </w:pPr>
      <w:r>
        <w:tab/>
        <w:t>[Regulation 69A inserted: Gazette 30 May 2014 p. 1717-18; amended: Gazette 4 Oct 2019 p. 3610.]</w:t>
      </w:r>
    </w:p>
    <w:p>
      <w:pPr>
        <w:pStyle w:val="Heading5"/>
        <w:rPr>
          <w:snapToGrid w:val="0"/>
        </w:rPr>
      </w:pPr>
      <w:bookmarkStart w:id="479" w:name="_Toc201759054"/>
      <w:bookmarkStart w:id="480" w:name="_Toc184385096"/>
      <w:r>
        <w:rPr>
          <w:rStyle w:val="CharSectno"/>
        </w:rPr>
        <w:t>69</w:t>
      </w:r>
      <w:r>
        <w:rPr>
          <w:snapToGrid w:val="0"/>
        </w:rPr>
        <w:t>.</w:t>
      </w:r>
      <w:r>
        <w:rPr>
          <w:snapToGrid w:val="0"/>
        </w:rPr>
        <w:tab/>
        <w:t>Aquaculture licences, conditions of</w:t>
      </w:r>
      <w:bookmarkEnd w:id="479"/>
      <w:bookmarkEnd w:id="480"/>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pPr>
      <w:r>
        <w:tab/>
        <w:t>(ii)</w:t>
      </w:r>
      <w:r>
        <w:tab/>
        <w:t>retain a copy of the consignment note at the place where aquaculture is carried out under the licence;</w:t>
      </w:r>
    </w:p>
    <w:p>
      <w:pPr>
        <w:pStyle w:val="Ednotesubpara"/>
      </w:pPr>
      <w:r>
        <w:tab/>
        <w:t>[(iii)</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Gazette 13 Aug 1999 p. 3826; 6 Jul 2007 p. 3389; 24 Sep 2013 p. 4438; SL 2024/263 r. 16.]</w:t>
      </w:r>
    </w:p>
    <w:p>
      <w:pPr>
        <w:pStyle w:val="Heading2"/>
      </w:pPr>
      <w:bookmarkStart w:id="481" w:name="_Toc184372587"/>
      <w:bookmarkStart w:id="482" w:name="_Toc184377740"/>
      <w:bookmarkStart w:id="483" w:name="_Toc184385097"/>
      <w:bookmarkStart w:id="484" w:name="_Toc201508494"/>
      <w:bookmarkStart w:id="485" w:name="_Toc201754325"/>
      <w:bookmarkStart w:id="486" w:name="_Toc201759055"/>
      <w:r>
        <w:rPr>
          <w:rStyle w:val="CharPartNo"/>
        </w:rPr>
        <w:t>Part 7</w:t>
      </w:r>
      <w:r>
        <w:rPr>
          <w:rStyle w:val="CharDivNo"/>
        </w:rPr>
        <w:t> </w:t>
      </w:r>
      <w:r>
        <w:t>—</w:t>
      </w:r>
      <w:r>
        <w:rPr>
          <w:rStyle w:val="CharDivText"/>
        </w:rPr>
        <w:t> </w:t>
      </w:r>
      <w:r>
        <w:rPr>
          <w:rStyle w:val="CharPartText"/>
        </w:rPr>
        <w:t>Noxious fish</w:t>
      </w:r>
      <w:bookmarkEnd w:id="481"/>
      <w:bookmarkEnd w:id="482"/>
      <w:bookmarkEnd w:id="483"/>
      <w:bookmarkEnd w:id="484"/>
      <w:bookmarkEnd w:id="485"/>
      <w:bookmarkEnd w:id="486"/>
    </w:p>
    <w:p>
      <w:pPr>
        <w:pStyle w:val="Heading5"/>
      </w:pPr>
      <w:bookmarkStart w:id="487" w:name="_Toc201759056"/>
      <w:bookmarkStart w:id="488" w:name="_Toc184385098"/>
      <w:r>
        <w:rPr>
          <w:rStyle w:val="CharSectno"/>
        </w:rPr>
        <w:t>70</w:t>
      </w:r>
      <w:r>
        <w:t>.</w:t>
      </w:r>
      <w:r>
        <w:tab/>
        <w:t>Species prescribed (Sch. 5 and Act s. 103)</w:t>
      </w:r>
      <w:bookmarkEnd w:id="487"/>
      <w:bookmarkEnd w:id="488"/>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Gazette 22 Oct 2014 p. 4088.]</w:t>
      </w:r>
    </w:p>
    <w:p>
      <w:pPr>
        <w:pStyle w:val="Heading2"/>
      </w:pPr>
      <w:bookmarkStart w:id="489" w:name="_Toc184372589"/>
      <w:bookmarkStart w:id="490" w:name="_Toc184377742"/>
      <w:bookmarkStart w:id="491" w:name="_Toc184385099"/>
      <w:bookmarkStart w:id="492" w:name="_Toc201508496"/>
      <w:bookmarkStart w:id="493" w:name="_Toc201754327"/>
      <w:bookmarkStart w:id="494" w:name="_Toc201759057"/>
      <w:r>
        <w:rPr>
          <w:rStyle w:val="CharPartNo"/>
        </w:rPr>
        <w:t>Part 8</w:t>
      </w:r>
      <w:r>
        <w:rPr>
          <w:rStyle w:val="CharDivNo"/>
        </w:rPr>
        <w:t> </w:t>
      </w:r>
      <w:r>
        <w:t>—</w:t>
      </w:r>
      <w:r>
        <w:rPr>
          <w:rStyle w:val="CharDivText"/>
        </w:rPr>
        <w:t> </w:t>
      </w:r>
      <w:r>
        <w:rPr>
          <w:rStyle w:val="CharPartText"/>
        </w:rPr>
        <w:t>Designated fishing zones</w:t>
      </w:r>
      <w:bookmarkEnd w:id="489"/>
      <w:bookmarkEnd w:id="490"/>
      <w:bookmarkEnd w:id="491"/>
      <w:bookmarkEnd w:id="492"/>
      <w:bookmarkEnd w:id="493"/>
      <w:bookmarkEnd w:id="494"/>
    </w:p>
    <w:p>
      <w:pPr>
        <w:pStyle w:val="Heading5"/>
        <w:rPr>
          <w:snapToGrid w:val="0"/>
        </w:rPr>
      </w:pPr>
      <w:bookmarkStart w:id="495" w:name="_Toc201759058"/>
      <w:bookmarkStart w:id="496" w:name="_Toc184385100"/>
      <w:r>
        <w:rPr>
          <w:rStyle w:val="CharSectno"/>
        </w:rPr>
        <w:t>71</w:t>
      </w:r>
      <w:r>
        <w:rPr>
          <w:snapToGrid w:val="0"/>
        </w:rPr>
        <w:t>.</w:t>
      </w:r>
      <w:r>
        <w:rPr>
          <w:snapToGrid w:val="0"/>
        </w:rPr>
        <w:tab/>
        <w:t>Fisheries officer may restrict activities etc. in zones</w:t>
      </w:r>
      <w:bookmarkEnd w:id="495"/>
      <w:bookmarkEnd w:id="496"/>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497" w:name="_Toc184372591"/>
      <w:bookmarkStart w:id="498" w:name="_Toc184377744"/>
      <w:bookmarkStart w:id="499" w:name="_Toc184385101"/>
      <w:bookmarkStart w:id="500" w:name="_Toc201508498"/>
      <w:bookmarkStart w:id="501" w:name="_Toc201754329"/>
      <w:bookmarkStart w:id="502" w:name="_Toc201759059"/>
      <w:r>
        <w:rPr>
          <w:rStyle w:val="CharPartNo"/>
        </w:rPr>
        <w:t>Part 9</w:t>
      </w:r>
      <w:r>
        <w:t> — </w:t>
      </w:r>
      <w:r>
        <w:rPr>
          <w:rStyle w:val="CharPartText"/>
        </w:rPr>
        <w:t>Abrolhos Islands reserve</w:t>
      </w:r>
      <w:bookmarkEnd w:id="497"/>
      <w:bookmarkEnd w:id="498"/>
      <w:bookmarkEnd w:id="499"/>
      <w:bookmarkEnd w:id="500"/>
      <w:bookmarkEnd w:id="501"/>
      <w:bookmarkEnd w:id="502"/>
    </w:p>
    <w:p>
      <w:pPr>
        <w:pStyle w:val="Heading3"/>
      </w:pPr>
      <w:bookmarkStart w:id="503" w:name="_Toc184372592"/>
      <w:bookmarkStart w:id="504" w:name="_Toc184377745"/>
      <w:bookmarkStart w:id="505" w:name="_Toc184385102"/>
      <w:bookmarkStart w:id="506" w:name="_Toc201508499"/>
      <w:bookmarkStart w:id="507" w:name="_Toc201754330"/>
      <w:bookmarkStart w:id="508" w:name="_Toc201759060"/>
      <w:r>
        <w:rPr>
          <w:rStyle w:val="CharDivNo"/>
        </w:rPr>
        <w:t>Division 1</w:t>
      </w:r>
      <w:r>
        <w:rPr>
          <w:snapToGrid w:val="0"/>
        </w:rPr>
        <w:t> — </w:t>
      </w:r>
      <w:r>
        <w:rPr>
          <w:rStyle w:val="CharDivText"/>
        </w:rPr>
        <w:t>Interpretation and application of Part</w:t>
      </w:r>
      <w:bookmarkEnd w:id="503"/>
      <w:bookmarkEnd w:id="504"/>
      <w:bookmarkEnd w:id="505"/>
      <w:bookmarkEnd w:id="506"/>
      <w:bookmarkEnd w:id="507"/>
      <w:bookmarkEnd w:id="508"/>
    </w:p>
    <w:p>
      <w:pPr>
        <w:pStyle w:val="Heading5"/>
        <w:rPr>
          <w:snapToGrid w:val="0"/>
        </w:rPr>
      </w:pPr>
      <w:bookmarkStart w:id="509" w:name="_Toc201759061"/>
      <w:bookmarkStart w:id="510" w:name="_Toc184385103"/>
      <w:r>
        <w:rPr>
          <w:rStyle w:val="CharSectno"/>
        </w:rPr>
        <w:t>72</w:t>
      </w:r>
      <w:r>
        <w:rPr>
          <w:snapToGrid w:val="0"/>
        </w:rPr>
        <w:t>.</w:t>
      </w:r>
      <w:r>
        <w:rPr>
          <w:snapToGrid w:val="0"/>
        </w:rPr>
        <w:tab/>
        <w:t>Terms used</w:t>
      </w:r>
      <w:bookmarkEnd w:id="509"/>
      <w:bookmarkEnd w:id="510"/>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Gazette 6 Jul 2007 p. 3389; 1 Mar 2013 p. 1092; 27 Aug 2013 p. 4056.]</w:t>
      </w:r>
    </w:p>
    <w:p>
      <w:pPr>
        <w:pStyle w:val="Heading5"/>
        <w:rPr>
          <w:snapToGrid w:val="0"/>
        </w:rPr>
      </w:pPr>
      <w:bookmarkStart w:id="511" w:name="_Toc201759062"/>
      <w:bookmarkStart w:id="512" w:name="_Toc184385104"/>
      <w:r>
        <w:rPr>
          <w:rStyle w:val="CharSectno"/>
        </w:rPr>
        <w:t>73</w:t>
      </w:r>
      <w:r>
        <w:rPr>
          <w:snapToGrid w:val="0"/>
        </w:rPr>
        <w:t>.</w:t>
      </w:r>
      <w:r>
        <w:rPr>
          <w:snapToGrid w:val="0"/>
        </w:rPr>
        <w:tab/>
        <w:t>Application of this Part</w:t>
      </w:r>
      <w:bookmarkEnd w:id="511"/>
      <w:bookmarkEnd w:id="512"/>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513" w:name="_Toc184372595"/>
      <w:bookmarkStart w:id="514" w:name="_Toc184377748"/>
      <w:bookmarkStart w:id="515" w:name="_Toc184385105"/>
      <w:bookmarkStart w:id="516" w:name="_Toc201508502"/>
      <w:bookmarkStart w:id="517" w:name="_Toc201754333"/>
      <w:bookmarkStart w:id="518" w:name="_Toc201759063"/>
      <w:r>
        <w:rPr>
          <w:rStyle w:val="CharDivNo"/>
        </w:rPr>
        <w:t>Division 2</w:t>
      </w:r>
      <w:r>
        <w:rPr>
          <w:snapToGrid w:val="0"/>
        </w:rPr>
        <w:t> — </w:t>
      </w:r>
      <w:r>
        <w:rPr>
          <w:rStyle w:val="CharDivText"/>
        </w:rPr>
        <w:t>Jetties</w:t>
      </w:r>
      <w:bookmarkEnd w:id="513"/>
      <w:bookmarkEnd w:id="514"/>
      <w:bookmarkEnd w:id="515"/>
      <w:bookmarkEnd w:id="516"/>
      <w:bookmarkEnd w:id="517"/>
      <w:bookmarkEnd w:id="518"/>
    </w:p>
    <w:p>
      <w:pPr>
        <w:pStyle w:val="Heading5"/>
        <w:spacing w:before="240"/>
        <w:rPr>
          <w:snapToGrid w:val="0"/>
        </w:rPr>
      </w:pPr>
      <w:bookmarkStart w:id="519" w:name="_Toc201759064"/>
      <w:bookmarkStart w:id="520" w:name="_Toc184385106"/>
      <w:r>
        <w:rPr>
          <w:rStyle w:val="CharSectno"/>
        </w:rPr>
        <w:t>74</w:t>
      </w:r>
      <w:r>
        <w:rPr>
          <w:snapToGrid w:val="0"/>
        </w:rPr>
        <w:t>.</w:t>
      </w:r>
      <w:r>
        <w:rPr>
          <w:snapToGrid w:val="0"/>
        </w:rPr>
        <w:tab/>
        <w:t>Construction and modification of jetties and moorings</w:t>
      </w:r>
      <w:bookmarkEnd w:id="519"/>
      <w:bookmarkEnd w:id="520"/>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Gazette 6 Jul 2007 p. 3389.]</w:t>
      </w:r>
    </w:p>
    <w:p>
      <w:pPr>
        <w:pStyle w:val="Heading5"/>
        <w:keepNext w:val="0"/>
        <w:keepLines w:val="0"/>
        <w:pageBreakBefore/>
        <w:spacing w:before="0"/>
        <w:rPr>
          <w:snapToGrid w:val="0"/>
        </w:rPr>
      </w:pPr>
      <w:bookmarkStart w:id="521" w:name="_Toc201759065"/>
      <w:bookmarkStart w:id="522" w:name="_Toc184385107"/>
      <w:r>
        <w:rPr>
          <w:rStyle w:val="CharSectno"/>
        </w:rPr>
        <w:t>75</w:t>
      </w:r>
      <w:r>
        <w:rPr>
          <w:snapToGrid w:val="0"/>
        </w:rPr>
        <w:t>.</w:t>
      </w:r>
      <w:r>
        <w:rPr>
          <w:snapToGrid w:val="0"/>
        </w:rPr>
        <w:tab/>
        <w:t>Unauthorised use of jetties and moorings</w:t>
      </w:r>
      <w:bookmarkEnd w:id="521"/>
      <w:bookmarkEnd w:id="522"/>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523" w:name="_Toc184372598"/>
      <w:bookmarkStart w:id="524" w:name="_Toc184377751"/>
      <w:bookmarkStart w:id="525" w:name="_Toc184385108"/>
      <w:bookmarkStart w:id="526" w:name="_Toc201508505"/>
      <w:bookmarkStart w:id="527" w:name="_Toc201754336"/>
      <w:bookmarkStart w:id="528" w:name="_Toc201759066"/>
      <w:r>
        <w:rPr>
          <w:rStyle w:val="CharDivNo"/>
        </w:rPr>
        <w:t>Division 3</w:t>
      </w:r>
      <w:r>
        <w:rPr>
          <w:snapToGrid w:val="0"/>
        </w:rPr>
        <w:t> — </w:t>
      </w:r>
      <w:r>
        <w:rPr>
          <w:rStyle w:val="CharDivText"/>
        </w:rPr>
        <w:t>Buildings and facilities</w:t>
      </w:r>
      <w:bookmarkEnd w:id="523"/>
      <w:bookmarkEnd w:id="524"/>
      <w:bookmarkEnd w:id="525"/>
      <w:bookmarkEnd w:id="526"/>
      <w:bookmarkEnd w:id="527"/>
      <w:bookmarkEnd w:id="528"/>
    </w:p>
    <w:p>
      <w:pPr>
        <w:pStyle w:val="Heading5"/>
        <w:keepNext w:val="0"/>
        <w:rPr>
          <w:snapToGrid w:val="0"/>
        </w:rPr>
      </w:pPr>
      <w:bookmarkStart w:id="529" w:name="_Toc201759067"/>
      <w:bookmarkStart w:id="530" w:name="_Toc184385109"/>
      <w:r>
        <w:rPr>
          <w:rStyle w:val="CharSectno"/>
        </w:rPr>
        <w:t>76</w:t>
      </w:r>
      <w:r>
        <w:rPr>
          <w:snapToGrid w:val="0"/>
        </w:rPr>
        <w:t>.</w:t>
      </w:r>
      <w:r>
        <w:rPr>
          <w:snapToGrid w:val="0"/>
        </w:rPr>
        <w:tab/>
        <w:t>CEO may waive requirements of this Division</w:t>
      </w:r>
      <w:bookmarkEnd w:id="529"/>
      <w:bookmarkEnd w:id="530"/>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Gazette 6 Jul 2007 p. 3389.]</w:t>
      </w:r>
    </w:p>
    <w:p>
      <w:pPr>
        <w:pStyle w:val="Heading5"/>
        <w:rPr>
          <w:snapToGrid w:val="0"/>
        </w:rPr>
      </w:pPr>
      <w:bookmarkStart w:id="531" w:name="_Toc201759068"/>
      <w:bookmarkStart w:id="532" w:name="_Toc184385110"/>
      <w:r>
        <w:rPr>
          <w:rStyle w:val="CharSectno"/>
        </w:rPr>
        <w:t>77</w:t>
      </w:r>
      <w:r>
        <w:rPr>
          <w:snapToGrid w:val="0"/>
        </w:rPr>
        <w:t>.</w:t>
      </w:r>
      <w:r>
        <w:rPr>
          <w:snapToGrid w:val="0"/>
        </w:rPr>
        <w:tab/>
        <w:t>Camps associated with rock lobster licences, transfer of etc.</w:t>
      </w:r>
      <w:bookmarkEnd w:id="531"/>
      <w:bookmarkEnd w:id="532"/>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Gazette 14 Nov 2001 p. 5978; 6 Jul 2007 p. 3389.]</w:t>
      </w:r>
    </w:p>
    <w:p>
      <w:pPr>
        <w:pStyle w:val="Heading5"/>
        <w:spacing w:before="180"/>
        <w:rPr>
          <w:snapToGrid w:val="0"/>
        </w:rPr>
      </w:pPr>
      <w:bookmarkStart w:id="533" w:name="_Toc201759069"/>
      <w:bookmarkStart w:id="534" w:name="_Toc184385111"/>
      <w:r>
        <w:rPr>
          <w:rStyle w:val="CharSectno"/>
        </w:rPr>
        <w:t>78</w:t>
      </w:r>
      <w:r>
        <w:rPr>
          <w:snapToGrid w:val="0"/>
        </w:rPr>
        <w:t>.</w:t>
      </w:r>
      <w:r>
        <w:rPr>
          <w:snapToGrid w:val="0"/>
        </w:rPr>
        <w:tab/>
        <w:t>Camp not transferred etc. under r. 77 becomes unauthorised structure</w:t>
      </w:r>
      <w:bookmarkEnd w:id="533"/>
      <w:bookmarkEnd w:id="534"/>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Gazette 14 Nov 2001 p. 5978; 6 Jul 2007 p. 3389.]</w:t>
      </w:r>
    </w:p>
    <w:p>
      <w:pPr>
        <w:pStyle w:val="Heading5"/>
        <w:rPr>
          <w:snapToGrid w:val="0"/>
        </w:rPr>
      </w:pPr>
      <w:bookmarkStart w:id="535" w:name="_Toc201759070"/>
      <w:bookmarkStart w:id="536" w:name="_Toc184385112"/>
      <w:r>
        <w:rPr>
          <w:rStyle w:val="CharSectno"/>
        </w:rPr>
        <w:t>79</w:t>
      </w:r>
      <w:r>
        <w:rPr>
          <w:snapToGrid w:val="0"/>
        </w:rPr>
        <w:t>.</w:t>
      </w:r>
      <w:r>
        <w:rPr>
          <w:snapToGrid w:val="0"/>
        </w:rPr>
        <w:tab/>
        <w:t>Building standards, owners’ duties as to</w:t>
      </w:r>
      <w:bookmarkEnd w:id="535"/>
      <w:bookmarkEnd w:id="536"/>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537" w:name="_Toc201759071"/>
      <w:bookmarkStart w:id="538" w:name="_Toc184385113"/>
      <w:r>
        <w:rPr>
          <w:rStyle w:val="CharSectno"/>
        </w:rPr>
        <w:t>80</w:t>
      </w:r>
      <w:r>
        <w:rPr>
          <w:snapToGrid w:val="0"/>
        </w:rPr>
        <w:t>.</w:t>
      </w:r>
      <w:r>
        <w:rPr>
          <w:snapToGrid w:val="0"/>
        </w:rPr>
        <w:tab/>
        <w:t>Minor structural changes to buildings, requirements for</w:t>
      </w:r>
      <w:bookmarkEnd w:id="537"/>
      <w:bookmarkEnd w:id="538"/>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Gazette 6 Jul 2007 p. 3389.]</w:t>
      </w:r>
    </w:p>
    <w:p>
      <w:pPr>
        <w:pStyle w:val="Heading5"/>
        <w:spacing w:before="180"/>
        <w:rPr>
          <w:snapToGrid w:val="0"/>
        </w:rPr>
      </w:pPr>
      <w:bookmarkStart w:id="539" w:name="_Toc201759072"/>
      <w:bookmarkStart w:id="540" w:name="_Toc184385114"/>
      <w:r>
        <w:rPr>
          <w:rStyle w:val="CharSectno"/>
        </w:rPr>
        <w:t>81</w:t>
      </w:r>
      <w:r>
        <w:rPr>
          <w:snapToGrid w:val="0"/>
        </w:rPr>
        <w:t>.</w:t>
      </w:r>
      <w:r>
        <w:rPr>
          <w:snapToGrid w:val="0"/>
        </w:rPr>
        <w:tab/>
        <w:t>New buildings and major structural changes to buildings, requirements for</w:t>
      </w:r>
      <w:bookmarkEnd w:id="539"/>
      <w:bookmarkEnd w:id="540"/>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Gazette 15 Jan 1999 p. 113; 6 Jul 2007 p. 3389.]</w:t>
      </w:r>
    </w:p>
    <w:p>
      <w:pPr>
        <w:pStyle w:val="Heading3"/>
      </w:pPr>
      <w:bookmarkStart w:id="541" w:name="_Toc184372605"/>
      <w:bookmarkStart w:id="542" w:name="_Toc184377758"/>
      <w:bookmarkStart w:id="543" w:name="_Toc184385115"/>
      <w:bookmarkStart w:id="544" w:name="_Toc201508512"/>
      <w:bookmarkStart w:id="545" w:name="_Toc201754343"/>
      <w:bookmarkStart w:id="546" w:name="_Toc201759073"/>
      <w:r>
        <w:rPr>
          <w:rStyle w:val="CharDivNo"/>
        </w:rPr>
        <w:t>Division 4</w:t>
      </w:r>
      <w:r>
        <w:rPr>
          <w:snapToGrid w:val="0"/>
        </w:rPr>
        <w:t> — </w:t>
      </w:r>
      <w:r>
        <w:rPr>
          <w:rStyle w:val="CharDivText"/>
        </w:rPr>
        <w:t>Power and maintenance</w:t>
      </w:r>
      <w:bookmarkEnd w:id="541"/>
      <w:bookmarkEnd w:id="542"/>
      <w:bookmarkEnd w:id="543"/>
      <w:bookmarkEnd w:id="544"/>
      <w:bookmarkEnd w:id="545"/>
      <w:bookmarkEnd w:id="546"/>
    </w:p>
    <w:p>
      <w:pPr>
        <w:pStyle w:val="Ednotesection"/>
      </w:pPr>
      <w:r>
        <w:t>[</w:t>
      </w:r>
      <w:r>
        <w:rPr>
          <w:b/>
        </w:rPr>
        <w:t>82, 83.</w:t>
      </w:r>
      <w:r>
        <w:tab/>
        <w:t>Deleted: Gazette 23 May 2006 p. 1860.]</w:t>
      </w:r>
    </w:p>
    <w:p>
      <w:pPr>
        <w:pStyle w:val="Heading5"/>
        <w:rPr>
          <w:snapToGrid w:val="0"/>
        </w:rPr>
      </w:pPr>
      <w:bookmarkStart w:id="547" w:name="_Toc201759074"/>
      <w:bookmarkStart w:id="548" w:name="_Toc184385116"/>
      <w:r>
        <w:rPr>
          <w:rStyle w:val="CharSectno"/>
        </w:rPr>
        <w:t>84</w:t>
      </w:r>
      <w:r>
        <w:rPr>
          <w:snapToGrid w:val="0"/>
        </w:rPr>
        <w:t>.</w:t>
      </w:r>
      <w:r>
        <w:rPr>
          <w:snapToGrid w:val="0"/>
        </w:rPr>
        <w:tab/>
        <w:t>Water tanks etc., occupiers’ duties as to</w:t>
      </w:r>
      <w:bookmarkEnd w:id="547"/>
      <w:bookmarkEnd w:id="548"/>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spacing w:before="240"/>
        <w:rPr>
          <w:snapToGrid w:val="0"/>
        </w:rPr>
      </w:pPr>
      <w:bookmarkStart w:id="549" w:name="_Toc201759075"/>
      <w:bookmarkStart w:id="550" w:name="_Toc184385117"/>
      <w:r>
        <w:rPr>
          <w:rStyle w:val="CharSectno"/>
        </w:rPr>
        <w:t>85</w:t>
      </w:r>
      <w:r>
        <w:rPr>
          <w:snapToGrid w:val="0"/>
        </w:rPr>
        <w:t>.</w:t>
      </w:r>
      <w:r>
        <w:rPr>
          <w:snapToGrid w:val="0"/>
        </w:rPr>
        <w:tab/>
        <w:t>Generators, installation and use of</w:t>
      </w:r>
      <w:bookmarkEnd w:id="549"/>
      <w:bookmarkEnd w:id="550"/>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Gazette 6 Jul 2007 p. 3389.]</w:t>
      </w:r>
    </w:p>
    <w:p>
      <w:pPr>
        <w:pStyle w:val="Heading5"/>
        <w:rPr>
          <w:snapToGrid w:val="0"/>
        </w:rPr>
      </w:pPr>
      <w:bookmarkStart w:id="551" w:name="_Toc201759076"/>
      <w:bookmarkStart w:id="552" w:name="_Toc184385118"/>
      <w:r>
        <w:rPr>
          <w:rStyle w:val="CharSectno"/>
        </w:rPr>
        <w:t>86</w:t>
      </w:r>
      <w:r>
        <w:rPr>
          <w:snapToGrid w:val="0"/>
        </w:rPr>
        <w:t>.</w:t>
      </w:r>
      <w:r>
        <w:rPr>
          <w:snapToGrid w:val="0"/>
        </w:rPr>
        <w:tab/>
        <w:t>Machinery noise, fisheries officer’s powers as to</w:t>
      </w:r>
      <w:bookmarkEnd w:id="551"/>
      <w:bookmarkEnd w:id="552"/>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553" w:name="_Toc184372609"/>
      <w:bookmarkStart w:id="554" w:name="_Toc184377762"/>
      <w:bookmarkStart w:id="555" w:name="_Toc184385119"/>
      <w:bookmarkStart w:id="556" w:name="_Toc201508516"/>
      <w:bookmarkStart w:id="557" w:name="_Toc201754347"/>
      <w:bookmarkStart w:id="558" w:name="_Toc201759077"/>
      <w:r>
        <w:rPr>
          <w:rStyle w:val="CharDivNo"/>
        </w:rPr>
        <w:t>Division 5</w:t>
      </w:r>
      <w:r>
        <w:rPr>
          <w:snapToGrid w:val="0"/>
        </w:rPr>
        <w:t> — </w:t>
      </w:r>
      <w:r>
        <w:rPr>
          <w:rStyle w:val="CharDivText"/>
        </w:rPr>
        <w:t>Unauthorised structures and termination of tenancy</w:t>
      </w:r>
      <w:bookmarkEnd w:id="553"/>
      <w:bookmarkEnd w:id="554"/>
      <w:bookmarkEnd w:id="555"/>
      <w:bookmarkEnd w:id="556"/>
      <w:bookmarkEnd w:id="557"/>
      <w:bookmarkEnd w:id="558"/>
    </w:p>
    <w:p>
      <w:pPr>
        <w:pStyle w:val="Heading5"/>
        <w:spacing w:before="180"/>
        <w:rPr>
          <w:snapToGrid w:val="0"/>
        </w:rPr>
      </w:pPr>
      <w:bookmarkStart w:id="559" w:name="_Toc201759078"/>
      <w:bookmarkStart w:id="560" w:name="_Toc184385120"/>
      <w:r>
        <w:rPr>
          <w:rStyle w:val="CharSectno"/>
        </w:rPr>
        <w:t>87</w:t>
      </w:r>
      <w:r>
        <w:rPr>
          <w:snapToGrid w:val="0"/>
        </w:rPr>
        <w:t>.</w:t>
      </w:r>
      <w:r>
        <w:rPr>
          <w:snapToGrid w:val="0"/>
        </w:rPr>
        <w:tab/>
        <w:t>Terms used</w:t>
      </w:r>
      <w:bookmarkEnd w:id="559"/>
      <w:bookmarkEnd w:id="560"/>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561" w:name="_Toc201759079"/>
      <w:bookmarkStart w:id="562" w:name="_Toc184385121"/>
      <w:r>
        <w:rPr>
          <w:rStyle w:val="CharSectno"/>
        </w:rPr>
        <w:t>88</w:t>
      </w:r>
      <w:r>
        <w:rPr>
          <w:snapToGrid w:val="0"/>
        </w:rPr>
        <w:t>.</w:t>
      </w:r>
      <w:r>
        <w:rPr>
          <w:snapToGrid w:val="0"/>
        </w:rPr>
        <w:tab/>
        <w:t>Unauthorised structures, CEO may direct removal of</w:t>
      </w:r>
      <w:bookmarkEnd w:id="561"/>
      <w:bookmarkEnd w:id="562"/>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Gazette 6 Jul 2007 p. 3389.]</w:t>
      </w:r>
    </w:p>
    <w:p>
      <w:pPr>
        <w:pStyle w:val="Heading5"/>
        <w:rPr>
          <w:snapToGrid w:val="0"/>
        </w:rPr>
      </w:pPr>
      <w:bookmarkStart w:id="563" w:name="_Toc201759080"/>
      <w:bookmarkStart w:id="564" w:name="_Toc184385122"/>
      <w:r>
        <w:rPr>
          <w:rStyle w:val="CharSectno"/>
        </w:rPr>
        <w:t>89</w:t>
      </w:r>
      <w:r>
        <w:rPr>
          <w:snapToGrid w:val="0"/>
        </w:rPr>
        <w:t>.</w:t>
      </w:r>
      <w:r>
        <w:rPr>
          <w:snapToGrid w:val="0"/>
        </w:rPr>
        <w:tab/>
        <w:t>Service of r. 88 notice</w:t>
      </w:r>
      <w:bookmarkEnd w:id="563"/>
      <w:bookmarkEnd w:id="564"/>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565" w:name="_Toc201759081"/>
      <w:bookmarkStart w:id="566" w:name="_Toc184385123"/>
      <w:r>
        <w:rPr>
          <w:rStyle w:val="CharSectno"/>
        </w:rPr>
        <w:t>90</w:t>
      </w:r>
      <w:r>
        <w:rPr>
          <w:snapToGrid w:val="0"/>
        </w:rPr>
        <w:t>.</w:t>
      </w:r>
      <w:r>
        <w:rPr>
          <w:snapToGrid w:val="0"/>
        </w:rPr>
        <w:tab/>
        <w:t>Non-compliance with r. 88 notice</w:t>
      </w:r>
      <w:bookmarkEnd w:id="565"/>
      <w:bookmarkEnd w:id="566"/>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Gazette 6 Jul 2007 p. 3389.]</w:t>
      </w:r>
    </w:p>
    <w:p>
      <w:pPr>
        <w:pStyle w:val="Heading5"/>
        <w:spacing w:before="240"/>
        <w:rPr>
          <w:snapToGrid w:val="0"/>
        </w:rPr>
      </w:pPr>
      <w:bookmarkStart w:id="567" w:name="_Toc201759082"/>
      <w:bookmarkStart w:id="568" w:name="_Toc184385124"/>
      <w:r>
        <w:rPr>
          <w:rStyle w:val="CharSectno"/>
        </w:rPr>
        <w:t>91</w:t>
      </w:r>
      <w:r>
        <w:rPr>
          <w:snapToGrid w:val="0"/>
        </w:rPr>
        <w:t>.</w:t>
      </w:r>
      <w:r>
        <w:rPr>
          <w:snapToGrid w:val="0"/>
        </w:rPr>
        <w:tab/>
        <w:t>Site of unauthorised structure to be cleared completely</w:t>
      </w:r>
      <w:bookmarkEnd w:id="567"/>
      <w:bookmarkEnd w:id="568"/>
    </w:p>
    <w:p>
      <w:pPr>
        <w:pStyle w:val="Subsection"/>
        <w:keepNext/>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569" w:name="_Toc184372615"/>
      <w:bookmarkStart w:id="570" w:name="_Toc184377768"/>
      <w:bookmarkStart w:id="571" w:name="_Toc184385125"/>
      <w:bookmarkStart w:id="572" w:name="_Toc201508522"/>
      <w:bookmarkStart w:id="573" w:name="_Toc201754353"/>
      <w:bookmarkStart w:id="574" w:name="_Toc201759083"/>
      <w:r>
        <w:rPr>
          <w:rStyle w:val="CharDivNo"/>
        </w:rPr>
        <w:t>Division 6</w:t>
      </w:r>
      <w:r>
        <w:rPr>
          <w:snapToGrid w:val="0"/>
        </w:rPr>
        <w:t> — </w:t>
      </w:r>
      <w:r>
        <w:rPr>
          <w:rStyle w:val="CharDivText"/>
        </w:rPr>
        <w:t>Share arrangements and dispute procedure</w:t>
      </w:r>
      <w:bookmarkEnd w:id="569"/>
      <w:bookmarkEnd w:id="570"/>
      <w:bookmarkEnd w:id="571"/>
      <w:bookmarkEnd w:id="572"/>
      <w:bookmarkEnd w:id="573"/>
      <w:bookmarkEnd w:id="574"/>
    </w:p>
    <w:p>
      <w:pPr>
        <w:pStyle w:val="Heading5"/>
        <w:rPr>
          <w:snapToGrid w:val="0"/>
        </w:rPr>
      </w:pPr>
      <w:bookmarkStart w:id="575" w:name="_Toc201759084"/>
      <w:bookmarkStart w:id="576" w:name="_Toc184385126"/>
      <w:r>
        <w:rPr>
          <w:rStyle w:val="CharSectno"/>
        </w:rPr>
        <w:t>92</w:t>
      </w:r>
      <w:r>
        <w:rPr>
          <w:snapToGrid w:val="0"/>
        </w:rPr>
        <w:t>.</w:t>
      </w:r>
      <w:r>
        <w:rPr>
          <w:snapToGrid w:val="0"/>
        </w:rPr>
        <w:tab/>
        <w:t>Share arrangement to be subject of written agreement</w:t>
      </w:r>
      <w:bookmarkEnd w:id="575"/>
      <w:bookmarkEnd w:id="576"/>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Gazette 6 Jul 2007 p. 3389.]</w:t>
      </w:r>
    </w:p>
    <w:p>
      <w:pPr>
        <w:pStyle w:val="Heading5"/>
        <w:rPr>
          <w:snapToGrid w:val="0"/>
        </w:rPr>
      </w:pPr>
      <w:bookmarkStart w:id="577" w:name="_Toc201759085"/>
      <w:bookmarkStart w:id="578" w:name="_Toc184385127"/>
      <w:r>
        <w:rPr>
          <w:rStyle w:val="CharSectno"/>
        </w:rPr>
        <w:t>93</w:t>
      </w:r>
      <w:r>
        <w:rPr>
          <w:snapToGrid w:val="0"/>
        </w:rPr>
        <w:t>.</w:t>
      </w:r>
      <w:r>
        <w:rPr>
          <w:snapToGrid w:val="0"/>
        </w:rPr>
        <w:tab/>
        <w:t>Disputes over use of shared buildings etc., resolution procedure for</w:t>
      </w:r>
      <w:bookmarkEnd w:id="577"/>
      <w:bookmarkEnd w:id="578"/>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Gazette 6 Jul 2007 p. 3389</w:t>
      </w:r>
      <w:r>
        <w:noBreakHyphen/>
        <w:t>90.]</w:t>
      </w:r>
    </w:p>
    <w:p>
      <w:pPr>
        <w:pStyle w:val="Heading5"/>
        <w:rPr>
          <w:snapToGrid w:val="0"/>
        </w:rPr>
      </w:pPr>
      <w:bookmarkStart w:id="579" w:name="_Toc201759086"/>
      <w:bookmarkStart w:id="580" w:name="_Toc184385128"/>
      <w:r>
        <w:rPr>
          <w:rStyle w:val="CharSectno"/>
        </w:rPr>
        <w:t>94</w:t>
      </w:r>
      <w:r>
        <w:rPr>
          <w:snapToGrid w:val="0"/>
        </w:rPr>
        <w:t>.</w:t>
      </w:r>
      <w:r>
        <w:rPr>
          <w:snapToGrid w:val="0"/>
        </w:rPr>
        <w:tab/>
        <w:t>Independent arbitrators, duties of</w:t>
      </w:r>
      <w:bookmarkEnd w:id="579"/>
      <w:bookmarkEnd w:id="580"/>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Gazette 6 Jul 2007 p. 3389</w:t>
      </w:r>
      <w:r>
        <w:noBreakHyphen/>
        <w:t>90.]</w:t>
      </w:r>
    </w:p>
    <w:p>
      <w:pPr>
        <w:pStyle w:val="Heading5"/>
        <w:spacing w:before="180"/>
        <w:rPr>
          <w:snapToGrid w:val="0"/>
        </w:rPr>
      </w:pPr>
      <w:bookmarkStart w:id="581" w:name="_Toc201759087"/>
      <w:bookmarkStart w:id="582" w:name="_Toc184385129"/>
      <w:r>
        <w:rPr>
          <w:rStyle w:val="CharSectno"/>
        </w:rPr>
        <w:t>95</w:t>
      </w:r>
      <w:r>
        <w:rPr>
          <w:snapToGrid w:val="0"/>
        </w:rPr>
        <w:t>.</w:t>
      </w:r>
      <w:r>
        <w:rPr>
          <w:snapToGrid w:val="0"/>
        </w:rPr>
        <w:tab/>
        <w:t>Arbitrator’s determination to be decided by Minister</w:t>
      </w:r>
      <w:bookmarkEnd w:id="581"/>
      <w:bookmarkEnd w:id="582"/>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583" w:name="_Toc184372620"/>
      <w:bookmarkStart w:id="584" w:name="_Toc184377773"/>
      <w:bookmarkStart w:id="585" w:name="_Toc184385130"/>
      <w:bookmarkStart w:id="586" w:name="_Toc201508527"/>
      <w:bookmarkStart w:id="587" w:name="_Toc201754358"/>
      <w:bookmarkStart w:id="588" w:name="_Toc201759088"/>
      <w:r>
        <w:rPr>
          <w:rStyle w:val="CharDivNo"/>
        </w:rPr>
        <w:t>Division 7</w:t>
      </w:r>
      <w:r>
        <w:rPr>
          <w:snapToGrid w:val="0"/>
        </w:rPr>
        <w:t> — </w:t>
      </w:r>
      <w:r>
        <w:rPr>
          <w:rStyle w:val="CharDivText"/>
        </w:rPr>
        <w:t>Disposal of waste</w:t>
      </w:r>
      <w:bookmarkEnd w:id="583"/>
      <w:bookmarkEnd w:id="584"/>
      <w:bookmarkEnd w:id="585"/>
      <w:bookmarkEnd w:id="586"/>
      <w:bookmarkEnd w:id="587"/>
      <w:bookmarkEnd w:id="588"/>
    </w:p>
    <w:p>
      <w:pPr>
        <w:pStyle w:val="Heading5"/>
        <w:rPr>
          <w:snapToGrid w:val="0"/>
        </w:rPr>
      </w:pPr>
      <w:bookmarkStart w:id="589" w:name="_Toc201759089"/>
      <w:bookmarkStart w:id="590" w:name="_Toc184385131"/>
      <w:r>
        <w:rPr>
          <w:rStyle w:val="CharSectno"/>
        </w:rPr>
        <w:t>96</w:t>
      </w:r>
      <w:r>
        <w:rPr>
          <w:snapToGrid w:val="0"/>
        </w:rPr>
        <w:t>.</w:t>
      </w:r>
      <w:r>
        <w:rPr>
          <w:snapToGrid w:val="0"/>
        </w:rPr>
        <w:tab/>
        <w:t>Waste disposal to be in accordance with this Division</w:t>
      </w:r>
      <w:bookmarkEnd w:id="589"/>
      <w:bookmarkEnd w:id="590"/>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Gazette 6 Jul 2007 p. 3389</w:t>
      </w:r>
      <w:r>
        <w:noBreakHyphen/>
        <w:t>90.]</w:t>
      </w:r>
    </w:p>
    <w:p>
      <w:pPr>
        <w:pStyle w:val="Heading5"/>
        <w:rPr>
          <w:snapToGrid w:val="0"/>
        </w:rPr>
      </w:pPr>
      <w:bookmarkStart w:id="591" w:name="_Toc201759090"/>
      <w:bookmarkStart w:id="592" w:name="_Toc184385132"/>
      <w:r>
        <w:rPr>
          <w:rStyle w:val="CharSectno"/>
        </w:rPr>
        <w:t>97</w:t>
      </w:r>
      <w:r>
        <w:rPr>
          <w:snapToGrid w:val="0"/>
        </w:rPr>
        <w:t>.</w:t>
      </w:r>
      <w:r>
        <w:rPr>
          <w:snapToGrid w:val="0"/>
        </w:rPr>
        <w:tab/>
        <w:t>Food waste</w:t>
      </w:r>
      <w:bookmarkEnd w:id="591"/>
      <w:bookmarkEnd w:id="592"/>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593" w:name="_Toc201759091"/>
      <w:bookmarkStart w:id="594" w:name="_Toc184385133"/>
      <w:r>
        <w:rPr>
          <w:rStyle w:val="CharSectno"/>
        </w:rPr>
        <w:t>98</w:t>
      </w:r>
      <w:r>
        <w:rPr>
          <w:snapToGrid w:val="0"/>
        </w:rPr>
        <w:t>.</w:t>
      </w:r>
      <w:r>
        <w:rPr>
          <w:snapToGrid w:val="0"/>
        </w:rPr>
        <w:tab/>
        <w:t>Paper, plastic, cardboard, bait bags etc.</w:t>
      </w:r>
      <w:bookmarkEnd w:id="593"/>
      <w:bookmarkEnd w:id="594"/>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595" w:name="_Toc201759092"/>
      <w:bookmarkStart w:id="596" w:name="_Toc184385134"/>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595"/>
      <w:bookmarkEnd w:id="596"/>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597" w:name="_Toc201759093"/>
      <w:bookmarkStart w:id="598" w:name="_Toc184385135"/>
      <w:r>
        <w:rPr>
          <w:rStyle w:val="CharSectno"/>
        </w:rPr>
        <w:t>100</w:t>
      </w:r>
      <w:r>
        <w:rPr>
          <w:snapToGrid w:val="0"/>
        </w:rPr>
        <w:t>.</w:t>
      </w:r>
      <w:r>
        <w:rPr>
          <w:snapToGrid w:val="0"/>
        </w:rPr>
        <w:tab/>
        <w:t>Oil, fuel, engine filters and batteries</w:t>
      </w:r>
      <w:bookmarkEnd w:id="597"/>
      <w:bookmarkEnd w:id="598"/>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599" w:name="_Toc201759094"/>
      <w:bookmarkStart w:id="600" w:name="_Toc184385136"/>
      <w:r>
        <w:rPr>
          <w:rStyle w:val="CharSectno"/>
        </w:rPr>
        <w:t>101</w:t>
      </w:r>
      <w:r>
        <w:rPr>
          <w:snapToGrid w:val="0"/>
        </w:rPr>
        <w:t>.</w:t>
      </w:r>
      <w:r>
        <w:rPr>
          <w:snapToGrid w:val="0"/>
        </w:rPr>
        <w:tab/>
        <w:t>Campsite waste</w:t>
      </w:r>
      <w:bookmarkEnd w:id="599"/>
      <w:bookmarkEnd w:id="600"/>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Gazette 6 Jul 2007 p. 3389</w:t>
      </w:r>
      <w:r>
        <w:noBreakHyphen/>
        <w:t>90.]</w:t>
      </w:r>
    </w:p>
    <w:p>
      <w:pPr>
        <w:pStyle w:val="Heading5"/>
        <w:rPr>
          <w:snapToGrid w:val="0"/>
        </w:rPr>
      </w:pPr>
      <w:bookmarkStart w:id="601" w:name="_Toc201759095"/>
      <w:bookmarkStart w:id="602" w:name="_Toc184385137"/>
      <w:r>
        <w:rPr>
          <w:rStyle w:val="CharSectno"/>
        </w:rPr>
        <w:t>102</w:t>
      </w:r>
      <w:r>
        <w:rPr>
          <w:snapToGrid w:val="0"/>
        </w:rPr>
        <w:t>.</w:t>
      </w:r>
      <w:r>
        <w:rPr>
          <w:snapToGrid w:val="0"/>
        </w:rPr>
        <w:tab/>
        <w:t>Sewage</w:t>
      </w:r>
      <w:bookmarkEnd w:id="601"/>
      <w:bookmarkEnd w:id="602"/>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603" w:name="_Toc201759096"/>
      <w:bookmarkStart w:id="604" w:name="_Toc184385138"/>
      <w:r>
        <w:rPr>
          <w:rStyle w:val="CharSectno"/>
        </w:rPr>
        <w:t>103</w:t>
      </w:r>
      <w:r>
        <w:rPr>
          <w:snapToGrid w:val="0"/>
        </w:rPr>
        <w:t>.</w:t>
      </w:r>
      <w:r>
        <w:rPr>
          <w:snapToGrid w:val="0"/>
        </w:rPr>
        <w:tab/>
        <w:t>Incinerators, construction and use of</w:t>
      </w:r>
      <w:bookmarkEnd w:id="603"/>
      <w:bookmarkEnd w:id="604"/>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keepNext/>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605" w:name="_Toc184372629"/>
      <w:bookmarkStart w:id="606" w:name="_Toc184377782"/>
      <w:bookmarkStart w:id="607" w:name="_Toc184385139"/>
      <w:bookmarkStart w:id="608" w:name="_Toc201508536"/>
      <w:bookmarkStart w:id="609" w:name="_Toc201754367"/>
      <w:bookmarkStart w:id="610" w:name="_Toc201759097"/>
      <w:r>
        <w:rPr>
          <w:rStyle w:val="CharDivNo"/>
        </w:rPr>
        <w:t>Division 8</w:t>
      </w:r>
      <w:r>
        <w:rPr>
          <w:snapToGrid w:val="0"/>
        </w:rPr>
        <w:t> — </w:t>
      </w:r>
      <w:r>
        <w:rPr>
          <w:rStyle w:val="CharDivText"/>
        </w:rPr>
        <w:t>Miscellaneous</w:t>
      </w:r>
      <w:bookmarkEnd w:id="605"/>
      <w:bookmarkEnd w:id="606"/>
      <w:bookmarkEnd w:id="607"/>
      <w:bookmarkEnd w:id="608"/>
      <w:bookmarkEnd w:id="609"/>
      <w:bookmarkEnd w:id="610"/>
    </w:p>
    <w:p>
      <w:pPr>
        <w:pStyle w:val="Heading5"/>
        <w:rPr>
          <w:snapToGrid w:val="0"/>
        </w:rPr>
      </w:pPr>
      <w:bookmarkStart w:id="611" w:name="_Toc201759098"/>
      <w:bookmarkStart w:id="612" w:name="_Toc184385140"/>
      <w:r>
        <w:rPr>
          <w:rStyle w:val="CharSectno"/>
        </w:rPr>
        <w:t>104</w:t>
      </w:r>
      <w:r>
        <w:rPr>
          <w:snapToGrid w:val="0"/>
        </w:rPr>
        <w:t>.</w:t>
      </w:r>
      <w:r>
        <w:rPr>
          <w:snapToGrid w:val="0"/>
        </w:rPr>
        <w:tab/>
        <w:t>Noise to be kept below certain levels</w:t>
      </w:r>
      <w:bookmarkEnd w:id="611"/>
      <w:bookmarkEnd w:id="612"/>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Lines w:val="0"/>
        <w:rPr>
          <w:snapToGrid w:val="0"/>
        </w:rPr>
      </w:pPr>
      <w:bookmarkStart w:id="613" w:name="_Toc201759099"/>
      <w:bookmarkStart w:id="614" w:name="_Toc184385141"/>
      <w:r>
        <w:rPr>
          <w:rStyle w:val="CharSectno"/>
        </w:rPr>
        <w:t>105</w:t>
      </w:r>
      <w:r>
        <w:rPr>
          <w:snapToGrid w:val="0"/>
        </w:rPr>
        <w:t>.</w:t>
      </w:r>
      <w:r>
        <w:rPr>
          <w:snapToGrid w:val="0"/>
        </w:rPr>
        <w:tab/>
        <w:t>Vehicles not to be used without CEO’s approval</w:t>
      </w:r>
      <w:bookmarkEnd w:id="613"/>
      <w:bookmarkEnd w:id="614"/>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Gazette 6 Jul 2007 p. 3389</w:t>
      </w:r>
      <w:r>
        <w:noBreakHyphen/>
        <w:t>90.]</w:t>
      </w:r>
    </w:p>
    <w:p>
      <w:pPr>
        <w:pStyle w:val="Ednotesection"/>
      </w:pPr>
      <w:r>
        <w:t>[</w:t>
      </w:r>
      <w:r>
        <w:rPr>
          <w:b/>
        </w:rPr>
        <w:t>105A.</w:t>
      </w:r>
      <w:r>
        <w:tab/>
        <w:t>Inserted: Gazette 26 Mar 1999 p. 1279</w:t>
      </w:r>
      <w:r>
        <w:noBreakHyphen/>
        <w:t>80. Disallowed: Gazette 25 Jun 1999 p. 2742.]</w:t>
      </w:r>
    </w:p>
    <w:p>
      <w:pPr>
        <w:pStyle w:val="Heading5"/>
        <w:spacing w:before="180"/>
        <w:rPr>
          <w:snapToGrid w:val="0"/>
        </w:rPr>
      </w:pPr>
      <w:bookmarkStart w:id="615" w:name="_Toc201759100"/>
      <w:bookmarkStart w:id="616" w:name="_Toc184385142"/>
      <w:r>
        <w:rPr>
          <w:rStyle w:val="CharSectno"/>
        </w:rPr>
        <w:t>106</w:t>
      </w:r>
      <w:r>
        <w:rPr>
          <w:snapToGrid w:val="0"/>
        </w:rPr>
        <w:t>.</w:t>
      </w:r>
      <w:r>
        <w:rPr>
          <w:snapToGrid w:val="0"/>
        </w:rPr>
        <w:tab/>
        <w:t>Domestic pets prohibited on reserve and boats at jetties</w:t>
      </w:r>
      <w:bookmarkEnd w:id="615"/>
      <w:bookmarkEnd w:id="616"/>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617" w:name="_Toc201759101"/>
      <w:bookmarkStart w:id="618" w:name="_Toc184385143"/>
      <w:r>
        <w:rPr>
          <w:rStyle w:val="CharSectno"/>
        </w:rPr>
        <w:t>107</w:t>
      </w:r>
      <w:r>
        <w:rPr>
          <w:snapToGrid w:val="0"/>
        </w:rPr>
        <w:t>.</w:t>
      </w:r>
      <w:r>
        <w:rPr>
          <w:snapToGrid w:val="0"/>
        </w:rPr>
        <w:tab/>
        <w:t>Flora and fauna not to be introduced without approval</w:t>
      </w:r>
      <w:bookmarkEnd w:id="617"/>
      <w:bookmarkEnd w:id="618"/>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1</w:t>
      </w:r>
      <w:r>
        <w:rPr>
          <w:snapToGrid w:val="0"/>
        </w:rPr>
        <w:t>.</w:t>
      </w:r>
    </w:p>
    <w:p>
      <w:pPr>
        <w:pStyle w:val="Penstart"/>
        <w:rPr>
          <w:snapToGrid w:val="0"/>
        </w:rPr>
      </w:pPr>
      <w:r>
        <w:rPr>
          <w:snapToGrid w:val="0"/>
        </w:rPr>
        <w:tab/>
        <w:t>Penalty: $2 000.</w:t>
      </w:r>
    </w:p>
    <w:p>
      <w:pPr>
        <w:pStyle w:val="Footnotesection"/>
      </w:pPr>
      <w:r>
        <w:tab/>
        <w:t>[Regulation 107 amended: Gazette 6 Jul 2007 p. 3389</w:t>
      </w:r>
      <w:r>
        <w:noBreakHyphen/>
        <w:t>90.]</w:t>
      </w:r>
    </w:p>
    <w:p>
      <w:pPr>
        <w:pStyle w:val="Heading5"/>
        <w:rPr>
          <w:snapToGrid w:val="0"/>
        </w:rPr>
      </w:pPr>
      <w:bookmarkStart w:id="619" w:name="_Toc201759102"/>
      <w:bookmarkStart w:id="620" w:name="_Toc184385144"/>
      <w:r>
        <w:rPr>
          <w:rStyle w:val="CharSectno"/>
        </w:rPr>
        <w:t>108</w:t>
      </w:r>
      <w:r>
        <w:rPr>
          <w:snapToGrid w:val="0"/>
        </w:rPr>
        <w:t>.</w:t>
      </w:r>
      <w:r>
        <w:rPr>
          <w:snapToGrid w:val="0"/>
        </w:rPr>
        <w:tab/>
        <w:t>Noxious etc. plants, pests etc., control of to be by approved methods</w:t>
      </w:r>
      <w:bookmarkEnd w:id="619"/>
      <w:bookmarkEnd w:id="620"/>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Gazette 6 Jul 2007 p. 3389</w:t>
      </w:r>
      <w:r>
        <w:noBreakHyphen/>
        <w:t>90.]</w:t>
      </w:r>
    </w:p>
    <w:p>
      <w:pPr>
        <w:pStyle w:val="Heading5"/>
        <w:spacing w:before="240"/>
        <w:rPr>
          <w:snapToGrid w:val="0"/>
        </w:rPr>
      </w:pPr>
      <w:bookmarkStart w:id="621" w:name="_Toc201759103"/>
      <w:bookmarkStart w:id="622" w:name="_Toc184385145"/>
      <w:r>
        <w:rPr>
          <w:rStyle w:val="CharSectno"/>
        </w:rPr>
        <w:t>109</w:t>
      </w:r>
      <w:r>
        <w:rPr>
          <w:snapToGrid w:val="0"/>
        </w:rPr>
        <w:t>.</w:t>
      </w:r>
      <w:r>
        <w:rPr>
          <w:snapToGrid w:val="0"/>
        </w:rPr>
        <w:tab/>
        <w:t>Behaviour standards for people; power to direct person to leave</w:t>
      </w:r>
      <w:bookmarkEnd w:id="621"/>
      <w:bookmarkEnd w:id="622"/>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623" w:name="_Toc201759104"/>
      <w:bookmarkStart w:id="624" w:name="_Toc184385146"/>
      <w:r>
        <w:rPr>
          <w:rStyle w:val="CharSectno"/>
        </w:rPr>
        <w:t>110</w:t>
      </w:r>
      <w:r>
        <w:rPr>
          <w:snapToGrid w:val="0"/>
        </w:rPr>
        <w:t>.</w:t>
      </w:r>
      <w:r>
        <w:rPr>
          <w:snapToGrid w:val="0"/>
        </w:rPr>
        <w:tab/>
        <w:t>Chlorine tarping of boats, restrictions on</w:t>
      </w:r>
      <w:bookmarkEnd w:id="623"/>
      <w:bookmarkEnd w:id="624"/>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Gazette 30 May 2014 p. 1718.]</w:t>
      </w:r>
    </w:p>
    <w:p>
      <w:pPr>
        <w:pStyle w:val="Heading5"/>
        <w:rPr>
          <w:snapToGrid w:val="0"/>
        </w:rPr>
      </w:pPr>
      <w:bookmarkStart w:id="625" w:name="_Toc201759105"/>
      <w:bookmarkStart w:id="626" w:name="_Toc184385147"/>
      <w:r>
        <w:rPr>
          <w:rStyle w:val="CharSectno"/>
        </w:rPr>
        <w:t>112</w:t>
      </w:r>
      <w:r>
        <w:rPr>
          <w:snapToGrid w:val="0"/>
        </w:rPr>
        <w:t>.</w:t>
      </w:r>
      <w:r>
        <w:rPr>
          <w:snapToGrid w:val="0"/>
        </w:rPr>
        <w:tab/>
        <w:t>Weapons prohibited</w:t>
      </w:r>
      <w:bookmarkEnd w:id="625"/>
      <w:bookmarkEnd w:id="626"/>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627" w:name="_Toc201759106"/>
      <w:bookmarkStart w:id="628" w:name="_Toc184385148"/>
      <w:r>
        <w:rPr>
          <w:rStyle w:val="CharSectno"/>
        </w:rPr>
        <w:t>113</w:t>
      </w:r>
      <w:r>
        <w:rPr>
          <w:snapToGrid w:val="0"/>
        </w:rPr>
        <w:t>.</w:t>
      </w:r>
      <w:r>
        <w:rPr>
          <w:snapToGrid w:val="0"/>
        </w:rPr>
        <w:tab/>
        <w:t>Open fires prohibited</w:t>
      </w:r>
      <w:bookmarkEnd w:id="627"/>
      <w:bookmarkEnd w:id="628"/>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629" w:name="_Toc184372639"/>
      <w:bookmarkStart w:id="630" w:name="_Toc184377792"/>
      <w:bookmarkStart w:id="631" w:name="_Toc184385149"/>
      <w:bookmarkStart w:id="632" w:name="_Toc201508546"/>
      <w:bookmarkStart w:id="633" w:name="_Toc201754377"/>
      <w:bookmarkStart w:id="634" w:name="_Toc201759107"/>
      <w:r>
        <w:rPr>
          <w:rStyle w:val="CharPartNo"/>
        </w:rPr>
        <w:t>Part 9A</w:t>
      </w:r>
      <w:r>
        <w:rPr>
          <w:b w:val="0"/>
        </w:rPr>
        <w:t> </w:t>
      </w:r>
      <w:r>
        <w:t>—</w:t>
      </w:r>
      <w:r>
        <w:rPr>
          <w:b w:val="0"/>
        </w:rPr>
        <w:t> </w:t>
      </w:r>
      <w:r>
        <w:rPr>
          <w:rStyle w:val="CharPartText"/>
        </w:rPr>
        <w:t>Fish Habitat Protection Areas</w:t>
      </w:r>
      <w:bookmarkEnd w:id="629"/>
      <w:bookmarkEnd w:id="630"/>
      <w:bookmarkEnd w:id="631"/>
      <w:bookmarkEnd w:id="632"/>
      <w:bookmarkEnd w:id="633"/>
      <w:bookmarkEnd w:id="634"/>
    </w:p>
    <w:p>
      <w:pPr>
        <w:pStyle w:val="Footnoteheading"/>
        <w:tabs>
          <w:tab w:val="left" w:pos="851"/>
        </w:tabs>
      </w:pPr>
      <w:r>
        <w:tab/>
        <w:t>[Heading inserted: Gazette 23 Dec 2003 p. 5205.]</w:t>
      </w:r>
    </w:p>
    <w:p>
      <w:pPr>
        <w:pStyle w:val="Heading3"/>
      </w:pPr>
      <w:bookmarkStart w:id="635" w:name="_Toc184372640"/>
      <w:bookmarkStart w:id="636" w:name="_Toc184377793"/>
      <w:bookmarkStart w:id="637" w:name="_Toc184385150"/>
      <w:bookmarkStart w:id="638" w:name="_Toc201508547"/>
      <w:bookmarkStart w:id="639" w:name="_Toc201754378"/>
      <w:bookmarkStart w:id="640" w:name="_Toc201759108"/>
      <w:r>
        <w:rPr>
          <w:rStyle w:val="CharDivNo"/>
        </w:rPr>
        <w:t>Division 1A</w:t>
      </w:r>
      <w:r>
        <w:t> — </w:t>
      </w:r>
      <w:r>
        <w:rPr>
          <w:rStyle w:val="CharDivText"/>
        </w:rPr>
        <w:t>Abrolhos Islands Fish Habitat Protection Area</w:t>
      </w:r>
      <w:bookmarkEnd w:id="635"/>
      <w:bookmarkEnd w:id="636"/>
      <w:bookmarkEnd w:id="637"/>
      <w:bookmarkEnd w:id="638"/>
      <w:bookmarkEnd w:id="639"/>
      <w:bookmarkEnd w:id="640"/>
    </w:p>
    <w:p>
      <w:pPr>
        <w:pStyle w:val="Footnoteheading"/>
        <w:tabs>
          <w:tab w:val="left" w:pos="851"/>
        </w:tabs>
      </w:pPr>
      <w:r>
        <w:tab/>
        <w:t>[Heading inserted: Gazette 30 May 2014 p. 1719.]</w:t>
      </w:r>
    </w:p>
    <w:p>
      <w:pPr>
        <w:pStyle w:val="Heading5"/>
        <w:spacing w:before="260"/>
      </w:pPr>
      <w:bookmarkStart w:id="641" w:name="_Toc201759109"/>
      <w:bookmarkStart w:id="642" w:name="_Toc184385151"/>
      <w:r>
        <w:rPr>
          <w:rStyle w:val="CharSectno"/>
        </w:rPr>
        <w:t>113AA</w:t>
      </w:r>
      <w:r>
        <w:t>.</w:t>
      </w:r>
      <w:r>
        <w:tab/>
        <w:t>Notice of travel to Abrolhos Islands Fish Habitat Protection Area</w:t>
      </w:r>
      <w:bookmarkEnd w:id="641"/>
      <w:bookmarkEnd w:id="642"/>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Gazette 30 May 2014 p. 1719.]</w:t>
      </w:r>
    </w:p>
    <w:p>
      <w:pPr>
        <w:pStyle w:val="Heading5"/>
        <w:spacing w:before="260"/>
      </w:pPr>
      <w:bookmarkStart w:id="643" w:name="_Toc201759110"/>
      <w:bookmarkStart w:id="644" w:name="_Toc184385152"/>
      <w:r>
        <w:rPr>
          <w:rStyle w:val="CharSectno"/>
        </w:rPr>
        <w:t>113AB</w:t>
      </w:r>
      <w:r>
        <w:t>.</w:t>
      </w:r>
      <w:r>
        <w:tab/>
        <w:t>Notice of stay in Abrolhos Islands Fish Habitat Protection Area</w:t>
      </w:r>
      <w:bookmarkEnd w:id="643"/>
      <w:bookmarkEnd w:id="644"/>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Gazette 30 May 2014 p. 1719</w:t>
      </w:r>
      <w:r>
        <w:noBreakHyphen/>
        <w:t>20.]</w:t>
      </w:r>
    </w:p>
    <w:p>
      <w:pPr>
        <w:pStyle w:val="Heading3"/>
      </w:pPr>
      <w:bookmarkStart w:id="645" w:name="_Toc184372643"/>
      <w:bookmarkStart w:id="646" w:name="_Toc184377796"/>
      <w:bookmarkStart w:id="647" w:name="_Toc184385153"/>
      <w:bookmarkStart w:id="648" w:name="_Toc201508550"/>
      <w:bookmarkStart w:id="649" w:name="_Toc201754381"/>
      <w:bookmarkStart w:id="650" w:name="_Toc201759111"/>
      <w:r>
        <w:rPr>
          <w:rStyle w:val="CharDivNo"/>
        </w:rPr>
        <w:t>Division 1</w:t>
      </w:r>
      <w:r>
        <w:t> — </w:t>
      </w:r>
      <w:r>
        <w:rPr>
          <w:rStyle w:val="CharDivText"/>
        </w:rPr>
        <w:t>Cottesloe Reef Fish Habitat Protection Area</w:t>
      </w:r>
      <w:bookmarkEnd w:id="645"/>
      <w:bookmarkEnd w:id="646"/>
      <w:bookmarkEnd w:id="647"/>
      <w:bookmarkEnd w:id="648"/>
      <w:bookmarkEnd w:id="649"/>
      <w:bookmarkEnd w:id="650"/>
    </w:p>
    <w:p>
      <w:pPr>
        <w:pStyle w:val="Footnoteheading"/>
        <w:tabs>
          <w:tab w:val="left" w:pos="851"/>
        </w:tabs>
      </w:pPr>
      <w:r>
        <w:tab/>
        <w:t>[Heading inserted: Gazette 23 Dec 2003 p. 5205.]</w:t>
      </w:r>
    </w:p>
    <w:p>
      <w:pPr>
        <w:pStyle w:val="Heading5"/>
      </w:pPr>
      <w:bookmarkStart w:id="651" w:name="_Toc201759112"/>
      <w:bookmarkStart w:id="652" w:name="_Toc184385154"/>
      <w:r>
        <w:rPr>
          <w:rStyle w:val="CharSectno"/>
        </w:rPr>
        <w:t>113A</w:t>
      </w:r>
      <w:r>
        <w:t>.</w:t>
      </w:r>
      <w:r>
        <w:tab/>
        <w:t>Prohibited activities</w:t>
      </w:r>
      <w:bookmarkEnd w:id="651"/>
      <w:bookmarkEnd w:id="652"/>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osteichthyes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Gazette 23 Dec 2003 p. 5205; amended: Gazette 4 Oct 2019 p. 3610.]</w:t>
      </w:r>
    </w:p>
    <w:p>
      <w:pPr>
        <w:pStyle w:val="Heading3"/>
      </w:pPr>
      <w:bookmarkStart w:id="653" w:name="_Toc184372645"/>
      <w:bookmarkStart w:id="654" w:name="_Toc184377798"/>
      <w:bookmarkStart w:id="655" w:name="_Toc184385155"/>
      <w:bookmarkStart w:id="656" w:name="_Toc201508552"/>
      <w:bookmarkStart w:id="657" w:name="_Toc201754383"/>
      <w:bookmarkStart w:id="658" w:name="_Toc201759113"/>
      <w:r>
        <w:rPr>
          <w:rStyle w:val="CharDivNo"/>
        </w:rPr>
        <w:t>Division 2</w:t>
      </w:r>
      <w:r>
        <w:t> — </w:t>
      </w:r>
      <w:r>
        <w:rPr>
          <w:rStyle w:val="CharDivText"/>
        </w:rPr>
        <w:t>Lancelin Island Lagoon Fish Habitat Protection Area</w:t>
      </w:r>
      <w:bookmarkEnd w:id="653"/>
      <w:bookmarkEnd w:id="654"/>
      <w:bookmarkEnd w:id="655"/>
      <w:bookmarkEnd w:id="656"/>
      <w:bookmarkEnd w:id="657"/>
      <w:bookmarkEnd w:id="658"/>
    </w:p>
    <w:p>
      <w:pPr>
        <w:pStyle w:val="Footnoteheading"/>
        <w:tabs>
          <w:tab w:val="left" w:pos="851"/>
        </w:tabs>
      </w:pPr>
      <w:r>
        <w:tab/>
        <w:t>[Heading inserted: Gazette 23 Dec 2003 p. 5205.]</w:t>
      </w:r>
    </w:p>
    <w:p>
      <w:pPr>
        <w:pStyle w:val="Heading5"/>
        <w:spacing w:before="240"/>
      </w:pPr>
      <w:bookmarkStart w:id="659" w:name="_Toc201759114"/>
      <w:bookmarkStart w:id="660" w:name="_Toc184385156"/>
      <w:r>
        <w:rPr>
          <w:rStyle w:val="CharSectno"/>
        </w:rPr>
        <w:t>113B</w:t>
      </w:r>
      <w:r>
        <w:t>.</w:t>
      </w:r>
      <w:r>
        <w:tab/>
        <w:t>Prohibited activities</w:t>
      </w:r>
      <w:bookmarkEnd w:id="659"/>
      <w:bookmarkEnd w:id="660"/>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Gazette 23 Dec 2003 p. 5205</w:t>
      </w:r>
      <w:r>
        <w:noBreakHyphen/>
        <w:t>6.]</w:t>
      </w:r>
    </w:p>
    <w:p>
      <w:pPr>
        <w:pStyle w:val="Heading3"/>
        <w:spacing w:before="300"/>
      </w:pPr>
      <w:bookmarkStart w:id="661" w:name="_Toc184372647"/>
      <w:bookmarkStart w:id="662" w:name="_Toc184377800"/>
      <w:bookmarkStart w:id="663" w:name="_Toc184385157"/>
      <w:bookmarkStart w:id="664" w:name="_Toc201508554"/>
      <w:bookmarkStart w:id="665" w:name="_Toc201754385"/>
      <w:bookmarkStart w:id="666" w:name="_Toc201759115"/>
      <w:r>
        <w:rPr>
          <w:rStyle w:val="CharDivNo"/>
        </w:rPr>
        <w:t>Division 3</w:t>
      </w:r>
      <w:r>
        <w:t> — </w:t>
      </w:r>
      <w:r>
        <w:rPr>
          <w:rStyle w:val="CharDivText"/>
        </w:rPr>
        <w:t>Kalbarri Blue Holes Fish Habitat Protection Area</w:t>
      </w:r>
      <w:bookmarkEnd w:id="661"/>
      <w:bookmarkEnd w:id="662"/>
      <w:bookmarkEnd w:id="663"/>
      <w:bookmarkEnd w:id="664"/>
      <w:bookmarkEnd w:id="665"/>
      <w:bookmarkEnd w:id="666"/>
    </w:p>
    <w:p>
      <w:pPr>
        <w:pStyle w:val="Footnoteheading"/>
        <w:keepNext/>
        <w:tabs>
          <w:tab w:val="left" w:pos="851"/>
        </w:tabs>
      </w:pPr>
      <w:r>
        <w:tab/>
        <w:t>[Heading inserted: Gazette 21 Dec 2007 p. 6326.]</w:t>
      </w:r>
    </w:p>
    <w:p>
      <w:pPr>
        <w:pStyle w:val="Heading5"/>
        <w:spacing w:before="240"/>
      </w:pPr>
      <w:bookmarkStart w:id="667" w:name="_Toc201759116"/>
      <w:bookmarkStart w:id="668" w:name="_Toc184385158"/>
      <w:r>
        <w:rPr>
          <w:rStyle w:val="CharSectno"/>
        </w:rPr>
        <w:t>113C</w:t>
      </w:r>
      <w:r>
        <w:t>.</w:t>
      </w:r>
      <w:r>
        <w:tab/>
        <w:t>Prohibited activities</w:t>
      </w:r>
      <w:bookmarkEnd w:id="667"/>
      <w:bookmarkEnd w:id="668"/>
    </w:p>
    <w:p>
      <w:pPr>
        <w:pStyle w:val="Subsection"/>
        <w:keepNext/>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Gazette 21 Dec 2007 p. 6326.]</w:t>
      </w:r>
    </w:p>
    <w:p>
      <w:pPr>
        <w:pStyle w:val="Heading3"/>
        <w:keepLines/>
      </w:pPr>
      <w:bookmarkStart w:id="669" w:name="_Toc184372649"/>
      <w:bookmarkStart w:id="670" w:name="_Toc184377802"/>
      <w:bookmarkStart w:id="671" w:name="_Toc184385159"/>
      <w:bookmarkStart w:id="672" w:name="_Toc201508556"/>
      <w:bookmarkStart w:id="673" w:name="_Toc201754387"/>
      <w:bookmarkStart w:id="674" w:name="_Toc201759117"/>
      <w:r>
        <w:rPr>
          <w:rStyle w:val="CharDivNo"/>
        </w:rPr>
        <w:t>Division 4</w:t>
      </w:r>
      <w:r>
        <w:t> — </w:t>
      </w:r>
      <w:r>
        <w:rPr>
          <w:rStyle w:val="CharDivText"/>
        </w:rPr>
        <w:t>Point Quobba Fish Habitat Protection Area</w:t>
      </w:r>
      <w:bookmarkEnd w:id="669"/>
      <w:bookmarkEnd w:id="670"/>
      <w:bookmarkEnd w:id="671"/>
      <w:bookmarkEnd w:id="672"/>
      <w:bookmarkEnd w:id="673"/>
      <w:bookmarkEnd w:id="674"/>
    </w:p>
    <w:p>
      <w:pPr>
        <w:pStyle w:val="Footnoteheading"/>
        <w:keepNext/>
        <w:keepLines/>
        <w:tabs>
          <w:tab w:val="left" w:pos="851"/>
        </w:tabs>
      </w:pPr>
      <w:r>
        <w:tab/>
        <w:t>[Heading inserted: Gazette 3 Jul 2009 p. 2679.]</w:t>
      </w:r>
    </w:p>
    <w:p>
      <w:pPr>
        <w:pStyle w:val="Heading5"/>
      </w:pPr>
      <w:bookmarkStart w:id="675" w:name="_Toc201759118"/>
      <w:bookmarkStart w:id="676" w:name="_Toc184385160"/>
      <w:r>
        <w:rPr>
          <w:rStyle w:val="CharSectno"/>
        </w:rPr>
        <w:t>113D</w:t>
      </w:r>
      <w:r>
        <w:t>.</w:t>
      </w:r>
      <w:r>
        <w:tab/>
        <w:t>Terms used</w:t>
      </w:r>
      <w:bookmarkEnd w:id="675"/>
      <w:bookmarkEnd w:id="676"/>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Gazette 3 Jul 2009 p. 2679</w:t>
      </w:r>
      <w:r>
        <w:noBreakHyphen/>
        <w:t>80.]</w:t>
      </w:r>
    </w:p>
    <w:p>
      <w:pPr>
        <w:pStyle w:val="Heading5"/>
      </w:pPr>
      <w:bookmarkStart w:id="677" w:name="_Toc201759119"/>
      <w:bookmarkStart w:id="678" w:name="_Toc184385161"/>
      <w:r>
        <w:rPr>
          <w:rStyle w:val="CharSectno"/>
        </w:rPr>
        <w:t>113E</w:t>
      </w:r>
      <w:r>
        <w:t>.</w:t>
      </w:r>
      <w:r>
        <w:tab/>
        <w:t>Prohibited activities</w:t>
      </w:r>
      <w:bookmarkEnd w:id="677"/>
      <w:bookmarkEnd w:id="678"/>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keepNext/>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keepNext/>
      </w:pPr>
      <w:r>
        <w:tab/>
        <w:t>(3)</w:t>
      </w:r>
      <w:r>
        <w:tab/>
        <w:t>A person must not use a jet ski in the Point Quobba restricted area.</w:t>
      </w:r>
    </w:p>
    <w:p>
      <w:pPr>
        <w:pStyle w:val="Penstart"/>
      </w:pPr>
      <w:r>
        <w:tab/>
        <w:t>Penalty: $1 000.</w:t>
      </w:r>
    </w:p>
    <w:p>
      <w:pPr>
        <w:pStyle w:val="Footnotesection"/>
      </w:pPr>
      <w:r>
        <w:tab/>
        <w:t>[Regulation 113E inserted: Gazette 3 Jul 2009 p. 2680.]</w:t>
      </w:r>
    </w:p>
    <w:p>
      <w:pPr>
        <w:pStyle w:val="Heading2"/>
      </w:pPr>
      <w:bookmarkStart w:id="679" w:name="_Toc184372652"/>
      <w:bookmarkStart w:id="680" w:name="_Toc184377805"/>
      <w:bookmarkStart w:id="681" w:name="_Toc184385162"/>
      <w:bookmarkStart w:id="682" w:name="_Toc201508559"/>
      <w:bookmarkStart w:id="683" w:name="_Toc201754390"/>
      <w:bookmarkStart w:id="684" w:name="_Toc201759120"/>
      <w:r>
        <w:rPr>
          <w:rStyle w:val="CharPartNo"/>
        </w:rPr>
        <w:t>Part 10</w:t>
      </w:r>
      <w:r>
        <w:rPr>
          <w:rStyle w:val="CharDivNo"/>
        </w:rPr>
        <w:t> </w:t>
      </w:r>
      <w:r>
        <w:t>—</w:t>
      </w:r>
      <w:r>
        <w:rPr>
          <w:rStyle w:val="CharDivText"/>
        </w:rPr>
        <w:t> </w:t>
      </w:r>
      <w:r>
        <w:rPr>
          <w:rStyle w:val="CharPartText"/>
        </w:rPr>
        <w:t>Register</w:t>
      </w:r>
      <w:bookmarkEnd w:id="679"/>
      <w:bookmarkEnd w:id="680"/>
      <w:bookmarkEnd w:id="681"/>
      <w:bookmarkEnd w:id="682"/>
      <w:bookmarkEnd w:id="683"/>
      <w:bookmarkEnd w:id="684"/>
    </w:p>
    <w:p>
      <w:pPr>
        <w:pStyle w:val="Heading5"/>
        <w:rPr>
          <w:snapToGrid w:val="0"/>
        </w:rPr>
      </w:pPr>
      <w:bookmarkStart w:id="685" w:name="_Toc201759121"/>
      <w:bookmarkStart w:id="686" w:name="_Toc184385163"/>
      <w:r>
        <w:rPr>
          <w:rStyle w:val="CharSectno"/>
        </w:rPr>
        <w:t>114</w:t>
      </w:r>
      <w:r>
        <w:rPr>
          <w:snapToGrid w:val="0"/>
        </w:rPr>
        <w:t>.</w:t>
      </w:r>
      <w:r>
        <w:rPr>
          <w:snapToGrid w:val="0"/>
        </w:rPr>
        <w:tab/>
        <w:t>Hours, place and fees prescribed (Act s. 124)</w:t>
      </w:r>
      <w:bookmarkEnd w:id="685"/>
      <w:bookmarkEnd w:id="686"/>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tc>
          <w:tcPr>
            <w:tcW w:w="3500" w:type="dxa"/>
          </w:tcPr>
          <w:p>
            <w:pPr>
              <w:pStyle w:val="TableNAm"/>
              <w:spacing w:before="60"/>
              <w:ind w:right="-390"/>
            </w:pPr>
            <w:r>
              <w:t xml:space="preserve">Department of Primary Industries and Regional Development </w:t>
            </w:r>
          </w:p>
        </w:tc>
      </w:tr>
      <w:tr>
        <w:tc>
          <w:tcPr>
            <w:tcW w:w="3500" w:type="dxa"/>
          </w:tcPr>
          <w:p>
            <w:pPr>
              <w:pStyle w:val="TableNAm"/>
              <w:spacing w:before="60"/>
              <w:ind w:right="-390"/>
            </w:pPr>
            <w:r>
              <w:t>14 Capo D’Orlando Drive</w:t>
            </w:r>
          </w:p>
        </w:tc>
      </w:tr>
      <w:tr>
        <w:tc>
          <w:tcPr>
            <w:tcW w:w="3500" w:type="dxa"/>
          </w:tcPr>
          <w:p>
            <w:pPr>
              <w:pStyle w:val="TableNAm"/>
              <w:spacing w:before="60"/>
              <w:ind w:right="-390"/>
            </w:pPr>
            <w:r>
              <w:t>SOUTH FREMANTLE WA 6162</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Gazette 7 Jul 1998 p. 3614; 23 May 2006 p. 1860; 4 Oct 2019 p. 3538</w:t>
      </w:r>
      <w:r>
        <w:noBreakHyphen/>
        <w:t>9.]</w:t>
      </w:r>
    </w:p>
    <w:p>
      <w:pPr>
        <w:pStyle w:val="Heading5"/>
        <w:rPr>
          <w:snapToGrid w:val="0"/>
        </w:rPr>
      </w:pPr>
      <w:bookmarkStart w:id="687" w:name="_Toc201759122"/>
      <w:bookmarkStart w:id="688" w:name="_Toc184385164"/>
      <w:r>
        <w:rPr>
          <w:rStyle w:val="CharSectno"/>
        </w:rPr>
        <w:t>115</w:t>
      </w:r>
      <w:r>
        <w:rPr>
          <w:snapToGrid w:val="0"/>
        </w:rPr>
        <w:t>.</w:t>
      </w:r>
      <w:r>
        <w:rPr>
          <w:snapToGrid w:val="0"/>
        </w:rPr>
        <w:tab/>
        <w:t>Details prescribed (Act s. 126(e))</w:t>
      </w:r>
      <w:bookmarkEnd w:id="687"/>
      <w:bookmarkEnd w:id="688"/>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Gazette 6 Jul 2007 p. 3389</w:t>
      </w:r>
      <w:r>
        <w:noBreakHyphen/>
        <w:t>90.]</w:t>
      </w:r>
    </w:p>
    <w:p>
      <w:pPr>
        <w:pStyle w:val="Heading5"/>
        <w:rPr>
          <w:snapToGrid w:val="0"/>
        </w:rPr>
      </w:pPr>
      <w:bookmarkStart w:id="689" w:name="_Toc201759123"/>
      <w:bookmarkStart w:id="690" w:name="_Toc184385165"/>
      <w:r>
        <w:rPr>
          <w:rStyle w:val="CharSectno"/>
        </w:rPr>
        <w:t>116</w:t>
      </w:r>
      <w:r>
        <w:rPr>
          <w:snapToGrid w:val="0"/>
        </w:rPr>
        <w:t>.</w:t>
      </w:r>
      <w:r>
        <w:rPr>
          <w:snapToGrid w:val="0"/>
        </w:rPr>
        <w:tab/>
        <w:t>Details of security interest prescribed (Act s. 128(2)(c))</w:t>
      </w:r>
      <w:bookmarkEnd w:id="689"/>
      <w:bookmarkEnd w:id="690"/>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Gazette 30 Nov 2004 p. 5487.]</w:t>
      </w:r>
    </w:p>
    <w:p>
      <w:pPr>
        <w:pStyle w:val="Heading2"/>
      </w:pPr>
      <w:bookmarkStart w:id="691" w:name="_Toc184372656"/>
      <w:bookmarkStart w:id="692" w:name="_Toc184377809"/>
      <w:bookmarkStart w:id="693" w:name="_Toc184385166"/>
      <w:bookmarkStart w:id="694" w:name="_Toc201508563"/>
      <w:bookmarkStart w:id="695" w:name="_Toc201754394"/>
      <w:bookmarkStart w:id="696" w:name="_Toc201759124"/>
      <w:r>
        <w:rPr>
          <w:rStyle w:val="CharPartNo"/>
        </w:rPr>
        <w:t>Part 11</w:t>
      </w:r>
      <w:r>
        <w:t> — </w:t>
      </w:r>
      <w:r>
        <w:rPr>
          <w:rStyle w:val="CharPartText"/>
        </w:rPr>
        <w:t>Authorisations</w:t>
      </w:r>
      <w:bookmarkEnd w:id="691"/>
      <w:bookmarkEnd w:id="692"/>
      <w:bookmarkEnd w:id="693"/>
      <w:bookmarkEnd w:id="694"/>
      <w:bookmarkEnd w:id="695"/>
      <w:bookmarkEnd w:id="696"/>
    </w:p>
    <w:p>
      <w:pPr>
        <w:pStyle w:val="Heading3"/>
        <w:spacing w:before="200"/>
      </w:pPr>
      <w:bookmarkStart w:id="697" w:name="_Toc184372657"/>
      <w:bookmarkStart w:id="698" w:name="_Toc184377810"/>
      <w:bookmarkStart w:id="699" w:name="_Toc184385167"/>
      <w:bookmarkStart w:id="700" w:name="_Toc201508564"/>
      <w:bookmarkStart w:id="701" w:name="_Toc201754395"/>
      <w:bookmarkStart w:id="702" w:name="_Toc201759125"/>
      <w:r>
        <w:rPr>
          <w:rStyle w:val="CharDivNo"/>
        </w:rPr>
        <w:t>Division 1</w:t>
      </w:r>
      <w:r>
        <w:t xml:space="preserve"> — </w:t>
      </w:r>
      <w:r>
        <w:rPr>
          <w:rStyle w:val="CharDivText"/>
        </w:rPr>
        <w:t>Commercial fishing</w:t>
      </w:r>
      <w:bookmarkEnd w:id="697"/>
      <w:bookmarkEnd w:id="698"/>
      <w:bookmarkEnd w:id="699"/>
      <w:bookmarkEnd w:id="700"/>
      <w:bookmarkEnd w:id="701"/>
      <w:bookmarkEnd w:id="702"/>
    </w:p>
    <w:p>
      <w:pPr>
        <w:pStyle w:val="Footnoteheading"/>
        <w:spacing w:before="100"/>
      </w:pPr>
      <w:r>
        <w:tab/>
        <w:t>[Heading inserted: Gazette 29 Jun 2001 p. 3164.]</w:t>
      </w:r>
    </w:p>
    <w:p>
      <w:pPr>
        <w:pStyle w:val="Heading5"/>
        <w:spacing w:before="180"/>
        <w:rPr>
          <w:snapToGrid w:val="0"/>
        </w:rPr>
      </w:pPr>
      <w:bookmarkStart w:id="703" w:name="_Toc201759126"/>
      <w:bookmarkStart w:id="704" w:name="_Toc184385168"/>
      <w:r>
        <w:rPr>
          <w:rStyle w:val="CharSectno"/>
        </w:rPr>
        <w:t>117</w:t>
      </w:r>
      <w:r>
        <w:rPr>
          <w:snapToGrid w:val="0"/>
        </w:rPr>
        <w:t>.</w:t>
      </w:r>
      <w:r>
        <w:rPr>
          <w:snapToGrid w:val="0"/>
        </w:rPr>
        <w:tab/>
        <w:t>Fishing boats, duties of masters etc. as to licences, LFB numbers etc.</w:t>
      </w:r>
      <w:bookmarkEnd w:id="703"/>
      <w:bookmarkEnd w:id="704"/>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keepNext/>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Gazette 29 Jun 2001 p. 3164; 27 Jun 2003 p. 2390; 6 Jul 2007 p. 3389</w:t>
      </w:r>
      <w:r>
        <w:noBreakHyphen/>
        <w:t>90; 2 Nov 2011 p. 4624</w:t>
      </w:r>
      <w:r>
        <w:noBreakHyphen/>
        <w:t>5.]</w:t>
      </w:r>
    </w:p>
    <w:p>
      <w:pPr>
        <w:pStyle w:val="Heading5"/>
        <w:spacing w:before="240"/>
        <w:rPr>
          <w:snapToGrid w:val="0"/>
        </w:rPr>
      </w:pPr>
      <w:bookmarkStart w:id="705" w:name="_Toc201759127"/>
      <w:bookmarkStart w:id="706" w:name="_Toc184385169"/>
      <w:r>
        <w:rPr>
          <w:rStyle w:val="CharSectno"/>
        </w:rPr>
        <w:t>118</w:t>
      </w:r>
      <w:r>
        <w:rPr>
          <w:snapToGrid w:val="0"/>
        </w:rPr>
        <w:t>.</w:t>
      </w:r>
      <w:r>
        <w:rPr>
          <w:snapToGrid w:val="0"/>
        </w:rPr>
        <w:tab/>
        <w:t>Fishing boat licences, grant of</w:t>
      </w:r>
      <w:bookmarkEnd w:id="705"/>
      <w:bookmarkEnd w:id="706"/>
    </w:p>
    <w:p>
      <w:pPr>
        <w:pStyle w:val="Subsection"/>
        <w:keepNext/>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Gazette 6 Jul 2007 p. 3389.]</w:t>
      </w:r>
    </w:p>
    <w:p>
      <w:pPr>
        <w:pStyle w:val="Heading5"/>
      </w:pPr>
      <w:bookmarkStart w:id="707" w:name="_Toc201759128"/>
      <w:bookmarkStart w:id="708" w:name="_Toc184385170"/>
      <w:r>
        <w:rPr>
          <w:rStyle w:val="CharSectno"/>
        </w:rPr>
        <w:t>118A</w:t>
      </w:r>
      <w:r>
        <w:t>.</w:t>
      </w:r>
      <w:r>
        <w:tab/>
        <w:t>Fishing boat licence of no effect in some circumstances</w:t>
      </w:r>
      <w:bookmarkEnd w:id="707"/>
      <w:bookmarkEnd w:id="708"/>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2</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keepNext/>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Gazette 8 Sep 2000 p. 5187; amended: Gazette 14 Nov 2001 p. 5978</w:t>
      </w:r>
      <w:r>
        <w:noBreakHyphen/>
        <w:t>9; 18 Nov 2011 p. 4810.]</w:t>
      </w:r>
    </w:p>
    <w:p>
      <w:pPr>
        <w:pStyle w:val="Heading5"/>
        <w:spacing w:before="180"/>
        <w:rPr>
          <w:snapToGrid w:val="0"/>
        </w:rPr>
      </w:pPr>
      <w:bookmarkStart w:id="709" w:name="_Toc201759129"/>
      <w:bookmarkStart w:id="710" w:name="_Toc184385171"/>
      <w:r>
        <w:rPr>
          <w:rStyle w:val="CharSectno"/>
        </w:rPr>
        <w:t>119</w:t>
      </w:r>
      <w:r>
        <w:rPr>
          <w:snapToGrid w:val="0"/>
        </w:rPr>
        <w:t>.</w:t>
      </w:r>
      <w:r>
        <w:rPr>
          <w:snapToGrid w:val="0"/>
        </w:rPr>
        <w:tab/>
        <w:t>Carrier boats, duties of masters etc. as to licences, LCB numbers etc.</w:t>
      </w:r>
      <w:bookmarkEnd w:id="709"/>
      <w:bookmarkEnd w:id="710"/>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Gazette 15 Jan 1999 p. 113.]</w:t>
      </w:r>
    </w:p>
    <w:p>
      <w:pPr>
        <w:pStyle w:val="Heading5"/>
        <w:spacing w:before="180"/>
        <w:rPr>
          <w:snapToGrid w:val="0"/>
        </w:rPr>
      </w:pPr>
      <w:bookmarkStart w:id="711" w:name="_Toc201759130"/>
      <w:bookmarkStart w:id="712" w:name="_Toc184385172"/>
      <w:r>
        <w:rPr>
          <w:rStyle w:val="CharSectno"/>
        </w:rPr>
        <w:t>120</w:t>
      </w:r>
      <w:r>
        <w:rPr>
          <w:snapToGrid w:val="0"/>
        </w:rPr>
        <w:t>.</w:t>
      </w:r>
      <w:r>
        <w:rPr>
          <w:snapToGrid w:val="0"/>
        </w:rPr>
        <w:tab/>
        <w:t>Carrier boat licences, grant of</w:t>
      </w:r>
      <w:bookmarkEnd w:id="711"/>
      <w:bookmarkEnd w:id="712"/>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Gazette 6 Jul 2007 p. 3389.]</w:t>
      </w:r>
    </w:p>
    <w:p>
      <w:pPr>
        <w:pStyle w:val="Heading5"/>
        <w:keepNext w:val="0"/>
        <w:keepLines w:val="0"/>
        <w:spacing w:before="180"/>
        <w:rPr>
          <w:snapToGrid w:val="0"/>
        </w:rPr>
      </w:pPr>
      <w:bookmarkStart w:id="713" w:name="_Toc201759131"/>
      <w:bookmarkStart w:id="714" w:name="_Toc184385173"/>
      <w:r>
        <w:rPr>
          <w:rStyle w:val="CharSectno"/>
        </w:rPr>
        <w:t>121</w:t>
      </w:r>
      <w:r>
        <w:rPr>
          <w:snapToGrid w:val="0"/>
        </w:rPr>
        <w:t>.</w:t>
      </w:r>
      <w:r>
        <w:rPr>
          <w:snapToGrid w:val="0"/>
        </w:rPr>
        <w:tab/>
        <w:t>Commercial fishing licence, when required</w:t>
      </w:r>
      <w:bookmarkEnd w:id="713"/>
      <w:bookmarkEnd w:id="714"/>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715" w:name="_Toc201759132"/>
      <w:bookmarkStart w:id="716" w:name="_Toc184385174"/>
      <w:r>
        <w:rPr>
          <w:rStyle w:val="CharSectno"/>
        </w:rPr>
        <w:t>122</w:t>
      </w:r>
      <w:r>
        <w:rPr>
          <w:snapToGrid w:val="0"/>
        </w:rPr>
        <w:t>.</w:t>
      </w:r>
      <w:r>
        <w:rPr>
          <w:snapToGrid w:val="0"/>
        </w:rPr>
        <w:tab/>
        <w:t>Commercial fishing licences, grant of</w:t>
      </w:r>
      <w:bookmarkEnd w:id="715"/>
      <w:bookmarkEnd w:id="716"/>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keepNext/>
        <w:keepLines/>
      </w:pPr>
      <w:r>
        <w:tab/>
        <w:t>(ii)</w:t>
      </w:r>
      <w:r>
        <w:tab/>
        <w:t>the date on which the receipt was issued.</w:t>
      </w:r>
    </w:p>
    <w:p>
      <w:pPr>
        <w:pStyle w:val="Footnotesection"/>
      </w:pPr>
      <w:r>
        <w:tab/>
        <w:t>[Regulation 122 amended: Gazette 6 Jul 2007 p. 3389; 26 Aug 2014 p. 3083.]</w:t>
      </w:r>
    </w:p>
    <w:p>
      <w:pPr>
        <w:pStyle w:val="Heading5"/>
      </w:pPr>
      <w:bookmarkStart w:id="717" w:name="_Toc201759133"/>
      <w:bookmarkStart w:id="718" w:name="_Toc184385175"/>
      <w:r>
        <w:rPr>
          <w:rStyle w:val="CharSectno"/>
        </w:rPr>
        <w:t>123A</w:t>
      </w:r>
      <w:r>
        <w:t>.</w:t>
      </w:r>
      <w:r>
        <w:tab/>
        <w:t>Commercial fishing licence receipt may have effect as commercial fishing licence</w:t>
      </w:r>
      <w:bookmarkEnd w:id="717"/>
      <w:bookmarkEnd w:id="718"/>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Gazette 26 Aug 2014 p. 3083</w:t>
      </w:r>
      <w:r>
        <w:noBreakHyphen/>
        <w:t>4; amended: Gazette 4 Oct 2016 p. 4237.]</w:t>
      </w:r>
    </w:p>
    <w:p>
      <w:pPr>
        <w:pStyle w:val="Heading3"/>
        <w:spacing w:before="180"/>
      </w:pPr>
      <w:bookmarkStart w:id="719" w:name="_Toc184372666"/>
      <w:bookmarkStart w:id="720" w:name="_Toc184377819"/>
      <w:bookmarkStart w:id="721" w:name="_Toc184385176"/>
      <w:bookmarkStart w:id="722" w:name="_Toc201508573"/>
      <w:bookmarkStart w:id="723" w:name="_Toc201754404"/>
      <w:bookmarkStart w:id="724" w:name="_Toc201759134"/>
      <w:r>
        <w:rPr>
          <w:rStyle w:val="CharDivNo"/>
        </w:rPr>
        <w:t>Division 2</w:t>
      </w:r>
      <w:r>
        <w:t> — </w:t>
      </w:r>
      <w:r>
        <w:rPr>
          <w:rStyle w:val="CharDivText"/>
        </w:rPr>
        <w:t>Recreational fishing</w:t>
      </w:r>
      <w:bookmarkEnd w:id="719"/>
      <w:bookmarkEnd w:id="720"/>
      <w:bookmarkEnd w:id="721"/>
      <w:bookmarkEnd w:id="722"/>
      <w:bookmarkEnd w:id="723"/>
      <w:bookmarkEnd w:id="724"/>
    </w:p>
    <w:p>
      <w:pPr>
        <w:pStyle w:val="Footnoteheading"/>
        <w:keepNext/>
      </w:pPr>
      <w:r>
        <w:tab/>
        <w:t>[Heading inserted: Gazette 29 Jun 2001 p. 3164.]</w:t>
      </w:r>
    </w:p>
    <w:p>
      <w:pPr>
        <w:pStyle w:val="Heading4"/>
        <w:spacing w:before="180"/>
      </w:pPr>
      <w:bookmarkStart w:id="725" w:name="_Toc184372667"/>
      <w:bookmarkStart w:id="726" w:name="_Toc184377820"/>
      <w:bookmarkStart w:id="727" w:name="_Toc184385177"/>
      <w:bookmarkStart w:id="728" w:name="_Toc201508574"/>
      <w:bookmarkStart w:id="729" w:name="_Toc201754405"/>
      <w:bookmarkStart w:id="730" w:name="_Toc201759135"/>
      <w:r>
        <w:t>Subdivision 1 — Recreational fishing licence</w:t>
      </w:r>
      <w:bookmarkEnd w:id="725"/>
      <w:bookmarkEnd w:id="726"/>
      <w:bookmarkEnd w:id="727"/>
      <w:bookmarkEnd w:id="728"/>
      <w:bookmarkEnd w:id="729"/>
      <w:bookmarkEnd w:id="730"/>
    </w:p>
    <w:p>
      <w:pPr>
        <w:pStyle w:val="Footnoteheading"/>
        <w:keepNext/>
      </w:pPr>
      <w:r>
        <w:tab/>
        <w:t>[Heading inserted: Gazette 12 Feb 2010 p. 584.]</w:t>
      </w:r>
    </w:p>
    <w:p>
      <w:pPr>
        <w:pStyle w:val="Heading5"/>
        <w:spacing w:before="180"/>
        <w:rPr>
          <w:snapToGrid w:val="0"/>
        </w:rPr>
      </w:pPr>
      <w:bookmarkStart w:id="731" w:name="_Toc201759136"/>
      <w:bookmarkStart w:id="732" w:name="_Toc184385178"/>
      <w:r>
        <w:rPr>
          <w:rStyle w:val="CharSectno"/>
        </w:rPr>
        <w:t>123</w:t>
      </w:r>
      <w:r>
        <w:rPr>
          <w:snapToGrid w:val="0"/>
        </w:rPr>
        <w:t>.</w:t>
      </w:r>
      <w:r>
        <w:rPr>
          <w:snapToGrid w:val="0"/>
        </w:rPr>
        <w:tab/>
        <w:t>Recreational fishing licence, when required</w:t>
      </w:r>
      <w:bookmarkEnd w:id="731"/>
      <w:bookmarkEnd w:id="732"/>
    </w:p>
    <w:p>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Subsection"/>
      </w:pPr>
      <w:r>
        <w:tab/>
        <w:t>(3)</w:t>
      </w:r>
      <w:r>
        <w:tab/>
        <w:t>A person may fish for rock lobster without holding a recreational fishing licence if the person is —</w:t>
      </w:r>
    </w:p>
    <w:p>
      <w:pPr>
        <w:pStyle w:val="Indenta"/>
      </w:pPr>
      <w:r>
        <w:tab/>
        <w:t>(a)</w:t>
      </w:r>
      <w:r>
        <w:tab/>
        <w:t>participating in a fishing tour on a charter boat; or</w:t>
      </w:r>
    </w:p>
    <w:p>
      <w:pPr>
        <w:pStyle w:val="Indenta"/>
      </w:pPr>
      <w:r>
        <w:tab/>
        <w:t>(b)</w:t>
      </w:r>
      <w:r>
        <w:tab/>
        <w:t>a master, or a member of the crew, of a charter boat on which a fishing tour is being conducted.</w:t>
      </w:r>
    </w:p>
    <w:p>
      <w:pPr>
        <w:pStyle w:val="Footnotesection"/>
      </w:pPr>
      <w:r>
        <w:tab/>
        <w:t>[Regulation 123 amended: Gazette 12 Feb 2010 p. 584; 1 Mar 2011 p. 675; 2 Nov 2011 p. 4625; 18 Mar 2016 p. 746; 4 Oct 2019 p. 3539.]</w:t>
      </w:r>
    </w:p>
    <w:p>
      <w:pPr>
        <w:pStyle w:val="Heading5"/>
        <w:rPr>
          <w:snapToGrid w:val="0"/>
        </w:rPr>
      </w:pPr>
      <w:bookmarkStart w:id="733" w:name="_Toc201759137"/>
      <w:bookmarkStart w:id="734" w:name="_Toc184385179"/>
      <w:r>
        <w:rPr>
          <w:rStyle w:val="CharSectno"/>
        </w:rPr>
        <w:t>124</w:t>
      </w:r>
      <w:r>
        <w:rPr>
          <w:snapToGrid w:val="0"/>
        </w:rPr>
        <w:t>.</w:t>
      </w:r>
      <w:r>
        <w:rPr>
          <w:snapToGrid w:val="0"/>
        </w:rPr>
        <w:tab/>
        <w:t>Recreational fishing licences, grant of</w:t>
      </w:r>
      <w:bookmarkEnd w:id="733"/>
      <w:bookmarkEnd w:id="734"/>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keepNext/>
              <w:spacing w:before="60"/>
              <w:rPr>
                <w:snapToGrid w:val="0"/>
                <w:u w:val="single"/>
              </w:rPr>
            </w:pPr>
            <w:r>
              <w:rPr>
                <w:snapToGrid w:val="0"/>
                <w:u w:val="single"/>
              </w:rPr>
              <w:t>Item</w:t>
            </w:r>
          </w:p>
        </w:tc>
        <w:tc>
          <w:tcPr>
            <w:tcW w:w="3827" w:type="dxa"/>
          </w:tcPr>
          <w:p>
            <w:pPr>
              <w:pStyle w:val="TableNAm"/>
              <w:keepNext/>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Gazette 6 Jul 2007 p. 3389; 14 Sep 2012 p. 4373.]</w:t>
      </w:r>
    </w:p>
    <w:p>
      <w:pPr>
        <w:pStyle w:val="Heading5"/>
      </w:pPr>
      <w:bookmarkStart w:id="735" w:name="_Toc201759138"/>
      <w:bookmarkStart w:id="736" w:name="_Toc184385180"/>
      <w:r>
        <w:rPr>
          <w:rStyle w:val="CharSectno"/>
        </w:rPr>
        <w:t>124A</w:t>
      </w:r>
      <w:r>
        <w:t>.</w:t>
      </w:r>
      <w:r>
        <w:tab/>
        <w:t>Recreational fishing licence receipt may have effect as a recreational fishing licence</w:t>
      </w:r>
      <w:bookmarkEnd w:id="735"/>
      <w:bookmarkEnd w:id="736"/>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Gazette 14 Sep 2012 p. 4373</w:t>
      </w:r>
      <w:r>
        <w:noBreakHyphen/>
        <w:t>4.]</w:t>
      </w:r>
    </w:p>
    <w:p>
      <w:pPr>
        <w:pStyle w:val="Heading4"/>
      </w:pPr>
      <w:bookmarkStart w:id="737" w:name="_Toc184372671"/>
      <w:bookmarkStart w:id="738" w:name="_Toc184377824"/>
      <w:bookmarkStart w:id="739" w:name="_Toc184385181"/>
      <w:bookmarkStart w:id="740" w:name="_Toc201508578"/>
      <w:bookmarkStart w:id="741" w:name="_Toc201754409"/>
      <w:bookmarkStart w:id="742" w:name="_Toc201759139"/>
      <w:r>
        <w:t>Subdivision 2 — Recreational (boat) fishing licence</w:t>
      </w:r>
      <w:bookmarkEnd w:id="737"/>
      <w:bookmarkEnd w:id="738"/>
      <w:bookmarkEnd w:id="739"/>
      <w:bookmarkEnd w:id="740"/>
      <w:bookmarkEnd w:id="741"/>
      <w:bookmarkEnd w:id="742"/>
    </w:p>
    <w:p>
      <w:pPr>
        <w:pStyle w:val="Footnoteheading"/>
      </w:pPr>
      <w:r>
        <w:tab/>
        <w:t>[Heading inserted: Gazette 12 Feb 2010 p. 584.]</w:t>
      </w:r>
    </w:p>
    <w:p>
      <w:pPr>
        <w:pStyle w:val="Heading5"/>
      </w:pPr>
      <w:bookmarkStart w:id="743" w:name="_Toc201759140"/>
      <w:bookmarkStart w:id="744" w:name="_Toc184385182"/>
      <w:r>
        <w:rPr>
          <w:rStyle w:val="CharSectno"/>
        </w:rPr>
        <w:t>124B</w:t>
      </w:r>
      <w:r>
        <w:t>.</w:t>
      </w:r>
      <w:r>
        <w:tab/>
        <w:t>Recreational (boat) fishing licence, when required</w:t>
      </w:r>
      <w:bookmarkEnd w:id="743"/>
      <w:bookmarkEnd w:id="744"/>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Gazette 12 Feb 2010 p. 584</w:t>
      </w:r>
      <w:r>
        <w:noBreakHyphen/>
        <w:t>5; amended: Gazette 24 Aug 2011 p. 3405-6; 30 May 2014 p. 1720-1; 23 Jan 2015 p. 401.]</w:t>
      </w:r>
    </w:p>
    <w:p>
      <w:pPr>
        <w:pStyle w:val="Heading5"/>
      </w:pPr>
      <w:bookmarkStart w:id="745" w:name="_Toc201759141"/>
      <w:bookmarkStart w:id="746" w:name="_Toc184385183"/>
      <w:r>
        <w:rPr>
          <w:rStyle w:val="CharSectno"/>
        </w:rPr>
        <w:t>124C</w:t>
      </w:r>
      <w:r>
        <w:t>.</w:t>
      </w:r>
      <w:r>
        <w:tab/>
        <w:t>Recreational (boat) fishing licences, grant of</w:t>
      </w:r>
      <w:bookmarkEnd w:id="745"/>
      <w:bookmarkEnd w:id="746"/>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Gazette 14 Sep 2012 p. 4374.]</w:t>
      </w:r>
    </w:p>
    <w:p>
      <w:pPr>
        <w:pStyle w:val="Heading5"/>
      </w:pPr>
      <w:bookmarkStart w:id="747" w:name="_Toc201759142"/>
      <w:bookmarkStart w:id="748" w:name="_Toc184385184"/>
      <w:r>
        <w:rPr>
          <w:rStyle w:val="CharSectno"/>
        </w:rPr>
        <w:t>124D</w:t>
      </w:r>
      <w:r>
        <w:t>.</w:t>
      </w:r>
      <w:r>
        <w:tab/>
        <w:t>Recreational (boat) fishing licence receipt may have effect as a recreational (boat) fishing licence</w:t>
      </w:r>
      <w:bookmarkEnd w:id="747"/>
      <w:bookmarkEnd w:id="748"/>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Gazette 14 Sep 2012 p. 4374</w:t>
      </w:r>
      <w:r>
        <w:noBreakHyphen/>
        <w:t>5.]</w:t>
      </w:r>
    </w:p>
    <w:p>
      <w:pPr>
        <w:pStyle w:val="Ednotedivision"/>
        <w:spacing w:before="200"/>
        <w:ind w:left="1440" w:hanging="1440"/>
      </w:pPr>
      <w:r>
        <w:t>[Division 3:</w:t>
      </w:r>
      <w:r>
        <w:tab/>
        <w:t>r. 125, 126 deleted: Gazette 30 Jun 2015 p. 2332;</w:t>
      </w:r>
      <w:r>
        <w:br/>
        <w:t>r. 127, 128 deleted: Gazette 4 Sep 2007 p. 4520.]</w:t>
      </w:r>
    </w:p>
    <w:p>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pPr>
        <w:pStyle w:val="Heading3"/>
        <w:keepLines/>
      </w:pPr>
      <w:bookmarkStart w:id="749" w:name="_Toc184372675"/>
      <w:bookmarkStart w:id="750" w:name="_Toc184377828"/>
      <w:bookmarkStart w:id="751" w:name="_Toc184385185"/>
      <w:bookmarkStart w:id="752" w:name="_Toc201508582"/>
      <w:bookmarkStart w:id="753" w:name="_Toc201754413"/>
      <w:bookmarkStart w:id="754" w:name="_Toc201759143"/>
      <w:r>
        <w:rPr>
          <w:rStyle w:val="CharDivNo"/>
        </w:rPr>
        <w:t>Division 5</w:t>
      </w:r>
      <w:r>
        <w:t> — </w:t>
      </w:r>
      <w:r>
        <w:rPr>
          <w:rStyle w:val="CharDivText"/>
        </w:rPr>
        <w:t>Fishing tour operators</w:t>
      </w:r>
      <w:bookmarkEnd w:id="749"/>
      <w:bookmarkEnd w:id="750"/>
      <w:bookmarkEnd w:id="751"/>
      <w:bookmarkEnd w:id="752"/>
      <w:bookmarkEnd w:id="753"/>
      <w:bookmarkEnd w:id="754"/>
    </w:p>
    <w:p>
      <w:pPr>
        <w:pStyle w:val="Footnoteheading"/>
        <w:spacing w:before="80"/>
      </w:pPr>
      <w:r>
        <w:tab/>
        <w:t>[Heading inserted: Gazette 29 Jun 2001 p. 3171.]</w:t>
      </w:r>
    </w:p>
    <w:p>
      <w:pPr>
        <w:pStyle w:val="Heading5"/>
        <w:spacing w:before="200"/>
      </w:pPr>
      <w:bookmarkStart w:id="755" w:name="_Toc201759144"/>
      <w:bookmarkStart w:id="756" w:name="_Toc184385186"/>
      <w:r>
        <w:rPr>
          <w:rStyle w:val="CharSectno"/>
        </w:rPr>
        <w:t>128IA</w:t>
      </w:r>
      <w:r>
        <w:t>.</w:t>
      </w:r>
      <w:r>
        <w:tab/>
        <w:t>Term used: boat</w:t>
      </w:r>
      <w:bookmarkEnd w:id="755"/>
      <w:bookmarkEnd w:id="756"/>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Gazette 30 May 2014 p. 1726.]</w:t>
      </w:r>
    </w:p>
    <w:p>
      <w:pPr>
        <w:pStyle w:val="Heading5"/>
        <w:spacing w:before="200"/>
      </w:pPr>
      <w:bookmarkStart w:id="757" w:name="_Toc201759145"/>
      <w:bookmarkStart w:id="758" w:name="_Toc184385187"/>
      <w:r>
        <w:rPr>
          <w:rStyle w:val="CharSectno"/>
        </w:rPr>
        <w:t>128I</w:t>
      </w:r>
      <w:r>
        <w:t>.</w:t>
      </w:r>
      <w:r>
        <w:tab/>
        <w:t>Requirements for person conducting fishing tour using boat</w:t>
      </w:r>
      <w:bookmarkEnd w:id="757"/>
      <w:bookmarkEnd w:id="758"/>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keepNext/>
        <w:spacing w:before="60"/>
      </w:pPr>
      <w:r>
        <w:tab/>
        <w:t>(b)</w:t>
      </w:r>
      <w:r>
        <w:tab/>
        <w:t>must be authorised under a fishing tour operator’s licence or a restricted fishing tour operator’s licence for that zone to conduct the fishing tour.</w:t>
      </w:r>
    </w:p>
    <w:p>
      <w:pPr>
        <w:pStyle w:val="Penstart"/>
        <w:keepNext/>
        <w:spacing w:before="70"/>
      </w:pPr>
      <w:r>
        <w:tab/>
        <w:t>Penalty: a fine of $10 000.</w:t>
      </w:r>
    </w:p>
    <w:p>
      <w:pPr>
        <w:pStyle w:val="Footnotesection"/>
        <w:spacing w:before="100"/>
      </w:pPr>
      <w:r>
        <w:tab/>
        <w:t>[Regulation 128I inserted: Gazette 30 May 2014 p. 1726.]</w:t>
      </w:r>
    </w:p>
    <w:p>
      <w:pPr>
        <w:pStyle w:val="Heading5"/>
        <w:spacing w:before="180"/>
      </w:pPr>
      <w:bookmarkStart w:id="759" w:name="_Toc201759146"/>
      <w:bookmarkStart w:id="760" w:name="_Toc184385188"/>
      <w:r>
        <w:rPr>
          <w:rStyle w:val="CharSectno"/>
        </w:rPr>
        <w:t>128J</w:t>
      </w:r>
      <w:r>
        <w:t>.</w:t>
      </w:r>
      <w:r>
        <w:tab/>
        <w:t>Fishing tour operator’s licence, grant of</w:t>
      </w:r>
      <w:bookmarkEnd w:id="759"/>
      <w:bookmarkEnd w:id="760"/>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keepNext/>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Gazette 29 Jun 2001 p. 3171</w:t>
      </w:r>
      <w:r>
        <w:noBreakHyphen/>
        <w:t>2; amended: Gazette 27 Jun 2003 p. 2391; 6 Jul 2007 p. 3389; 30 May 2014 p. 1727-8.]</w:t>
      </w:r>
    </w:p>
    <w:p>
      <w:pPr>
        <w:pStyle w:val="Heading5"/>
      </w:pPr>
      <w:bookmarkStart w:id="761" w:name="_Toc201759147"/>
      <w:bookmarkStart w:id="762" w:name="_Toc184385189"/>
      <w:r>
        <w:rPr>
          <w:rStyle w:val="CharSectno"/>
        </w:rPr>
        <w:t>128K</w:t>
      </w:r>
      <w:r>
        <w:t>.</w:t>
      </w:r>
      <w:r>
        <w:tab/>
        <w:t>Master of licensed fishing boat to notify Department of fishing tour</w:t>
      </w:r>
      <w:bookmarkEnd w:id="761"/>
      <w:bookmarkEnd w:id="762"/>
    </w:p>
    <w:p>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pPr>
        <w:pStyle w:val="Penstart"/>
      </w:pPr>
      <w:r>
        <w:tab/>
        <w:t>Penalty: a fine of $2 000.</w:t>
      </w:r>
    </w:p>
    <w:p>
      <w:pPr>
        <w:pStyle w:val="Footnotesection"/>
      </w:pPr>
      <w:r>
        <w:tab/>
        <w:t>[Regulation 128K inserted: Gazette 4 Oct 2019 p. 3539</w:t>
      </w:r>
      <w:r>
        <w:noBreakHyphen/>
        <w:t>40.]</w:t>
      </w:r>
    </w:p>
    <w:p>
      <w:pPr>
        <w:pStyle w:val="Heading5"/>
      </w:pPr>
      <w:bookmarkStart w:id="763" w:name="_Toc201759148"/>
      <w:bookmarkStart w:id="764" w:name="_Toc184385190"/>
      <w:r>
        <w:rPr>
          <w:rStyle w:val="CharSectno"/>
        </w:rPr>
        <w:t>128L</w:t>
      </w:r>
      <w:r>
        <w:t>.</w:t>
      </w:r>
      <w:r>
        <w:tab/>
        <w:t>Documents to be carried on boat etc. connected with fishing tour</w:t>
      </w:r>
      <w:bookmarkEnd w:id="763"/>
      <w:bookmarkEnd w:id="764"/>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Gazette 29 Jun 2001 p. 3172</w:t>
      </w:r>
      <w:r>
        <w:noBreakHyphen/>
        <w:t>3; amended: Gazette 27 Jun 2003 p. 2392; 6 Jul 2007 p. 3389; 30 May 2014 p. 1728-9.]</w:t>
      </w:r>
    </w:p>
    <w:p>
      <w:pPr>
        <w:pStyle w:val="Heading5"/>
        <w:spacing w:before="120"/>
      </w:pPr>
      <w:bookmarkStart w:id="765" w:name="_Toc201759149"/>
      <w:bookmarkStart w:id="766" w:name="_Toc184385191"/>
      <w:r>
        <w:rPr>
          <w:rStyle w:val="CharSectno"/>
        </w:rPr>
        <w:t>128MA</w:t>
      </w:r>
      <w:r>
        <w:t>.</w:t>
      </w:r>
      <w:r>
        <w:tab/>
        <w:t>Boats used in connection with fishing tour</w:t>
      </w:r>
      <w:bookmarkEnd w:id="765"/>
      <w:bookmarkEnd w:id="766"/>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pPr>
      <w:r>
        <w:tab/>
        <w:t>(aa)</w:t>
      </w:r>
      <w:r>
        <w:tab/>
        <w:t>that each boat used in connection with a fishing tour conducted under the licence must be a boat that is specified on the licence under regulation 128J(2)(g);</w:t>
      </w:r>
    </w:p>
    <w:p>
      <w:pPr>
        <w:pStyle w:val="Indenta"/>
        <w:spacing w:before="100"/>
      </w:pPr>
      <w:r>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Gazette 30 May 2014 p. 1729; amended: Gazette 30 May 2014 p. 1735; 7 Aug 2015 p. 3203</w:t>
      </w:r>
      <w:r>
        <w:noBreakHyphen/>
        <w:t>4; 4 Oct 2019 p. 3540.]</w:t>
      </w:r>
    </w:p>
    <w:p>
      <w:pPr>
        <w:pStyle w:val="Heading5"/>
        <w:spacing w:before="240"/>
      </w:pPr>
      <w:bookmarkStart w:id="767" w:name="_Toc201759150"/>
      <w:bookmarkStart w:id="768" w:name="_Toc184385192"/>
      <w:r>
        <w:rPr>
          <w:rStyle w:val="CharSectno"/>
        </w:rPr>
        <w:t>128M</w:t>
      </w:r>
      <w:r>
        <w:t>.</w:t>
      </w:r>
      <w:r>
        <w:tab/>
        <w:t>Operators etc. to ensure participants in fishing tour comply with recreational fishing laws</w:t>
      </w:r>
      <w:bookmarkEnd w:id="767"/>
      <w:bookmarkEnd w:id="768"/>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Gazette 29 Jun 2001 p. 3173; amended: Gazette 27 Jun 2003 p. 2392; 30 May 2014 p. 1730.]</w:t>
      </w:r>
    </w:p>
    <w:p>
      <w:pPr>
        <w:pStyle w:val="Ednotesection"/>
      </w:pPr>
      <w:r>
        <w:t>[</w:t>
      </w:r>
      <w:r>
        <w:rPr>
          <w:b/>
        </w:rPr>
        <w:t>128N.</w:t>
      </w:r>
      <w:r>
        <w:tab/>
        <w:t>Deleted: Gazette 1 Mar 2011 p. 672]</w:t>
      </w:r>
    </w:p>
    <w:p>
      <w:pPr>
        <w:pStyle w:val="Heading5"/>
      </w:pPr>
      <w:bookmarkStart w:id="769" w:name="_Toc201759151"/>
      <w:bookmarkStart w:id="770" w:name="_Toc184385193"/>
      <w:r>
        <w:rPr>
          <w:rStyle w:val="CharSectno"/>
        </w:rPr>
        <w:t>128OA</w:t>
      </w:r>
      <w:r>
        <w:t>.</w:t>
      </w:r>
      <w:r>
        <w:tab/>
        <w:t>Shark tourism activities prohibited on fishing tour</w:t>
      </w:r>
      <w:bookmarkEnd w:id="769"/>
      <w:bookmarkEnd w:id="770"/>
    </w:p>
    <w:p>
      <w:pPr>
        <w:pStyle w:val="Subsection"/>
        <w:keepNext/>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Gazette 4 Dec 2012 p. 5920; amended: Gazette 30 May 2014 p. 1730.]</w:t>
      </w:r>
    </w:p>
    <w:p>
      <w:pPr>
        <w:pStyle w:val="Heading5"/>
      </w:pPr>
      <w:bookmarkStart w:id="771" w:name="_Toc201759152"/>
      <w:bookmarkStart w:id="772" w:name="_Toc184385194"/>
      <w:r>
        <w:rPr>
          <w:rStyle w:val="CharSectno"/>
        </w:rPr>
        <w:t>128O</w:t>
      </w:r>
      <w:r>
        <w:t>.</w:t>
      </w:r>
      <w:r>
        <w:tab/>
        <w:t>Sale of fish taken on fishing tour prohibited</w:t>
      </w:r>
      <w:bookmarkEnd w:id="771"/>
      <w:bookmarkEnd w:id="772"/>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Gazette 29 Jun 2001 p. 3174; amended: Gazette 27 Jun 2003 p. 2392.]</w:t>
      </w:r>
    </w:p>
    <w:p>
      <w:pPr>
        <w:pStyle w:val="Heading5"/>
      </w:pPr>
      <w:bookmarkStart w:id="773" w:name="_Toc201759153"/>
      <w:bookmarkStart w:id="774" w:name="_Toc184385195"/>
      <w:r>
        <w:rPr>
          <w:rStyle w:val="CharSectno"/>
        </w:rPr>
        <w:t>128P</w:t>
      </w:r>
      <w:r>
        <w:t>.</w:t>
      </w:r>
      <w:r>
        <w:tab/>
        <w:t>Boat not to be used for both commercial fishing and fishing tour during single trip</w:t>
      </w:r>
      <w:bookmarkEnd w:id="773"/>
      <w:bookmarkEnd w:id="774"/>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Gazette 27 Jun 2003 p. 2393.]</w:t>
      </w:r>
    </w:p>
    <w:p>
      <w:pPr>
        <w:pStyle w:val="Ednotesection"/>
      </w:pPr>
      <w:r>
        <w:t>[</w:t>
      </w:r>
      <w:r>
        <w:rPr>
          <w:b/>
        </w:rPr>
        <w:t>128Q.</w:t>
      </w:r>
      <w:r>
        <w:tab/>
        <w:t>Deleted: Gazette 1 Mar 2011 p. 672]</w:t>
      </w:r>
    </w:p>
    <w:p>
      <w:pPr>
        <w:pStyle w:val="Heading5"/>
      </w:pPr>
      <w:bookmarkStart w:id="775" w:name="_Toc201759154"/>
      <w:bookmarkStart w:id="776" w:name="_Toc184385196"/>
      <w:r>
        <w:rPr>
          <w:rStyle w:val="CharSectno"/>
        </w:rPr>
        <w:t>128R</w:t>
      </w:r>
      <w:r>
        <w:t>.</w:t>
      </w:r>
      <w:r>
        <w:tab/>
        <w:t>Person in charge of restricted fishing tour not to permit rod on boat</w:t>
      </w:r>
      <w:bookmarkEnd w:id="775"/>
      <w:bookmarkEnd w:id="776"/>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Gazette 27 Jun 2003 p. 2393; amended: Gazette 30 May 2014 p. 1730.]</w:t>
      </w:r>
    </w:p>
    <w:p>
      <w:pPr>
        <w:pStyle w:val="Heading5"/>
      </w:pPr>
      <w:bookmarkStart w:id="777" w:name="_Toc201759155"/>
      <w:bookmarkStart w:id="778" w:name="_Toc184385197"/>
      <w:r>
        <w:rPr>
          <w:rStyle w:val="CharSectno"/>
        </w:rPr>
        <w:t>128S</w:t>
      </w:r>
      <w:r>
        <w:t>.</w:t>
      </w:r>
      <w:r>
        <w:tab/>
        <w:t>Restricted fishing tours, limits on fishing etc. by participants etc.</w:t>
      </w:r>
      <w:bookmarkEnd w:id="777"/>
      <w:bookmarkEnd w:id="778"/>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fishing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for this subregulation: a fine of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for this subregulation: a fine of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for this subregulation: a fine of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Gazette 27 Jun 2003 p. 2393</w:t>
      </w:r>
      <w:r>
        <w:noBreakHyphen/>
        <w:t>4; amended: Gazette 4 Nov 2005 p. 5312; 30 May 2014 p. 1730; SL 2024/114 r. 4.]</w:t>
      </w:r>
    </w:p>
    <w:p>
      <w:pPr>
        <w:pStyle w:val="Heading5"/>
      </w:pPr>
      <w:bookmarkStart w:id="779" w:name="_Toc201759156"/>
      <w:bookmarkStart w:id="780" w:name="_Toc184385198"/>
      <w:r>
        <w:rPr>
          <w:rStyle w:val="CharSectno"/>
        </w:rPr>
        <w:t>128T</w:t>
      </w:r>
      <w:r>
        <w:t>.</w:t>
      </w:r>
      <w:r>
        <w:tab/>
        <w:t>Landing demersal finfish prohibited</w:t>
      </w:r>
      <w:bookmarkEnd w:id="779"/>
      <w:bookmarkEnd w:id="780"/>
    </w:p>
    <w:p>
      <w:pPr>
        <w:pStyle w:val="Subsection"/>
      </w:pPr>
      <w:r>
        <w:tab/>
        <w:t>(1)</w:t>
      </w:r>
      <w:r>
        <w:tab/>
        <w:t xml:space="preserve">The master of a boat used for a fishing tour conducted under a fishing tour operator’s licence in the West Coast Region must not — </w:t>
      </w:r>
    </w:p>
    <w:p>
      <w:pPr>
        <w:pStyle w:val="Indenta"/>
      </w:pPr>
      <w:r>
        <w:tab/>
        <w:t>(a)</w:t>
      </w:r>
      <w:r>
        <w:tab/>
        <w:t>bring onto land a demersal finfish, whether it is a whole fish or is filleted, from the boat; or</w:t>
      </w:r>
    </w:p>
    <w:p>
      <w:pPr>
        <w:pStyle w:val="Indenta"/>
      </w:pPr>
      <w:r>
        <w:tab/>
        <w:t>(b)</w:t>
      </w:r>
      <w:r>
        <w:tab/>
        <w:t>allow a participant on the tour to bring onto land a demersal finfish, whether it is a whole fish or is filleted, from the boat.</w:t>
      </w:r>
    </w:p>
    <w:p>
      <w:pPr>
        <w:pStyle w:val="Penstart"/>
      </w:pPr>
      <w:r>
        <w:tab/>
        <w:t>Penalty for this subregulation: a fine of $5 000.</w:t>
      </w:r>
    </w:p>
    <w:p>
      <w:pPr>
        <w:pStyle w:val="Subsection"/>
      </w:pPr>
      <w:r>
        <w:tab/>
        <w:t>(2)</w:t>
      </w:r>
      <w:r>
        <w:tab/>
        <w:t xml:space="preserve">It is a defence in proceedings for an offence against subregulation (1) for the person charged to prove that — </w:t>
      </w:r>
    </w:p>
    <w:p>
      <w:pPr>
        <w:pStyle w:val="Indenta"/>
      </w:pPr>
      <w:r>
        <w:tab/>
        <w:t>(a)</w:t>
      </w:r>
      <w:r>
        <w:tab/>
        <w:t>at the time the demersal finfish was taken there were 1 or more current quota tags on the boat; and</w:t>
      </w:r>
    </w:p>
    <w:p>
      <w:pPr>
        <w:pStyle w:val="Indenta"/>
      </w:pPr>
      <w:r>
        <w:tab/>
        <w:t>(b)</w:t>
      </w:r>
      <w:r>
        <w:tab/>
        <w:t xml:space="preserve">for a fish that is a relevant demersal finfish — </w:t>
      </w:r>
    </w:p>
    <w:p>
      <w:pPr>
        <w:pStyle w:val="Indenti"/>
      </w:pPr>
      <w:r>
        <w:tab/>
        <w:t>(i)</w:t>
      </w:r>
      <w:r>
        <w:tab/>
        <w:t>that is a whole fish — the fish is landed with a current quota tag attached to the fish in the prescribed way; or</w:t>
      </w:r>
    </w:p>
    <w:p>
      <w:pPr>
        <w:pStyle w:val="Indenti"/>
      </w:pPr>
      <w:r>
        <w:tab/>
        <w:t>(ii)</w:t>
      </w:r>
      <w:r>
        <w:tab/>
        <w:t>that is filleted — the fish is landed with a current quota tag stored with the fillets and the locking mechanism of the quota tag is engaged.</w:t>
      </w:r>
    </w:p>
    <w:p>
      <w:pPr>
        <w:pStyle w:val="Subsection"/>
        <w:keepNext/>
      </w:pPr>
      <w:r>
        <w:tab/>
        <w:t>(3)</w:t>
      </w:r>
      <w:r>
        <w:tab/>
        <w:t xml:space="preserve">In subregulation (2) — </w:t>
      </w:r>
    </w:p>
    <w:p>
      <w:pPr>
        <w:pStyle w:val="Defstart"/>
      </w:pPr>
      <w:r>
        <w:tab/>
      </w:r>
      <w:r>
        <w:rPr>
          <w:rStyle w:val="CharDefText"/>
        </w:rPr>
        <w:t>prescribed way</w:t>
      </w:r>
      <w:r>
        <w:t xml:space="preserve">, for attaching a current quota tag to a relevant demersal finfish that is a whole fish, means — </w:t>
      </w:r>
    </w:p>
    <w:p>
      <w:pPr>
        <w:pStyle w:val="Defpara"/>
      </w:pPr>
      <w:r>
        <w:tab/>
        <w:t>(a)</w:t>
      </w:r>
      <w:r>
        <w:tab/>
        <w:t>the quota tag is inserted through the mouth and gill slit of the fish; and</w:t>
      </w:r>
    </w:p>
    <w:p>
      <w:pPr>
        <w:pStyle w:val="Defpara"/>
        <w:rPr>
          <w:rStyle w:val="DraftersNotes"/>
          <w:b w:val="0"/>
          <w:i w:val="0"/>
        </w:rPr>
      </w:pPr>
      <w:r>
        <w:tab/>
        <w:t>(b)</w:t>
      </w:r>
      <w:r>
        <w:tab/>
        <w:t>the locking mechanism of the quota tag is engaged;</w:t>
      </w:r>
    </w:p>
    <w:p>
      <w:pPr>
        <w:pStyle w:val="Defstart"/>
      </w:pPr>
      <w:r>
        <w:tab/>
      </w:r>
      <w:r>
        <w:rPr>
          <w:rStyle w:val="CharDefText"/>
        </w:rPr>
        <w:t>quota tag</w:t>
      </w:r>
      <w:r>
        <w:t xml:space="preserve"> has the meaning given in regulation 128U(1);</w:t>
      </w:r>
    </w:p>
    <w:p>
      <w:pPr>
        <w:pStyle w:val="Defstart"/>
      </w:pPr>
      <w:r>
        <w:tab/>
      </w:r>
      <w:r>
        <w:rPr>
          <w:rStyle w:val="CharDefText"/>
        </w:rPr>
        <w:t>relevant demersal finfish</w:t>
      </w:r>
      <w:r>
        <w:t xml:space="preserve"> means a fish of any of the following species — </w:t>
      </w:r>
    </w:p>
    <w:p>
      <w:pPr>
        <w:pStyle w:val="Defpara"/>
      </w:pPr>
      <w:r>
        <w:tab/>
        <w:t>(a)</w:t>
      </w:r>
      <w:r>
        <w:tab/>
        <w:t>Cod, Breaksea;</w:t>
      </w:r>
    </w:p>
    <w:p>
      <w:pPr>
        <w:pStyle w:val="Defpara"/>
      </w:pPr>
      <w:r>
        <w:tab/>
        <w:t>(b)</w:t>
      </w:r>
      <w:r>
        <w:tab/>
        <w:t>Dhufish, West Australian;</w:t>
      </w:r>
    </w:p>
    <w:p>
      <w:pPr>
        <w:pStyle w:val="Defpara"/>
      </w:pPr>
      <w:r>
        <w:tab/>
        <w:t>(c)</w:t>
      </w:r>
      <w:r>
        <w:tab/>
        <w:t>Groper, Baldchin;</w:t>
      </w:r>
    </w:p>
    <w:p>
      <w:pPr>
        <w:pStyle w:val="Defpara"/>
      </w:pPr>
      <w:r>
        <w:tab/>
        <w:t>(d)</w:t>
      </w:r>
      <w:r>
        <w:tab/>
        <w:t>Snapper (Pink Snapper).</w:t>
      </w:r>
    </w:p>
    <w:p>
      <w:pPr>
        <w:pStyle w:val="Footnotesection"/>
        <w:rPr>
          <w:rStyle w:val="DraftersNotes"/>
          <w:b w:val="0"/>
          <w:snapToGrid/>
        </w:rPr>
      </w:pPr>
      <w:r>
        <w:tab/>
        <w:t>[Regulation 128T inserted: SL 2024/114 r. 5.]</w:t>
      </w:r>
    </w:p>
    <w:p>
      <w:pPr>
        <w:pStyle w:val="Heading5"/>
      </w:pPr>
      <w:bookmarkStart w:id="781" w:name="_Toc201759157"/>
      <w:bookmarkStart w:id="782" w:name="_Toc184385199"/>
      <w:r>
        <w:rPr>
          <w:rStyle w:val="CharSectno"/>
        </w:rPr>
        <w:t>128U</w:t>
      </w:r>
      <w:r>
        <w:t>.</w:t>
      </w:r>
      <w:r>
        <w:tab/>
        <w:t>CEO must determine method and allocate quota tags for purposes of r. 128T</w:t>
      </w:r>
      <w:bookmarkEnd w:id="781"/>
      <w:bookmarkEnd w:id="782"/>
    </w:p>
    <w:p>
      <w:pPr>
        <w:pStyle w:val="Subsection"/>
      </w:pPr>
      <w:r>
        <w:tab/>
        <w:t>(1)</w:t>
      </w:r>
      <w:r>
        <w:tab/>
        <w:t xml:space="preserve">In this regulation — </w:t>
      </w:r>
    </w:p>
    <w:p>
      <w:pPr>
        <w:pStyle w:val="Defstart"/>
      </w:pPr>
      <w:r>
        <w:tab/>
      </w:r>
      <w:r>
        <w:rPr>
          <w:rStyle w:val="CharDefText"/>
        </w:rPr>
        <w:t>licensee</w:t>
      </w:r>
      <w:r>
        <w:t xml:space="preserve"> means a holder of a fishing tour operator’s licence to conduct a fishing tour for a commercial purpose in the West Coast Region;</w:t>
      </w:r>
    </w:p>
    <w:p>
      <w:pPr>
        <w:pStyle w:val="Defstart"/>
      </w:pPr>
      <w:r>
        <w:tab/>
      </w:r>
      <w:r>
        <w:rPr>
          <w:rStyle w:val="CharDefText"/>
        </w:rPr>
        <w:t>quota period</w:t>
      </w:r>
      <w:r>
        <w:t xml:space="preserve"> means a year ending on 30 June;</w:t>
      </w:r>
    </w:p>
    <w:p>
      <w:pPr>
        <w:pStyle w:val="Defstart"/>
      </w:pPr>
      <w:r>
        <w:tab/>
      </w:r>
      <w:r>
        <w:rPr>
          <w:rStyle w:val="CharDefText"/>
        </w:rPr>
        <w:t>quota tag</w:t>
      </w:r>
      <w:r>
        <w:t xml:space="preserve"> means a tag — </w:t>
      </w:r>
    </w:p>
    <w:p>
      <w:pPr>
        <w:pStyle w:val="Defpara"/>
      </w:pPr>
      <w:r>
        <w:tab/>
        <w:t>(a)</w:t>
      </w:r>
      <w:r>
        <w:tab/>
        <w:t>in a form approved by the CEO; and</w:t>
      </w:r>
    </w:p>
    <w:p>
      <w:pPr>
        <w:pStyle w:val="Defpara"/>
      </w:pPr>
      <w:r>
        <w:tab/>
        <w:t>(b)</w:t>
      </w:r>
      <w:r>
        <w:tab/>
        <w:t xml:space="preserve">that specifies — </w:t>
      </w:r>
    </w:p>
    <w:p>
      <w:pPr>
        <w:pStyle w:val="Defsubpara"/>
      </w:pPr>
      <w:r>
        <w:tab/>
        <w:t>(i)</w:t>
      </w:r>
      <w:r>
        <w:tab/>
        <w:t>the quota period for which the tag is current; and</w:t>
      </w:r>
    </w:p>
    <w:p>
      <w:pPr>
        <w:pStyle w:val="Defsubpara"/>
      </w:pPr>
      <w:r>
        <w:tab/>
        <w:t>(ii)</w:t>
      </w:r>
      <w:r>
        <w:tab/>
        <w:t>a distinguishing letter and number (tag serial number) allocated in respect of the tag.</w:t>
      </w:r>
    </w:p>
    <w:p>
      <w:pPr>
        <w:pStyle w:val="Subsection"/>
        <w:keepNext/>
      </w:pPr>
      <w:r>
        <w:tab/>
        <w:t>(2)</w:t>
      </w:r>
      <w:r>
        <w:tab/>
        <w:t xml:space="preserve">For the purposes of regulation 128T, the CEO must — </w:t>
      </w:r>
    </w:p>
    <w:p>
      <w:pPr>
        <w:pStyle w:val="Indenta"/>
      </w:pPr>
      <w:r>
        <w:tab/>
        <w:t>(a)</w:t>
      </w:r>
      <w:r>
        <w:tab/>
        <w:t>determine a method, that the CEO is satisfied meets the purposes referred to in subregulation (4), for determining the number of quota tags to be allocated under subregulation (3)(a) to licensees for a quota period; and</w:t>
      </w:r>
    </w:p>
    <w:p>
      <w:pPr>
        <w:pStyle w:val="Indenta"/>
        <w:rPr>
          <w:rStyle w:val="DraftersNotes"/>
          <w:b w:val="0"/>
          <w:i w:val="0"/>
        </w:rPr>
      </w:pPr>
      <w:r>
        <w:tab/>
        <w:t>(b)</w:t>
      </w:r>
      <w:r>
        <w:tab/>
        <w:t>publish the method on the Department’s website.</w:t>
      </w:r>
    </w:p>
    <w:p>
      <w:pPr>
        <w:pStyle w:val="Subsection"/>
      </w:pPr>
      <w:r>
        <w:tab/>
        <w:t>(3)</w:t>
      </w:r>
      <w:r>
        <w:tab/>
        <w:t xml:space="preserve">The CEO must also, for the purposes of regulation 128T, for a quota period — </w:t>
      </w:r>
    </w:p>
    <w:p>
      <w:pPr>
        <w:pStyle w:val="Indenta"/>
      </w:pPr>
      <w:r>
        <w:tab/>
        <w:t>(a)</w:t>
      </w:r>
      <w:r>
        <w:tab/>
        <w:t>allocate, in accordance with the method most recently published, quota tags to licensees; and</w:t>
      </w:r>
    </w:p>
    <w:p>
      <w:pPr>
        <w:pStyle w:val="Indenta"/>
      </w:pPr>
      <w:r>
        <w:tab/>
        <w:t>(b)</w:t>
      </w:r>
      <w:r>
        <w:tab/>
        <w:t>issue the quota tags accordingly.</w:t>
      </w:r>
    </w:p>
    <w:p>
      <w:pPr>
        <w:pStyle w:val="Subsection"/>
      </w:pPr>
      <w:r>
        <w:tab/>
        <w:t>(4)</w:t>
      </w:r>
      <w:r>
        <w:tab/>
        <w:t xml:space="preserve">The purposes of a method determined by the CEO under subregulation (2)(a) are to — </w:t>
      </w:r>
    </w:p>
    <w:p>
      <w:pPr>
        <w:pStyle w:val="Indenta"/>
      </w:pPr>
      <w:r>
        <w:tab/>
        <w:t>(a)</w:t>
      </w:r>
      <w:r>
        <w:tab/>
        <w:t>maintain the sustainability of demersal finfish in the West Coast Region; and</w:t>
      </w:r>
    </w:p>
    <w:p>
      <w:pPr>
        <w:pStyle w:val="Indenta"/>
      </w:pPr>
      <w:r>
        <w:tab/>
        <w:t>(b)</w:t>
      </w:r>
      <w:r>
        <w:tab/>
        <w:t>provide a fair and reasonable way of allocating quota tags to licensees.</w:t>
      </w:r>
    </w:p>
    <w:p>
      <w:pPr>
        <w:pStyle w:val="Subsection"/>
      </w:pPr>
      <w:r>
        <w:tab/>
        <w:t>(5)</w:t>
      </w:r>
      <w:r>
        <w:tab/>
        <w:t>A method determined under subregulation (2)(a) may provide for no quota tags to be allocated to a licensee for a quota period.</w:t>
      </w:r>
    </w:p>
    <w:p>
      <w:pPr>
        <w:pStyle w:val="Subsection"/>
      </w:pPr>
      <w:r>
        <w:tab/>
        <w:t>(6)</w:t>
      </w:r>
      <w:r>
        <w:tab/>
        <w:t xml:space="preserve">The CEO — </w:t>
      </w:r>
    </w:p>
    <w:p>
      <w:pPr>
        <w:pStyle w:val="Indenta"/>
      </w:pPr>
      <w:r>
        <w:tab/>
        <w:t>(a)</w:t>
      </w:r>
      <w:r>
        <w:tab/>
        <w:t>may amend or replace a method determined under subregulation (2)(a); and</w:t>
      </w:r>
    </w:p>
    <w:p>
      <w:pPr>
        <w:pStyle w:val="Indenta"/>
      </w:pPr>
      <w:r>
        <w:tab/>
        <w:t>(b)</w:t>
      </w:r>
      <w:r>
        <w:tab/>
        <w:t>must publish the amended method or replacement method on the Department’s website.</w:t>
      </w:r>
    </w:p>
    <w:p>
      <w:pPr>
        <w:pStyle w:val="Footnotesection"/>
        <w:rPr>
          <w:sz w:val="20"/>
        </w:rPr>
      </w:pPr>
      <w:r>
        <w:tab/>
        <w:t>[Regulation 128U inserted: SL 2024/114 r. 5.]</w:t>
      </w:r>
    </w:p>
    <w:p>
      <w:pPr>
        <w:pStyle w:val="Heading3"/>
      </w:pPr>
      <w:bookmarkStart w:id="783" w:name="_Toc184372690"/>
      <w:bookmarkStart w:id="784" w:name="_Toc184377843"/>
      <w:bookmarkStart w:id="785" w:name="_Toc184385200"/>
      <w:bookmarkStart w:id="786" w:name="_Toc201508597"/>
      <w:bookmarkStart w:id="787" w:name="_Toc201754428"/>
      <w:bookmarkStart w:id="788" w:name="_Toc201759158"/>
      <w:r>
        <w:rPr>
          <w:rStyle w:val="CharDivNo"/>
        </w:rPr>
        <w:t>Division 6A</w:t>
      </w:r>
      <w:r>
        <w:t> — </w:t>
      </w:r>
      <w:r>
        <w:rPr>
          <w:rStyle w:val="CharDivText"/>
        </w:rPr>
        <w:t>Replacement of cancelled authorisations</w:t>
      </w:r>
      <w:bookmarkEnd w:id="783"/>
      <w:bookmarkEnd w:id="784"/>
      <w:bookmarkEnd w:id="785"/>
      <w:bookmarkEnd w:id="786"/>
      <w:bookmarkEnd w:id="787"/>
      <w:bookmarkEnd w:id="788"/>
    </w:p>
    <w:p>
      <w:pPr>
        <w:pStyle w:val="Footnoteheading"/>
        <w:keepNext/>
      </w:pPr>
      <w:r>
        <w:tab/>
        <w:t>[Heading inserted: Gazette 1 Jul 2011 p. 2722.]</w:t>
      </w:r>
    </w:p>
    <w:p>
      <w:pPr>
        <w:pStyle w:val="Heading5"/>
      </w:pPr>
      <w:bookmarkStart w:id="789" w:name="_Toc201759159"/>
      <w:bookmarkStart w:id="790" w:name="_Toc184385201"/>
      <w:r>
        <w:rPr>
          <w:rStyle w:val="CharSectno"/>
        </w:rPr>
        <w:t>129A</w:t>
      </w:r>
      <w:r>
        <w:t>.</w:t>
      </w:r>
      <w:r>
        <w:tab/>
        <w:t>Terms used</w:t>
      </w:r>
      <w:bookmarkEnd w:id="789"/>
      <w:bookmarkEnd w:id="790"/>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Gazette 1 Jul 2011 p. 2722.]</w:t>
      </w:r>
    </w:p>
    <w:p>
      <w:pPr>
        <w:pStyle w:val="Heading5"/>
      </w:pPr>
      <w:bookmarkStart w:id="791" w:name="_Toc201759160"/>
      <w:bookmarkStart w:id="792" w:name="_Toc184385202"/>
      <w:r>
        <w:rPr>
          <w:rStyle w:val="CharSectno"/>
        </w:rPr>
        <w:t>129B</w:t>
      </w:r>
      <w:r>
        <w:t>.</w:t>
      </w:r>
      <w:r>
        <w:tab/>
        <w:t>CEO may grant certain replacement authorisations</w:t>
      </w:r>
      <w:bookmarkEnd w:id="791"/>
      <w:bookmarkEnd w:id="792"/>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Gazette 1 Jul 2011 p. 2722</w:t>
      </w:r>
      <w:r>
        <w:noBreakHyphen/>
        <w:t>3.]</w:t>
      </w:r>
    </w:p>
    <w:p>
      <w:pPr>
        <w:pStyle w:val="Heading3"/>
        <w:spacing w:before="190"/>
      </w:pPr>
      <w:bookmarkStart w:id="793" w:name="_Toc184372693"/>
      <w:bookmarkStart w:id="794" w:name="_Toc184377846"/>
      <w:bookmarkStart w:id="795" w:name="_Toc184385203"/>
      <w:bookmarkStart w:id="796" w:name="_Toc201508600"/>
      <w:bookmarkStart w:id="797" w:name="_Toc201754431"/>
      <w:bookmarkStart w:id="798" w:name="_Toc201759161"/>
      <w:r>
        <w:rPr>
          <w:rStyle w:val="CharDivNo"/>
        </w:rPr>
        <w:t>Division 6</w:t>
      </w:r>
      <w:r>
        <w:t> — </w:t>
      </w:r>
      <w:r>
        <w:rPr>
          <w:rStyle w:val="CharDivText"/>
        </w:rPr>
        <w:t>General</w:t>
      </w:r>
      <w:bookmarkEnd w:id="793"/>
      <w:bookmarkEnd w:id="794"/>
      <w:bookmarkEnd w:id="795"/>
      <w:bookmarkEnd w:id="796"/>
      <w:bookmarkEnd w:id="797"/>
      <w:bookmarkEnd w:id="798"/>
    </w:p>
    <w:p>
      <w:pPr>
        <w:pStyle w:val="Footnoteheading"/>
        <w:spacing w:before="60"/>
      </w:pPr>
      <w:r>
        <w:tab/>
        <w:t>[Heading inserted: Gazette 29 Jun 2001 p. 3174.]</w:t>
      </w:r>
    </w:p>
    <w:p>
      <w:pPr>
        <w:pStyle w:val="Heading5"/>
        <w:spacing w:before="180"/>
        <w:rPr>
          <w:snapToGrid w:val="0"/>
        </w:rPr>
      </w:pPr>
      <w:bookmarkStart w:id="799" w:name="_Toc201759162"/>
      <w:bookmarkStart w:id="800" w:name="_Toc184385204"/>
      <w:r>
        <w:rPr>
          <w:rStyle w:val="CharSectno"/>
        </w:rPr>
        <w:t>129</w:t>
      </w:r>
      <w:r>
        <w:rPr>
          <w:snapToGrid w:val="0"/>
        </w:rPr>
        <w:t>.</w:t>
      </w:r>
      <w:r>
        <w:rPr>
          <w:snapToGrid w:val="0"/>
        </w:rPr>
        <w:tab/>
        <w:t>Lost etc. authorisations, replacement of</w:t>
      </w:r>
      <w:bookmarkEnd w:id="799"/>
      <w:bookmarkEnd w:id="800"/>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Gazette 6 Jul 2007 p. 3389; 9 Jun 2009 p. 1911.]</w:t>
      </w:r>
    </w:p>
    <w:p>
      <w:pPr>
        <w:pStyle w:val="Heading5"/>
        <w:keepNext w:val="0"/>
        <w:keepLines w:val="0"/>
        <w:rPr>
          <w:snapToGrid w:val="0"/>
        </w:rPr>
      </w:pPr>
      <w:bookmarkStart w:id="801" w:name="_Toc201759163"/>
      <w:bookmarkStart w:id="802" w:name="_Toc184385205"/>
      <w:r>
        <w:rPr>
          <w:rStyle w:val="CharSectno"/>
        </w:rPr>
        <w:t>130</w:t>
      </w:r>
      <w:r>
        <w:rPr>
          <w:snapToGrid w:val="0"/>
        </w:rPr>
        <w:t>.</w:t>
      </w:r>
      <w:r>
        <w:rPr>
          <w:snapToGrid w:val="0"/>
        </w:rPr>
        <w:tab/>
        <w:t>Conditions of licences, imposition of etc.</w:t>
      </w:r>
      <w:bookmarkEnd w:id="801"/>
      <w:bookmarkEnd w:id="802"/>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Gazette 6 Jul 2007 p. 3389.]</w:t>
      </w:r>
    </w:p>
    <w:p>
      <w:pPr>
        <w:pStyle w:val="Ednotesection"/>
      </w:pPr>
      <w:r>
        <w:t>[</w:t>
      </w:r>
      <w:r>
        <w:rPr>
          <w:b/>
        </w:rPr>
        <w:t>130A.</w:t>
      </w:r>
      <w:r>
        <w:tab/>
        <w:t>Deleted: Gazette 30 May 2014 p. 1735.]</w:t>
      </w:r>
    </w:p>
    <w:p>
      <w:pPr>
        <w:pStyle w:val="Heading5"/>
        <w:rPr>
          <w:snapToGrid w:val="0"/>
        </w:rPr>
      </w:pPr>
      <w:bookmarkStart w:id="803" w:name="_Toc201759164"/>
      <w:bookmarkStart w:id="804" w:name="_Toc184385206"/>
      <w:r>
        <w:rPr>
          <w:rStyle w:val="CharSectno"/>
        </w:rPr>
        <w:t>131</w:t>
      </w:r>
      <w:r>
        <w:rPr>
          <w:snapToGrid w:val="0"/>
        </w:rPr>
        <w:t>.</w:t>
      </w:r>
      <w:r>
        <w:rPr>
          <w:snapToGrid w:val="0"/>
        </w:rPr>
        <w:tab/>
        <w:t>Grounds for refusal of transfer of authorisations etc. prescribed (Act s. 140(2)(b))</w:t>
      </w:r>
      <w:bookmarkEnd w:id="803"/>
      <w:bookmarkEnd w:id="804"/>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Gazette 29 Jun 2001 p. 3175; 6 Jul 2007 p. 3389; 9 Sep 2014 p. 3239-40.]</w:t>
      </w:r>
    </w:p>
    <w:p>
      <w:pPr>
        <w:pStyle w:val="Heading5"/>
        <w:spacing w:before="180"/>
        <w:rPr>
          <w:snapToGrid w:val="0"/>
        </w:rPr>
      </w:pPr>
      <w:bookmarkStart w:id="805" w:name="_Toc201759165"/>
      <w:bookmarkStart w:id="806" w:name="_Toc184385207"/>
      <w:r>
        <w:rPr>
          <w:rStyle w:val="CharSectno"/>
        </w:rPr>
        <w:t>132</w:t>
      </w:r>
      <w:r>
        <w:rPr>
          <w:snapToGrid w:val="0"/>
        </w:rPr>
        <w:t>.</w:t>
      </w:r>
      <w:r>
        <w:rPr>
          <w:snapToGrid w:val="0"/>
        </w:rPr>
        <w:tab/>
        <w:t>Short term use of boat instead of lost etc. licensed fishing boat etc., authorisation of</w:t>
      </w:r>
      <w:bookmarkEnd w:id="805"/>
      <w:bookmarkEnd w:id="806"/>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Gazette 6 Jul 2007 p. 3389.]</w:t>
      </w:r>
    </w:p>
    <w:p>
      <w:pPr>
        <w:pStyle w:val="Heading5"/>
        <w:rPr>
          <w:snapToGrid w:val="0"/>
        </w:rPr>
      </w:pPr>
      <w:bookmarkStart w:id="807" w:name="_Toc201759166"/>
      <w:bookmarkStart w:id="808" w:name="_Toc184385208"/>
      <w:r>
        <w:rPr>
          <w:rStyle w:val="CharSectno"/>
        </w:rPr>
        <w:t>133</w:t>
      </w:r>
      <w:r>
        <w:rPr>
          <w:snapToGrid w:val="0"/>
        </w:rPr>
        <w:t>.</w:t>
      </w:r>
      <w:r>
        <w:rPr>
          <w:snapToGrid w:val="0"/>
        </w:rPr>
        <w:tab/>
        <w:t>Duration of licences</w:t>
      </w:r>
      <w:bookmarkEnd w:id="807"/>
      <w:bookmarkEnd w:id="808"/>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809" w:name="_Toc201759167"/>
      <w:bookmarkStart w:id="810" w:name="_Toc184385209"/>
      <w:r>
        <w:rPr>
          <w:rStyle w:val="CharSectno"/>
        </w:rPr>
        <w:t>134</w:t>
      </w:r>
      <w:r>
        <w:rPr>
          <w:snapToGrid w:val="0"/>
        </w:rPr>
        <w:t>.</w:t>
      </w:r>
      <w:r>
        <w:rPr>
          <w:snapToGrid w:val="0"/>
        </w:rPr>
        <w:tab/>
        <w:t>Renewal of licences</w:t>
      </w:r>
      <w:bookmarkEnd w:id="809"/>
      <w:bookmarkEnd w:id="810"/>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Gazette 6 Jul 2007 p. 3389.]</w:t>
      </w:r>
    </w:p>
    <w:p>
      <w:pPr>
        <w:pStyle w:val="Heading5"/>
        <w:rPr>
          <w:snapToGrid w:val="0"/>
        </w:rPr>
      </w:pPr>
      <w:bookmarkStart w:id="811" w:name="_Toc201759168"/>
      <w:bookmarkStart w:id="812" w:name="_Toc184385210"/>
      <w:r>
        <w:rPr>
          <w:rStyle w:val="CharSectno"/>
        </w:rPr>
        <w:t>135</w:t>
      </w:r>
      <w:r>
        <w:rPr>
          <w:snapToGrid w:val="0"/>
        </w:rPr>
        <w:t>.</w:t>
      </w:r>
      <w:r>
        <w:rPr>
          <w:snapToGrid w:val="0"/>
        </w:rPr>
        <w:tab/>
        <w:t>Application fees</w:t>
      </w:r>
      <w:bookmarkEnd w:id="811"/>
      <w:bookmarkEnd w:id="812"/>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813" w:name="_Toc201759169"/>
      <w:bookmarkStart w:id="814" w:name="_Toc184385211"/>
      <w:r>
        <w:rPr>
          <w:rStyle w:val="CharSectno"/>
        </w:rPr>
        <w:t>136</w:t>
      </w:r>
      <w:r>
        <w:rPr>
          <w:snapToGrid w:val="0"/>
        </w:rPr>
        <w:t>.</w:t>
      </w:r>
      <w:r>
        <w:rPr>
          <w:snapToGrid w:val="0"/>
        </w:rPr>
        <w:tab/>
        <w:t>Recreational fishing licence fee halved for pensioners etc.</w:t>
      </w:r>
      <w:bookmarkEnd w:id="813"/>
      <w:bookmarkEnd w:id="814"/>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Gazette 30 Jun 2003 p. 2603; 12 Feb 2010 p. 585</w:t>
      </w:r>
      <w:r>
        <w:noBreakHyphen/>
        <w:t>6.]</w:t>
      </w:r>
    </w:p>
    <w:p>
      <w:pPr>
        <w:pStyle w:val="Heading5"/>
        <w:rPr>
          <w:snapToGrid w:val="0"/>
        </w:rPr>
      </w:pPr>
      <w:bookmarkStart w:id="815" w:name="_Toc201759170"/>
      <w:bookmarkStart w:id="816" w:name="_Toc184385212"/>
      <w:r>
        <w:rPr>
          <w:rStyle w:val="CharSectno"/>
        </w:rPr>
        <w:t>137</w:t>
      </w:r>
      <w:r>
        <w:rPr>
          <w:snapToGrid w:val="0"/>
        </w:rPr>
        <w:t>.</w:t>
      </w:r>
      <w:r>
        <w:rPr>
          <w:snapToGrid w:val="0"/>
        </w:rPr>
        <w:tab/>
        <w:t>Fees for grant or renewal of authorisation</w:t>
      </w:r>
      <w:bookmarkEnd w:id="815"/>
      <w:bookmarkEnd w:id="816"/>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Gazette 24 Dec 1996 p. 7114; 5 Sep 2006 p. 3615; 12 Feb 2010 p. 586.]</w:t>
      </w:r>
    </w:p>
    <w:p>
      <w:pPr>
        <w:pStyle w:val="Heading5"/>
        <w:rPr>
          <w:snapToGrid w:val="0"/>
        </w:rPr>
      </w:pPr>
      <w:bookmarkStart w:id="817" w:name="_Toc201759171"/>
      <w:bookmarkStart w:id="818" w:name="_Toc184385213"/>
      <w:r>
        <w:rPr>
          <w:rStyle w:val="CharSectno"/>
        </w:rPr>
        <w:t>138</w:t>
      </w:r>
      <w:r>
        <w:rPr>
          <w:snapToGrid w:val="0"/>
        </w:rPr>
        <w:t>.</w:t>
      </w:r>
      <w:r>
        <w:rPr>
          <w:snapToGrid w:val="0"/>
        </w:rPr>
        <w:tab/>
        <w:t>Transfer of part of entitlement not permitted in some cases</w:t>
      </w:r>
      <w:bookmarkEnd w:id="817"/>
      <w:bookmarkEnd w:id="818"/>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819" w:name="_Toc201759172"/>
      <w:bookmarkStart w:id="820" w:name="_Toc184385214"/>
      <w:r>
        <w:rPr>
          <w:rStyle w:val="CharSectno"/>
        </w:rPr>
        <w:t>139</w:t>
      </w:r>
      <w:r>
        <w:rPr>
          <w:snapToGrid w:val="0"/>
        </w:rPr>
        <w:t>.</w:t>
      </w:r>
      <w:r>
        <w:rPr>
          <w:snapToGrid w:val="0"/>
        </w:rPr>
        <w:tab/>
        <w:t>Change of name or address, duty to notify CEO</w:t>
      </w:r>
      <w:bookmarkEnd w:id="819"/>
      <w:bookmarkEnd w:id="820"/>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Gazette 6 Jul 2007 p. 3389.]</w:t>
      </w:r>
    </w:p>
    <w:p>
      <w:pPr>
        <w:pStyle w:val="Heading2"/>
      </w:pPr>
      <w:bookmarkStart w:id="821" w:name="_Toc184372705"/>
      <w:bookmarkStart w:id="822" w:name="_Toc184377858"/>
      <w:bookmarkStart w:id="823" w:name="_Toc184385215"/>
      <w:bookmarkStart w:id="824" w:name="_Toc201508612"/>
      <w:bookmarkStart w:id="825" w:name="_Toc201754443"/>
      <w:bookmarkStart w:id="826" w:name="_Toc201759173"/>
      <w:r>
        <w:rPr>
          <w:rStyle w:val="CharPartNo"/>
        </w:rPr>
        <w:t>Part 12</w:t>
      </w:r>
      <w:r>
        <w:rPr>
          <w:rStyle w:val="CharDivNo"/>
        </w:rPr>
        <w:t> </w:t>
      </w:r>
      <w:r>
        <w:t>—</w:t>
      </w:r>
      <w:r>
        <w:rPr>
          <w:rStyle w:val="CharDivText"/>
        </w:rPr>
        <w:t> </w:t>
      </w:r>
      <w:r>
        <w:rPr>
          <w:rStyle w:val="CharPartText"/>
        </w:rPr>
        <w:t>Fish trafficking</w:t>
      </w:r>
      <w:bookmarkEnd w:id="821"/>
      <w:bookmarkEnd w:id="822"/>
      <w:bookmarkEnd w:id="823"/>
      <w:bookmarkEnd w:id="824"/>
      <w:bookmarkEnd w:id="825"/>
      <w:bookmarkEnd w:id="826"/>
    </w:p>
    <w:p>
      <w:pPr>
        <w:pStyle w:val="Footnoteheading"/>
      </w:pPr>
      <w:r>
        <w:tab/>
        <w:t>[Heading inserted: Gazette 18 Jun 2013 p. 2296.]</w:t>
      </w:r>
    </w:p>
    <w:p>
      <w:pPr>
        <w:pStyle w:val="Heading5"/>
      </w:pPr>
      <w:bookmarkStart w:id="827" w:name="_Toc201759174"/>
      <w:bookmarkStart w:id="828" w:name="_Toc184385216"/>
      <w:r>
        <w:rPr>
          <w:rStyle w:val="CharSectno"/>
        </w:rPr>
        <w:t>140</w:t>
      </w:r>
      <w:r>
        <w:t>.</w:t>
      </w:r>
      <w:r>
        <w:tab/>
        <w:t>Priority fish</w:t>
      </w:r>
      <w:bookmarkEnd w:id="827"/>
      <w:bookmarkEnd w:id="828"/>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 Snapper)</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Gazette 18 Jun 2013 p. 2296-7; amended: Gazette 4 Oct 2019 p. 3611.]</w:t>
      </w:r>
    </w:p>
    <w:p>
      <w:pPr>
        <w:pStyle w:val="Heading5"/>
      </w:pPr>
      <w:bookmarkStart w:id="829" w:name="_Toc201759175"/>
      <w:bookmarkStart w:id="830" w:name="_Toc184385217"/>
      <w:r>
        <w:rPr>
          <w:rStyle w:val="CharSectno"/>
        </w:rPr>
        <w:t>141</w:t>
      </w:r>
      <w:r>
        <w:t>.</w:t>
      </w:r>
      <w:r>
        <w:tab/>
        <w:t>Commercial quantity</w:t>
      </w:r>
      <w:bookmarkEnd w:id="829"/>
      <w:bookmarkEnd w:id="830"/>
    </w:p>
    <w:p>
      <w:pPr>
        <w:pStyle w:val="Subsection"/>
        <w:keepNext/>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Gazette 18 Jun 2013 p. 2297.]</w:t>
      </w:r>
    </w:p>
    <w:p>
      <w:pPr>
        <w:pStyle w:val="Ednotesection"/>
      </w:pPr>
      <w:r>
        <w:t>[</w:t>
      </w:r>
      <w:r>
        <w:rPr>
          <w:b/>
        </w:rPr>
        <w:t>142, 143.</w:t>
      </w:r>
      <w:r>
        <w:tab/>
        <w:t>Deleted: Gazette 30 Dec 2004 p. 6965.]</w:t>
      </w:r>
    </w:p>
    <w:p>
      <w:pPr>
        <w:pStyle w:val="Heading2"/>
      </w:pPr>
      <w:bookmarkStart w:id="831" w:name="_Toc184372708"/>
      <w:bookmarkStart w:id="832" w:name="_Toc184377861"/>
      <w:bookmarkStart w:id="833" w:name="_Toc184385218"/>
      <w:bookmarkStart w:id="834" w:name="_Toc201508615"/>
      <w:bookmarkStart w:id="835" w:name="_Toc201754446"/>
      <w:bookmarkStart w:id="836" w:name="_Toc201759176"/>
      <w:r>
        <w:rPr>
          <w:rStyle w:val="CharPartNo"/>
        </w:rPr>
        <w:t>Part 13A</w:t>
      </w:r>
      <w:r>
        <w:rPr>
          <w:rStyle w:val="CharDivNo"/>
        </w:rPr>
        <w:t> </w:t>
      </w:r>
      <w:r>
        <w:t>—</w:t>
      </w:r>
      <w:r>
        <w:rPr>
          <w:rStyle w:val="CharDivText"/>
        </w:rPr>
        <w:t> </w:t>
      </w:r>
      <w:r>
        <w:rPr>
          <w:rStyle w:val="CharPartText"/>
        </w:rPr>
        <w:t>Control of disease in pearl oysters</w:t>
      </w:r>
      <w:bookmarkEnd w:id="831"/>
      <w:bookmarkEnd w:id="832"/>
      <w:bookmarkEnd w:id="833"/>
      <w:bookmarkEnd w:id="834"/>
      <w:bookmarkEnd w:id="835"/>
      <w:bookmarkEnd w:id="836"/>
    </w:p>
    <w:p>
      <w:pPr>
        <w:pStyle w:val="Footnoteheading"/>
      </w:pPr>
      <w:r>
        <w:tab/>
        <w:t>[Heading inserted: Gazette 24 Sep 2013 p. 4438.]</w:t>
      </w:r>
    </w:p>
    <w:p>
      <w:pPr>
        <w:pStyle w:val="Heading5"/>
      </w:pPr>
      <w:bookmarkStart w:id="837" w:name="_Toc201759177"/>
      <w:bookmarkStart w:id="838" w:name="_Toc184385219"/>
      <w:r>
        <w:rPr>
          <w:rStyle w:val="CharSectno"/>
        </w:rPr>
        <w:t>144A</w:t>
      </w:r>
      <w:r>
        <w:t>.</w:t>
      </w:r>
      <w:r>
        <w:tab/>
        <w:t>Terms used</w:t>
      </w:r>
      <w:bookmarkEnd w:id="837"/>
      <w:bookmarkEnd w:id="838"/>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Gazette 24 Sep 2013 p. 4438-40.]</w:t>
      </w:r>
    </w:p>
    <w:p>
      <w:pPr>
        <w:pStyle w:val="Heading5"/>
      </w:pPr>
      <w:bookmarkStart w:id="839" w:name="_Toc201759178"/>
      <w:bookmarkStart w:id="840" w:name="_Toc184385220"/>
      <w:r>
        <w:rPr>
          <w:rStyle w:val="CharSectno"/>
        </w:rPr>
        <w:t>144B</w:t>
      </w:r>
      <w:r>
        <w:t>.</w:t>
      </w:r>
      <w:r>
        <w:tab/>
        <w:t>Transport of pearl oysters into State</w:t>
      </w:r>
      <w:bookmarkEnd w:id="839"/>
      <w:bookmarkEnd w:id="840"/>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keepNext/>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Gazette 24 Sep 2013 p. 4440-1.]</w:t>
      </w:r>
    </w:p>
    <w:p>
      <w:pPr>
        <w:pStyle w:val="Heading5"/>
        <w:spacing w:before="260"/>
      </w:pPr>
      <w:bookmarkStart w:id="841" w:name="_Toc201759179"/>
      <w:bookmarkStart w:id="842" w:name="_Toc184385221"/>
      <w:r>
        <w:rPr>
          <w:rStyle w:val="CharSectno"/>
        </w:rPr>
        <w:t>144C</w:t>
      </w:r>
      <w:r>
        <w:t>.</w:t>
      </w:r>
      <w:r>
        <w:tab/>
        <w:t>Spat samples to be taken, preserved etc.</w:t>
      </w:r>
      <w:bookmarkEnd w:id="841"/>
      <w:bookmarkEnd w:id="842"/>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keepNext/>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Gazette 24 Sep 2013 p. 4441-2.]</w:t>
      </w:r>
    </w:p>
    <w:p>
      <w:pPr>
        <w:pStyle w:val="Heading5"/>
      </w:pPr>
      <w:bookmarkStart w:id="843" w:name="_Toc201759180"/>
      <w:bookmarkStart w:id="844" w:name="_Toc184385222"/>
      <w:r>
        <w:rPr>
          <w:rStyle w:val="CharSectno"/>
        </w:rPr>
        <w:t>144D</w:t>
      </w:r>
      <w:r>
        <w:t>.</w:t>
      </w:r>
      <w:r>
        <w:tab/>
        <w:t>Transport of pearl oysters restricted</w:t>
      </w:r>
      <w:bookmarkEnd w:id="843"/>
      <w:bookmarkEnd w:id="844"/>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keepNext/>
      </w:pPr>
      <w:r>
        <w:tab/>
        <w:t>(b)</w:t>
      </w:r>
      <w:r>
        <w:tab/>
        <w:t>the pearl oysters are transported in accordance with an approval to transport.</w:t>
      </w:r>
    </w:p>
    <w:p>
      <w:pPr>
        <w:pStyle w:val="Footnotesection"/>
      </w:pPr>
      <w:r>
        <w:tab/>
        <w:t>[Regulation 144D inserted: Gazette 24 Sep 2013 p. 4442.]</w:t>
      </w:r>
    </w:p>
    <w:p>
      <w:pPr>
        <w:pStyle w:val="Heading5"/>
      </w:pPr>
      <w:bookmarkStart w:id="845" w:name="_Toc201759181"/>
      <w:bookmarkStart w:id="846" w:name="_Toc184385223"/>
      <w:r>
        <w:rPr>
          <w:rStyle w:val="CharSectno"/>
        </w:rPr>
        <w:t>144E</w:t>
      </w:r>
      <w:r>
        <w:t>.</w:t>
      </w:r>
      <w:r>
        <w:tab/>
        <w:t>Sampling for disease testing</w:t>
      </w:r>
      <w:bookmarkEnd w:id="845"/>
      <w:bookmarkEnd w:id="846"/>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Gazette 24 Sep 2013 p. 4442-4.]</w:t>
      </w:r>
    </w:p>
    <w:p>
      <w:pPr>
        <w:pStyle w:val="Heading5"/>
        <w:spacing w:before="200"/>
      </w:pPr>
      <w:bookmarkStart w:id="847" w:name="_Toc201759182"/>
      <w:bookmarkStart w:id="848" w:name="_Toc184385224"/>
      <w:r>
        <w:rPr>
          <w:rStyle w:val="CharSectno"/>
        </w:rPr>
        <w:t>144F</w:t>
      </w:r>
      <w:r>
        <w:t>.</w:t>
      </w:r>
      <w:r>
        <w:tab/>
        <w:t>Certificates of health for pearl oysters</w:t>
      </w:r>
      <w:bookmarkEnd w:id="847"/>
      <w:bookmarkEnd w:id="848"/>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keepNext/>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keepNext/>
        <w:spacing w:before="70"/>
      </w:pPr>
      <w:r>
        <w:tab/>
        <w:t>(b)</w:t>
      </w:r>
      <w:r>
        <w:tab/>
        <w:t>any other test that the pathologist considers appropriate.</w:t>
      </w:r>
    </w:p>
    <w:p>
      <w:pPr>
        <w:pStyle w:val="Footnotesection"/>
        <w:spacing w:before="100"/>
      </w:pPr>
      <w:r>
        <w:tab/>
        <w:t>[Regulation 144F inserted: Gazette 24 Sep 2013 p. 4444-6.]</w:t>
      </w:r>
    </w:p>
    <w:p>
      <w:pPr>
        <w:pStyle w:val="Heading5"/>
      </w:pPr>
      <w:bookmarkStart w:id="849" w:name="_Toc201759183"/>
      <w:bookmarkStart w:id="850" w:name="_Toc184385225"/>
      <w:r>
        <w:rPr>
          <w:rStyle w:val="CharSectno"/>
        </w:rPr>
        <w:t>144G</w:t>
      </w:r>
      <w:r>
        <w:t>.</w:t>
      </w:r>
      <w:r>
        <w:tab/>
        <w:t>Approval for transport of pearl oysters</w:t>
      </w:r>
      <w:bookmarkEnd w:id="849"/>
      <w:bookmarkEnd w:id="850"/>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Gazette 24 Sep 2013 p. 4446.]</w:t>
      </w:r>
    </w:p>
    <w:p>
      <w:pPr>
        <w:pStyle w:val="Heading5"/>
      </w:pPr>
      <w:bookmarkStart w:id="851" w:name="_Toc201759184"/>
      <w:bookmarkStart w:id="852" w:name="_Toc184385226"/>
      <w:r>
        <w:rPr>
          <w:rStyle w:val="CharSectno"/>
        </w:rPr>
        <w:t>144H</w:t>
      </w:r>
      <w:r>
        <w:t>.</w:t>
      </w:r>
      <w:r>
        <w:tab/>
        <w:t>Consequences if certificate of health not issued</w:t>
      </w:r>
      <w:bookmarkEnd w:id="851"/>
      <w:bookmarkEnd w:id="852"/>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Gazette 24 Sep 2013 p. 4446-7.]</w:t>
      </w:r>
    </w:p>
    <w:p>
      <w:pPr>
        <w:pStyle w:val="Heading5"/>
      </w:pPr>
      <w:bookmarkStart w:id="853" w:name="_Toc201759185"/>
      <w:bookmarkStart w:id="854" w:name="_Toc184385227"/>
      <w:r>
        <w:rPr>
          <w:rStyle w:val="CharSectno"/>
        </w:rPr>
        <w:t>144I</w:t>
      </w:r>
      <w:r>
        <w:t>.</w:t>
      </w:r>
      <w:r>
        <w:tab/>
        <w:t>Pathologist to notify inspector as to certificate of health</w:t>
      </w:r>
      <w:bookmarkEnd w:id="853"/>
      <w:bookmarkEnd w:id="854"/>
    </w:p>
    <w:p>
      <w:pPr>
        <w:pStyle w:val="Subsection"/>
        <w:keepNext/>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Gazette 24 Sep 2013 p. 4448.]</w:t>
      </w:r>
    </w:p>
    <w:p>
      <w:pPr>
        <w:pStyle w:val="Heading5"/>
      </w:pPr>
      <w:bookmarkStart w:id="855" w:name="_Toc201759186"/>
      <w:bookmarkStart w:id="856" w:name="_Toc184385228"/>
      <w:r>
        <w:rPr>
          <w:rStyle w:val="CharSectno"/>
        </w:rPr>
        <w:t>144J</w:t>
      </w:r>
      <w:r>
        <w:t>.</w:t>
      </w:r>
      <w:r>
        <w:tab/>
        <w:t>CEO to notify approval to transport</w:t>
      </w:r>
      <w:bookmarkEnd w:id="855"/>
      <w:bookmarkEnd w:id="856"/>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Gazette 24 Sep 2013 p. 4448.]</w:t>
      </w:r>
    </w:p>
    <w:p>
      <w:pPr>
        <w:pStyle w:val="Heading5"/>
      </w:pPr>
      <w:bookmarkStart w:id="857" w:name="_Toc201759187"/>
      <w:bookmarkStart w:id="858" w:name="_Toc184385229"/>
      <w:r>
        <w:rPr>
          <w:rStyle w:val="CharSectno"/>
        </w:rPr>
        <w:t>144K</w:t>
      </w:r>
      <w:r>
        <w:t>.</w:t>
      </w:r>
      <w:r>
        <w:tab/>
        <w:t>Consequences of more than one batch of spat at quarantine site</w:t>
      </w:r>
      <w:bookmarkEnd w:id="857"/>
      <w:bookmarkEnd w:id="858"/>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Gazette 24 Sep 2013 p. 4448-9.]</w:t>
      </w:r>
    </w:p>
    <w:p>
      <w:pPr>
        <w:pStyle w:val="Heading5"/>
      </w:pPr>
      <w:bookmarkStart w:id="859" w:name="_Toc201759188"/>
      <w:bookmarkStart w:id="860" w:name="_Toc184385230"/>
      <w:r>
        <w:rPr>
          <w:rStyle w:val="CharSectno"/>
        </w:rPr>
        <w:t>144L</w:t>
      </w:r>
      <w:r>
        <w:t>.</w:t>
      </w:r>
      <w:r>
        <w:tab/>
        <w:t>Removal of spat from quarantine site</w:t>
      </w:r>
      <w:bookmarkEnd w:id="859"/>
      <w:bookmarkEnd w:id="860"/>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Gazette 24 Sep 2013 p. 4449.]</w:t>
      </w:r>
    </w:p>
    <w:p>
      <w:pPr>
        <w:pStyle w:val="Heading2"/>
      </w:pPr>
      <w:bookmarkStart w:id="861" w:name="_Toc184372721"/>
      <w:bookmarkStart w:id="862" w:name="_Toc184377874"/>
      <w:bookmarkStart w:id="863" w:name="_Toc184385231"/>
      <w:bookmarkStart w:id="864" w:name="_Toc201508628"/>
      <w:bookmarkStart w:id="865" w:name="_Toc201754459"/>
      <w:bookmarkStart w:id="866" w:name="_Toc201759189"/>
      <w:r>
        <w:rPr>
          <w:rStyle w:val="CharPartNo"/>
        </w:rPr>
        <w:t>Part 13B</w:t>
      </w:r>
      <w:r>
        <w:rPr>
          <w:rStyle w:val="CharDivNo"/>
        </w:rPr>
        <w:t> </w:t>
      </w:r>
      <w:r>
        <w:t>—</w:t>
      </w:r>
      <w:r>
        <w:rPr>
          <w:rStyle w:val="CharDivText"/>
        </w:rPr>
        <w:t> </w:t>
      </w:r>
      <w:r>
        <w:rPr>
          <w:rStyle w:val="CharPartText"/>
        </w:rPr>
        <w:t>Control of disease in abalone</w:t>
      </w:r>
      <w:bookmarkEnd w:id="861"/>
      <w:bookmarkEnd w:id="862"/>
      <w:bookmarkEnd w:id="863"/>
      <w:bookmarkEnd w:id="864"/>
      <w:bookmarkEnd w:id="865"/>
      <w:bookmarkEnd w:id="866"/>
    </w:p>
    <w:p>
      <w:pPr>
        <w:pStyle w:val="Footnoteheading"/>
      </w:pPr>
      <w:r>
        <w:tab/>
        <w:t>[Heading inserted: Gazette 24 Sep 2013 p. 4449.]</w:t>
      </w:r>
    </w:p>
    <w:p>
      <w:pPr>
        <w:pStyle w:val="Heading5"/>
      </w:pPr>
      <w:bookmarkStart w:id="867" w:name="_Toc201759190"/>
      <w:bookmarkStart w:id="868" w:name="_Toc184385232"/>
      <w:r>
        <w:rPr>
          <w:rStyle w:val="CharSectno"/>
        </w:rPr>
        <w:t>144M</w:t>
      </w:r>
      <w:r>
        <w:t>.</w:t>
      </w:r>
      <w:r>
        <w:tab/>
        <w:t>Restriction on moving live abalone into State</w:t>
      </w:r>
      <w:bookmarkEnd w:id="867"/>
      <w:bookmarkEnd w:id="868"/>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Penstart"/>
      </w:pPr>
      <w:r>
        <w:tab/>
        <w:t>Penalty: a fine of $10 000.</w:t>
      </w:r>
    </w:p>
    <w:p>
      <w:pPr>
        <w:pStyle w:val="Footnotesection"/>
      </w:pPr>
      <w:r>
        <w:tab/>
        <w:t>[Regulation 144M inserted: Gazette 24 Sep 2013 p. 4449-50; amended: SL 2024/263 r. 17.]</w:t>
      </w:r>
    </w:p>
    <w:p>
      <w:pPr>
        <w:pStyle w:val="Heading2"/>
      </w:pPr>
      <w:bookmarkStart w:id="869" w:name="_Toc184372723"/>
      <w:bookmarkStart w:id="870" w:name="_Toc184377876"/>
      <w:bookmarkStart w:id="871" w:name="_Toc184385233"/>
      <w:bookmarkStart w:id="872" w:name="_Toc201508630"/>
      <w:bookmarkStart w:id="873" w:name="_Toc201754461"/>
      <w:bookmarkStart w:id="874" w:name="_Toc201759191"/>
      <w:r>
        <w:rPr>
          <w:rStyle w:val="CharPartNo"/>
        </w:rPr>
        <w:t>Part 13</w:t>
      </w:r>
      <w:r>
        <w:rPr>
          <w:rStyle w:val="CharDivNo"/>
        </w:rPr>
        <w:t> </w:t>
      </w:r>
      <w:r>
        <w:t>—</w:t>
      </w:r>
      <w:r>
        <w:rPr>
          <w:rStyle w:val="CharDivText"/>
        </w:rPr>
        <w:t> </w:t>
      </w:r>
      <w:r>
        <w:rPr>
          <w:rStyle w:val="CharPartText"/>
        </w:rPr>
        <w:t>Miscellaneous offences</w:t>
      </w:r>
      <w:bookmarkEnd w:id="869"/>
      <w:bookmarkEnd w:id="870"/>
      <w:bookmarkEnd w:id="871"/>
      <w:bookmarkEnd w:id="872"/>
      <w:bookmarkEnd w:id="873"/>
      <w:bookmarkEnd w:id="874"/>
    </w:p>
    <w:p>
      <w:pPr>
        <w:pStyle w:val="Heading5"/>
        <w:rPr>
          <w:snapToGrid w:val="0"/>
        </w:rPr>
      </w:pPr>
      <w:bookmarkStart w:id="875" w:name="_Toc201759192"/>
      <w:bookmarkStart w:id="876" w:name="_Toc184385234"/>
      <w:r>
        <w:rPr>
          <w:rStyle w:val="CharSectno"/>
        </w:rPr>
        <w:t>144</w:t>
      </w:r>
      <w:r>
        <w:rPr>
          <w:snapToGrid w:val="0"/>
        </w:rPr>
        <w:t>.</w:t>
      </w:r>
      <w:r>
        <w:rPr>
          <w:snapToGrid w:val="0"/>
        </w:rPr>
        <w:tab/>
        <w:t>Certain activities in bays etc. and as to use of traps prohibited</w:t>
      </w:r>
      <w:bookmarkEnd w:id="875"/>
      <w:bookmarkEnd w:id="876"/>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877" w:name="_Toc201759193"/>
      <w:bookmarkStart w:id="878" w:name="_Toc184385235"/>
      <w:r>
        <w:rPr>
          <w:rStyle w:val="CharSectno"/>
        </w:rPr>
        <w:t>145</w:t>
      </w:r>
      <w:r>
        <w:rPr>
          <w:snapToGrid w:val="0"/>
        </w:rPr>
        <w:t>.</w:t>
      </w:r>
      <w:r>
        <w:rPr>
          <w:snapToGrid w:val="0"/>
        </w:rPr>
        <w:tab/>
        <w:t>Explosives or noxious substances, carriage of on boats</w:t>
      </w:r>
      <w:bookmarkEnd w:id="877"/>
      <w:bookmarkEnd w:id="878"/>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879" w:name="_Toc201759194"/>
      <w:bookmarkStart w:id="880" w:name="_Toc184385236"/>
      <w:r>
        <w:rPr>
          <w:rStyle w:val="CharSectno"/>
        </w:rPr>
        <w:t>146</w:t>
      </w:r>
      <w:r>
        <w:rPr>
          <w:snapToGrid w:val="0"/>
        </w:rPr>
        <w:t>.</w:t>
      </w:r>
      <w:r>
        <w:rPr>
          <w:snapToGrid w:val="0"/>
        </w:rPr>
        <w:tab/>
        <w:t>Explosive or noxious substance used to take fish, presumptions as to possession of</w:t>
      </w:r>
      <w:bookmarkEnd w:id="879"/>
      <w:bookmarkEnd w:id="880"/>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881" w:name="_Toc201759195"/>
      <w:bookmarkStart w:id="882" w:name="_Toc184385237"/>
      <w:r>
        <w:rPr>
          <w:rStyle w:val="CharSectno"/>
        </w:rPr>
        <w:t>147A</w:t>
      </w:r>
      <w:r>
        <w:t>.</w:t>
      </w:r>
      <w:r>
        <w:tab/>
        <w:t>Arranging for transport by courier business of fish taken recreationally</w:t>
      </w:r>
      <w:bookmarkEnd w:id="881"/>
      <w:bookmarkEnd w:id="882"/>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Gazette 29 Jan 2013 p. 311.]</w:t>
      </w:r>
    </w:p>
    <w:p>
      <w:pPr>
        <w:pStyle w:val="Heading5"/>
      </w:pPr>
      <w:bookmarkStart w:id="883" w:name="_Toc201759196"/>
      <w:bookmarkStart w:id="884" w:name="_Toc184385238"/>
      <w:r>
        <w:rPr>
          <w:rStyle w:val="CharSectno"/>
        </w:rPr>
        <w:t>147B</w:t>
      </w:r>
      <w:r>
        <w:t>.</w:t>
      </w:r>
      <w:r>
        <w:tab/>
        <w:t>Installation of fish aggregating device without approval of CEO</w:t>
      </w:r>
      <w:bookmarkEnd w:id="883"/>
      <w:bookmarkEnd w:id="884"/>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keepNext/>
      </w:pPr>
      <w:r>
        <w:tab/>
        <w:t>(b)</w:t>
      </w:r>
      <w:r>
        <w:tab/>
        <w:t>the CEO has notified the person in writing that the proposal is approved.</w:t>
      </w:r>
    </w:p>
    <w:p>
      <w:pPr>
        <w:pStyle w:val="Penstart"/>
        <w:keepNext/>
      </w:pPr>
      <w:r>
        <w:tab/>
        <w:t>Penalty: In the case of an individual, a fine of $5 000 or, in the case of a body corporate, a fine of $10 000.</w:t>
      </w:r>
    </w:p>
    <w:p>
      <w:pPr>
        <w:pStyle w:val="Footnotesection"/>
      </w:pPr>
      <w:r>
        <w:tab/>
        <w:t>[Regulation 147B inserted: Gazette 30 May 2014 p. 1722.]</w:t>
      </w:r>
    </w:p>
    <w:p>
      <w:pPr>
        <w:pStyle w:val="Heading2"/>
      </w:pPr>
      <w:bookmarkStart w:id="885" w:name="_Toc184372729"/>
      <w:bookmarkStart w:id="886" w:name="_Toc184377882"/>
      <w:bookmarkStart w:id="887" w:name="_Toc184385239"/>
      <w:bookmarkStart w:id="888" w:name="_Toc201508636"/>
      <w:bookmarkStart w:id="889" w:name="_Toc201754467"/>
      <w:bookmarkStart w:id="890" w:name="_Toc201759197"/>
      <w:r>
        <w:rPr>
          <w:rStyle w:val="CharPartNo"/>
        </w:rPr>
        <w:t>Part 14</w:t>
      </w:r>
      <w:r>
        <w:rPr>
          <w:rStyle w:val="CharDivNo"/>
        </w:rPr>
        <w:t> </w:t>
      </w:r>
      <w:r>
        <w:t>—</w:t>
      </w:r>
      <w:r>
        <w:rPr>
          <w:rStyle w:val="CharDivText"/>
        </w:rPr>
        <w:t> </w:t>
      </w:r>
      <w:r>
        <w:rPr>
          <w:rStyle w:val="CharPartText"/>
        </w:rPr>
        <w:t>Fisheries officers</w:t>
      </w:r>
      <w:bookmarkEnd w:id="885"/>
      <w:bookmarkEnd w:id="886"/>
      <w:bookmarkEnd w:id="887"/>
      <w:bookmarkEnd w:id="888"/>
      <w:bookmarkEnd w:id="889"/>
      <w:bookmarkEnd w:id="890"/>
    </w:p>
    <w:p>
      <w:pPr>
        <w:pStyle w:val="Heading5"/>
        <w:rPr>
          <w:snapToGrid w:val="0"/>
        </w:rPr>
      </w:pPr>
      <w:bookmarkStart w:id="891" w:name="_Toc201759198"/>
      <w:bookmarkStart w:id="892" w:name="_Toc184385240"/>
      <w:r>
        <w:rPr>
          <w:rStyle w:val="CharSectno"/>
        </w:rPr>
        <w:t>147</w:t>
      </w:r>
      <w:r>
        <w:rPr>
          <w:snapToGrid w:val="0"/>
        </w:rPr>
        <w:t>.</w:t>
      </w:r>
      <w:r>
        <w:rPr>
          <w:snapToGrid w:val="0"/>
        </w:rPr>
        <w:tab/>
        <w:t>Warrant form prescribed (Act s. 187)</w:t>
      </w:r>
      <w:bookmarkEnd w:id="891"/>
      <w:bookmarkEnd w:id="892"/>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893" w:name="_Toc201759199"/>
      <w:bookmarkStart w:id="894" w:name="_Toc184385241"/>
      <w:r>
        <w:rPr>
          <w:rStyle w:val="CharSectno"/>
        </w:rPr>
        <w:t>148</w:t>
      </w:r>
      <w:r>
        <w:rPr>
          <w:snapToGrid w:val="0"/>
        </w:rPr>
        <w:t>.</w:t>
      </w:r>
      <w:r>
        <w:rPr>
          <w:snapToGrid w:val="0"/>
        </w:rPr>
        <w:tab/>
        <w:t>Ways of disposing of fish prescribed (Act s. 194)</w:t>
      </w:r>
      <w:bookmarkEnd w:id="893"/>
      <w:bookmarkEnd w:id="894"/>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895" w:name="_Toc201759200"/>
      <w:bookmarkStart w:id="896" w:name="_Toc184385242"/>
      <w:r>
        <w:rPr>
          <w:rStyle w:val="CharSectno"/>
        </w:rPr>
        <w:t>149</w:t>
      </w:r>
      <w:r>
        <w:rPr>
          <w:snapToGrid w:val="0"/>
        </w:rPr>
        <w:t>.</w:t>
      </w:r>
      <w:r>
        <w:rPr>
          <w:snapToGrid w:val="0"/>
        </w:rPr>
        <w:tab/>
        <w:t>Accounts prescribed (Act s. 194)</w:t>
      </w:r>
      <w:bookmarkEnd w:id="895"/>
      <w:bookmarkEnd w:id="896"/>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3</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pPr>
      <w:r>
        <w:tab/>
        <w:t>[Regulation 149 amended: Gazette 30 May 2014 p. 1735.]</w:t>
      </w:r>
    </w:p>
    <w:p>
      <w:pPr>
        <w:pStyle w:val="Heading5"/>
        <w:rPr>
          <w:snapToGrid w:val="0"/>
        </w:rPr>
      </w:pPr>
      <w:bookmarkStart w:id="897" w:name="_Toc201759201"/>
      <w:bookmarkStart w:id="898" w:name="_Toc184385243"/>
      <w:r>
        <w:rPr>
          <w:rStyle w:val="CharSectno"/>
        </w:rPr>
        <w:t>150</w:t>
      </w:r>
      <w:r>
        <w:rPr>
          <w:snapToGrid w:val="0"/>
        </w:rPr>
        <w:t>.</w:t>
      </w:r>
      <w:r>
        <w:rPr>
          <w:snapToGrid w:val="0"/>
        </w:rPr>
        <w:tab/>
        <w:t>Applying for compensation (Act s. 197(3))</w:t>
      </w:r>
      <w:bookmarkEnd w:id="897"/>
      <w:bookmarkEnd w:id="898"/>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Gazette 6 Jul 2007 p. 3389.]</w:t>
      </w:r>
    </w:p>
    <w:p>
      <w:pPr>
        <w:pStyle w:val="Heading2"/>
      </w:pPr>
      <w:bookmarkStart w:id="899" w:name="_Toc184372734"/>
      <w:bookmarkStart w:id="900" w:name="_Toc184377887"/>
      <w:bookmarkStart w:id="901" w:name="_Toc184385244"/>
      <w:bookmarkStart w:id="902" w:name="_Toc201508641"/>
      <w:bookmarkStart w:id="903" w:name="_Toc201754472"/>
      <w:bookmarkStart w:id="904" w:name="_Toc201759202"/>
      <w:r>
        <w:rPr>
          <w:rStyle w:val="CharPartNo"/>
        </w:rPr>
        <w:t>Part 15</w:t>
      </w:r>
      <w:r>
        <w:rPr>
          <w:rStyle w:val="CharDivNo"/>
        </w:rPr>
        <w:t> </w:t>
      </w:r>
      <w:r>
        <w:t>—</w:t>
      </w:r>
      <w:r>
        <w:rPr>
          <w:rStyle w:val="CharDivText"/>
        </w:rPr>
        <w:t> </w:t>
      </w:r>
      <w:r>
        <w:rPr>
          <w:rStyle w:val="CharPartText"/>
        </w:rPr>
        <w:t>Legal proceedings</w:t>
      </w:r>
      <w:bookmarkEnd w:id="899"/>
      <w:bookmarkEnd w:id="900"/>
      <w:bookmarkEnd w:id="901"/>
      <w:bookmarkEnd w:id="902"/>
      <w:bookmarkEnd w:id="903"/>
      <w:bookmarkEnd w:id="904"/>
    </w:p>
    <w:p>
      <w:pPr>
        <w:pStyle w:val="Heading5"/>
        <w:spacing w:before="180"/>
        <w:rPr>
          <w:snapToGrid w:val="0"/>
        </w:rPr>
      </w:pPr>
      <w:bookmarkStart w:id="905" w:name="_Toc201759203"/>
      <w:bookmarkStart w:id="906" w:name="_Toc184385245"/>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905"/>
      <w:bookmarkEnd w:id="906"/>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Gazette 1 Oct 2003 p. 4327; 4 Nov 2005 p. 5312</w:t>
      </w:r>
      <w:r>
        <w:noBreakHyphen/>
        <w:t>13.]</w:t>
      </w:r>
    </w:p>
    <w:p>
      <w:pPr>
        <w:pStyle w:val="Heading5"/>
        <w:spacing w:before="180"/>
      </w:pPr>
      <w:bookmarkStart w:id="907" w:name="_Toc201759204"/>
      <w:bookmarkStart w:id="908" w:name="_Toc184385246"/>
      <w:r>
        <w:rPr>
          <w:rStyle w:val="CharSectno"/>
        </w:rPr>
        <w:t>152</w:t>
      </w:r>
      <w:r>
        <w:t>.</w:t>
      </w:r>
      <w:r>
        <w:tab/>
        <w:t>Australian datum prescribed (Act s. 216)</w:t>
      </w:r>
      <w:bookmarkEnd w:id="907"/>
      <w:bookmarkEnd w:id="908"/>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keepNext/>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r>
              <w:rPr>
                <w:sz w:val="20"/>
              </w:rPr>
              <w:t>Alice Springs</w:t>
            </w:r>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Gazette 19 Aug 2003 p. 3715.]</w:t>
      </w:r>
    </w:p>
    <w:p>
      <w:pPr>
        <w:pStyle w:val="Heading5"/>
        <w:rPr>
          <w:snapToGrid w:val="0"/>
        </w:rPr>
      </w:pPr>
      <w:bookmarkStart w:id="909" w:name="_Toc201759205"/>
      <w:bookmarkStart w:id="910" w:name="_Toc184385247"/>
      <w:r>
        <w:rPr>
          <w:rStyle w:val="CharSectno"/>
        </w:rPr>
        <w:t>153</w:t>
      </w:r>
      <w:r>
        <w:rPr>
          <w:snapToGrid w:val="0"/>
        </w:rPr>
        <w:t>.</w:t>
      </w:r>
      <w:r>
        <w:rPr>
          <w:snapToGrid w:val="0"/>
        </w:rPr>
        <w:tab/>
        <w:t>Way of giving notice prescribed (Act s. 219(1))</w:t>
      </w:r>
      <w:bookmarkEnd w:id="909"/>
      <w:bookmarkEnd w:id="910"/>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Gazette 6 Jul 2007 p. 3389.]</w:t>
      </w:r>
    </w:p>
    <w:p>
      <w:pPr>
        <w:pStyle w:val="Heading5"/>
        <w:rPr>
          <w:snapToGrid w:val="0"/>
        </w:rPr>
      </w:pPr>
      <w:bookmarkStart w:id="911" w:name="_Toc201759206"/>
      <w:bookmarkStart w:id="912" w:name="_Toc184385248"/>
      <w:r>
        <w:rPr>
          <w:rStyle w:val="CharSectno"/>
        </w:rPr>
        <w:t>154</w:t>
      </w:r>
      <w:r>
        <w:rPr>
          <w:snapToGrid w:val="0"/>
        </w:rPr>
        <w:t>.</w:t>
      </w:r>
      <w:r>
        <w:rPr>
          <w:snapToGrid w:val="0"/>
        </w:rPr>
        <w:tab/>
        <w:t>Things forfeited to Crown, disposal of</w:t>
      </w:r>
      <w:bookmarkEnd w:id="911"/>
      <w:bookmarkEnd w:id="912"/>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Gazette 6 Jul 2007 p. 3389.]</w:t>
      </w:r>
    </w:p>
    <w:p>
      <w:pPr>
        <w:pStyle w:val="Heading5"/>
        <w:spacing w:before="160"/>
        <w:rPr>
          <w:snapToGrid w:val="0"/>
        </w:rPr>
      </w:pPr>
      <w:bookmarkStart w:id="913" w:name="_Toc201759207"/>
      <w:bookmarkStart w:id="914" w:name="_Toc184385249"/>
      <w:r>
        <w:rPr>
          <w:rStyle w:val="CharSectno"/>
        </w:rPr>
        <w:t>155</w:t>
      </w:r>
      <w:r>
        <w:rPr>
          <w:snapToGrid w:val="0"/>
        </w:rPr>
        <w:t>.</w:t>
      </w:r>
      <w:r>
        <w:rPr>
          <w:snapToGrid w:val="0"/>
        </w:rPr>
        <w:tab/>
        <w:t>Accounts prescribed (Act s. 221(2))</w:t>
      </w:r>
      <w:bookmarkEnd w:id="913"/>
      <w:bookmarkEnd w:id="914"/>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3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spacing w:before="80"/>
        <w:ind w:left="890" w:hanging="890"/>
      </w:pPr>
      <w:r>
        <w:tab/>
        <w:t>[Regulation 155 amended: Gazette 30 May 2014 p. 1735.]</w:t>
      </w:r>
    </w:p>
    <w:p>
      <w:pPr>
        <w:pStyle w:val="Heading5"/>
        <w:spacing w:before="160"/>
        <w:rPr>
          <w:snapToGrid w:val="0"/>
        </w:rPr>
      </w:pPr>
      <w:bookmarkStart w:id="915" w:name="_Toc201759208"/>
      <w:bookmarkStart w:id="916" w:name="_Toc184385250"/>
      <w:r>
        <w:rPr>
          <w:rStyle w:val="CharSectno"/>
        </w:rPr>
        <w:t>156</w:t>
      </w:r>
      <w:r>
        <w:rPr>
          <w:snapToGrid w:val="0"/>
        </w:rPr>
        <w:t>.</w:t>
      </w:r>
      <w:r>
        <w:rPr>
          <w:snapToGrid w:val="0"/>
        </w:rPr>
        <w:tab/>
        <w:t>Provisions of regulations prescribed (Act s. 222(1))</w:t>
      </w:r>
      <w:bookmarkEnd w:id="915"/>
      <w:bookmarkEnd w:id="916"/>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14(4), 15(2), 15(3), 16(2), 16(3), 16DA(1), </w:t>
            </w:r>
            <w:r>
              <w:rPr>
                <w:sz w:val="22"/>
                <w:szCs w:val="22"/>
              </w:rPr>
              <w:t>16E(3C),</w:t>
            </w:r>
            <w:r>
              <w:t xml:space="preserve"> </w:t>
            </w:r>
            <w:r>
              <w:rPr>
                <w:sz w:val="22"/>
              </w:rPr>
              <w:t xml:space="preserve">22(1), 22AA(2), </w:t>
            </w:r>
            <w:r>
              <w:rPr>
                <w:sz w:val="22"/>
                <w:szCs w:val="22"/>
              </w:rPr>
              <w:t>31(2), 31(3), 31(4),</w:t>
            </w:r>
            <w:r>
              <w:rPr>
                <w:sz w:val="22"/>
              </w:rPr>
              <w:t xml:space="preserve"> 31A(1), 35, 35A,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pPr>
        <w:pStyle w:val="Footnotesection"/>
        <w:keepLines w:val="0"/>
        <w:spacing w:before="80"/>
        <w:ind w:left="890" w:hanging="890"/>
      </w:pPr>
      <w:r>
        <w:tab/>
        <w:t>[Regulation 156 amended: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 4 Oct 2019 p. 3540; SL 2021/118 r. 25; SL 2023/2 r. 18; SL 2024/263 r. 18.]</w:t>
      </w:r>
    </w:p>
    <w:p>
      <w:pPr>
        <w:pStyle w:val="Heading5"/>
      </w:pPr>
      <w:bookmarkStart w:id="917" w:name="_Toc201759209"/>
      <w:bookmarkStart w:id="918" w:name="_Toc184385251"/>
      <w:r>
        <w:rPr>
          <w:rStyle w:val="CharSectno"/>
        </w:rPr>
        <w:t>157</w:t>
      </w:r>
      <w:r>
        <w:t>.</w:t>
      </w:r>
      <w:r>
        <w:tab/>
        <w:t>Values prescribed (Act s. 222(4)(a), (b))</w:t>
      </w:r>
      <w:bookmarkEnd w:id="917"/>
      <w:bookmarkEnd w:id="918"/>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Gazette 10 Nov 2006 p. 4709; amended: Gazette 29 Sep 2009 p. 3867.]</w:t>
      </w:r>
    </w:p>
    <w:p>
      <w:pPr>
        <w:pStyle w:val="Heading5"/>
        <w:rPr>
          <w:snapToGrid w:val="0"/>
        </w:rPr>
      </w:pPr>
      <w:bookmarkStart w:id="919" w:name="_Toc201759210"/>
      <w:bookmarkStart w:id="920" w:name="_Toc184385252"/>
      <w:r>
        <w:rPr>
          <w:rStyle w:val="CharSectno"/>
        </w:rPr>
        <w:t>158</w:t>
      </w:r>
      <w:r>
        <w:rPr>
          <w:snapToGrid w:val="0"/>
        </w:rPr>
        <w:t>.</w:t>
      </w:r>
      <w:r>
        <w:rPr>
          <w:snapToGrid w:val="0"/>
        </w:rPr>
        <w:tab/>
        <w:t>Offences prescribed (Act s. 224(1)(a))</w:t>
      </w:r>
      <w:bookmarkEnd w:id="919"/>
      <w:bookmarkEnd w:id="920"/>
    </w:p>
    <w:p>
      <w:pPr>
        <w:pStyle w:val="Subsection"/>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keepNext/>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t>Provisions of these regulations</w:t>
            </w:r>
          </w:p>
        </w:tc>
      </w:tr>
      <w:tr>
        <w:tc>
          <w:tcPr>
            <w:tcW w:w="6095" w:type="dxa"/>
          </w:tcPr>
          <w:p>
            <w:pPr>
              <w:pStyle w:val="TableNAm"/>
              <w:keepNext/>
              <w:spacing w:before="60"/>
              <w:rPr>
                <w:snapToGrid w:val="0"/>
                <w:sz w:val="22"/>
              </w:rPr>
            </w:pPr>
            <w:r>
              <w:rPr>
                <w:snapToGrid w:val="0"/>
                <w:sz w:val="22"/>
              </w:rPr>
              <w:t xml:space="preserve">Regulations 13, </w:t>
            </w:r>
            <w:r>
              <w:rPr>
                <w:sz w:val="22"/>
              </w:rPr>
              <w:t xml:space="preserve">15(2), 15(3), 16(2), 16(3), 16DA(1), </w:t>
            </w:r>
            <w:r>
              <w:rPr>
                <w:snapToGrid w:val="0"/>
                <w:sz w:val="22"/>
              </w:rPr>
              <w:t>31A(1), 31A(2), 32(1), 35, 38, 55G(1), 55G(2), 55H(2), 63, 64, 64Q, 71(3), 117(1), 119(2), 128MA(2), 128OA(2), 128O, 128P, 130(4), 145(1) and 176.</w:t>
            </w:r>
          </w:p>
        </w:tc>
      </w:tr>
    </w:tbl>
    <w:p>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 SL 2023/2 r. 19.]</w:t>
      </w:r>
    </w:p>
    <w:p>
      <w:pPr>
        <w:pStyle w:val="Heading5"/>
        <w:rPr>
          <w:snapToGrid w:val="0"/>
        </w:rPr>
      </w:pPr>
      <w:bookmarkStart w:id="921" w:name="_Toc201759211"/>
      <w:bookmarkStart w:id="922" w:name="_Toc184385253"/>
      <w:r>
        <w:rPr>
          <w:rStyle w:val="CharSectno"/>
        </w:rPr>
        <w:t>159</w:t>
      </w:r>
      <w:r>
        <w:rPr>
          <w:snapToGrid w:val="0"/>
        </w:rPr>
        <w:t>.</w:t>
      </w:r>
      <w:r>
        <w:rPr>
          <w:snapToGrid w:val="0"/>
        </w:rPr>
        <w:tab/>
        <w:t>Offences prescribed (Act s. 228(1))</w:t>
      </w:r>
      <w:bookmarkEnd w:id="921"/>
      <w:bookmarkEnd w:id="922"/>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923" w:name="_Toc201759212"/>
      <w:bookmarkStart w:id="924" w:name="_Toc184385254"/>
      <w:r>
        <w:rPr>
          <w:rStyle w:val="CharSectno"/>
        </w:rPr>
        <w:t>160</w:t>
      </w:r>
      <w:r>
        <w:rPr>
          <w:snapToGrid w:val="0"/>
        </w:rPr>
        <w:t>.</w:t>
      </w:r>
      <w:r>
        <w:rPr>
          <w:snapToGrid w:val="0"/>
        </w:rPr>
        <w:tab/>
        <w:t>Infringement notice form prescribed (Act s. 229(1))</w:t>
      </w:r>
      <w:bookmarkEnd w:id="923"/>
      <w:bookmarkEnd w:id="924"/>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925" w:name="_Toc201759213"/>
      <w:bookmarkStart w:id="926" w:name="_Toc184385255"/>
      <w:r>
        <w:rPr>
          <w:rStyle w:val="CharSectno"/>
        </w:rPr>
        <w:t>161</w:t>
      </w:r>
      <w:r>
        <w:rPr>
          <w:snapToGrid w:val="0"/>
        </w:rPr>
        <w:t>.</w:t>
      </w:r>
      <w:r>
        <w:rPr>
          <w:snapToGrid w:val="0"/>
        </w:rPr>
        <w:tab/>
        <w:t>Withdrawal of infringement notice form prescribed (Act s. 231(1))</w:t>
      </w:r>
      <w:bookmarkEnd w:id="925"/>
      <w:bookmarkEnd w:id="926"/>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927" w:name="_Toc201759214"/>
      <w:bookmarkStart w:id="928" w:name="_Toc184385256"/>
      <w:r>
        <w:rPr>
          <w:rStyle w:val="CharSectno"/>
        </w:rPr>
        <w:t>162</w:t>
      </w:r>
      <w:r>
        <w:rPr>
          <w:snapToGrid w:val="0"/>
        </w:rPr>
        <w:t>.</w:t>
      </w:r>
      <w:r>
        <w:rPr>
          <w:snapToGrid w:val="0"/>
        </w:rPr>
        <w:tab/>
        <w:t>Modified penalties prescribed (Act s. 229(2))</w:t>
      </w:r>
      <w:bookmarkEnd w:id="927"/>
      <w:bookmarkEnd w:id="928"/>
    </w:p>
    <w:p>
      <w:pPr>
        <w:pStyle w:val="Subsection"/>
        <w:keepNext/>
        <w:keepLines/>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keepNext/>
      </w:pPr>
      <w:r>
        <w:tab/>
        <w:t>(2)</w:t>
      </w:r>
      <w:r>
        <w:tab/>
        <w:t xml:space="preserve">In Schedule 12 — </w:t>
      </w:r>
    </w:p>
    <w:p>
      <w:pPr>
        <w:pStyle w:val="Defstart"/>
        <w:keepNex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Gazette 18 Jun 2013 p. 2297.]</w:t>
      </w:r>
    </w:p>
    <w:p>
      <w:pPr>
        <w:pStyle w:val="Heading2"/>
      </w:pPr>
      <w:bookmarkStart w:id="929" w:name="_Toc184372747"/>
      <w:bookmarkStart w:id="930" w:name="_Toc184377900"/>
      <w:bookmarkStart w:id="931" w:name="_Toc184385257"/>
      <w:bookmarkStart w:id="932" w:name="_Toc201508654"/>
      <w:bookmarkStart w:id="933" w:name="_Toc201754485"/>
      <w:bookmarkStart w:id="934" w:name="_Toc201759215"/>
      <w:r>
        <w:rPr>
          <w:rStyle w:val="CharPartNo"/>
        </w:rPr>
        <w:t>Part 16</w:t>
      </w:r>
      <w:r>
        <w:rPr>
          <w:rStyle w:val="CharDivNo"/>
        </w:rPr>
        <w:t> </w:t>
      </w:r>
      <w:r>
        <w:t>—</w:t>
      </w:r>
      <w:r>
        <w:rPr>
          <w:rStyle w:val="CharDivText"/>
        </w:rPr>
        <w:t> </w:t>
      </w:r>
      <w:r>
        <w:rPr>
          <w:rStyle w:val="CharPartText"/>
        </w:rPr>
        <w:t>Financial provisions</w:t>
      </w:r>
      <w:bookmarkEnd w:id="929"/>
      <w:bookmarkEnd w:id="930"/>
      <w:bookmarkEnd w:id="931"/>
      <w:bookmarkEnd w:id="932"/>
      <w:bookmarkEnd w:id="933"/>
      <w:bookmarkEnd w:id="934"/>
    </w:p>
    <w:p>
      <w:pPr>
        <w:pStyle w:val="Heading5"/>
        <w:rPr>
          <w:snapToGrid w:val="0"/>
        </w:rPr>
      </w:pPr>
      <w:bookmarkStart w:id="935" w:name="_Toc201759216"/>
      <w:bookmarkStart w:id="936" w:name="_Toc184385258"/>
      <w:r>
        <w:rPr>
          <w:rStyle w:val="CharSectno"/>
        </w:rPr>
        <w:t>163</w:t>
      </w:r>
      <w:r>
        <w:rPr>
          <w:snapToGrid w:val="0"/>
        </w:rPr>
        <w:t>.</w:t>
      </w:r>
      <w:r>
        <w:rPr>
          <w:snapToGrid w:val="0"/>
        </w:rPr>
        <w:tab/>
        <w:t>Times prescribed for special purpose audits (Act s. 240)</w:t>
      </w:r>
      <w:bookmarkEnd w:id="935"/>
      <w:bookmarkEnd w:id="936"/>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937" w:name="_Toc184372749"/>
      <w:bookmarkStart w:id="938" w:name="_Toc184377902"/>
      <w:bookmarkStart w:id="939" w:name="_Toc184385259"/>
      <w:bookmarkStart w:id="940" w:name="_Toc201508656"/>
      <w:bookmarkStart w:id="941" w:name="_Toc201754487"/>
      <w:bookmarkStart w:id="942" w:name="_Toc201759217"/>
      <w:r>
        <w:rPr>
          <w:rStyle w:val="CharPartNo"/>
        </w:rPr>
        <w:t>Part 17</w:t>
      </w:r>
      <w:r>
        <w:t> — </w:t>
      </w:r>
      <w:r>
        <w:rPr>
          <w:rStyle w:val="CharPartText"/>
        </w:rPr>
        <w:t>Miscellaneous</w:t>
      </w:r>
      <w:bookmarkEnd w:id="937"/>
      <w:bookmarkEnd w:id="938"/>
      <w:bookmarkEnd w:id="939"/>
      <w:bookmarkEnd w:id="940"/>
      <w:bookmarkEnd w:id="941"/>
      <w:bookmarkEnd w:id="942"/>
    </w:p>
    <w:p>
      <w:pPr>
        <w:pStyle w:val="Heading3"/>
      </w:pPr>
      <w:bookmarkStart w:id="943" w:name="_Toc184372750"/>
      <w:bookmarkStart w:id="944" w:name="_Toc184377903"/>
      <w:bookmarkStart w:id="945" w:name="_Toc184385260"/>
      <w:bookmarkStart w:id="946" w:name="_Toc201508657"/>
      <w:bookmarkStart w:id="947" w:name="_Toc201754488"/>
      <w:bookmarkStart w:id="948" w:name="_Toc201759218"/>
      <w:r>
        <w:rPr>
          <w:rStyle w:val="CharDivNo"/>
        </w:rPr>
        <w:t>Division 1</w:t>
      </w:r>
      <w:r>
        <w:rPr>
          <w:snapToGrid w:val="0"/>
        </w:rPr>
        <w:t> — </w:t>
      </w:r>
      <w:r>
        <w:rPr>
          <w:rStyle w:val="CharDivText"/>
        </w:rPr>
        <w:t>Guidelines</w:t>
      </w:r>
      <w:bookmarkEnd w:id="943"/>
      <w:bookmarkEnd w:id="944"/>
      <w:bookmarkEnd w:id="945"/>
      <w:bookmarkEnd w:id="946"/>
      <w:bookmarkEnd w:id="947"/>
      <w:bookmarkEnd w:id="948"/>
    </w:p>
    <w:p>
      <w:pPr>
        <w:pStyle w:val="Heading5"/>
        <w:rPr>
          <w:snapToGrid w:val="0"/>
        </w:rPr>
      </w:pPr>
      <w:bookmarkStart w:id="949" w:name="_Toc201759219"/>
      <w:bookmarkStart w:id="950" w:name="_Toc184385261"/>
      <w:r>
        <w:rPr>
          <w:rStyle w:val="CharSectno"/>
        </w:rPr>
        <w:t>164</w:t>
      </w:r>
      <w:r>
        <w:rPr>
          <w:snapToGrid w:val="0"/>
        </w:rPr>
        <w:t>.</w:t>
      </w:r>
      <w:r>
        <w:rPr>
          <w:snapToGrid w:val="0"/>
        </w:rPr>
        <w:tab/>
        <w:t>Ways of publishing guidelines prescribed (Act s. 246 and 247)</w:t>
      </w:r>
      <w:bookmarkEnd w:id="949"/>
      <w:bookmarkEnd w:id="950"/>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Gazette 6 Jul 2007 p. 3389.]</w:t>
      </w:r>
    </w:p>
    <w:p>
      <w:pPr>
        <w:pStyle w:val="Heading5"/>
        <w:rPr>
          <w:snapToGrid w:val="0"/>
        </w:rPr>
      </w:pPr>
      <w:bookmarkStart w:id="951" w:name="_Toc201759220"/>
      <w:bookmarkStart w:id="952" w:name="_Toc184385262"/>
      <w:r>
        <w:rPr>
          <w:rStyle w:val="CharSectno"/>
        </w:rPr>
        <w:t>165</w:t>
      </w:r>
      <w:r>
        <w:rPr>
          <w:snapToGrid w:val="0"/>
        </w:rPr>
        <w:t>.</w:t>
      </w:r>
      <w:r>
        <w:rPr>
          <w:snapToGrid w:val="0"/>
        </w:rPr>
        <w:tab/>
        <w:t>Form of notice to attend inquiry etc. (Act s. 249(3))</w:t>
      </w:r>
      <w:bookmarkEnd w:id="951"/>
      <w:bookmarkEnd w:id="952"/>
    </w:p>
    <w:p>
      <w:pPr>
        <w:pStyle w:val="Subsection"/>
        <w:rPr>
          <w:snapToGrid w:val="0"/>
        </w:rPr>
      </w:pPr>
      <w:r>
        <w:rPr>
          <w:snapToGrid w:val="0"/>
        </w:rPr>
        <w:tab/>
      </w:r>
      <w:r>
        <w:rPr>
          <w:snapToGrid w:val="0"/>
        </w:rPr>
        <w:tab/>
        <w:t>A notice under section 249(3)(a) of the Act is to be in the form of Form 5.</w:t>
      </w:r>
    </w:p>
    <w:p>
      <w:pPr>
        <w:pStyle w:val="Heading3"/>
      </w:pPr>
      <w:bookmarkStart w:id="953" w:name="_Toc184372753"/>
      <w:bookmarkStart w:id="954" w:name="_Toc184377906"/>
      <w:bookmarkStart w:id="955" w:name="_Toc184385263"/>
      <w:bookmarkStart w:id="956" w:name="_Toc201508660"/>
      <w:bookmarkStart w:id="957" w:name="_Toc201754491"/>
      <w:bookmarkStart w:id="958" w:name="_Toc201759221"/>
      <w:r>
        <w:rPr>
          <w:rStyle w:val="CharDivNo"/>
        </w:rPr>
        <w:t>Division 2</w:t>
      </w:r>
      <w:r>
        <w:rPr>
          <w:snapToGrid w:val="0"/>
        </w:rPr>
        <w:t> — </w:t>
      </w:r>
      <w:r>
        <w:rPr>
          <w:rStyle w:val="CharDivText"/>
        </w:rPr>
        <w:t>Exclusive licences</w:t>
      </w:r>
      <w:bookmarkEnd w:id="953"/>
      <w:bookmarkEnd w:id="954"/>
      <w:bookmarkEnd w:id="955"/>
      <w:bookmarkEnd w:id="956"/>
      <w:bookmarkEnd w:id="957"/>
      <w:bookmarkEnd w:id="958"/>
    </w:p>
    <w:p>
      <w:pPr>
        <w:pStyle w:val="Heading5"/>
        <w:rPr>
          <w:snapToGrid w:val="0"/>
        </w:rPr>
      </w:pPr>
      <w:bookmarkStart w:id="959" w:name="_Toc201759222"/>
      <w:bookmarkStart w:id="960" w:name="_Toc184385264"/>
      <w:r>
        <w:rPr>
          <w:rStyle w:val="CharSectno"/>
        </w:rPr>
        <w:t>166</w:t>
      </w:r>
      <w:r>
        <w:rPr>
          <w:snapToGrid w:val="0"/>
        </w:rPr>
        <w:t>.</w:t>
      </w:r>
      <w:r>
        <w:rPr>
          <w:snapToGrid w:val="0"/>
        </w:rPr>
        <w:tab/>
        <w:t>Applications for exclusive licences</w:t>
      </w:r>
      <w:bookmarkEnd w:id="959"/>
      <w:bookmarkEnd w:id="960"/>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Gazette 6 Jul 2007 p. 3389; 9 Jun 2009 p. 1911.]</w:t>
      </w:r>
    </w:p>
    <w:p>
      <w:pPr>
        <w:pStyle w:val="Heading5"/>
        <w:rPr>
          <w:snapToGrid w:val="0"/>
        </w:rPr>
      </w:pPr>
      <w:bookmarkStart w:id="961" w:name="_Toc201759223"/>
      <w:bookmarkStart w:id="962" w:name="_Toc184385265"/>
      <w:r>
        <w:rPr>
          <w:rStyle w:val="CharSectno"/>
        </w:rPr>
        <w:t>167</w:t>
      </w:r>
      <w:r>
        <w:rPr>
          <w:snapToGrid w:val="0"/>
        </w:rPr>
        <w:t>.</w:t>
      </w:r>
      <w:r>
        <w:rPr>
          <w:snapToGrid w:val="0"/>
        </w:rPr>
        <w:tab/>
        <w:t>Effect of exclusive licences</w:t>
      </w:r>
      <w:bookmarkEnd w:id="961"/>
      <w:bookmarkEnd w:id="962"/>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963" w:name="_Toc201759224"/>
      <w:bookmarkStart w:id="964" w:name="_Toc184385266"/>
      <w:r>
        <w:rPr>
          <w:rStyle w:val="CharSectno"/>
        </w:rPr>
        <w:t>168</w:t>
      </w:r>
      <w:r>
        <w:rPr>
          <w:snapToGrid w:val="0"/>
        </w:rPr>
        <w:t>.</w:t>
      </w:r>
      <w:r>
        <w:rPr>
          <w:snapToGrid w:val="0"/>
        </w:rPr>
        <w:tab/>
        <w:t>Form of exclusive licences</w:t>
      </w:r>
      <w:bookmarkEnd w:id="963"/>
      <w:bookmarkEnd w:id="964"/>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Gazette 6 Jul 2007 p. 3389</w:t>
      </w:r>
      <w:r>
        <w:noBreakHyphen/>
        <w:t>90.]</w:t>
      </w:r>
    </w:p>
    <w:p>
      <w:pPr>
        <w:pStyle w:val="Heading5"/>
        <w:rPr>
          <w:snapToGrid w:val="0"/>
        </w:rPr>
      </w:pPr>
      <w:bookmarkStart w:id="965" w:name="_Toc201759225"/>
      <w:bookmarkStart w:id="966" w:name="_Toc184385267"/>
      <w:r>
        <w:rPr>
          <w:rStyle w:val="CharSectno"/>
        </w:rPr>
        <w:t>169</w:t>
      </w:r>
      <w:r>
        <w:rPr>
          <w:snapToGrid w:val="0"/>
        </w:rPr>
        <w:t>.</w:t>
      </w:r>
      <w:r>
        <w:rPr>
          <w:snapToGrid w:val="0"/>
        </w:rPr>
        <w:tab/>
        <w:t>Renewal after expiry of exclusive licences (Act s. 139)</w:t>
      </w:r>
      <w:bookmarkEnd w:id="965"/>
      <w:bookmarkEnd w:id="966"/>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967" w:name="_Toc201759226"/>
      <w:bookmarkStart w:id="968" w:name="_Toc184385268"/>
      <w:r>
        <w:rPr>
          <w:rStyle w:val="CharSectno"/>
        </w:rPr>
        <w:t>170</w:t>
      </w:r>
      <w:r>
        <w:rPr>
          <w:snapToGrid w:val="0"/>
        </w:rPr>
        <w:t>.</w:t>
      </w:r>
      <w:r>
        <w:rPr>
          <w:snapToGrid w:val="0"/>
        </w:rPr>
        <w:tab/>
        <w:t>Some draft exclusive licences to go before Parliament</w:t>
      </w:r>
      <w:bookmarkEnd w:id="967"/>
      <w:bookmarkEnd w:id="968"/>
    </w:p>
    <w:p>
      <w:pPr>
        <w:pStyle w:val="Subsection"/>
        <w:keepNext/>
        <w:keepLines/>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969" w:name="_Toc201759227"/>
      <w:bookmarkStart w:id="970" w:name="_Toc184385269"/>
      <w:r>
        <w:rPr>
          <w:rStyle w:val="CharSectno"/>
        </w:rPr>
        <w:t>171</w:t>
      </w:r>
      <w:r>
        <w:rPr>
          <w:snapToGrid w:val="0"/>
        </w:rPr>
        <w:t>.</w:t>
      </w:r>
      <w:r>
        <w:rPr>
          <w:snapToGrid w:val="0"/>
        </w:rPr>
        <w:tab/>
        <w:t>Conditions of exclusive licences</w:t>
      </w:r>
      <w:bookmarkEnd w:id="969"/>
      <w:bookmarkEnd w:id="970"/>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971" w:name="_Toc201759228"/>
      <w:bookmarkStart w:id="972" w:name="_Toc184385270"/>
      <w:r>
        <w:rPr>
          <w:rStyle w:val="CharSectno"/>
        </w:rPr>
        <w:t>172</w:t>
      </w:r>
      <w:r>
        <w:rPr>
          <w:snapToGrid w:val="0"/>
        </w:rPr>
        <w:t>.</w:t>
      </w:r>
      <w:r>
        <w:rPr>
          <w:snapToGrid w:val="0"/>
        </w:rPr>
        <w:tab/>
        <w:t>Who can fish in areas the subject of exclusive licences</w:t>
      </w:r>
      <w:bookmarkEnd w:id="971"/>
      <w:bookmarkEnd w:id="972"/>
    </w:p>
    <w:p>
      <w:pPr>
        <w:pStyle w:val="Subsection"/>
        <w:keepNext/>
        <w:keepLines/>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973" w:name="_Toc184372761"/>
      <w:bookmarkStart w:id="974" w:name="_Toc184377914"/>
      <w:bookmarkStart w:id="975" w:name="_Toc184385271"/>
      <w:bookmarkStart w:id="976" w:name="_Toc201508668"/>
      <w:bookmarkStart w:id="977" w:name="_Toc201754499"/>
      <w:bookmarkStart w:id="978" w:name="_Toc201759229"/>
      <w:r>
        <w:rPr>
          <w:rStyle w:val="CharDivNo"/>
        </w:rPr>
        <w:t>Division 3</w:t>
      </w:r>
      <w:r>
        <w:rPr>
          <w:snapToGrid w:val="0"/>
        </w:rPr>
        <w:t> — </w:t>
      </w:r>
      <w:r>
        <w:rPr>
          <w:rStyle w:val="CharDivText"/>
        </w:rPr>
        <w:t>Prohibition of activities that pollute waters</w:t>
      </w:r>
      <w:bookmarkEnd w:id="973"/>
      <w:bookmarkEnd w:id="974"/>
      <w:bookmarkEnd w:id="975"/>
      <w:bookmarkEnd w:id="976"/>
      <w:bookmarkEnd w:id="977"/>
      <w:bookmarkEnd w:id="978"/>
    </w:p>
    <w:p>
      <w:pPr>
        <w:pStyle w:val="Heading5"/>
        <w:rPr>
          <w:snapToGrid w:val="0"/>
        </w:rPr>
      </w:pPr>
      <w:bookmarkStart w:id="979" w:name="_Toc201759230"/>
      <w:bookmarkStart w:id="980" w:name="_Toc184385272"/>
      <w:r>
        <w:rPr>
          <w:rStyle w:val="CharSectno"/>
        </w:rPr>
        <w:t>173</w:t>
      </w:r>
      <w:r>
        <w:rPr>
          <w:snapToGrid w:val="0"/>
        </w:rPr>
        <w:t>.</w:t>
      </w:r>
      <w:r>
        <w:rPr>
          <w:snapToGrid w:val="0"/>
        </w:rPr>
        <w:tab/>
        <w:t>Notice prohibiting activities, form of (Act s. 255(1))</w:t>
      </w:r>
      <w:bookmarkEnd w:id="979"/>
      <w:bookmarkEnd w:id="980"/>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981" w:name="_Toc201759231"/>
      <w:bookmarkStart w:id="982" w:name="_Toc184385273"/>
      <w:r>
        <w:rPr>
          <w:rStyle w:val="CharSectno"/>
        </w:rPr>
        <w:t>174</w:t>
      </w:r>
      <w:r>
        <w:rPr>
          <w:snapToGrid w:val="0"/>
        </w:rPr>
        <w:t>.</w:t>
      </w:r>
      <w:r>
        <w:rPr>
          <w:snapToGrid w:val="0"/>
        </w:rPr>
        <w:tab/>
        <w:t>Notice of variation or revocation, form of (Act s. 255(2)(c))</w:t>
      </w:r>
      <w:bookmarkEnd w:id="981"/>
      <w:bookmarkEnd w:id="982"/>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Gazette 30 Dec 2004 p. 6965.]</w:t>
      </w:r>
    </w:p>
    <w:p>
      <w:pPr>
        <w:pStyle w:val="Heading3"/>
      </w:pPr>
      <w:bookmarkStart w:id="983" w:name="_Toc184372764"/>
      <w:bookmarkStart w:id="984" w:name="_Toc184377917"/>
      <w:bookmarkStart w:id="985" w:name="_Toc184385274"/>
      <w:bookmarkStart w:id="986" w:name="_Toc201508671"/>
      <w:bookmarkStart w:id="987" w:name="_Toc201754502"/>
      <w:bookmarkStart w:id="988" w:name="_Toc201759232"/>
      <w:r>
        <w:rPr>
          <w:rStyle w:val="CharDivNo"/>
        </w:rPr>
        <w:t>Division 4</w:t>
      </w:r>
      <w:r>
        <w:rPr>
          <w:snapToGrid w:val="0"/>
        </w:rPr>
        <w:t> — </w:t>
      </w:r>
      <w:r>
        <w:rPr>
          <w:rStyle w:val="CharDivText"/>
        </w:rPr>
        <w:t>General</w:t>
      </w:r>
      <w:bookmarkEnd w:id="983"/>
      <w:bookmarkEnd w:id="984"/>
      <w:bookmarkEnd w:id="985"/>
      <w:bookmarkEnd w:id="986"/>
      <w:bookmarkEnd w:id="987"/>
      <w:bookmarkEnd w:id="988"/>
    </w:p>
    <w:p>
      <w:pPr>
        <w:pStyle w:val="Heading5"/>
        <w:rPr>
          <w:snapToGrid w:val="0"/>
        </w:rPr>
      </w:pPr>
      <w:bookmarkStart w:id="989" w:name="_Toc201759233"/>
      <w:bookmarkStart w:id="990" w:name="_Toc184385275"/>
      <w:r>
        <w:rPr>
          <w:rStyle w:val="CharSectno"/>
        </w:rPr>
        <w:t>176</w:t>
      </w:r>
      <w:r>
        <w:rPr>
          <w:snapToGrid w:val="0"/>
        </w:rPr>
        <w:t>.</w:t>
      </w:r>
      <w:r>
        <w:rPr>
          <w:snapToGrid w:val="0"/>
        </w:rPr>
        <w:tab/>
        <w:t>Non</w:t>
      </w:r>
      <w:r>
        <w:rPr>
          <w:snapToGrid w:val="0"/>
        </w:rPr>
        <w:noBreakHyphen/>
        <w:t>endemic fish, approval to import into WA etc.</w:t>
      </w:r>
      <w:bookmarkEnd w:id="989"/>
      <w:bookmarkEnd w:id="990"/>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Gazette 6 Jul 2007 p. 3389</w:t>
      </w:r>
      <w:r>
        <w:noBreakHyphen/>
        <w:t>90; 9 Jun 2009 p. 1912.]</w:t>
      </w:r>
    </w:p>
    <w:p>
      <w:pPr>
        <w:pStyle w:val="Heading5"/>
        <w:rPr>
          <w:snapToGrid w:val="0"/>
        </w:rPr>
      </w:pPr>
      <w:bookmarkStart w:id="991" w:name="_Toc201759234"/>
      <w:bookmarkStart w:id="992" w:name="_Toc184385276"/>
      <w:r>
        <w:rPr>
          <w:rStyle w:val="CharSectno"/>
        </w:rPr>
        <w:t>177</w:t>
      </w:r>
      <w:r>
        <w:rPr>
          <w:snapToGrid w:val="0"/>
        </w:rPr>
        <w:t>.</w:t>
      </w:r>
      <w:r>
        <w:rPr>
          <w:snapToGrid w:val="0"/>
        </w:rPr>
        <w:tab/>
        <w:t>Disease control at fish processing or aquaculture places</w:t>
      </w:r>
      <w:bookmarkEnd w:id="991"/>
      <w:bookmarkEnd w:id="992"/>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Gazette 6 Jul 2007 p. 3389</w:t>
      </w:r>
      <w:r>
        <w:noBreakHyphen/>
        <w:t>90; 24 Sep 2013 p. 4450.]</w:t>
      </w:r>
    </w:p>
    <w:p>
      <w:pPr>
        <w:pStyle w:val="Heading5"/>
        <w:rPr>
          <w:snapToGrid w:val="0"/>
        </w:rPr>
      </w:pPr>
      <w:bookmarkStart w:id="993" w:name="_Toc201759235"/>
      <w:bookmarkStart w:id="994" w:name="_Toc184385277"/>
      <w:r>
        <w:rPr>
          <w:rStyle w:val="CharSectno"/>
        </w:rPr>
        <w:t>178</w:t>
      </w:r>
      <w:r>
        <w:rPr>
          <w:snapToGrid w:val="0"/>
        </w:rPr>
        <w:t>.</w:t>
      </w:r>
      <w:r>
        <w:rPr>
          <w:snapToGrid w:val="0"/>
        </w:rPr>
        <w:tab/>
        <w:t>Fish for scientific purposes, authority to fish for</w:t>
      </w:r>
      <w:bookmarkEnd w:id="993"/>
      <w:bookmarkEnd w:id="994"/>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keepNext/>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Gazette 6 Jul 2007 p. 3389</w:t>
      </w:r>
      <w:r>
        <w:noBreakHyphen/>
        <w:t>90; 9 Jun 2009 p. 1912.]</w:t>
      </w:r>
    </w:p>
    <w:p>
      <w:pPr>
        <w:pStyle w:val="Heading5"/>
        <w:rPr>
          <w:snapToGrid w:val="0"/>
        </w:rPr>
      </w:pPr>
      <w:bookmarkStart w:id="995" w:name="_Toc201759236"/>
      <w:bookmarkStart w:id="996" w:name="_Toc184385278"/>
      <w:r>
        <w:rPr>
          <w:rStyle w:val="CharSectno"/>
        </w:rPr>
        <w:t>179</w:t>
      </w:r>
      <w:r>
        <w:rPr>
          <w:snapToGrid w:val="0"/>
        </w:rPr>
        <w:t>.</w:t>
      </w:r>
      <w:r>
        <w:rPr>
          <w:snapToGrid w:val="0"/>
        </w:rPr>
        <w:tab/>
        <w:t>Fish for genetic etc. analysis, approval to take etc.</w:t>
      </w:r>
      <w:bookmarkEnd w:id="995"/>
      <w:bookmarkEnd w:id="996"/>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keepNext/>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Gazette 6 Jul 2007 p. 3389</w:t>
      </w:r>
      <w:r>
        <w:noBreakHyphen/>
        <w:t>90; 9 Jun 2009 p. 1912.]</w:t>
      </w:r>
    </w:p>
    <w:p>
      <w:pPr>
        <w:pStyle w:val="Heading5"/>
        <w:rPr>
          <w:snapToGrid w:val="0"/>
        </w:rPr>
      </w:pPr>
      <w:bookmarkStart w:id="997" w:name="_Toc201759237"/>
      <w:bookmarkStart w:id="998" w:name="_Toc184385279"/>
      <w:r>
        <w:rPr>
          <w:rStyle w:val="CharSectno"/>
        </w:rPr>
        <w:t>180</w:t>
      </w:r>
      <w:r>
        <w:rPr>
          <w:snapToGrid w:val="0"/>
        </w:rPr>
        <w:t>.</w:t>
      </w:r>
      <w:r>
        <w:rPr>
          <w:snapToGrid w:val="0"/>
        </w:rPr>
        <w:tab/>
        <w:t>Categories of fish (Sch. 4)</w:t>
      </w:r>
      <w:bookmarkEnd w:id="997"/>
      <w:bookmarkEnd w:id="998"/>
    </w:p>
    <w:p>
      <w:pPr>
        <w:pStyle w:val="Subsection"/>
        <w:keepNext/>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Gazette 1 Oct 2003 p. 4328; 4 Nov 2005 p. 5313.]</w:t>
      </w:r>
    </w:p>
    <w:p>
      <w:pPr>
        <w:pStyle w:val="Heading5"/>
      </w:pPr>
      <w:bookmarkStart w:id="999" w:name="_Toc201759238"/>
      <w:bookmarkStart w:id="1000" w:name="_Toc184385280"/>
      <w:r>
        <w:rPr>
          <w:rStyle w:val="CharSectno"/>
        </w:rPr>
        <w:t>181A</w:t>
      </w:r>
      <w:r>
        <w:t>.</w:t>
      </w:r>
      <w:r>
        <w:tab/>
        <w:t xml:space="preserve">Certain things are not personal property for purposes of </w:t>
      </w:r>
      <w:r>
        <w:rPr>
          <w:i/>
        </w:rPr>
        <w:t xml:space="preserve">Personal Property Securities Act 2009 </w:t>
      </w:r>
      <w:r>
        <w:t>(Cwlth)</w:t>
      </w:r>
      <w:bookmarkEnd w:id="999"/>
      <w:bookmarkEnd w:id="1000"/>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Gazette 22 Nov 2011 p. 4848; amended: Gazette 30 May 2014 p. 1736; 30 Jun 2015 p. 2332.]</w:t>
      </w:r>
    </w:p>
    <w:p>
      <w:pPr>
        <w:pStyle w:val="Heading5"/>
        <w:rPr>
          <w:snapToGrid w:val="0"/>
        </w:rPr>
      </w:pPr>
      <w:bookmarkStart w:id="1001" w:name="_Toc201759239"/>
      <w:bookmarkStart w:id="1002" w:name="_Toc184385281"/>
      <w:r>
        <w:rPr>
          <w:rStyle w:val="CharSectno"/>
        </w:rPr>
        <w:t>181</w:t>
      </w:r>
      <w:r>
        <w:rPr>
          <w:snapToGrid w:val="0"/>
        </w:rPr>
        <w:t>.</w:t>
      </w:r>
      <w:r>
        <w:rPr>
          <w:snapToGrid w:val="0"/>
        </w:rPr>
        <w:tab/>
        <w:t>Fees and charges, reduction and waiver of</w:t>
      </w:r>
      <w:bookmarkEnd w:id="1001"/>
      <w:bookmarkEnd w:id="1002"/>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Gazette 26 Mar 1999 p. 1280 (disallowed: Gazette 25 Jun 1999 p. 2742); amended: Gazette 13 Aug 1999 p. 3827; 6 Jul 2007 p. 3389</w:t>
      </w:r>
      <w:r>
        <w:noBreakHyphen/>
        <w:t>90.]</w:t>
      </w:r>
    </w:p>
    <w:p>
      <w:pPr>
        <w:pStyle w:val="Heading2"/>
      </w:pPr>
      <w:bookmarkStart w:id="1003" w:name="_Toc184372772"/>
      <w:bookmarkStart w:id="1004" w:name="_Toc184377925"/>
      <w:bookmarkStart w:id="1005" w:name="_Toc184385282"/>
      <w:bookmarkStart w:id="1006" w:name="_Toc201508679"/>
      <w:bookmarkStart w:id="1007" w:name="_Toc201754510"/>
      <w:bookmarkStart w:id="1008" w:name="_Toc201759240"/>
      <w:r>
        <w:rPr>
          <w:rStyle w:val="CharPartNo"/>
        </w:rPr>
        <w:t>Part 18</w:t>
      </w:r>
      <w:r>
        <w:rPr>
          <w:rStyle w:val="CharDivNo"/>
        </w:rPr>
        <w:t> </w:t>
      </w:r>
      <w:r>
        <w:t>—</w:t>
      </w:r>
      <w:r>
        <w:rPr>
          <w:rStyle w:val="CharDivText"/>
        </w:rPr>
        <w:t> </w:t>
      </w:r>
      <w:r>
        <w:rPr>
          <w:rStyle w:val="CharPartText"/>
        </w:rPr>
        <w:t>Savings and transitional provisions</w:t>
      </w:r>
      <w:bookmarkEnd w:id="1003"/>
      <w:bookmarkEnd w:id="1004"/>
      <w:bookmarkEnd w:id="1005"/>
      <w:bookmarkEnd w:id="1006"/>
      <w:bookmarkEnd w:id="1007"/>
      <w:bookmarkEnd w:id="1008"/>
    </w:p>
    <w:p>
      <w:pPr>
        <w:pStyle w:val="Heading5"/>
        <w:rPr>
          <w:snapToGrid w:val="0"/>
        </w:rPr>
      </w:pPr>
      <w:bookmarkStart w:id="1009" w:name="_Toc201759241"/>
      <w:bookmarkStart w:id="1010" w:name="_Toc184385283"/>
      <w:r>
        <w:rPr>
          <w:rStyle w:val="CharSectno"/>
        </w:rPr>
        <w:t>182</w:t>
      </w:r>
      <w:r>
        <w:rPr>
          <w:snapToGrid w:val="0"/>
        </w:rPr>
        <w:t>.</w:t>
      </w:r>
      <w:r>
        <w:rPr>
          <w:snapToGrid w:val="0"/>
        </w:rPr>
        <w:tab/>
        <w:t>Limited entry fisheries under repealed Act (Act s. 74)</w:t>
      </w:r>
      <w:bookmarkEnd w:id="1009"/>
      <w:bookmarkEnd w:id="1010"/>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Gazette 23 May 2006 p. 1860.]</w:t>
      </w:r>
    </w:p>
    <w:p>
      <w:pPr>
        <w:pStyle w:val="Heading5"/>
        <w:rPr>
          <w:snapToGrid w:val="0"/>
        </w:rPr>
      </w:pPr>
      <w:bookmarkStart w:id="1011" w:name="_Toc201759242"/>
      <w:bookmarkStart w:id="1012" w:name="_Toc184385284"/>
      <w:r>
        <w:rPr>
          <w:rStyle w:val="CharSectno"/>
        </w:rPr>
        <w:t>183</w:t>
      </w:r>
      <w:r>
        <w:rPr>
          <w:snapToGrid w:val="0"/>
        </w:rPr>
        <w:t>.</w:t>
      </w:r>
      <w:r>
        <w:rPr>
          <w:snapToGrid w:val="0"/>
        </w:rPr>
        <w:tab/>
        <w:t>Citation of notices</w:t>
      </w:r>
      <w:bookmarkEnd w:id="1011"/>
      <w:bookmarkEnd w:id="1012"/>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Gazette 23 May 2006 p. 1861.]</w:t>
      </w:r>
    </w:p>
    <w:p>
      <w:pPr>
        <w:pStyle w:val="Heading5"/>
        <w:rPr>
          <w:snapToGrid w:val="0"/>
        </w:rPr>
      </w:pPr>
      <w:bookmarkStart w:id="1013" w:name="_Toc201759243"/>
      <w:bookmarkStart w:id="1014" w:name="_Toc184385285"/>
      <w:r>
        <w:rPr>
          <w:rStyle w:val="CharSectno"/>
        </w:rPr>
        <w:t>186</w:t>
      </w:r>
      <w:r>
        <w:rPr>
          <w:snapToGrid w:val="0"/>
        </w:rPr>
        <w:t>.</w:t>
      </w:r>
      <w:r>
        <w:rPr>
          <w:snapToGrid w:val="0"/>
        </w:rPr>
        <w:tab/>
        <w:t>Certain notices under repealed Act continued as orders (Act s. 43)</w:t>
      </w:r>
      <w:bookmarkEnd w:id="1013"/>
      <w:bookmarkEnd w:id="1014"/>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015" w:name="_Toc184372776"/>
      <w:bookmarkStart w:id="1016" w:name="_Toc184377929"/>
      <w:bookmarkStart w:id="1017" w:name="_Toc184385286"/>
      <w:bookmarkStart w:id="1018" w:name="_Toc201508683"/>
      <w:bookmarkStart w:id="1019" w:name="_Toc201754514"/>
      <w:bookmarkStart w:id="1020" w:name="_Toc201759244"/>
      <w:r>
        <w:rPr>
          <w:rStyle w:val="CharSchNo"/>
        </w:rPr>
        <w:t>Schedule 1</w:t>
      </w:r>
      <w:r>
        <w:t> — </w:t>
      </w:r>
      <w:r>
        <w:rPr>
          <w:rStyle w:val="CharSchText"/>
        </w:rPr>
        <w:t>Fees</w:t>
      </w:r>
      <w:bookmarkEnd w:id="1015"/>
      <w:bookmarkEnd w:id="1016"/>
      <w:bookmarkEnd w:id="1017"/>
      <w:bookmarkEnd w:id="1018"/>
      <w:bookmarkEnd w:id="1019"/>
      <w:bookmarkEnd w:id="1020"/>
    </w:p>
    <w:p>
      <w:pPr>
        <w:pStyle w:val="yFootnoteheading"/>
      </w:pPr>
      <w:r>
        <w:tab/>
        <w:t>[Heading inserted: Gazette 9 Jun 2009 p. 1912.]</w:t>
      </w:r>
    </w:p>
    <w:p>
      <w:pPr>
        <w:pStyle w:val="yHeading2"/>
      </w:pPr>
      <w:bookmarkStart w:id="1021" w:name="_Toc184372777"/>
      <w:bookmarkStart w:id="1022" w:name="_Toc184377930"/>
      <w:bookmarkStart w:id="1023" w:name="_Toc184385287"/>
      <w:bookmarkStart w:id="1024" w:name="_Toc201508684"/>
      <w:bookmarkStart w:id="1025" w:name="_Toc201754515"/>
      <w:bookmarkStart w:id="1026" w:name="_Toc201759245"/>
      <w:r>
        <w:rPr>
          <w:rStyle w:val="CharSDivNo"/>
          <w:sz w:val="28"/>
        </w:rPr>
        <w:t>Part 1</w:t>
      </w:r>
      <w:r>
        <w:t> — </w:t>
      </w:r>
      <w:r>
        <w:rPr>
          <w:rStyle w:val="CharSDivText"/>
          <w:sz w:val="28"/>
        </w:rPr>
        <w:t>General fees</w:t>
      </w:r>
      <w:bookmarkEnd w:id="1021"/>
      <w:bookmarkEnd w:id="1022"/>
      <w:bookmarkEnd w:id="1023"/>
      <w:bookmarkEnd w:id="1024"/>
      <w:bookmarkEnd w:id="1025"/>
      <w:bookmarkEnd w:id="1026"/>
    </w:p>
    <w:p>
      <w:pPr>
        <w:pStyle w:val="yFootnoteheading"/>
      </w:pPr>
      <w:r>
        <w:tab/>
        <w:t>[Heading inserted: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 Gazette 9 Jun 2009 p. 1912; amended: Gazette 6 May 2011 p. 1609</w:t>
      </w:r>
      <w:r>
        <w:noBreakHyphen/>
        <w:t>10; 30 Jun 2015 p. 2333; 7 Oct 2016 p. 4375; 7 Jul 2017 p. 3696.]</w:t>
      </w:r>
    </w:p>
    <w:p>
      <w:pPr>
        <w:pStyle w:val="yHeading2"/>
        <w:keepLines/>
      </w:pPr>
      <w:bookmarkStart w:id="1027" w:name="_Toc184372778"/>
      <w:bookmarkStart w:id="1028" w:name="_Toc184377931"/>
      <w:bookmarkStart w:id="1029" w:name="_Toc184385288"/>
      <w:bookmarkStart w:id="1030" w:name="_Toc201508685"/>
      <w:bookmarkStart w:id="1031" w:name="_Toc201754516"/>
      <w:bookmarkStart w:id="1032" w:name="_Toc201759246"/>
      <w:r>
        <w:rPr>
          <w:rStyle w:val="CharSDivNo"/>
          <w:sz w:val="28"/>
        </w:rPr>
        <w:t>Part 2</w:t>
      </w:r>
      <w:r>
        <w:t> — </w:t>
      </w:r>
      <w:r>
        <w:rPr>
          <w:rStyle w:val="CharSDivText"/>
          <w:sz w:val="28"/>
        </w:rPr>
        <w:t>Application fees</w:t>
      </w:r>
      <w:bookmarkEnd w:id="1027"/>
      <w:bookmarkEnd w:id="1028"/>
      <w:bookmarkEnd w:id="1029"/>
      <w:bookmarkEnd w:id="1030"/>
      <w:bookmarkEnd w:id="1031"/>
      <w:bookmarkEnd w:id="1032"/>
    </w:p>
    <w:p>
      <w:pPr>
        <w:pStyle w:val="yShoulderClause"/>
        <w:keepNext/>
        <w:keepLines/>
        <w:rPr>
          <w:snapToGrid w:val="0"/>
        </w:rPr>
      </w:pPr>
      <w:r>
        <w:rPr>
          <w:snapToGrid w:val="0"/>
        </w:rPr>
        <w:t>[reg. 135]</w:t>
      </w:r>
    </w:p>
    <w:p>
      <w:pPr>
        <w:pStyle w:val="yFootnoteheading"/>
        <w:keepNext/>
        <w:keepLines/>
        <w:spacing w:before="40" w:after="80"/>
      </w:pPr>
      <w:r>
        <w:tab/>
        <w:t>[Heading inserted: Gazette 9 Jun 2009 p. 1913.]</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jc w:val="right"/>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rPr>
          <w:jc w:val="right"/>
        </w:trP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vAlign w:val="bottom"/>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rPr>
          <w:jc w:val="right"/>
        </w:trP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rPr>
          <w:jc w:val="right"/>
        </w:trP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rPr>
          <w:jc w:val="right"/>
        </w:trP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jc w:val="righ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rPr>
          <w:jc w:val="right"/>
        </w:trPr>
        <w:tc>
          <w:tcPr>
            <w:tcW w:w="5760" w:type="dxa"/>
          </w:tcPr>
          <w:p>
            <w:pPr>
              <w:pStyle w:val="yTableNAm"/>
              <w:keepNext/>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2 597.00</w:t>
            </w:r>
          </w:p>
        </w:tc>
      </w:tr>
      <w:tr>
        <w:trPr>
          <w:jc w:val="right"/>
        </w:trPr>
        <w:tc>
          <w:tcPr>
            <w:tcW w:w="5760" w:type="dxa"/>
          </w:tcPr>
          <w:p>
            <w:pPr>
              <w:pStyle w:val="yTableNAm"/>
              <w:keepNext/>
              <w:tabs>
                <w:tab w:val="clear" w:pos="567"/>
                <w:tab w:val="left" w:pos="598"/>
              </w:tabs>
              <w:ind w:left="612" w:hanging="612"/>
            </w:pPr>
            <w:r>
              <w:t>11.</w:t>
            </w:r>
            <w:r>
              <w:tab/>
              <w:t xml:space="preserve">Aquaculture licence under section 92 of the Act — </w:t>
            </w:r>
          </w:p>
        </w:tc>
        <w:tc>
          <w:tcPr>
            <w:tcW w:w="1320" w:type="dxa"/>
          </w:tcPr>
          <w:p>
            <w:pPr>
              <w:pStyle w:val="yTableNAm"/>
              <w:keepNext/>
              <w:ind w:right="238"/>
              <w:jc w:val="right"/>
            </w:pPr>
          </w:p>
        </w:tc>
      </w:tr>
      <w:tr>
        <w:trPr>
          <w:jc w:val="right"/>
        </w:trP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rPr>
          <w:jc w:val="right"/>
        </w:trP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162.00</w:t>
            </w:r>
          </w:p>
        </w:tc>
      </w:tr>
      <w:tr>
        <w:trPr>
          <w:jc w:val="right"/>
        </w:trP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jc w:val="righ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rPr>
          <w:jc w:val="right"/>
        </w:trP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r>
        <w:trPr>
          <w:jc w:val="right"/>
        </w:trP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pPr>
        <w:pStyle w:val="yHeading2"/>
        <w:keepLines/>
      </w:pPr>
      <w:bookmarkStart w:id="1033" w:name="_Toc184372779"/>
      <w:bookmarkStart w:id="1034" w:name="_Toc184377932"/>
      <w:bookmarkStart w:id="1035" w:name="_Toc184385289"/>
      <w:bookmarkStart w:id="1036" w:name="_Toc201508686"/>
      <w:bookmarkStart w:id="1037" w:name="_Toc201754517"/>
      <w:bookmarkStart w:id="1038" w:name="_Toc201759247"/>
      <w:r>
        <w:rPr>
          <w:rStyle w:val="CharSDivNo"/>
          <w:sz w:val="28"/>
        </w:rPr>
        <w:t>Part 3</w:t>
      </w:r>
      <w:r>
        <w:t> — </w:t>
      </w:r>
      <w:r>
        <w:rPr>
          <w:rStyle w:val="CharSDivText"/>
          <w:sz w:val="28"/>
        </w:rPr>
        <w:t>Fees for the grant or renewal of authorisations</w:t>
      </w:r>
      <w:bookmarkEnd w:id="1033"/>
      <w:bookmarkEnd w:id="1034"/>
      <w:bookmarkEnd w:id="1035"/>
      <w:bookmarkEnd w:id="1036"/>
      <w:bookmarkEnd w:id="1037"/>
      <w:bookmarkEnd w:id="1038"/>
    </w:p>
    <w:p>
      <w:pPr>
        <w:pStyle w:val="yShoulderClause"/>
        <w:keepNext/>
        <w:keepLines/>
        <w:rPr>
          <w:snapToGrid w:val="0"/>
        </w:rPr>
      </w:pPr>
      <w:r>
        <w:rPr>
          <w:snapToGrid w:val="0"/>
        </w:rPr>
        <w:t>[reg. 137]</w:t>
      </w:r>
    </w:p>
    <w:p>
      <w:pPr>
        <w:pStyle w:val="yFootnoteheading"/>
        <w:keepNext/>
        <w:keepLines/>
        <w:spacing w:after="120"/>
      </w:pPr>
      <w:r>
        <w:tab/>
        <w:t>[Heading inserted: Gazette 9 Jun 2009 p. 1915.]</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670"/>
        <w:gridCol w:w="1276"/>
      </w:tblGrid>
      <w:tr>
        <w:trPr>
          <w:tblHeader/>
        </w:trPr>
        <w:tc>
          <w:tcPr>
            <w:tcW w:w="5670" w:type="dxa"/>
          </w:tcPr>
          <w:p>
            <w:pPr>
              <w:pStyle w:val="yTableNAm"/>
              <w:keepNext/>
              <w:keepLines/>
              <w:rPr>
                <w:b/>
                <w:bCs/>
              </w:rPr>
            </w:pPr>
            <w:r>
              <w:rPr>
                <w:b/>
                <w:bCs/>
              </w:rPr>
              <w:t>Fee</w:t>
            </w:r>
          </w:p>
        </w:tc>
        <w:tc>
          <w:tcPr>
            <w:tcW w:w="1276" w:type="dxa"/>
          </w:tcPr>
          <w:p>
            <w:pPr>
              <w:pStyle w:val="yTableNAm"/>
              <w:keepNext/>
              <w:keepLines/>
              <w:ind w:right="118"/>
              <w:jc w:val="center"/>
              <w:rPr>
                <w:b/>
                <w:bCs/>
              </w:rPr>
            </w:pPr>
            <w:r>
              <w:rPr>
                <w:b/>
                <w:bCs/>
              </w:rPr>
              <w:t>$</w:t>
            </w:r>
          </w:p>
        </w:tc>
      </w:tr>
      <w:tr>
        <w:tc>
          <w:tcPr>
            <w:tcW w:w="567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276" w:type="dxa"/>
          </w:tcPr>
          <w:p>
            <w:pPr>
              <w:pStyle w:val="yTableNAm"/>
              <w:keepNext/>
              <w:ind w:right="118"/>
              <w:jc w:val="right"/>
            </w:pPr>
          </w:p>
        </w:tc>
      </w:tr>
      <w:tr>
        <w:trPr>
          <w:cantSplit/>
        </w:trPr>
        <w:tc>
          <w:tcPr>
            <w:tcW w:w="567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276" w:type="dxa"/>
          </w:tcPr>
          <w:p>
            <w:pPr>
              <w:pStyle w:val="yTableNAm"/>
              <w:ind w:right="118"/>
              <w:jc w:val="right"/>
            </w:pPr>
            <w:r>
              <w:br/>
            </w:r>
            <w:r>
              <w:br/>
            </w:r>
            <w:r>
              <w:rPr>
                <w:szCs w:val="22"/>
              </w:rPr>
              <w:t>862.00</w:t>
            </w:r>
          </w:p>
        </w:tc>
      </w:tr>
      <w:tr>
        <w:tc>
          <w:tcPr>
            <w:tcW w:w="567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276" w:type="dxa"/>
          </w:tcPr>
          <w:p>
            <w:pPr>
              <w:pStyle w:val="yTableNAm"/>
              <w:ind w:right="118"/>
              <w:jc w:val="right"/>
            </w:pPr>
            <w:r>
              <w:br/>
            </w:r>
            <w:r>
              <w:br/>
            </w:r>
            <w:r>
              <w:rPr>
                <w:szCs w:val="22"/>
              </w:rPr>
              <w:t>1 581.00</w:t>
            </w:r>
          </w:p>
        </w:tc>
      </w:tr>
      <w:tr>
        <w:tc>
          <w:tcPr>
            <w:tcW w:w="567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276" w:type="dxa"/>
          </w:tcPr>
          <w:p>
            <w:pPr>
              <w:pStyle w:val="yTableNAm"/>
              <w:ind w:right="118"/>
              <w:jc w:val="right"/>
            </w:pPr>
            <w:r>
              <w:br/>
            </w:r>
            <w:r>
              <w:br/>
            </w:r>
            <w:r>
              <w:rPr>
                <w:szCs w:val="22"/>
              </w:rPr>
              <w:t>2 125.00</w:t>
            </w:r>
          </w:p>
        </w:tc>
      </w:tr>
      <w:tr>
        <w:tc>
          <w:tcPr>
            <w:tcW w:w="5670" w:type="dxa"/>
          </w:tcPr>
          <w:p>
            <w:pPr>
              <w:pStyle w:val="yTableNAm"/>
              <w:keepNext/>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276" w:type="dxa"/>
          </w:tcPr>
          <w:p>
            <w:pPr>
              <w:pStyle w:val="yTableNAm"/>
              <w:keepNext/>
              <w:ind w:right="118"/>
              <w:jc w:val="right"/>
            </w:pPr>
            <w:r>
              <w:br/>
            </w:r>
            <w:r>
              <w:br/>
            </w:r>
            <w:r>
              <w:rPr>
                <w:szCs w:val="22"/>
              </w:rPr>
              <w:t>1 280.00</w:t>
            </w:r>
          </w:p>
        </w:tc>
      </w:tr>
      <w:tr>
        <w:tc>
          <w:tcPr>
            <w:tcW w:w="567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276" w:type="dxa"/>
          </w:tcPr>
          <w:p>
            <w:pPr>
              <w:pStyle w:val="yTableNAm"/>
              <w:ind w:right="118"/>
              <w:jc w:val="right"/>
            </w:pPr>
            <w:r>
              <w:br/>
            </w:r>
            <w:r>
              <w:br/>
            </w:r>
            <w:r>
              <w:rPr>
                <w:szCs w:val="22"/>
              </w:rPr>
              <w:t>420.00</w:t>
            </w:r>
          </w:p>
        </w:tc>
      </w:tr>
      <w:tr>
        <w:tc>
          <w:tcPr>
            <w:tcW w:w="5670" w:type="dxa"/>
          </w:tcPr>
          <w:p>
            <w:pPr>
              <w:pStyle w:val="yTableNAm"/>
              <w:keepNext/>
              <w:keepLines/>
              <w:tabs>
                <w:tab w:val="clear" w:pos="567"/>
                <w:tab w:val="left" w:pos="598"/>
                <w:tab w:val="left" w:pos="1220"/>
                <w:tab w:val="left" w:pos="1700"/>
              </w:tabs>
              <w:ind w:left="1700" w:hanging="1700"/>
            </w:pPr>
            <w:r>
              <w:t>2.</w:t>
            </w:r>
            <w:r>
              <w:tab/>
              <w:t>Aquaculture licence</w:t>
            </w:r>
          </w:p>
        </w:tc>
        <w:tc>
          <w:tcPr>
            <w:tcW w:w="1276" w:type="dxa"/>
          </w:tcPr>
          <w:p>
            <w:pPr>
              <w:pStyle w:val="yTableNAm"/>
              <w:keepNext/>
              <w:keepLines/>
              <w:ind w:right="118"/>
              <w:jc w:val="right"/>
            </w:pPr>
          </w:p>
        </w:tc>
      </w:tr>
      <w:tr>
        <w:tc>
          <w:tcPr>
            <w:tcW w:w="5670" w:type="dxa"/>
          </w:tcPr>
          <w:p>
            <w:pPr>
              <w:pStyle w:val="yTableNAm"/>
              <w:keepNext/>
              <w:keepLines/>
              <w:tabs>
                <w:tab w:val="left" w:pos="1168"/>
                <w:tab w:val="left" w:pos="2019"/>
              </w:tabs>
              <w:ind w:left="1168" w:hanging="1700"/>
            </w:pPr>
            <w:r>
              <w:tab/>
              <w:t>(a)</w:t>
            </w:r>
            <w:r>
              <w:tab/>
              <w:t xml:space="preserve">any licence other than a licence referred to in paragraph (b) </w:t>
            </w:r>
          </w:p>
        </w:tc>
        <w:tc>
          <w:tcPr>
            <w:tcW w:w="1276" w:type="dxa"/>
          </w:tcPr>
          <w:p>
            <w:pPr>
              <w:pStyle w:val="yTableNAm"/>
              <w:keepNext/>
              <w:keepLines/>
              <w:ind w:right="118"/>
              <w:jc w:val="right"/>
            </w:pPr>
            <w:r>
              <w:br/>
            </w:r>
            <w:r>
              <w:rPr>
                <w:szCs w:val="22"/>
              </w:rPr>
              <w:t>363.00</w:t>
            </w:r>
          </w:p>
        </w:tc>
      </w:tr>
      <w:tr>
        <w:tc>
          <w:tcPr>
            <w:tcW w:w="567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276" w:type="dxa"/>
            <w:tcBorders>
              <w:bottom w:val="nil"/>
            </w:tcBorders>
          </w:tcPr>
          <w:p>
            <w:pPr>
              <w:pStyle w:val="yTableNAm"/>
              <w:ind w:right="118"/>
              <w:jc w:val="right"/>
            </w:pPr>
          </w:p>
        </w:tc>
      </w:tr>
      <w:tr>
        <w:tc>
          <w:tcPr>
            <w:tcW w:w="567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276" w:type="dxa"/>
            <w:tcBorders>
              <w:top w:val="nil"/>
            </w:tcBorders>
          </w:tcPr>
          <w:p>
            <w:pPr>
              <w:pStyle w:val="yTableNAm"/>
              <w:ind w:right="118"/>
              <w:jc w:val="right"/>
            </w:pPr>
            <w:r>
              <w:br/>
            </w:r>
            <w:r>
              <w:br/>
            </w:r>
            <w:r>
              <w:br/>
            </w:r>
            <w:r>
              <w:br/>
            </w:r>
            <w:r>
              <w:br/>
            </w:r>
            <w:r>
              <w:br/>
            </w:r>
          </w:p>
          <w:p>
            <w:pPr>
              <w:pStyle w:val="yTableNAm"/>
              <w:ind w:right="118"/>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3.</w:t>
            </w:r>
            <w:r>
              <w:tab/>
              <w:t>Managed fishery licence fees</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greenlip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18.58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brownlip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18.58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(c)</w:t>
            </w:r>
            <w:r>
              <w:tab/>
              <w:t>for Roe’s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0.64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w:t>
            </w:r>
            <w:r>
              <w:tab/>
              <w:t>Abrolhos Islands and Mid West Trawl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32 721.00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(3)</w:t>
            </w:r>
            <w:r>
              <w:tab/>
              <w:t>Broome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48.61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(4)</w:t>
            </w:r>
            <w:r>
              <w:tab/>
              <w:t>Cockburn Sound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3 662.96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(5)</w:t>
            </w:r>
            <w:r>
              <w:tab/>
              <w:t>Cockburn Sound (Line and Pot)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213.15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1.34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(6)</w:t>
            </w:r>
            <w:r>
              <w:tab/>
              <w:t>Cockburn Sound (Mussel)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(7)</w:t>
            </w:r>
            <w:r>
              <w:tab/>
              <w:t>Exmouth Gulf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51 370.52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(8)</w:t>
            </w:r>
            <w:r>
              <w:tab/>
              <w:t>Gascoyne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9.68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13.09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(9)</w:t>
            </w:r>
            <w:r>
              <w:tab/>
              <w:t>Kimberley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2.68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(10)</w:t>
            </w:r>
            <w:r>
              <w:tab/>
              <w:t>Kimberley Gillnet and Barramundi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13 366.24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(11)</w:t>
            </w:r>
            <w:r>
              <w:tab/>
              <w:t>Kimberley Prawn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2 538.24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2 538.24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(12)</w:t>
            </w:r>
            <w:r>
              <w:tab/>
              <w:t>Mackerel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38.55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1B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2A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14.91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2B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3A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10.48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(f)</w:t>
            </w:r>
            <w:r>
              <w:tab/>
              <w:t>per class 3B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3.13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(13)</w:t>
            </w:r>
            <w:r>
              <w:tab/>
              <w:t>Marine Aquarium 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2 012.00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0.39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G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L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S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(14)</w:t>
            </w:r>
            <w:r>
              <w:tab/>
              <w:t>Nickol Bay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3 976.10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(15)</w:t>
            </w:r>
            <w:r>
              <w:tab/>
              <w:t>Northern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an Area 2 licence, per zone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51.92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an Area 2 licence, per zone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507.60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for an Area 2 licence, per zone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2.74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(16)</w:t>
            </w:r>
            <w:r>
              <w:tab/>
              <w:t>Octopus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6.87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9.42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2.33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(17)</w:t>
            </w:r>
            <w:r>
              <w:tab/>
              <w:t xml:space="preserve">Onslow Prawn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3 740.49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63.97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63.94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D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63.67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(18)</w:t>
            </w:r>
            <w:r>
              <w:tab/>
              <w:t>Pilbara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7.46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(19)</w:t>
            </w:r>
            <w:r>
              <w:tab/>
              <w:t xml:space="preserve">Pilbara Fish Trawl Managed Fishery, per fish trawl unit of entitlement conferred by the licence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25.69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(20)</w:t>
            </w:r>
            <w:r>
              <w:tab/>
              <w:t>Pilbara Trap Managed Fishery, per trap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61.81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(21)</w:t>
            </w:r>
            <w:r>
              <w:tab/>
              <w:t>Shark Bay Beach Seine and Mesh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5 446.41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(22)</w:t>
            </w:r>
            <w:r>
              <w:tab/>
              <w:t>Shark Bay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(23)</w:t>
            </w:r>
            <w:r>
              <w:tab/>
              <w:t>Shark Bay Prawn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995.62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(24)</w:t>
            </w:r>
            <w:r>
              <w:tab/>
              <w:t>Shark Bay Scallop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21 412.77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5 608.10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(25)</w:t>
            </w:r>
            <w:r>
              <w:tab/>
              <w:t>South Coast Crustacean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53.69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10.35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24.58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5.87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(26)</w:t>
            </w:r>
            <w:r>
              <w:tab/>
              <w:t>South Coast Estuarine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3 162.79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t>(27)</w:t>
            </w:r>
            <w:r>
              <w:tab/>
              <w:t xml:space="preserve">South Coast Line and Fish Trap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1 002.26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294.87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ind w:left="1168" w:hanging="1168"/>
            </w:pPr>
            <w:r>
              <w:tab/>
              <w:t>(c)</w:t>
            </w:r>
            <w:r>
              <w:tab/>
              <w:t>per class C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202.73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rPr>
                <w:rStyle w:val="DraftersNotes"/>
                <w:b w:val="0"/>
                <w:i w:val="0"/>
              </w:rPr>
            </w:pPr>
            <w:r>
              <w:tab/>
              <w:t>(d)</w:t>
            </w:r>
            <w:r>
              <w:tab/>
              <w:t>per class D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57.58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t>(28)</w:t>
            </w:r>
            <w:r>
              <w:tab/>
              <w:t>South Coast Nearshore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277.70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(29)</w:t>
            </w:r>
            <w:r>
              <w:tab/>
              <w:t>South Coast Purse Seine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217.76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152.99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155.03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(30)</w:t>
            </w:r>
            <w:r>
              <w:tab/>
              <w:t>South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128.21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(31)</w:t>
            </w:r>
            <w:r>
              <w:tab/>
              <w:t>Southern Demersal Gillnet and Demersal Longline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18.11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(32)</w:t>
            </w:r>
            <w:r>
              <w:tab/>
              <w:t>South West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675.23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(33)</w:t>
            </w:r>
            <w:r>
              <w:tab/>
              <w:t>South West Trawl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1 673.62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(34)</w:t>
            </w:r>
            <w:r>
              <w:tab/>
              <w:t>Specimen Shell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1 030.00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(35)</w:t>
            </w:r>
            <w:r>
              <w:tab/>
              <w:t>West Coast (Beach Bait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323.95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(36)</w:t>
            </w:r>
            <w:r>
              <w:tab/>
              <w:t xml:space="preserve">West Coast Deep Sea Crustacean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77.81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11.92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(37)</w:t>
            </w:r>
            <w:r>
              <w:tab/>
              <w:t>West Coast Demersal Gillnet and Demersal Longline Interim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(38)</w:t>
            </w:r>
            <w:r>
              <w:tab/>
              <w:t>West Coast Demersal Scalefish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the Kalbarri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5.98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the Mid</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3.93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the South</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8.76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ind w:left="1168" w:hanging="1168"/>
            </w:pPr>
            <w:r>
              <w:t>(39)</w:t>
            </w:r>
            <w:r>
              <w:tab/>
              <w:t>West Coast Estuarine Managed Fishery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4 545.94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Area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8 577.03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Area 3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5 312.59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ind w:left="1168" w:hanging="1168"/>
            </w:pPr>
            <w:r>
              <w:t>(40)</w:t>
            </w:r>
            <w:r>
              <w:tab/>
              <w:t>West Coast Purse Seine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2 563.77</w:t>
            </w:r>
          </w:p>
        </w:tc>
      </w:tr>
      <w:tr>
        <w:tc>
          <w:tcPr>
            <w:tcW w:w="5670" w:type="dxa"/>
          </w:tcPr>
          <w:p>
            <w:pPr>
              <w:pStyle w:val="yEdnotesection"/>
              <w:tabs>
                <w:tab w:val="clear" w:pos="893"/>
                <w:tab w:val="left" w:pos="601"/>
              </w:tabs>
              <w:spacing w:before="120"/>
              <w:ind w:left="743" w:hanging="743"/>
            </w:pPr>
            <w:r>
              <w:t>[4.</w:t>
            </w:r>
            <w:r>
              <w:tab/>
              <w:t>deleted]</w:t>
            </w:r>
          </w:p>
        </w:tc>
        <w:tc>
          <w:tcPr>
            <w:tcW w:w="1276" w:type="dxa"/>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670" w:type="dxa"/>
          </w:tcPr>
          <w:p>
            <w:pPr>
              <w:pStyle w:val="yTableNAm"/>
              <w:keepNext/>
              <w:tabs>
                <w:tab w:val="clear" w:pos="567"/>
                <w:tab w:val="left" w:pos="598"/>
              </w:tabs>
              <w:ind w:left="612" w:hanging="612"/>
            </w:pPr>
            <w:r>
              <w:t>6.</w:t>
            </w:r>
            <w:r>
              <w:tab/>
              <w:t>Fishing boat licence</w:t>
            </w:r>
          </w:p>
          <w:p>
            <w:pPr>
              <w:pStyle w:val="yTableNAm"/>
              <w:keepNext/>
              <w:tabs>
                <w:tab w:val="clear" w:pos="567"/>
                <w:tab w:val="left" w:pos="598"/>
              </w:tabs>
              <w:ind w:left="612" w:hanging="612"/>
            </w:pPr>
            <w:r>
              <w:tab/>
              <w:t xml:space="preserve">Types of boat — </w:t>
            </w:r>
          </w:p>
        </w:tc>
        <w:tc>
          <w:tcPr>
            <w:tcW w:w="1276" w:type="dxa"/>
          </w:tcPr>
          <w:p>
            <w:pPr>
              <w:pStyle w:val="yTableNAm"/>
              <w:keepNext/>
              <w:ind w:right="118"/>
              <w:jc w:val="right"/>
            </w:pPr>
          </w:p>
        </w:tc>
      </w:tr>
      <w:tr>
        <w:tc>
          <w:tcPr>
            <w:tcW w:w="5670" w:type="dxa"/>
          </w:tcPr>
          <w:p>
            <w:pPr>
              <w:pStyle w:val="yTableNAm"/>
              <w:tabs>
                <w:tab w:val="clear" w:pos="567"/>
                <w:tab w:val="left" w:pos="598"/>
                <w:tab w:val="left" w:pos="1220"/>
              </w:tabs>
              <w:ind w:left="1219" w:hanging="1219"/>
            </w:pPr>
            <w:r>
              <w:tab/>
              <w:t>(1)</w:t>
            </w:r>
            <w:r>
              <w:tab/>
              <w:t xml:space="preserve">a boat 6.5 m or longer </w:t>
            </w:r>
          </w:p>
        </w:tc>
        <w:tc>
          <w:tcPr>
            <w:tcW w:w="1276" w:type="dxa"/>
          </w:tcPr>
          <w:p>
            <w:pPr>
              <w:pStyle w:val="yTableNAm"/>
              <w:ind w:right="118"/>
              <w:jc w:val="right"/>
            </w:pPr>
            <w:r>
              <w:t>315.00</w:t>
            </w:r>
          </w:p>
        </w:tc>
      </w:tr>
      <w:tr>
        <w:tc>
          <w:tcPr>
            <w:tcW w:w="5670" w:type="dxa"/>
          </w:tcPr>
          <w:p>
            <w:pPr>
              <w:pStyle w:val="yTableNAm"/>
              <w:tabs>
                <w:tab w:val="clear" w:pos="567"/>
                <w:tab w:val="left" w:pos="598"/>
                <w:tab w:val="left" w:pos="1220"/>
              </w:tabs>
              <w:ind w:left="1220" w:hanging="1220"/>
            </w:pPr>
            <w:r>
              <w:tab/>
              <w:t>(2)</w:t>
            </w:r>
            <w:r>
              <w:tab/>
              <w:t xml:space="preserve">a boat shorter than 6.5 m </w:t>
            </w:r>
          </w:p>
        </w:tc>
        <w:tc>
          <w:tcPr>
            <w:tcW w:w="1276" w:type="dxa"/>
          </w:tcPr>
          <w:p>
            <w:pPr>
              <w:pStyle w:val="yTableNAm"/>
              <w:ind w:right="118"/>
              <w:jc w:val="right"/>
            </w:pPr>
            <w:r>
              <w:t>85.00</w:t>
            </w:r>
          </w:p>
        </w:tc>
      </w:tr>
      <w:tr>
        <w:tc>
          <w:tcPr>
            <w:tcW w:w="5670" w:type="dxa"/>
          </w:tcPr>
          <w:p>
            <w:pPr>
              <w:pStyle w:val="yEdnotesection"/>
              <w:tabs>
                <w:tab w:val="clear" w:pos="893"/>
                <w:tab w:val="left" w:pos="601"/>
              </w:tabs>
              <w:spacing w:before="120"/>
              <w:ind w:left="743" w:hanging="743"/>
            </w:pPr>
            <w:r>
              <w:t>[7.</w:t>
            </w:r>
            <w:r>
              <w:tab/>
              <w:t>deleted]</w:t>
            </w:r>
          </w:p>
        </w:tc>
        <w:tc>
          <w:tcPr>
            <w:tcW w:w="1276" w:type="dxa"/>
          </w:tcPr>
          <w:p>
            <w:pPr>
              <w:pStyle w:val="yTableNAm"/>
              <w:ind w:right="118"/>
              <w:jc w:val="right"/>
            </w:pPr>
          </w:p>
        </w:tc>
      </w:tr>
      <w:tr>
        <w:tc>
          <w:tcPr>
            <w:tcW w:w="5670" w:type="dxa"/>
            <w:vAlign w:val="bottom"/>
          </w:tcPr>
          <w:p>
            <w:pPr>
              <w:pStyle w:val="yTableNAm"/>
              <w:keepNext/>
              <w:tabs>
                <w:tab w:val="clear" w:pos="567"/>
                <w:tab w:val="left" w:pos="598"/>
              </w:tabs>
              <w:ind w:left="612" w:hanging="612"/>
            </w:pPr>
            <w:r>
              <w:t>8.</w:t>
            </w:r>
            <w:r>
              <w:tab/>
              <w:t>Recreational fishing licence (r. 124) —</w:t>
            </w:r>
          </w:p>
        </w:tc>
        <w:tc>
          <w:tcPr>
            <w:tcW w:w="1276" w:type="dxa"/>
            <w:vAlign w:val="bottom"/>
          </w:tcPr>
          <w:p>
            <w:pPr>
              <w:pStyle w:val="yTableNAm"/>
              <w:keepNext/>
              <w:ind w:right="118"/>
              <w:jc w:val="right"/>
            </w:pPr>
          </w:p>
        </w:tc>
      </w:tr>
      <w:tr>
        <w:tc>
          <w:tcPr>
            <w:tcW w:w="5670" w:type="dxa"/>
            <w:vAlign w:val="bottom"/>
          </w:tcPr>
          <w:p>
            <w:pPr>
              <w:pStyle w:val="yTableNAm"/>
              <w:keepNext/>
              <w:tabs>
                <w:tab w:val="clear" w:pos="567"/>
                <w:tab w:val="left" w:pos="587"/>
                <w:tab w:val="left" w:pos="1168"/>
              </w:tabs>
              <w:ind w:left="1168" w:hanging="1168"/>
            </w:pPr>
            <w:r>
              <w:tab/>
              <w:t>(a)</w:t>
            </w:r>
            <w:r>
              <w:tab/>
              <w:t>fishing for rock lobster</w:t>
            </w:r>
          </w:p>
        </w:tc>
        <w:tc>
          <w:tcPr>
            <w:tcW w:w="1276" w:type="dxa"/>
            <w:vAlign w:val="bottom"/>
          </w:tcPr>
          <w:p>
            <w:pPr>
              <w:pStyle w:val="yTableNAm"/>
              <w:keepNext/>
              <w:ind w:right="118"/>
              <w:jc w:val="right"/>
            </w:pPr>
            <w:r>
              <w:rPr>
                <w:szCs w:val="22"/>
              </w:rPr>
              <w:t>50.00</w:t>
            </w:r>
          </w:p>
        </w:tc>
      </w:tr>
      <w:tr>
        <w:tc>
          <w:tcPr>
            <w:tcW w:w="5670" w:type="dxa"/>
            <w:vAlign w:val="bottom"/>
          </w:tcPr>
          <w:p>
            <w:pPr>
              <w:pStyle w:val="yTableNAm"/>
              <w:tabs>
                <w:tab w:val="clear" w:pos="567"/>
                <w:tab w:val="left" w:pos="587"/>
                <w:tab w:val="left" w:pos="1168"/>
              </w:tabs>
              <w:ind w:left="1168" w:hanging="1168"/>
            </w:pPr>
            <w:r>
              <w:tab/>
              <w:t>(b)</w:t>
            </w:r>
            <w:r>
              <w:tab/>
              <w:t>fishing for marron</w:t>
            </w:r>
          </w:p>
        </w:tc>
        <w:tc>
          <w:tcPr>
            <w:tcW w:w="1276" w:type="dxa"/>
            <w:vAlign w:val="bottom"/>
          </w:tcPr>
          <w:p>
            <w:pPr>
              <w:pStyle w:val="yTableNAm"/>
              <w:ind w:right="118"/>
              <w:jc w:val="right"/>
            </w:pPr>
            <w:r>
              <w:rPr>
                <w:szCs w:val="22"/>
              </w:rPr>
              <w:t>50.00</w:t>
            </w:r>
          </w:p>
        </w:tc>
      </w:tr>
      <w:tr>
        <w:tc>
          <w:tcPr>
            <w:tcW w:w="5670" w:type="dxa"/>
          </w:tcPr>
          <w:p>
            <w:pPr>
              <w:pStyle w:val="yTableNAm"/>
              <w:tabs>
                <w:tab w:val="clear" w:pos="567"/>
                <w:tab w:val="left" w:pos="587"/>
                <w:tab w:val="left" w:pos="1168"/>
              </w:tabs>
              <w:ind w:left="1168" w:hanging="1168"/>
            </w:pPr>
            <w:r>
              <w:tab/>
              <w:t>(c)</w:t>
            </w:r>
            <w:r>
              <w:tab/>
              <w:t xml:space="preserve">fishing for abalone </w:t>
            </w:r>
          </w:p>
        </w:tc>
        <w:tc>
          <w:tcPr>
            <w:tcW w:w="1276" w:type="dxa"/>
          </w:tcPr>
          <w:p>
            <w:pPr>
              <w:pStyle w:val="yTableNAm"/>
              <w:ind w:right="118"/>
              <w:jc w:val="right"/>
            </w:pPr>
            <w:r>
              <w:rPr>
                <w:szCs w:val="22"/>
              </w:rPr>
              <w:t>50.00</w:t>
            </w:r>
          </w:p>
        </w:tc>
      </w:tr>
      <w:tr>
        <w:trPr>
          <w:cantSplit/>
        </w:trPr>
        <w:tc>
          <w:tcPr>
            <w:tcW w:w="567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276" w:type="dxa"/>
            <w:vAlign w:val="bottom"/>
          </w:tcPr>
          <w:p>
            <w:pPr>
              <w:pStyle w:val="yTableNAm"/>
              <w:ind w:right="119"/>
              <w:jc w:val="right"/>
            </w:pPr>
            <w:r>
              <w:br/>
            </w:r>
            <w:r>
              <w:br/>
            </w:r>
            <w:r>
              <w:br/>
            </w:r>
            <w:r>
              <w:rPr>
                <w:szCs w:val="22"/>
              </w:rPr>
              <w:t>50.00</w:t>
            </w:r>
          </w:p>
        </w:tc>
      </w:tr>
      <w:tr>
        <w:tc>
          <w:tcPr>
            <w:tcW w:w="567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98"/>
              </w:tabs>
              <w:ind w:left="612" w:hanging="612"/>
            </w:pPr>
            <w:r>
              <w:t>9.</w:t>
            </w:r>
            <w:r>
              <w:tab/>
              <w:t>Recreational (boat) fishing licence (r. 124C)</w:t>
            </w:r>
          </w:p>
        </w:tc>
        <w:tc>
          <w:tcPr>
            <w:tcW w:w="1276" w:type="dxa"/>
            <w:vAlign w:val="bottom"/>
          </w:tcPr>
          <w:p>
            <w:pPr>
              <w:pStyle w:val="yTableNAm"/>
              <w:ind w:right="118"/>
              <w:jc w:val="right"/>
            </w:pPr>
            <w:r>
              <w:rPr>
                <w:szCs w:val="22"/>
              </w:rPr>
              <w:t>40.00</w:t>
            </w:r>
          </w:p>
        </w:tc>
      </w:tr>
    </w:tbl>
    <w:p>
      <w:pPr>
        <w:pStyle w:val="yFootnotesection"/>
        <w:keepLines w:val="0"/>
      </w:pPr>
      <w:r>
        <w:tab/>
        <w:t>[Part 3 inserted: Gazette 9 Jun 2009 p. 1915</w:t>
      </w:r>
      <w:r>
        <w:noBreakHyphen/>
        <w:t>20; amended: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 SL 2021/166 r. 4; SL 2022/134 r. 4; SL 2024/158 r. 4; SL 2024/263 r. 19.]</w:t>
      </w:r>
    </w:p>
    <w:p>
      <w:pPr>
        <w:pStyle w:val="yScheduleHeading"/>
      </w:pPr>
      <w:bookmarkStart w:id="1039" w:name="_Toc184372780"/>
      <w:bookmarkStart w:id="1040" w:name="_Toc184377933"/>
      <w:bookmarkStart w:id="1041" w:name="_Toc184385290"/>
      <w:bookmarkStart w:id="1042" w:name="_Toc201508687"/>
      <w:bookmarkStart w:id="1043" w:name="_Toc201754518"/>
      <w:bookmarkStart w:id="1044" w:name="_Toc201759248"/>
      <w:r>
        <w:rPr>
          <w:rStyle w:val="CharSchNo"/>
        </w:rPr>
        <w:t>Schedule 2</w:t>
      </w:r>
      <w:r>
        <w:t> — </w:t>
      </w:r>
      <w:r>
        <w:rPr>
          <w:rStyle w:val="CharSchText"/>
        </w:rPr>
        <w:t>Protected fish</w:t>
      </w:r>
      <w:bookmarkEnd w:id="1039"/>
      <w:bookmarkEnd w:id="1040"/>
      <w:bookmarkEnd w:id="1041"/>
      <w:bookmarkEnd w:id="1042"/>
      <w:bookmarkEnd w:id="1043"/>
      <w:bookmarkEnd w:id="1044"/>
    </w:p>
    <w:p>
      <w:pPr>
        <w:pStyle w:val="yShoulderClause"/>
      </w:pPr>
      <w:r>
        <w:t>[s. 46, 47 and 48A and r. 10]</w:t>
      </w:r>
    </w:p>
    <w:p>
      <w:pPr>
        <w:pStyle w:val="yFootnoteheading"/>
      </w:pPr>
      <w:r>
        <w:tab/>
        <w:t>[Heading inserted: Gazette 14 Sep 2012 p. 4375.]</w:t>
      </w:r>
    </w:p>
    <w:p>
      <w:pPr>
        <w:pStyle w:val="yHeading2"/>
      </w:pPr>
      <w:bookmarkStart w:id="1045" w:name="_Toc184372781"/>
      <w:bookmarkStart w:id="1046" w:name="_Toc184377934"/>
      <w:bookmarkStart w:id="1047" w:name="_Toc184385291"/>
      <w:bookmarkStart w:id="1048" w:name="_Toc201508688"/>
      <w:bookmarkStart w:id="1049" w:name="_Toc201754519"/>
      <w:bookmarkStart w:id="1050" w:name="_Toc201759249"/>
      <w:r>
        <w:rPr>
          <w:rStyle w:val="CharSDivNo"/>
          <w:sz w:val="28"/>
        </w:rPr>
        <w:t>Part 1</w:t>
      </w:r>
      <w:r>
        <w:t> — </w:t>
      </w:r>
      <w:r>
        <w:rPr>
          <w:rStyle w:val="CharSDivText"/>
          <w:sz w:val="28"/>
        </w:rPr>
        <w:t>Commercially protected fish</w:t>
      </w:r>
      <w:bookmarkEnd w:id="1045"/>
      <w:bookmarkEnd w:id="1046"/>
      <w:bookmarkEnd w:id="1047"/>
      <w:bookmarkEnd w:id="1048"/>
      <w:bookmarkEnd w:id="1049"/>
      <w:bookmarkEnd w:id="1050"/>
    </w:p>
    <w:p>
      <w:pPr>
        <w:pStyle w:val="yNumberedItem"/>
        <w:rPr>
          <w:snapToGrid w:val="0"/>
        </w:rPr>
      </w:pPr>
      <w:r>
        <w:rPr>
          <w:snapToGrid w:val="0"/>
        </w:rPr>
        <w:tab/>
        <w:t>All freshwater aquatic organisms other than sooty grunter and catfish of the Family Ariidae.</w:t>
      </w:r>
    </w:p>
    <w:p>
      <w:pPr>
        <w:pStyle w:val="yNumberedItem"/>
        <w:rPr>
          <w:snapToGrid w:val="0"/>
        </w:rPr>
      </w:pPr>
      <w:r>
        <w:rPr>
          <w:snapToGrid w:val="0"/>
        </w:rPr>
        <w:tab/>
        <w:t>Billfish (marlins, sailfish and spearfish).</w:t>
      </w:r>
    </w:p>
    <w:p>
      <w:pPr>
        <w:pStyle w:val="yNumberedItem"/>
        <w:rPr>
          <w:snapToGrid w:val="0"/>
        </w:rPr>
      </w:pPr>
      <w:r>
        <w:rPr>
          <w:snapToGrid w:val="0"/>
        </w:rPr>
        <w:tab/>
        <w:t>Oyster of the Families Ostreidae and Pteriidae.</w:t>
      </w:r>
    </w:p>
    <w:p>
      <w:pPr>
        <w:pStyle w:val="yNumberedItem"/>
      </w:pPr>
      <w:r>
        <w:tab/>
        <w:t>Setose western rock lobster —</w:t>
      </w:r>
    </w:p>
    <w:p>
      <w:pPr>
        <w:pStyle w:val="yNumberedItemPara"/>
      </w:pPr>
      <w:r>
        <w:tab/>
        <w:t>(a)</w:t>
      </w:r>
      <w:r>
        <w:tab/>
        <w:t>taken from; or</w:t>
      </w:r>
    </w:p>
    <w:p>
      <w:pPr>
        <w:pStyle w:val="yNumberedItemPara"/>
      </w:pPr>
      <w:r>
        <w:tab/>
        <w:t>(b)</w:t>
      </w:r>
      <w:r>
        <w:tab/>
        <w:t>in the possession of, or consigned by, a person on a boat on; or</w:t>
      </w:r>
    </w:p>
    <w:p>
      <w:pPr>
        <w:pStyle w:val="yNumberedItemPara"/>
      </w:pPr>
      <w:r>
        <w:tab/>
        <w:t>(c)</w:t>
      </w:r>
      <w:r>
        <w:tab/>
        <w:t>brought onto land from,</w:t>
      </w:r>
    </w:p>
    <w:p>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pPr>
        <w:pStyle w:val="yNumberedItem"/>
        <w:rPr>
          <w:snapToGrid w:val="0"/>
        </w:rPr>
      </w:pPr>
      <w:r>
        <w:rPr>
          <w:snapToGrid w:val="0"/>
        </w:rPr>
        <w:tab/>
        <w:t>Sharks and Rays, other than sharks or rays that are totally protected fish.</w:t>
      </w:r>
    </w:p>
    <w:p>
      <w:pPr>
        <w:pStyle w:val="yNumberedItem"/>
      </w:pPr>
      <w:r>
        <w:tab/>
        <w:t>In this Part —</w:t>
      </w:r>
    </w:p>
    <w:p>
      <w:pPr>
        <w:pStyle w:val="yDefstart"/>
      </w:pPr>
      <w:r>
        <w:tab/>
      </w:r>
      <w:r>
        <w:rPr>
          <w:rStyle w:val="CharDefText"/>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Footnotesection"/>
      </w:pPr>
      <w:r>
        <w:tab/>
        <w:t>[Part 1 amended: Gazette 12 Sep 1997 p. 5154; 5 Dec 1997 p. 7123; 1 Oct 2003 p. 4344; 10 Nov 2006 p. 4709; 4 Sep 2007 p. 4520; 18 Nov 2011 p. 4810; 23 Jan 2015 p. 401; 4 Oct 2019 p. 3547-8.]</w:t>
      </w:r>
    </w:p>
    <w:p>
      <w:pPr>
        <w:pStyle w:val="yHeading2"/>
      </w:pPr>
      <w:bookmarkStart w:id="1051" w:name="_Toc184372782"/>
      <w:bookmarkStart w:id="1052" w:name="_Toc184377935"/>
      <w:bookmarkStart w:id="1053" w:name="_Toc184385292"/>
      <w:bookmarkStart w:id="1054" w:name="_Toc201508689"/>
      <w:bookmarkStart w:id="1055" w:name="_Toc201754520"/>
      <w:bookmarkStart w:id="1056" w:name="_Toc201759250"/>
      <w:r>
        <w:rPr>
          <w:rStyle w:val="CharSDivNo"/>
          <w:sz w:val="28"/>
        </w:rPr>
        <w:t>Part 2</w:t>
      </w:r>
      <w:r>
        <w:t> — </w:t>
      </w:r>
      <w:r>
        <w:rPr>
          <w:rStyle w:val="CharSDivText"/>
          <w:sz w:val="28"/>
        </w:rPr>
        <w:t>Totally protected fish</w:t>
      </w:r>
      <w:bookmarkEnd w:id="1051"/>
      <w:bookmarkEnd w:id="1052"/>
      <w:bookmarkEnd w:id="1053"/>
      <w:bookmarkEnd w:id="1054"/>
      <w:bookmarkEnd w:id="1055"/>
      <w:bookmarkEnd w:id="1056"/>
    </w:p>
    <w:p>
      <w:pPr>
        <w:pStyle w:val="yHeading3"/>
      </w:pPr>
      <w:bookmarkStart w:id="1057" w:name="_Toc184372783"/>
      <w:bookmarkStart w:id="1058" w:name="_Toc184377936"/>
      <w:bookmarkStart w:id="1059" w:name="_Toc184385293"/>
      <w:bookmarkStart w:id="1060" w:name="_Toc201508690"/>
      <w:bookmarkStart w:id="1061" w:name="_Toc201754521"/>
      <w:bookmarkStart w:id="1062" w:name="_Toc201759251"/>
      <w:r>
        <w:t>Division 1 — Certain reproducing crustaceans</w:t>
      </w:r>
      <w:bookmarkEnd w:id="1057"/>
      <w:bookmarkEnd w:id="1058"/>
      <w:bookmarkEnd w:id="1059"/>
      <w:bookmarkEnd w:id="1060"/>
      <w:bookmarkEnd w:id="1061"/>
      <w:bookmarkEnd w:id="1062"/>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r>
      <w:r>
        <w:rPr>
          <w:szCs w:val="22"/>
        </w:rPr>
        <w:t>Tarspot</w:t>
      </w:r>
      <w:r>
        <w:rPr>
          <w:snapToGrid w:val="0"/>
        </w:rPr>
        <w:t xml:space="preserve">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Gazette 22 Dec 1995 p. 6169; 30 Sep 1997 p. 5418; 7 Jul 1998 p. 3614; 8 Sep 2000 p. 5187</w:t>
      </w:r>
      <w:r>
        <w:noBreakHyphen/>
        <w:t>8; 4 Nov 2005 p. 5313; 4 Oct 2019 p. 3548.]</w:t>
      </w:r>
    </w:p>
    <w:p>
      <w:pPr>
        <w:pStyle w:val="yHeading3"/>
      </w:pPr>
      <w:bookmarkStart w:id="1063" w:name="_Toc184372784"/>
      <w:bookmarkStart w:id="1064" w:name="_Toc184377937"/>
      <w:bookmarkStart w:id="1065" w:name="_Toc184385294"/>
      <w:bookmarkStart w:id="1066" w:name="_Toc201508691"/>
      <w:bookmarkStart w:id="1067" w:name="_Toc201754522"/>
      <w:bookmarkStart w:id="1068" w:name="_Toc201759252"/>
      <w:r>
        <w:t>Division 2 — Miscellaneous</w:t>
      </w:r>
      <w:bookmarkEnd w:id="1063"/>
      <w:bookmarkEnd w:id="1064"/>
      <w:bookmarkEnd w:id="1065"/>
      <w:bookmarkEnd w:id="1066"/>
      <w:bookmarkEnd w:id="1067"/>
      <w:bookmarkEnd w:id="1068"/>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keepNext/>
      </w:pPr>
      <w:r>
        <w:tab/>
        <w:t>Common Seadragon.</w:t>
      </w:r>
    </w:p>
    <w:p>
      <w:pPr>
        <w:pStyle w:val="yNumberedItem"/>
        <w:rPr>
          <w:snapToGrid w:val="0"/>
        </w:rPr>
      </w:pPr>
      <w:r>
        <w:rPr>
          <w:snapToGrid w:val="0"/>
        </w:rPr>
        <w:tab/>
        <w:t>Coral of the Order Scleractinia in any waters within 3 000 m in any direction of the service jetty near the end of Port Street in Port Gregory.</w:t>
      </w:r>
    </w:p>
    <w:p>
      <w:pPr>
        <w:pStyle w:val="yNumberedItem"/>
        <w:rPr>
          <w:snapToGrid w:val="0"/>
        </w:rPr>
      </w:pPr>
      <w:r>
        <w:rPr>
          <w:snapToGrid w:val="0"/>
        </w:rPr>
        <w:tab/>
        <w:t>Fish of Class Anthozoa and Class Hydrozoa in Rowley Shoals Marine Park.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pPr>
      <w:r>
        <w:tab/>
        <w:t>Mud Minnow.</w:t>
      </w:r>
    </w:p>
    <w:p>
      <w:pPr>
        <w:pStyle w:val="yNumberedItem"/>
      </w:pPr>
      <w:r>
        <w:tab/>
        <w:t>Potato Rockcod.</w:t>
      </w:r>
    </w:p>
    <w:p>
      <w:pPr>
        <w:pStyle w:val="yNumberedItem"/>
      </w:pPr>
      <w:r>
        <w:tab/>
        <w:t>Pouch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pPr>
      <w:r>
        <w:tab/>
        <w:t>Rockcod in Rowley Shoals Marine Park.</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tab/>
        <w:t>Sawfish.</w:t>
      </w:r>
    </w:p>
    <w:p>
      <w:pPr>
        <w:pStyle w:val="yNumberedItem"/>
        <w:rPr>
          <w:snapToGrid w:val="0"/>
        </w:rPr>
      </w:pPr>
      <w:r>
        <w:rPr>
          <w:snapToGrid w:val="0"/>
        </w:rPr>
        <w:tab/>
        <w:t>Shark, Speartooth.</w:t>
      </w:r>
    </w:p>
    <w:p>
      <w:pPr>
        <w:pStyle w:val="yNumberedItem"/>
        <w:keepNext/>
      </w:pPr>
      <w:r>
        <w:tab/>
        <w:t>Sharks, Whaler —</w:t>
      </w:r>
    </w:p>
    <w:p>
      <w:pPr>
        <w:pStyle w:val="yNumberedItemPara"/>
        <w:keepNext/>
      </w:pPr>
      <w:r>
        <w:tab/>
        <w:t>(a)</w:t>
      </w:r>
      <w:r>
        <w:tab/>
        <w:t>taken from the waters of —</w:t>
      </w:r>
    </w:p>
    <w:p>
      <w:pPr>
        <w:pStyle w:val="yNumberedItemSubPara"/>
        <w:keepNext/>
      </w:pPr>
      <w:r>
        <w:tab/>
        <w:t>(i)</w:t>
      </w:r>
      <w:r>
        <w:tab/>
        <w:t>the South Coast Region; or</w:t>
      </w:r>
    </w:p>
    <w:p>
      <w:pPr>
        <w:pStyle w:val="yNumberedItemSubPara"/>
        <w:keepNext/>
      </w:pPr>
      <w:r>
        <w:tab/>
        <w:t>(ii)</w:t>
      </w:r>
      <w:r>
        <w:tab/>
        <w:t>the West Coast Region;</w:t>
      </w:r>
    </w:p>
    <w:p>
      <w:pPr>
        <w:pStyle w:val="yNumberedItemPara"/>
      </w:pPr>
      <w:r>
        <w:tab/>
      </w:r>
      <w:r>
        <w:tab/>
        <w:t>and</w:t>
      </w:r>
    </w:p>
    <w:p>
      <w:pPr>
        <w:pStyle w:val="yNumberedItemPara"/>
      </w:pPr>
      <w:r>
        <w:tab/>
        <w:t>(b)</w:t>
      </w:r>
      <w:r>
        <w:tab/>
        <w:t>with an interdorsal fin length of 70 cm or greater.</w:t>
      </w:r>
    </w:p>
    <w:p>
      <w:pPr>
        <w:pStyle w:val="yNumberedItem"/>
      </w:pPr>
      <w:r>
        <w:tab/>
        <w:t>White Shark.</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Wrasse in Rowley Shoals Marine Park.</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keepLines w:val="0"/>
      </w:pPr>
      <w:r>
        <w:tab/>
        <w:t>[Division 2 amended: Gazette 5 Dec 1997 p. 7123; 19 Jun 1998 p. 3264; 13 Aug 1999 p. 3827; 28 Nov 2003 p. 4776; 22 Dec 2005 p. 6228; 13 Feb 2009 p. 299; 24 Aug 2011 p. 3408; 24 Feb 2012 p. 802; 23 Jan 2015 p. 401; 4 Oct 2019 p. 3548-9; SL 2024/263 r. 20.]</w:t>
      </w:r>
    </w:p>
    <w:p>
      <w:pPr>
        <w:pStyle w:val="yHeading3"/>
      </w:pPr>
      <w:bookmarkStart w:id="1069" w:name="_Toc184372785"/>
      <w:bookmarkStart w:id="1070" w:name="_Toc184377938"/>
      <w:bookmarkStart w:id="1071" w:name="_Toc184385295"/>
      <w:bookmarkStart w:id="1072" w:name="_Toc201508692"/>
      <w:bookmarkStart w:id="1073" w:name="_Toc201754523"/>
      <w:bookmarkStart w:id="1074" w:name="_Toc201759253"/>
      <w:r>
        <w:t>Division 3 — Marine or fluvio</w:t>
      </w:r>
      <w:r>
        <w:noBreakHyphen/>
        <w:t>marine fish</w:t>
      </w:r>
      <w:bookmarkEnd w:id="1069"/>
      <w:bookmarkEnd w:id="1070"/>
      <w:bookmarkEnd w:id="1071"/>
      <w:bookmarkEnd w:id="1072"/>
      <w:bookmarkEnd w:id="1073"/>
      <w:bookmarkEnd w:id="1074"/>
    </w:p>
    <w:p>
      <w:pPr>
        <w:pStyle w:val="yHeading4"/>
      </w:pPr>
      <w:bookmarkStart w:id="1075" w:name="_Toc184372786"/>
      <w:bookmarkStart w:id="1076" w:name="_Toc184377939"/>
      <w:bookmarkStart w:id="1077" w:name="_Toc184385296"/>
      <w:bookmarkStart w:id="1078" w:name="_Toc201508693"/>
      <w:bookmarkStart w:id="1079" w:name="_Toc201754524"/>
      <w:bookmarkStart w:id="1080" w:name="_Toc201759254"/>
      <w:r>
        <w:t>Subdivision 1 — Protected by reference to species, area and period</w:t>
      </w:r>
      <w:bookmarkEnd w:id="1075"/>
      <w:bookmarkEnd w:id="1076"/>
      <w:bookmarkEnd w:id="1077"/>
      <w:bookmarkEnd w:id="1078"/>
      <w:bookmarkEnd w:id="1079"/>
      <w:bookmarkEnd w:id="1080"/>
    </w:p>
    <w:p>
      <w:pPr>
        <w:pStyle w:val="yFootnoteheading"/>
        <w:keepNext/>
      </w:pPr>
      <w:r>
        <w:tab/>
        <w:t>[Heading inserted: Gazette 28 Feb 2003 p. 662.]</w:t>
      </w:r>
    </w:p>
    <w:p>
      <w:pPr>
        <w:pStyle w:val="yHeading5"/>
      </w:pPr>
      <w:bookmarkStart w:id="1081" w:name="_Toc201759255"/>
      <w:bookmarkStart w:id="1082" w:name="_Toc184385297"/>
      <w:r>
        <w:t>1.</w:t>
      </w:r>
      <w:r>
        <w:tab/>
        <w:t>Snapper (Pink Snapper)</w:t>
      </w:r>
      <w:bookmarkEnd w:id="1081"/>
      <w:bookmarkEnd w:id="1082"/>
    </w:p>
    <w:p>
      <w:pPr>
        <w:pStyle w:val="ySubsection"/>
      </w:pPr>
      <w:r>
        <w:tab/>
      </w:r>
      <w:r>
        <w:tab/>
        <w:t>Snapper (Pink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Gazette 15 Sep 2005 p. 4309</w:t>
      </w:r>
      <w:r>
        <w:noBreakHyphen/>
        <w:t>10; amended: Gazette 4 Nov 2005 p. 5313; 7 Mar 2006 p. 975; 4 Oct 2019 p. 3549.]</w:t>
      </w:r>
    </w:p>
    <w:p>
      <w:pPr>
        <w:pStyle w:val="yHeading5"/>
      </w:pPr>
      <w:bookmarkStart w:id="1083" w:name="_Toc201759256"/>
      <w:bookmarkStart w:id="1084" w:name="_Toc184385298"/>
      <w:r>
        <w:rPr>
          <w:rStyle w:val="CharSClsNo"/>
        </w:rPr>
        <w:t>2</w:t>
      </w:r>
      <w:r>
        <w:t>.</w:t>
      </w:r>
      <w:r>
        <w:tab/>
        <w:t>Baldchin Groper</w:t>
      </w:r>
      <w:bookmarkEnd w:id="1083"/>
      <w:bookmarkEnd w:id="1084"/>
    </w:p>
    <w:p>
      <w:pPr>
        <w:pStyle w:val="ySubsection"/>
        <w:spacing w:before="120"/>
      </w:pPr>
      <w:r>
        <w:tab/>
        <w:t>(1)</w:t>
      </w:r>
      <w:r>
        <w:tab/>
        <w:t>Baldchin Groper taken or brought onto land from, or in the possession of a person on, the Abrolhos Islands Fish Habitat Protection Area during the period beginning on 1 October in a year and ending on 31 December in that year.</w:t>
      </w:r>
    </w:p>
    <w:p>
      <w:pPr>
        <w:pStyle w:val="yEdnotesubsection"/>
      </w:pPr>
      <w:r>
        <w:tab/>
        <w:t>[(2)</w:t>
      </w:r>
      <w:r>
        <w:tab/>
        <w:t>deleted]</w:t>
      </w:r>
    </w:p>
    <w:p>
      <w:pPr>
        <w:pStyle w:val="yFootnotesection"/>
      </w:pPr>
      <w:r>
        <w:tab/>
        <w:t>[Clause 2 inserted: Gazette 1 Oct 2003 p. 4329; amended: Gazette 4 Nov 2005 p. 5313; 29 May 2008 p. 2058; 19 Dec 2008 p. 5363; 30 May 2014 p. 1722; SL 2023/2 r. 20(1).]</w:t>
      </w:r>
    </w:p>
    <w:p>
      <w:pPr>
        <w:pStyle w:val="yEdnotesection"/>
      </w:pPr>
      <w:r>
        <w:t>[</w:t>
      </w:r>
      <w:r>
        <w:rPr>
          <w:b/>
        </w:rPr>
        <w:t>3.</w:t>
      </w:r>
      <w:r>
        <w:tab/>
      </w:r>
      <w:r>
        <w:tab/>
        <w:t>Deleted: Gazette 4 Oct 2019 p. 3549.]</w:t>
      </w:r>
    </w:p>
    <w:p>
      <w:pPr>
        <w:pStyle w:val="yHeading5"/>
      </w:pPr>
      <w:bookmarkStart w:id="1085" w:name="_Toc201759257"/>
      <w:bookmarkStart w:id="1086" w:name="_Toc184385299"/>
      <w:r>
        <w:t>4.</w:t>
      </w:r>
      <w:r>
        <w:tab/>
        <w:t>Western Blue Groper</w:t>
      </w:r>
      <w:bookmarkEnd w:id="1085"/>
      <w:bookmarkEnd w:id="1086"/>
    </w:p>
    <w:p>
      <w:pPr>
        <w:pStyle w:val="ySubsection"/>
        <w:keepNext/>
      </w:pPr>
      <w:r>
        <w:tab/>
        <w:t>(1)</w:t>
      </w:r>
      <w:r>
        <w:tab/>
        <w:t>Western 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Gazette 29 May 2008 p. 2058</w:t>
      </w:r>
      <w:r>
        <w:noBreakHyphen/>
        <w:t>9; amended: Gazette 4 Oct 2019 p. 3550.]</w:t>
      </w:r>
    </w:p>
    <w:p>
      <w:pPr>
        <w:pStyle w:val="yHeading4"/>
      </w:pPr>
      <w:bookmarkStart w:id="1087" w:name="_Toc184372790"/>
      <w:bookmarkStart w:id="1088" w:name="_Toc184377943"/>
      <w:bookmarkStart w:id="1089" w:name="_Toc184385300"/>
      <w:bookmarkStart w:id="1090" w:name="_Toc201508697"/>
      <w:bookmarkStart w:id="1091" w:name="_Toc201754528"/>
      <w:bookmarkStart w:id="1092" w:name="_Toc201759258"/>
      <w:r>
        <w:t>Subdivision 2</w:t>
      </w:r>
      <w:r>
        <w:rPr>
          <w:b w:val="0"/>
        </w:rPr>
        <w:t> — </w:t>
      </w:r>
      <w:r>
        <w:t>Protected by reference to species length or other factors</w:t>
      </w:r>
      <w:bookmarkEnd w:id="1087"/>
      <w:bookmarkEnd w:id="1088"/>
      <w:bookmarkEnd w:id="1089"/>
      <w:bookmarkEnd w:id="1090"/>
      <w:bookmarkEnd w:id="1091"/>
      <w:bookmarkEnd w:id="1092"/>
    </w:p>
    <w:p>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92" w:type="dxa"/>
            <w:tcMar>
              <w:left w:w="85" w:type="dxa"/>
              <w:right w:w="113" w:type="dxa"/>
            </w:tcMar>
          </w:tcPr>
          <w:p>
            <w:pPr>
              <w:pStyle w:val="yTableNAm"/>
              <w:tabs>
                <w:tab w:val="left" w:leader="dot" w:pos="567"/>
                <w:tab w:val="right" w:leader="dot" w:pos="5132"/>
              </w:tabs>
            </w:pPr>
            <w:r>
              <w:t xml:space="preserve">Amberjack </w:t>
            </w:r>
            <w:r>
              <w:tab/>
            </w:r>
          </w:p>
        </w:tc>
        <w:tc>
          <w:tcPr>
            <w:tcW w:w="1860" w:type="dxa"/>
            <w:tcMar>
              <w:left w:w="85" w:type="dxa"/>
              <w:right w:w="113" w:type="dxa"/>
            </w:tcMar>
          </w:tcPr>
          <w:p>
            <w:pPr>
              <w:pStyle w:val="yTableNAm"/>
            </w:pPr>
            <w:r>
              <w:t>600</w:t>
            </w:r>
          </w:p>
        </w:tc>
      </w:tr>
      <w:tr>
        <w:tc>
          <w:tcPr>
            <w:tcW w:w="5192" w:type="dxa"/>
            <w:tcMar>
              <w:left w:w="85" w:type="dxa"/>
              <w:right w:w="113" w:type="dxa"/>
            </w:tcMar>
          </w:tcPr>
          <w:p>
            <w:pPr>
              <w:pStyle w:val="yTableNAm"/>
              <w:tabs>
                <w:tab w:val="left" w:leader="dot" w:pos="567"/>
                <w:tab w:val="right" w:leader="dot" w:pos="5132"/>
              </w:tabs>
            </w:pPr>
            <w:r>
              <w:t xml:space="preserve">Barramundi </w:t>
            </w:r>
            <w:r>
              <w:tab/>
            </w:r>
          </w:p>
        </w:tc>
        <w:tc>
          <w:tcPr>
            <w:tcW w:w="1860" w:type="dxa"/>
            <w:tcMar>
              <w:left w:w="85" w:type="dxa"/>
              <w:right w:w="113" w:type="dxa"/>
            </w:tcMar>
          </w:tcPr>
          <w:p>
            <w:pPr>
              <w:pStyle w:val="yTableNAm"/>
            </w:pPr>
            <w:r>
              <w:t>550</w:t>
            </w:r>
          </w:p>
        </w:tc>
      </w:tr>
      <w:tr>
        <w:tc>
          <w:tcPr>
            <w:tcW w:w="5192" w:type="dxa"/>
            <w:tcMar>
              <w:left w:w="85" w:type="dxa"/>
              <w:right w:w="113" w:type="dxa"/>
            </w:tcMar>
          </w:tcPr>
          <w:p>
            <w:pPr>
              <w:pStyle w:val="yTableNAm"/>
              <w:tabs>
                <w:tab w:val="left" w:leader="dot" w:pos="567"/>
                <w:tab w:val="right" w:leader="dot" w:pos="5132"/>
              </w:tabs>
            </w:pPr>
            <w:r>
              <w:t xml:space="preserve">Bream,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Northwest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Cobbler, Estuary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pPr>
              <w:pStyle w:val="yTableNAm"/>
            </w:pPr>
            <w:r>
              <w:br/>
              <w:t>320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pPr>
              <w:pStyle w:val="yTableNAm"/>
            </w:pPr>
            <w:r>
              <w:t>430</w:t>
            </w:r>
          </w:p>
        </w:tc>
      </w:tr>
      <w:tr>
        <w:tc>
          <w:tcPr>
            <w:tcW w:w="5192" w:type="dxa"/>
            <w:tcMar>
              <w:left w:w="85" w:type="dxa"/>
              <w:right w:w="113" w:type="dxa"/>
            </w:tcMar>
          </w:tcPr>
          <w:p>
            <w:pPr>
              <w:pStyle w:val="yTableNAm"/>
              <w:tabs>
                <w:tab w:val="left" w:leader="dot" w:pos="567"/>
                <w:tab w:val="right" w:leader="dot" w:pos="5132"/>
              </w:tabs>
            </w:pPr>
            <w:r>
              <w:t xml:space="preserve">Cobia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Coral Trout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Dolphinfish (Mahi Mahi)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Emperor, all species except Grass Emperor and Spangled Emperor </w:t>
            </w:r>
            <w:r>
              <w:tab/>
            </w:r>
          </w:p>
        </w:tc>
        <w:tc>
          <w:tcPr>
            <w:tcW w:w="1860" w:type="dxa"/>
            <w:tcMar>
              <w:left w:w="85" w:type="dxa"/>
              <w:right w:w="113" w:type="dxa"/>
            </w:tcMar>
          </w:tcPr>
          <w:p>
            <w:pPr>
              <w:pStyle w:val="yTableNAm"/>
            </w:pPr>
            <w:r>
              <w:br/>
              <w:t>280</w:t>
            </w:r>
          </w:p>
        </w:tc>
      </w:tr>
      <w:tr>
        <w:tc>
          <w:tcPr>
            <w:tcW w:w="5192" w:type="dxa"/>
            <w:tcMar>
              <w:left w:w="85" w:type="dxa"/>
              <w:right w:w="113" w:type="dxa"/>
            </w:tcMar>
          </w:tcPr>
          <w:p>
            <w:pPr>
              <w:pStyle w:val="yTableNAm"/>
              <w:tabs>
                <w:tab w:val="left" w:leader="dot" w:pos="567"/>
                <w:tab w:val="right" w:leader="dot" w:pos="5132"/>
              </w:tabs>
            </w:pPr>
            <w:r>
              <w:t xml:space="preserve">Emperor, Grass </w:t>
            </w:r>
            <w:r>
              <w:tab/>
            </w:r>
          </w:p>
        </w:tc>
        <w:tc>
          <w:tcPr>
            <w:tcW w:w="1860" w:type="dxa"/>
            <w:tcMar>
              <w:left w:w="85" w:type="dxa"/>
              <w:right w:w="113" w:type="dxa"/>
            </w:tcMar>
          </w:tcPr>
          <w:p>
            <w:pPr>
              <w:pStyle w:val="yTableNAm"/>
            </w:pPr>
            <w:r>
              <w:t>320</w:t>
            </w:r>
          </w:p>
        </w:tc>
      </w:tr>
      <w:tr>
        <w:tc>
          <w:tcPr>
            <w:tcW w:w="5192" w:type="dxa"/>
            <w:tcMar>
              <w:left w:w="85" w:type="dxa"/>
              <w:right w:w="113" w:type="dxa"/>
            </w:tcMar>
          </w:tcPr>
          <w:p>
            <w:pPr>
              <w:pStyle w:val="yTableNAm"/>
              <w:tabs>
                <w:tab w:val="left" w:leader="dot" w:pos="567"/>
                <w:tab w:val="right" w:leader="dot" w:pos="5132"/>
              </w:tabs>
            </w:pPr>
            <w:r>
              <w:t xml:space="preserve">Emperor, Red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Emperor, Spangled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keepNext/>
              <w:tabs>
                <w:tab w:val="left" w:leader="dot" w:pos="567"/>
                <w:tab w:val="right" w:leader="dot" w:pos="5132"/>
              </w:tabs>
            </w:pPr>
            <w:r>
              <w:t xml:space="preserve">Flathead, Longspine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Marbled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Yellowtail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Flounder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Groper, Western Blue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Jewfish, Black </w:t>
            </w:r>
            <w:r>
              <w:tab/>
            </w:r>
          </w:p>
        </w:tc>
        <w:tc>
          <w:tcPr>
            <w:tcW w:w="1860" w:type="dxa"/>
            <w:tcMar>
              <w:left w:w="85" w:type="dxa"/>
              <w:right w:w="113" w:type="dxa"/>
            </w:tcMar>
          </w:tcPr>
          <w:p>
            <w:pPr>
              <w:pStyle w:val="yTableNAm"/>
            </w:pPr>
            <w:r>
              <w:t>700</w:t>
            </w:r>
          </w:p>
        </w:tc>
      </w:tr>
      <w:tr>
        <w:tc>
          <w:tcPr>
            <w:tcW w:w="5192" w:type="dxa"/>
            <w:tcMar>
              <w:left w:w="85" w:type="dxa"/>
              <w:right w:w="113" w:type="dxa"/>
            </w:tcMar>
          </w:tcPr>
          <w:p>
            <w:pPr>
              <w:pStyle w:val="yTableNAm"/>
              <w:tabs>
                <w:tab w:val="left" w:leader="dot" w:pos="567"/>
                <w:tab w:val="right" w:leader="dot" w:pos="5132"/>
              </w:tabs>
            </w:pPr>
            <w:r>
              <w:t xml:space="preserve">Leatherjacket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Mackerel, Grey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Mackerel, School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Shark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Spanish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tabs>
                <w:tab w:val="left" w:leader="dot" w:pos="567"/>
                <w:tab w:val="right" w:leader="dot" w:pos="5132"/>
              </w:tabs>
            </w:pPr>
            <w:r>
              <w:t xml:space="preserve">Mackerel, Spotted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Mangrove Jack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Mulloway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Pike, Longfin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Yelloweye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Rockcod, Goldspotted (Estuary Cod)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Samsonfish </w:t>
            </w:r>
            <w:r>
              <w:tab/>
            </w:r>
          </w:p>
        </w:tc>
        <w:tc>
          <w:tcPr>
            <w:tcW w:w="1860" w:type="dxa"/>
            <w:tcMar>
              <w:left w:w="85" w:type="dxa"/>
              <w:right w:w="113" w:type="dxa"/>
            </w:tcMar>
          </w:tcPr>
          <w:p>
            <w:pPr>
              <w:pStyle w:val="yTableNAm"/>
              <w:keepNext/>
            </w:pPr>
            <w:r>
              <w:t>600</w:t>
            </w:r>
          </w:p>
        </w:tc>
      </w:tr>
      <w:tr>
        <w:tc>
          <w:tcPr>
            <w:tcW w:w="5192" w:type="dxa"/>
            <w:tcMar>
              <w:left w:w="85" w:type="dxa"/>
              <w:right w:w="113" w:type="dxa"/>
            </w:tcMar>
          </w:tcPr>
          <w:p>
            <w:pPr>
              <w:pStyle w:val="yTableNAm"/>
              <w:keepNext/>
              <w:tabs>
                <w:tab w:val="left" w:leader="dot" w:pos="567"/>
                <w:tab w:val="right" w:leader="dot" w:pos="5132"/>
              </w:tabs>
            </w:pPr>
            <w:r>
              <w:t xml:space="preserve">Snapper, Golden (Fingermark)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keepNext/>
            </w:pPr>
            <w:r>
              <w:t>Snapper (Pink Snapper) — </w:t>
            </w:r>
          </w:p>
        </w:tc>
        <w:tc>
          <w:tcPr>
            <w:tcW w:w="1860" w:type="dxa"/>
            <w:tcMar>
              <w:left w:w="85" w:type="dxa"/>
              <w:right w:w="113" w:type="dxa"/>
            </w:tcMar>
          </w:tcPr>
          <w:p>
            <w:pPr>
              <w:pStyle w:val="yTableNAm"/>
              <w:keepNext/>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pPr>
              <w:pStyle w:val="yTableNAm"/>
            </w:pPr>
            <w: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when taken or brought onto land from the waters of the Shark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pPr>
            <w:r>
              <w:br/>
            </w:r>
            <w:r>
              <w:br/>
            </w:r>
            <w:r>
              <w:br/>
            </w:r>
            <w:r>
              <w:b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Stripey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Snook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Swallowtail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Tailor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Tarwhine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Threadfin, King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Tripletail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Tuskfish, Blackspot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Tuskfish, Blue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Wahoo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keepNext/>
              <w:keepLines/>
              <w:tabs>
                <w:tab w:val="left" w:leader="dot" w:pos="567"/>
                <w:tab w:val="right" w:leader="dot" w:pos="5132"/>
              </w:tabs>
            </w:pPr>
            <w:r>
              <w:t xml:space="preserve">Whiting, King George </w:t>
            </w:r>
            <w:r>
              <w:tab/>
            </w:r>
          </w:p>
        </w:tc>
        <w:tc>
          <w:tcPr>
            <w:tcW w:w="1860" w:type="dxa"/>
            <w:tcMar>
              <w:left w:w="85" w:type="dxa"/>
              <w:right w:w="113" w:type="dxa"/>
            </w:tcMar>
          </w:tcPr>
          <w:p>
            <w:pPr>
              <w:pStyle w:val="yTableNAm"/>
              <w:keepNext/>
              <w:keepLines/>
            </w:pPr>
            <w:r>
              <w:t>280</w:t>
            </w:r>
          </w:p>
        </w:tc>
      </w:tr>
      <w:tr>
        <w:tc>
          <w:tcPr>
            <w:tcW w:w="5192" w:type="dxa"/>
            <w:tcBorders>
              <w:bottom w:val="single" w:sz="4" w:space="0" w:color="auto"/>
            </w:tcBorders>
            <w:tcMar>
              <w:left w:w="85" w:type="dxa"/>
              <w:right w:w="113" w:type="dxa"/>
            </w:tcMar>
          </w:tcPr>
          <w:p>
            <w:pPr>
              <w:pStyle w:val="yTableNAm"/>
              <w:keepNext/>
              <w:keepLines/>
              <w:tabs>
                <w:tab w:val="left" w:leader="dot" w:pos="567"/>
                <w:tab w:val="right" w:leader="dot" w:pos="5132"/>
              </w:tabs>
            </w:pPr>
            <w:r>
              <w:t>Yellowtail Kingfish</w:t>
            </w:r>
            <w:r>
              <w:tab/>
            </w:r>
          </w:p>
        </w:tc>
        <w:tc>
          <w:tcPr>
            <w:tcW w:w="1860" w:type="dxa"/>
            <w:tcBorders>
              <w:bottom w:val="single" w:sz="4" w:space="0" w:color="auto"/>
            </w:tcBorders>
            <w:tcMar>
              <w:left w:w="85" w:type="dxa"/>
              <w:right w:w="113" w:type="dxa"/>
            </w:tcMar>
          </w:tcPr>
          <w:p>
            <w:pPr>
              <w:pStyle w:val="yTableNAm"/>
              <w:keepNext/>
              <w:keepLines/>
            </w:pPr>
            <w:r>
              <w:t>600</w:t>
            </w:r>
          </w:p>
        </w:tc>
      </w:tr>
    </w:tbl>
    <w:p>
      <w:pPr>
        <w:pStyle w:val="yFootnotesection"/>
      </w:pPr>
      <w:r>
        <w:tab/>
        <w:t>[Subdivision 2 inserted: Gazette 4 Oct 2019 p. 3550</w:t>
      </w:r>
      <w:r>
        <w:noBreakHyphen/>
        <w:t>3; amended: SL 2023/2 r. 20(2).]</w:t>
      </w:r>
    </w:p>
    <w:p>
      <w:pPr>
        <w:pStyle w:val="yHeading3"/>
        <w:spacing w:before="300" w:after="120"/>
      </w:pPr>
      <w:bookmarkStart w:id="1093" w:name="_Toc184372791"/>
      <w:bookmarkStart w:id="1094" w:name="_Toc184377944"/>
      <w:bookmarkStart w:id="1095" w:name="_Toc184385301"/>
      <w:bookmarkStart w:id="1096" w:name="_Toc201508698"/>
      <w:bookmarkStart w:id="1097" w:name="_Toc201754529"/>
      <w:bookmarkStart w:id="1098" w:name="_Toc201759259"/>
      <w:r>
        <w:t>Division 4 — Freshwater fish</w:t>
      </w:r>
      <w:bookmarkEnd w:id="1093"/>
      <w:bookmarkEnd w:id="1094"/>
      <w:bookmarkEnd w:id="1095"/>
      <w:bookmarkEnd w:id="1096"/>
      <w:bookmarkEnd w:id="1097"/>
      <w:bookmarkEnd w:id="1098"/>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Lines/>
              <w:spacing w:before="0"/>
            </w:pPr>
            <w:r>
              <w:t>250</w:t>
            </w:r>
          </w:p>
        </w:tc>
      </w:tr>
      <w:tr>
        <w:tc>
          <w:tcPr>
            <w:tcW w:w="5250" w:type="dxa"/>
            <w:tcMar>
              <w:left w:w="85" w:type="dxa"/>
              <w:right w:w="113" w:type="dxa"/>
            </w:tcMar>
          </w:tcPr>
          <w:p>
            <w:pPr>
              <w:pStyle w:val="yTableNAm"/>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spacing w:before="0"/>
            </w:pPr>
            <w:r>
              <w:t>300</w:t>
            </w:r>
          </w:p>
        </w:tc>
      </w:tr>
      <w:tr>
        <w:tc>
          <w:tcPr>
            <w:tcW w:w="5250" w:type="dxa"/>
            <w:tcBorders>
              <w:bottom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keepNext/>
              <w:spacing w:before="0"/>
            </w:pPr>
            <w:r>
              <w:t>300</w:t>
            </w:r>
          </w:p>
        </w:tc>
      </w:tr>
    </w:tbl>
    <w:p>
      <w:pPr>
        <w:pStyle w:val="yFootnotesection"/>
        <w:keepLines w:val="0"/>
      </w:pPr>
      <w:r>
        <w:tab/>
        <w:t>[Division 4 amended: Gazette 22 Dec 2005 p. 6229.]</w:t>
      </w:r>
    </w:p>
    <w:p>
      <w:pPr>
        <w:pStyle w:val="yHeading3"/>
      </w:pPr>
      <w:bookmarkStart w:id="1099" w:name="_Toc184372792"/>
      <w:bookmarkStart w:id="1100" w:name="_Toc184377945"/>
      <w:bookmarkStart w:id="1101" w:name="_Toc184385302"/>
      <w:bookmarkStart w:id="1102" w:name="_Toc201508699"/>
      <w:bookmarkStart w:id="1103" w:name="_Toc201754530"/>
      <w:bookmarkStart w:id="1104" w:name="_Toc201759260"/>
      <w:r>
        <w:t>Division 5</w:t>
      </w:r>
      <w:r>
        <w:rPr>
          <w:b w:val="0"/>
        </w:rPr>
        <w:t> — </w:t>
      </w:r>
      <w:r>
        <w:t>Crustaceans, other than those listed in Division 1</w:t>
      </w:r>
      <w:bookmarkEnd w:id="1099"/>
      <w:bookmarkEnd w:id="1100"/>
      <w:bookmarkEnd w:id="1101"/>
      <w:bookmarkEnd w:id="1102"/>
      <w:bookmarkEnd w:id="1103"/>
      <w:bookmarkEnd w:id="1104"/>
    </w:p>
    <w:p>
      <w:pPr>
        <w:pStyle w:val="yFootnoteheading"/>
        <w:keepNext/>
      </w:pPr>
      <w:r>
        <w:tab/>
        <w:t>[Heading inserted: Gazette 4 Oct 2019 p. 3553.]</w:t>
      </w:r>
    </w:p>
    <w:p>
      <w:pPr>
        <w:pStyle w:val="yHeading4"/>
      </w:pPr>
      <w:bookmarkStart w:id="1105" w:name="_Toc184372793"/>
      <w:bookmarkStart w:id="1106" w:name="_Toc184377946"/>
      <w:bookmarkStart w:id="1107" w:name="_Toc184385303"/>
      <w:bookmarkStart w:id="1108" w:name="_Toc201508700"/>
      <w:bookmarkStart w:id="1109" w:name="_Toc201754531"/>
      <w:bookmarkStart w:id="1110" w:name="_Toc201759261"/>
      <w:r>
        <w:t>Subdivision 1 — Protected by reference to species, area and period</w:t>
      </w:r>
      <w:bookmarkEnd w:id="1105"/>
      <w:bookmarkEnd w:id="1106"/>
      <w:bookmarkEnd w:id="1107"/>
      <w:bookmarkEnd w:id="1108"/>
      <w:bookmarkEnd w:id="1109"/>
      <w:bookmarkEnd w:id="1110"/>
    </w:p>
    <w:p>
      <w:pPr>
        <w:pStyle w:val="yFootnoteheading"/>
        <w:keepNext/>
      </w:pPr>
      <w:r>
        <w:tab/>
        <w:t>[Heading inserted: Gazette 29 Nov 2019 p. 4105.]</w:t>
      </w:r>
    </w:p>
    <w:p>
      <w:pPr>
        <w:pStyle w:val="yHeading5"/>
      </w:pPr>
      <w:bookmarkStart w:id="1111" w:name="_Toc201759262"/>
      <w:bookmarkStart w:id="1112" w:name="_Toc184385304"/>
      <w:r>
        <w:t>1.</w:t>
      </w:r>
      <w:r>
        <w:tab/>
        <w:t>Blue swimmer (blue manna) crab</w:t>
      </w:r>
      <w:bookmarkEnd w:id="1111"/>
      <w:bookmarkEnd w:id="1112"/>
    </w:p>
    <w:p>
      <w:pPr>
        <w:pStyle w:val="ySubsection"/>
        <w:keepNext/>
      </w:pPr>
      <w:r>
        <w:tab/>
      </w:r>
      <w:r>
        <w:tab/>
        <w:t xml:space="preserve">Blue swimmer (blue manna) crab taken or brought onto land, during the period beginning on 1 September in a year and ending on 30 November in that year, from — </w:t>
      </w:r>
    </w:p>
    <w:p>
      <w:pPr>
        <w:pStyle w:val="yIndenta"/>
      </w:pPr>
      <w:r>
        <w:tab/>
        <w:t>(a)</w:t>
      </w:r>
      <w:r>
        <w:tab/>
        <w:t>WA waters on the landward side of the 150 m isobath between 32° 03.23′ south latitude and 33° 27.11′ south latitude; or</w:t>
      </w:r>
    </w:p>
    <w:p>
      <w:pPr>
        <w:pStyle w:val="yIndenta"/>
        <w:keepNext/>
      </w:pPr>
      <w:r>
        <w:tab/>
        <w:t>(b)</w:t>
      </w:r>
      <w:r>
        <w:tab/>
        <w:t>the Swan and Canning Rivers.</w:t>
      </w:r>
    </w:p>
    <w:p>
      <w:pPr>
        <w:pStyle w:val="yFootnotesection"/>
      </w:pPr>
      <w:r>
        <w:tab/>
        <w:t>[Clause 1 inserted: SL 2024/234 r. 6.]</w:t>
      </w:r>
    </w:p>
    <w:p>
      <w:pPr>
        <w:pStyle w:val="yHeading4"/>
        <w:spacing w:after="240"/>
      </w:pPr>
      <w:bookmarkStart w:id="1113" w:name="_Toc184372795"/>
      <w:bookmarkStart w:id="1114" w:name="_Toc184377948"/>
      <w:bookmarkStart w:id="1115" w:name="_Toc184385305"/>
      <w:bookmarkStart w:id="1116" w:name="_Toc201508702"/>
      <w:bookmarkStart w:id="1117" w:name="_Toc201754533"/>
      <w:bookmarkStart w:id="1118" w:name="_Toc201759263"/>
      <w:r>
        <w:t>Subdivision 2 — Protected by reference to species length or other factors</w:t>
      </w:r>
      <w:bookmarkEnd w:id="1113"/>
      <w:bookmarkEnd w:id="1114"/>
      <w:bookmarkEnd w:id="1115"/>
      <w:bookmarkEnd w:id="1116"/>
      <w:bookmarkEnd w:id="1117"/>
      <w:bookmarkEnd w:id="1118"/>
    </w:p>
    <w:p>
      <w:pPr>
        <w:pStyle w:val="yFootnoteheading"/>
        <w:keepNext/>
        <w:spacing w:after="120"/>
      </w:pPr>
      <w:r>
        <w:tab/>
        <w:t>[Heading inserted: Gazette 29 Nov 2019 p. 4105.]</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keepNext/>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pPr>
              <w:pStyle w:val="yTableNAm"/>
              <w:keepNext/>
              <w:rPr>
                <w:b/>
              </w:rPr>
            </w:pPr>
            <w:r>
              <w:rPr>
                <w:b/>
              </w:rPr>
              <w:t>If of a length less than the length specified in respect of each class of fish (mm)</w:t>
            </w:r>
          </w:p>
        </w:tc>
      </w:tr>
      <w:tr>
        <w:tc>
          <w:tcPr>
            <w:tcW w:w="5161" w:type="dxa"/>
            <w:tcMar>
              <w:left w:w="85" w:type="dxa"/>
              <w:right w:w="113" w:type="dxa"/>
            </w:tcMar>
          </w:tcPr>
          <w:p>
            <w:pPr>
              <w:pStyle w:val="yTableNAm"/>
              <w:keepNext/>
            </w:pPr>
            <w:r>
              <w:t>Crab, Blue Swimmer (Blue Manna) —</w:t>
            </w:r>
          </w:p>
        </w:tc>
        <w:tc>
          <w:tcPr>
            <w:tcW w:w="1891" w:type="dxa"/>
            <w:tcBorders>
              <w:left w:val="nil"/>
            </w:tcBorders>
            <w:tcMar>
              <w:left w:w="85" w:type="dxa"/>
              <w:right w:w="113" w:type="dxa"/>
            </w:tcMar>
          </w:tcPr>
          <w:p>
            <w:pPr>
              <w:pStyle w:val="yTableNAm"/>
              <w:keepNext/>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pPr>
              <w:pStyle w:val="yTableNAm"/>
              <w:ind w:right="588"/>
            </w:pPr>
            <w:r>
              <w:t>128</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127</w:t>
            </w:r>
          </w:p>
        </w:tc>
      </w:tr>
      <w:tr>
        <w:tc>
          <w:tcPr>
            <w:tcW w:w="5161" w:type="dxa"/>
            <w:tcMar>
              <w:left w:w="85" w:type="dxa"/>
              <w:right w:w="113" w:type="dxa"/>
            </w:tcMar>
          </w:tcPr>
          <w:p>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Champagne </w:t>
            </w:r>
            <w:r>
              <w:tab/>
            </w:r>
          </w:p>
        </w:tc>
        <w:tc>
          <w:tcPr>
            <w:tcW w:w="1891" w:type="dxa"/>
            <w:tcBorders>
              <w:left w:val="nil"/>
            </w:tcBorders>
            <w:tcMar>
              <w:left w:w="85" w:type="dxa"/>
              <w:right w:w="113" w:type="dxa"/>
            </w:tcMar>
          </w:tcPr>
          <w:p>
            <w:pPr>
              <w:pStyle w:val="yTableNAm"/>
              <w:ind w:right="588"/>
            </w:pPr>
            <w:r>
              <w:t>92</w:t>
            </w:r>
          </w:p>
        </w:tc>
      </w:tr>
      <w:tr>
        <w:tc>
          <w:tcPr>
            <w:tcW w:w="5161" w:type="dxa"/>
            <w:tcMar>
              <w:left w:w="85" w:type="dxa"/>
              <w:right w:w="113" w:type="dxa"/>
            </w:tcMar>
          </w:tcPr>
          <w:p>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pPr>
              <w:pStyle w:val="yTableNAm"/>
              <w:ind w:right="588"/>
            </w:pPr>
            <w:r>
              <w:t>140</w:t>
            </w:r>
          </w:p>
        </w:tc>
      </w:tr>
      <w:tr>
        <w:tc>
          <w:tcPr>
            <w:tcW w:w="5161" w:type="dxa"/>
            <w:tcMar>
              <w:left w:w="85" w:type="dxa"/>
              <w:right w:w="113" w:type="dxa"/>
            </w:tcMar>
          </w:tcPr>
          <w:p>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pPr>
              <w:pStyle w:val="yTableNAm"/>
              <w:ind w:right="588"/>
            </w:pPr>
            <w:r>
              <w:t>150</w:t>
            </w:r>
          </w:p>
        </w:tc>
      </w:tr>
      <w:tr>
        <w:tc>
          <w:tcPr>
            <w:tcW w:w="5161" w:type="dxa"/>
            <w:tcMar>
              <w:left w:w="85" w:type="dxa"/>
              <w:right w:w="113" w:type="dxa"/>
            </w:tcMar>
          </w:tcPr>
          <w:p>
            <w:pPr>
              <w:pStyle w:val="yTableNAm"/>
              <w:keepNext/>
            </w:pPr>
            <w:r>
              <w:t xml:space="preserve">Marron — </w:t>
            </w:r>
          </w:p>
        </w:tc>
        <w:tc>
          <w:tcPr>
            <w:tcW w:w="1891" w:type="dxa"/>
            <w:tcBorders>
              <w:left w:val="nil"/>
            </w:tcBorders>
            <w:tcMar>
              <w:left w:w="85" w:type="dxa"/>
              <w:right w:w="113" w:type="dxa"/>
            </w:tcMar>
          </w:tcPr>
          <w:p>
            <w:pPr>
              <w:pStyle w:val="yTableNAm"/>
              <w:keepNext/>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pPr>
              <w:pStyle w:val="yTableNAm"/>
              <w:ind w:right="588"/>
            </w:pPr>
            <w:r>
              <w:t>90</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80</w:t>
            </w:r>
          </w:p>
        </w:tc>
      </w:tr>
      <w:tr>
        <w:tc>
          <w:tcPr>
            <w:tcW w:w="5161" w:type="dxa"/>
            <w:tcMar>
              <w:left w:w="85" w:type="dxa"/>
              <w:right w:w="113" w:type="dxa"/>
            </w:tcMar>
          </w:tcPr>
          <w:p>
            <w:pPr>
              <w:pStyle w:val="yTableNAm"/>
              <w:keepNext/>
              <w:tabs>
                <w:tab w:val="left" w:leader="dot" w:pos="567"/>
                <w:tab w:val="right" w:leader="dot" w:pos="5132"/>
              </w:tabs>
            </w:pPr>
            <w:r>
              <w:t xml:space="preserve">Rock Lobster, Southern </w:t>
            </w:r>
            <w:r>
              <w:tab/>
            </w:r>
          </w:p>
        </w:tc>
        <w:tc>
          <w:tcPr>
            <w:tcW w:w="1891" w:type="dxa"/>
            <w:tcBorders>
              <w:left w:val="nil"/>
            </w:tcBorders>
            <w:tcMar>
              <w:left w:w="85" w:type="dxa"/>
              <w:right w:w="113" w:type="dxa"/>
            </w:tcMar>
          </w:tcPr>
          <w:p>
            <w:pPr>
              <w:pStyle w:val="yTableNAm"/>
              <w:ind w:right="588"/>
            </w:pPr>
            <w:r>
              <w:t>98.5</w:t>
            </w:r>
          </w:p>
        </w:tc>
      </w:tr>
      <w:tr>
        <w:tc>
          <w:tcPr>
            <w:tcW w:w="5161" w:type="dxa"/>
            <w:tcMar>
              <w:left w:w="85" w:type="dxa"/>
              <w:right w:w="113" w:type="dxa"/>
            </w:tcMar>
          </w:tcPr>
          <w:p>
            <w:pPr>
              <w:pStyle w:val="yTableNAm"/>
              <w:keepNext/>
              <w:tabs>
                <w:tab w:val="left" w:leader="dot" w:pos="567"/>
                <w:tab w:val="right" w:leader="dot" w:pos="5132"/>
              </w:tabs>
            </w:pPr>
            <w:r>
              <w:t xml:space="preserve">Rock Lobster, Tropical </w:t>
            </w:r>
            <w:r>
              <w:tab/>
            </w:r>
          </w:p>
        </w:tc>
        <w:tc>
          <w:tcPr>
            <w:tcW w:w="1891" w:type="dxa"/>
            <w:tcBorders>
              <w:left w:val="nil"/>
            </w:tcBorders>
            <w:tcMar>
              <w:left w:w="85" w:type="dxa"/>
              <w:right w:w="113" w:type="dxa"/>
            </w:tcMar>
          </w:tcPr>
          <w:p>
            <w:pPr>
              <w:pStyle w:val="yTableNAm"/>
              <w:ind w:right="588"/>
            </w:pPr>
            <w:r>
              <w:t>76</w:t>
            </w:r>
          </w:p>
        </w:tc>
      </w:tr>
      <w:tr>
        <w:tc>
          <w:tcPr>
            <w:tcW w:w="5161" w:type="dxa"/>
            <w:tcBorders>
              <w:bottom w:val="single" w:sz="4" w:space="0" w:color="auto"/>
            </w:tcBorders>
            <w:tcMar>
              <w:left w:w="85" w:type="dxa"/>
              <w:right w:w="113" w:type="dxa"/>
            </w:tcMar>
          </w:tcPr>
          <w:p>
            <w:pPr>
              <w:pStyle w:val="yTableNAm"/>
              <w:keepNext/>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pPr>
              <w:pStyle w:val="yTableNAm"/>
              <w:keepNext/>
              <w:ind w:right="588"/>
            </w:pPr>
            <w:r>
              <w:rPr>
                <w:szCs w:val="22"/>
              </w:rPr>
              <w:t>76</w:t>
            </w:r>
          </w:p>
        </w:tc>
      </w:tr>
    </w:tbl>
    <w:p>
      <w:pPr>
        <w:pStyle w:val="yFootnotesection"/>
      </w:pPr>
      <w:r>
        <w:tab/>
        <w:t>[Division 5 inserted: Gazette 4 Oct 2019 p. 3553</w:t>
      </w:r>
      <w:r>
        <w:noBreakHyphen/>
        <w:t>4; amended: Gazette 29 Nov 2019 p. 4105.]</w:t>
      </w:r>
    </w:p>
    <w:p>
      <w:pPr>
        <w:pStyle w:val="yHeading3"/>
      </w:pPr>
      <w:bookmarkStart w:id="1119" w:name="_Toc184372796"/>
      <w:bookmarkStart w:id="1120" w:name="_Toc184377949"/>
      <w:bookmarkStart w:id="1121" w:name="_Toc184385306"/>
      <w:bookmarkStart w:id="1122" w:name="_Toc201508703"/>
      <w:bookmarkStart w:id="1123" w:name="_Toc201754534"/>
      <w:bookmarkStart w:id="1124" w:name="_Toc201759264"/>
      <w:r>
        <w:t>Division 6 — Molluscs</w:t>
      </w:r>
      <w:bookmarkEnd w:id="1119"/>
      <w:bookmarkEnd w:id="1120"/>
      <w:bookmarkEnd w:id="1121"/>
      <w:bookmarkEnd w:id="1122"/>
      <w:bookmarkEnd w:id="1123"/>
      <w:bookmarkEnd w:id="1124"/>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1125" w:name="_Toc184372797"/>
      <w:bookmarkStart w:id="1126" w:name="_Toc184377950"/>
      <w:bookmarkStart w:id="1127" w:name="_Toc184385307"/>
      <w:bookmarkStart w:id="1128" w:name="_Toc201508704"/>
      <w:bookmarkStart w:id="1129" w:name="_Toc201754535"/>
      <w:bookmarkStart w:id="1130" w:name="_Toc201759265"/>
      <w:r>
        <w:rPr>
          <w:rStyle w:val="CharSDivNo"/>
          <w:sz w:val="28"/>
          <w:szCs w:val="28"/>
        </w:rPr>
        <w:t>Part 3</w:t>
      </w:r>
      <w:r>
        <w:t> — </w:t>
      </w:r>
      <w:r>
        <w:rPr>
          <w:rStyle w:val="CharSDivText"/>
          <w:sz w:val="28"/>
          <w:szCs w:val="28"/>
        </w:rPr>
        <w:t>Recreationally protected fish</w:t>
      </w:r>
      <w:bookmarkEnd w:id="1125"/>
      <w:bookmarkEnd w:id="1126"/>
      <w:bookmarkEnd w:id="1127"/>
      <w:bookmarkEnd w:id="1128"/>
      <w:bookmarkEnd w:id="1129"/>
      <w:bookmarkEnd w:id="1130"/>
    </w:p>
    <w:p>
      <w:pPr>
        <w:pStyle w:val="yFootnoteheading"/>
        <w:keepNext/>
      </w:pPr>
      <w:r>
        <w:tab/>
        <w:t>[Heading inserted: Gazette 14 Sep 2012 p. 4375.]</w:t>
      </w:r>
    </w:p>
    <w:p>
      <w:pPr>
        <w:pStyle w:val="yMiscellaneousBody"/>
      </w:pPr>
      <w:r>
        <w:t>Barramundi in excess of 800 mm in length.</w:t>
      </w:r>
    </w:p>
    <w:p>
      <w:pPr>
        <w:pStyle w:val="yMiscellaneousBody"/>
      </w:pPr>
      <w:r>
        <w:t>Blackspotted rockcod in excess of 30 kg weight or 1 000 mm in length.</w:t>
      </w:r>
    </w:p>
    <w:p>
      <w:pPr>
        <w:pStyle w:val="yMiscellaneousBody"/>
      </w:pPr>
      <w:r>
        <w:t>Black stingray taken from the waters of the South Coast Region or the West Coast Region.</w:t>
      </w:r>
    </w:p>
    <w:p>
      <w:pPr>
        <w:pStyle w:val="yMiscellaneousBody"/>
      </w:pPr>
      <w:r>
        <w:t>Goldspotted rockcod (estuary cod) in excess of 30 kg weight or 1 000 mm in length.</w:t>
      </w:r>
    </w:p>
    <w:p>
      <w:pPr>
        <w:pStyle w:val="yMiscellaneousBody"/>
        <w:keepNext/>
      </w:pPr>
      <w:r>
        <w:t>Smooth stingray taken from the waters of the South Coast Region or the West Coast Region.</w:t>
      </w:r>
    </w:p>
    <w:p>
      <w:pPr>
        <w:pStyle w:val="yFootnotesection"/>
      </w:pPr>
      <w:r>
        <w:tab/>
        <w:t>[Part 3 inserted: Gazette 14 Sep 2012 p. 4375; amended: Gazette 29 Jan 2013 p. 312; 23 Jan 2015 p. 402; 18 Mar 2016 p. 745; 4 Oct 2019 p. 3554.]</w:t>
      </w:r>
    </w:p>
    <w:p>
      <w:pPr>
        <w:pStyle w:val="yScheduleHeading"/>
      </w:pPr>
      <w:bookmarkStart w:id="1131" w:name="_Toc184372798"/>
      <w:bookmarkStart w:id="1132" w:name="_Toc184377951"/>
      <w:bookmarkStart w:id="1133" w:name="_Toc184385308"/>
      <w:bookmarkStart w:id="1134" w:name="_Toc201508705"/>
      <w:bookmarkStart w:id="1135" w:name="_Toc201754536"/>
      <w:bookmarkStart w:id="1136" w:name="_Toc201759266"/>
      <w:r>
        <w:rPr>
          <w:rStyle w:val="CharSchNo"/>
        </w:rPr>
        <w:t>Schedule 3</w:t>
      </w:r>
      <w:r>
        <w:t> — </w:t>
      </w:r>
      <w:r>
        <w:rPr>
          <w:rStyle w:val="CharSchText"/>
        </w:rPr>
        <w:t>Bag limits</w:t>
      </w:r>
      <w:bookmarkEnd w:id="1131"/>
      <w:bookmarkEnd w:id="1132"/>
      <w:bookmarkEnd w:id="1133"/>
      <w:bookmarkEnd w:id="1134"/>
      <w:bookmarkEnd w:id="1135"/>
      <w:bookmarkEnd w:id="1136"/>
    </w:p>
    <w:p>
      <w:pPr>
        <w:pStyle w:val="yShoulderClause"/>
      </w:pPr>
      <w:r>
        <w:t>[Pt. 4B]</w:t>
      </w:r>
    </w:p>
    <w:p>
      <w:pPr>
        <w:pStyle w:val="yFootnoteheading"/>
      </w:pPr>
      <w:r>
        <w:tab/>
        <w:t>[Heading inserted: Gazette 4 Oct 2019 p. 3555.]</w:t>
      </w:r>
    </w:p>
    <w:p>
      <w:pPr>
        <w:pStyle w:val="yHeading3"/>
      </w:pPr>
      <w:bookmarkStart w:id="1137" w:name="_Toc184372799"/>
      <w:bookmarkStart w:id="1138" w:name="_Toc184377952"/>
      <w:bookmarkStart w:id="1139" w:name="_Toc184385309"/>
      <w:bookmarkStart w:id="1140" w:name="_Toc201508706"/>
      <w:bookmarkStart w:id="1141" w:name="_Toc201754537"/>
      <w:bookmarkStart w:id="1142" w:name="_Toc201759267"/>
      <w:r>
        <w:rPr>
          <w:rStyle w:val="CharSDivNo"/>
        </w:rPr>
        <w:t>Division 1</w:t>
      </w:r>
      <w:r>
        <w:rPr>
          <w:b w:val="0"/>
        </w:rPr>
        <w:t> — </w:t>
      </w:r>
      <w:r>
        <w:rPr>
          <w:rStyle w:val="CharSDivText"/>
        </w:rPr>
        <w:t>Bag limits — demersal finfish</w:t>
      </w:r>
      <w:bookmarkEnd w:id="1137"/>
      <w:bookmarkEnd w:id="1138"/>
      <w:bookmarkEnd w:id="1139"/>
      <w:bookmarkEnd w:id="1140"/>
      <w:bookmarkEnd w:id="1141"/>
      <w:bookmarkEnd w:id="1142"/>
    </w:p>
    <w:p>
      <w:pPr>
        <w:pStyle w:val="yFootnoteheading"/>
      </w:pPr>
      <w:r>
        <w:tab/>
        <w:t>[Heading inserted: Gazette 4 Oct 2019 p. 3555.]</w:t>
      </w:r>
    </w:p>
    <w:p>
      <w:pPr>
        <w:pStyle w:val="yHeading4"/>
      </w:pPr>
      <w:bookmarkStart w:id="1143" w:name="_Toc184372800"/>
      <w:bookmarkStart w:id="1144" w:name="_Toc184377953"/>
      <w:bookmarkStart w:id="1145" w:name="_Toc184385310"/>
      <w:bookmarkStart w:id="1146" w:name="_Toc201508707"/>
      <w:bookmarkStart w:id="1147" w:name="_Toc201754538"/>
      <w:bookmarkStart w:id="1148" w:name="_Toc201759268"/>
      <w:r>
        <w:t>Subdivision 1</w:t>
      </w:r>
      <w:r>
        <w:rPr>
          <w:b w:val="0"/>
        </w:rPr>
        <w:t> — </w:t>
      </w:r>
      <w:r>
        <w:t xml:space="preserve">Regions other than West Coast </w:t>
      </w:r>
      <w:r>
        <w:rPr>
          <w:szCs w:val="22"/>
        </w:rPr>
        <w:t>Region</w:t>
      </w:r>
      <w:bookmarkEnd w:id="1143"/>
      <w:bookmarkEnd w:id="1144"/>
      <w:bookmarkEnd w:id="1145"/>
      <w:bookmarkEnd w:id="1146"/>
      <w:bookmarkEnd w:id="1147"/>
      <w:bookmarkEnd w:id="1148"/>
    </w:p>
    <w:p>
      <w:pPr>
        <w:pStyle w:val="yShoulderClause"/>
      </w:pPr>
      <w:r>
        <w:t>[r. 65A]</w:t>
      </w:r>
    </w:p>
    <w:p>
      <w:pPr>
        <w:pStyle w:val="yFootnoteheading"/>
      </w:pPr>
      <w:r>
        <w:tab/>
        <w:t>[Heading inserted: Gazette 4 Oct 2019 p. 3555; amended: SL 2023/2 r. 21.]</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right" w:pos="3912"/>
                <w:tab w:val="left" w:leader="dot" w:pos="4143"/>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Boarfish</w:t>
            </w:r>
            <w:r>
              <w:tab/>
            </w:r>
          </w:p>
        </w:tc>
        <w:tc>
          <w:tcPr>
            <w:tcW w:w="925" w:type="dxa"/>
            <w:tcMar>
              <w:left w:w="85" w:type="dxa"/>
            </w:tcMar>
          </w:tcPr>
          <w:p>
            <w:pPr>
              <w:pStyle w:val="yTableNAm"/>
              <w:tabs>
                <w:tab w:val="left" w:leader="dot" w:pos="567"/>
                <w:tab w:val="right" w:pos="4049"/>
                <w:tab w:val="left" w:leader="dot" w:pos="4143"/>
                <w:tab w:val="right" w:leader="dot" w:pos="4282"/>
              </w:tabs>
            </w:pPr>
            <w:r>
              <w:t>3</w:t>
            </w:r>
          </w:p>
        </w:tc>
        <w:tc>
          <w:tcPr>
            <w:tcW w:w="1843" w:type="dxa"/>
            <w:vMerge w:val="restart"/>
            <w:tcMar>
              <w:left w:w="85" w:type="dxa"/>
            </w:tcMar>
            <w:vAlign w:val="center"/>
          </w:tcPr>
          <w:p>
            <w:pPr>
              <w:pStyle w:val="yTableNAm"/>
              <w:tabs>
                <w:tab w:val="left" w:leader="dot" w:pos="567"/>
                <w:tab w:val="right" w:pos="4049"/>
                <w:tab w:val="left" w:leader="dot" w:pos="4143"/>
                <w:tab w:val="right" w:leader="dot" w:pos="4282"/>
              </w:tabs>
            </w:pPr>
            <w:r>
              <w:t>5 (excluding Redfish, Bight (Red Snapper, Nannygai), Redfish, Yelloweye and Swallowtail in South Coast region)</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Cod, Barramundi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Coral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Coronation Trout</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Dhufish, West Australian</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Dory, John and Mirror</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and Seabream, all species except Grass Emperor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Grass </w:t>
            </w:r>
            <w:r>
              <w:tab/>
            </w:r>
          </w:p>
        </w:tc>
        <w:tc>
          <w:tcPr>
            <w:tcW w:w="925" w:type="dxa"/>
            <w:tcMar>
              <w:left w:w="85" w:type="dxa"/>
            </w:tcMar>
          </w:tcPr>
          <w:p>
            <w:pPr>
              <w:pStyle w:val="yTableNAm"/>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Foxfish</w:t>
            </w:r>
            <w:r>
              <w:tab/>
            </w:r>
          </w:p>
        </w:tc>
        <w:tc>
          <w:tcPr>
            <w:tcW w:w="925" w:type="dxa"/>
            <w:tcMar>
              <w:left w:w="85" w:type="dxa"/>
            </w:tcMar>
          </w:tcPr>
          <w:p>
            <w:pPr>
              <w:pStyle w:val="yTableNAm"/>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left" w:leader="dot" w:pos="567"/>
                <w:tab w:val="right" w:leader="dot" w:pos="3907"/>
                <w:tab w:val="left" w:leader="dot" w:pos="4143"/>
                <w:tab w:val="right" w:leader="dot" w:pos="4282"/>
              </w:tabs>
            </w:pPr>
            <w:r>
              <w:t xml:space="preserve">Groper, Baldchin and Tuskfish </w:t>
            </w:r>
            <w:r>
              <w:tab/>
            </w:r>
          </w:p>
        </w:tc>
        <w:tc>
          <w:tcPr>
            <w:tcW w:w="925" w:type="dxa"/>
            <w:tcBorders>
              <w:bottom w:val="single" w:sz="4" w:space="0" w:color="auto"/>
            </w:tcBorders>
            <w:tcMar>
              <w:left w:w="85" w:type="dxa"/>
            </w:tcMar>
          </w:tcPr>
          <w:p>
            <w:pPr>
              <w:pStyle w:val="yTableNAm"/>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keepNext/>
              <w:tabs>
                <w:tab w:val="left" w:leader="dot" w:pos="567"/>
                <w:tab w:val="right" w:leader="dot" w:pos="3907"/>
                <w:tab w:val="left" w:leader="dot" w:pos="4143"/>
                <w:tab w:val="right" w:leader="dot" w:pos="4282"/>
              </w:tabs>
            </w:pPr>
            <w:r>
              <w:t>Hapuku, Bass Groper and Trevalla(s), Blue</w:t>
            </w:r>
            <w:r>
              <w:noBreakHyphen/>
              <w:t xml:space="preserve">Eye </w:t>
            </w:r>
            <w:r>
              <w:tab/>
            </w:r>
          </w:p>
        </w:tc>
        <w:tc>
          <w:tcPr>
            <w:tcW w:w="925" w:type="dxa"/>
            <w:tcMar>
              <w:left w:w="85" w:type="dxa"/>
            </w:tcMar>
            <w:vAlign w:val="bottom"/>
          </w:tcPr>
          <w:p>
            <w:pPr>
              <w:pStyle w:val="yTableNAm"/>
              <w:keepNext/>
              <w:rPr>
                <w:i/>
              </w:rPr>
            </w:pPr>
            <w:r>
              <w:t>3</w:t>
            </w:r>
          </w:p>
        </w:tc>
        <w:tc>
          <w:tcPr>
            <w:tcW w:w="1843" w:type="dxa"/>
            <w:vMerge/>
            <w:tcMar>
              <w:left w:w="85" w:type="dxa"/>
            </w:tcMar>
          </w:tcPr>
          <w:p>
            <w:pPr>
              <w:pStyle w:val="yTableNAm"/>
              <w:keepNext/>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Pearl Perch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Rockcod, all species except Chinaman Rockcod, Coral Trout and Coronation </w:t>
            </w:r>
            <w:r>
              <w:br/>
              <w:t>Trout</w:t>
            </w:r>
            <w:r>
              <w:tab/>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except in the waters of the Shark Bay western gulf or the waters of the Shark Bay eastern gulf</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in the waters of the Shark Bay western gulf or the waters of the Shark Bay eastern gulf</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Snapper, Queen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Tropical Snapper, all species except Golden Snapper (Fingermark), Mangrove Jack and Stripey Snapper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Redfish, Bight (Red Snapper, Nannygai), Redfish, Yelloweye and Swallowtail in South Coast region</w:t>
            </w:r>
            <w:r>
              <w:tab/>
            </w:r>
          </w:p>
        </w:tc>
        <w:tc>
          <w:tcPr>
            <w:tcW w:w="925" w:type="dxa"/>
            <w:tcMar>
              <w:left w:w="85" w:type="dxa"/>
            </w:tcMar>
            <w:vAlign w:val="bottom"/>
          </w:tcPr>
          <w:p>
            <w:pPr>
              <w:pStyle w:val="yTableNAm"/>
              <w:rPr>
                <w:i/>
              </w:rPr>
            </w:pPr>
            <w:r>
              <w:t>8</w:t>
            </w:r>
          </w:p>
        </w:tc>
        <w:tc>
          <w:tcPr>
            <w:tcW w:w="1843" w:type="dxa"/>
            <w:tcMar>
              <w:left w:w="85" w:type="dxa"/>
            </w:tcMar>
          </w:tcPr>
          <w:p>
            <w:pPr>
              <w:pStyle w:val="yTableNAm"/>
            </w:pPr>
          </w:p>
        </w:tc>
      </w:tr>
    </w:tbl>
    <w:p>
      <w:pPr>
        <w:pStyle w:val="yFootnotesection"/>
      </w:pPr>
      <w:r>
        <w:tab/>
        <w:t>[Subdivision 1 inserted: Gazette 4 Oct 2019 p. 3555</w:t>
      </w:r>
      <w:r>
        <w:noBreakHyphen/>
        <w:t>6; amended: SL 2023/2 r. 22; SL 2024/263 r. 21(1).]</w:t>
      </w:r>
    </w:p>
    <w:p>
      <w:pPr>
        <w:pStyle w:val="yHeading4"/>
      </w:pPr>
      <w:bookmarkStart w:id="1149" w:name="_Toc184372801"/>
      <w:bookmarkStart w:id="1150" w:name="_Toc184377954"/>
      <w:bookmarkStart w:id="1151" w:name="_Toc184385311"/>
      <w:bookmarkStart w:id="1152" w:name="_Toc201508708"/>
      <w:bookmarkStart w:id="1153" w:name="_Toc201754539"/>
      <w:bookmarkStart w:id="1154" w:name="_Toc201759269"/>
      <w:r>
        <w:t>Subdivision 2</w:t>
      </w:r>
      <w:r>
        <w:rPr>
          <w:b w:val="0"/>
        </w:rPr>
        <w:t> — </w:t>
      </w:r>
      <w:r>
        <w:t>West Coast Region other than Abrolhos Islands Fish Habitat Protection Area</w:t>
      </w:r>
      <w:bookmarkEnd w:id="1149"/>
      <w:bookmarkEnd w:id="1150"/>
      <w:bookmarkEnd w:id="1151"/>
      <w:bookmarkEnd w:id="1152"/>
      <w:bookmarkEnd w:id="1153"/>
      <w:bookmarkEnd w:id="1154"/>
    </w:p>
    <w:p>
      <w:pPr>
        <w:pStyle w:val="yShoulderClause"/>
        <w:keepNext/>
      </w:pPr>
      <w:r>
        <w:t>[r. 65B]</w:t>
      </w:r>
    </w:p>
    <w:p>
      <w:pPr>
        <w:pStyle w:val="yFootnoteheading"/>
        <w:keepNext/>
      </w:pPr>
      <w:r>
        <w:tab/>
        <w:t>[Heading inserted: Gazette 4 Oct 2019 p. 3556; amended: SL 2023/2 r. 23.]</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5"/>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Boarfish</w:t>
            </w:r>
            <w:r>
              <w:tab/>
            </w:r>
          </w:p>
        </w:tc>
        <w:tc>
          <w:tcPr>
            <w:tcW w:w="925" w:type="dxa"/>
            <w:tcMar>
              <w:left w:w="85" w:type="dxa"/>
            </w:tcMar>
          </w:tcPr>
          <w:p>
            <w:pPr>
              <w:pStyle w:val="yTableNAm"/>
              <w:rPr>
                <w:i/>
              </w:rPr>
            </w:pPr>
            <w:r>
              <w:t>2</w:t>
            </w:r>
          </w:p>
        </w:tc>
        <w:tc>
          <w:tcPr>
            <w:tcW w:w="1843" w:type="dxa"/>
            <w:vMerge w:val="restart"/>
            <w:tcMar>
              <w:left w:w="85" w:type="dxa"/>
            </w:tcMar>
            <w:vAlign w:val="center"/>
          </w:tcPr>
          <w:p>
            <w:pPr>
              <w:pStyle w:val="yTableNAm"/>
              <w:jc w:val="center"/>
            </w:pPr>
            <w:r>
              <w:t>2</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Coral Trout and Coronation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Dhufish, West Australian</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Dory, John and Mirror</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Emperor and Seabream</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Foxfish</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Baldchin and Tuskfish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Hapuku, Bass Groper, Eightbar Grouper and Trevalla(s), Blue</w:t>
            </w:r>
            <w:r>
              <w:noBreakHyphen/>
              <w:t xml:space="preserve">Eye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Redfish, Bight (Red Snapper, Nannygai) and Swallowtail</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Rockcod, all species except Coral Trout and Coronation Trout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(Pink Snapper)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Queen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pPr>
              <w:pStyle w:val="yTableNAm"/>
              <w:rPr>
                <w:i/>
              </w:rPr>
            </w:pPr>
            <w:r>
              <w:br/>
            </w:r>
            <w:r>
              <w:br/>
              <w:t>2</w:t>
            </w:r>
          </w:p>
        </w:tc>
        <w:tc>
          <w:tcPr>
            <w:tcW w:w="1843" w:type="dxa"/>
            <w:vMerge/>
            <w:tcMar>
              <w:left w:w="85" w:type="dxa"/>
            </w:tcMar>
          </w:tcPr>
          <w:p>
            <w:pPr>
              <w:pStyle w:val="yTableNAm"/>
            </w:pPr>
          </w:p>
        </w:tc>
      </w:tr>
    </w:tbl>
    <w:p>
      <w:pPr>
        <w:pStyle w:val="yFootnotesection"/>
      </w:pPr>
      <w:r>
        <w:tab/>
        <w:t>[Subdivision 2 inserted: Gazette 4 Oct 2019 p. 3556</w:t>
      </w:r>
      <w:r>
        <w:noBreakHyphen/>
        <w:t>7; amended: SL 2023/2 r. 24; SL 2024/263 r. 21(2).]</w:t>
      </w:r>
    </w:p>
    <w:p>
      <w:pPr>
        <w:pStyle w:val="yHeading4"/>
      </w:pPr>
      <w:bookmarkStart w:id="1155" w:name="_Toc184372802"/>
      <w:bookmarkStart w:id="1156" w:name="_Toc184377955"/>
      <w:bookmarkStart w:id="1157" w:name="_Toc184385312"/>
      <w:bookmarkStart w:id="1158" w:name="_Toc201508709"/>
      <w:bookmarkStart w:id="1159" w:name="_Toc201754540"/>
      <w:bookmarkStart w:id="1160" w:name="_Toc201759270"/>
      <w:r>
        <w:t>Subdivision 3 — Abrolhos Island Fish Habitat Protection Area</w:t>
      </w:r>
      <w:bookmarkEnd w:id="1155"/>
      <w:bookmarkEnd w:id="1156"/>
      <w:bookmarkEnd w:id="1157"/>
      <w:bookmarkEnd w:id="1158"/>
      <w:bookmarkEnd w:id="1159"/>
      <w:bookmarkEnd w:id="1160"/>
      <w:r>
        <w:t xml:space="preserve"> </w:t>
      </w:r>
    </w:p>
    <w:p>
      <w:pPr>
        <w:pStyle w:val="yShoulderClause"/>
        <w:keepNext/>
      </w:pPr>
      <w:r>
        <w:t>[r. 65BA]</w:t>
      </w:r>
    </w:p>
    <w:p>
      <w:pPr>
        <w:pStyle w:val="yFootnoteheading"/>
        <w:keepNext/>
      </w:pPr>
      <w:r>
        <w:tab/>
        <w:t>[Heading inserted: SL 2023/2 r. 25.]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tabs>
                <w:tab w:val="right" w:pos="4009"/>
              </w:tabs>
              <w:rPr>
                <w:b/>
              </w:rPr>
            </w:pPr>
            <w:r>
              <w:rPr>
                <w:b/>
              </w:rPr>
              <w:t>Fish</w:t>
            </w:r>
          </w:p>
        </w:tc>
        <w:tc>
          <w:tcPr>
            <w:tcW w:w="925" w:type="dxa"/>
            <w:tcMar>
              <w:left w:w="85" w:type="dxa"/>
            </w:tcMar>
            <w:vAlign w:val="center"/>
          </w:tcPr>
          <w:p>
            <w:pPr>
              <w:pStyle w:val="yTableNAm"/>
              <w:keepNext/>
              <w:rPr>
                <w:b/>
              </w:rPr>
            </w:pPr>
            <w:r>
              <w:rPr>
                <w:b/>
              </w:rPr>
              <w:t>Species bag limit for one day</w:t>
            </w:r>
          </w:p>
        </w:tc>
        <w:tc>
          <w:tcPr>
            <w:tcW w:w="1843" w:type="dxa"/>
            <w:tcMar>
              <w:left w:w="85" w:type="dxa"/>
            </w:tcMar>
            <w:vAlign w:val="center"/>
          </w:tcPr>
          <w:p>
            <w:pPr>
              <w:pStyle w:val="yTableNAm"/>
              <w:keepNext/>
              <w:rPr>
                <w:b/>
              </w:rPr>
            </w:pPr>
            <w:r>
              <w:rPr>
                <w:b/>
              </w:rPr>
              <w:t>Grouped bag limit of all species of demersal finfish for one day</w:t>
            </w:r>
          </w:p>
        </w:tc>
      </w:tr>
      <w:tr>
        <w:trPr>
          <w:cantSplit/>
        </w:trPr>
        <w:tc>
          <w:tcPr>
            <w:tcW w:w="4292" w:type="dxa"/>
            <w:tcMar>
              <w:left w:w="85" w:type="dxa"/>
            </w:tcMar>
          </w:tcPr>
          <w:p>
            <w:pPr>
              <w:pStyle w:val="yTableNAm"/>
              <w:tabs>
                <w:tab w:val="right" w:leader="dot" w:pos="4009"/>
              </w:tabs>
            </w:pPr>
            <w:r>
              <w:t>Boarfish</w:t>
            </w:r>
            <w:r>
              <w:tab/>
            </w:r>
          </w:p>
        </w:tc>
        <w:tc>
          <w:tcPr>
            <w:tcW w:w="925" w:type="dxa"/>
            <w:tcMar>
              <w:left w:w="85" w:type="dxa"/>
            </w:tcMar>
            <w:vAlign w:val="bottom"/>
          </w:tcPr>
          <w:p>
            <w:pPr>
              <w:pStyle w:val="yTableNAm"/>
              <w:jc w:val="center"/>
              <w:rPr>
                <w:i/>
              </w:rPr>
            </w:pPr>
            <w:r>
              <w:t>1</w:t>
            </w:r>
          </w:p>
        </w:tc>
        <w:tc>
          <w:tcPr>
            <w:tcW w:w="1843" w:type="dxa"/>
            <w:vMerge w:val="restart"/>
            <w:tcMar>
              <w:left w:w="85" w:type="dxa"/>
            </w:tcMar>
            <w:vAlign w:val="center"/>
          </w:tcPr>
          <w:p>
            <w:pPr>
              <w:pStyle w:val="yTableNAm"/>
              <w:jc w:val="center"/>
            </w:pPr>
            <w:r>
              <w:t>1</w:t>
            </w:r>
          </w:p>
        </w:tc>
      </w:tr>
      <w:tr>
        <w:trPr>
          <w:cantSplit/>
        </w:trPr>
        <w:tc>
          <w:tcPr>
            <w:tcW w:w="4292" w:type="dxa"/>
            <w:tcMar>
              <w:left w:w="85" w:type="dxa"/>
            </w:tcMar>
          </w:tcPr>
          <w:p>
            <w:pPr>
              <w:pStyle w:val="yTableNAm"/>
              <w:tabs>
                <w:tab w:val="right" w:leader="dot" w:pos="4009"/>
              </w:tabs>
            </w:pPr>
            <w:r>
              <w:t>Coral Trout and Coronation Trout</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Dhufish, West Australian</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Dory, John and Mirror</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Emperor and Seabream</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Foxfish, Western and Pigfish</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Groper, Baldchin and Tuskfish</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Groper, Western Blue</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Hapuku, Bass Groper, Eightbar Grouper and Trevalla(s), Blue</w:t>
            </w:r>
            <w:r>
              <w:noBreakHyphen/>
              <w:t>Eye</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Redfish, Bight (Red Snapper, Nannygai) and Swallowtail</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Rockcod, all species except Coral Trout and Coronation Trout</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Snapper (Pink Snapper)</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Snapper, Queen</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keepNext/>
              <w:tabs>
                <w:tab w:val="right" w:leader="dot" w:pos="4009"/>
              </w:tabs>
            </w:pPr>
            <w:r>
              <w:t>Tropical Snapper, all species except Golden Snapper (Fingermark), Mangrove Jack and Stripey Snapper</w:t>
            </w:r>
            <w:r>
              <w:tab/>
            </w:r>
          </w:p>
        </w:tc>
        <w:tc>
          <w:tcPr>
            <w:tcW w:w="925" w:type="dxa"/>
            <w:tcMar>
              <w:left w:w="85" w:type="dxa"/>
            </w:tcMar>
            <w:vAlign w:val="bottom"/>
          </w:tcPr>
          <w:p>
            <w:pPr>
              <w:pStyle w:val="yTableNAm"/>
              <w:keepNext/>
              <w:jc w:val="center"/>
              <w:rPr>
                <w:i/>
              </w:rPr>
            </w:pPr>
            <w:r>
              <w:t>1</w:t>
            </w:r>
          </w:p>
        </w:tc>
        <w:tc>
          <w:tcPr>
            <w:tcW w:w="1843" w:type="dxa"/>
            <w:vMerge/>
            <w:tcMar>
              <w:left w:w="85" w:type="dxa"/>
            </w:tcMar>
          </w:tcPr>
          <w:p>
            <w:pPr>
              <w:pStyle w:val="yTableNAm"/>
              <w:keepNext/>
            </w:pPr>
          </w:p>
        </w:tc>
      </w:tr>
    </w:tbl>
    <w:p>
      <w:pPr>
        <w:pStyle w:val="yFootnotesection"/>
      </w:pPr>
      <w:r>
        <w:tab/>
        <w:t>[Subdivision 3 inserted: SL 2023/2 r. 25.]</w:t>
      </w:r>
    </w:p>
    <w:p>
      <w:pPr>
        <w:pStyle w:val="yHeading3"/>
      </w:pPr>
      <w:bookmarkStart w:id="1161" w:name="_Toc184372803"/>
      <w:bookmarkStart w:id="1162" w:name="_Toc184377956"/>
      <w:bookmarkStart w:id="1163" w:name="_Toc184385313"/>
      <w:bookmarkStart w:id="1164" w:name="_Toc201508710"/>
      <w:bookmarkStart w:id="1165" w:name="_Toc201754541"/>
      <w:bookmarkStart w:id="1166" w:name="_Toc201759271"/>
      <w:r>
        <w:rPr>
          <w:rStyle w:val="CharSDivNo"/>
        </w:rPr>
        <w:t>Division 2</w:t>
      </w:r>
      <w:r>
        <w:rPr>
          <w:b w:val="0"/>
        </w:rPr>
        <w:t> — </w:t>
      </w:r>
      <w:r>
        <w:rPr>
          <w:rStyle w:val="CharSDivText"/>
        </w:rPr>
        <w:t>Bag limits — large pelagic finfish</w:t>
      </w:r>
      <w:bookmarkEnd w:id="1161"/>
      <w:bookmarkEnd w:id="1162"/>
      <w:bookmarkEnd w:id="1163"/>
      <w:bookmarkEnd w:id="1164"/>
      <w:bookmarkEnd w:id="1165"/>
      <w:bookmarkEnd w:id="1166"/>
    </w:p>
    <w:p>
      <w:pPr>
        <w:pStyle w:val="yShoulderClause"/>
        <w:keepNext/>
      </w:pPr>
      <w:r>
        <w:t>[r. 65C]</w:t>
      </w:r>
    </w:p>
    <w:p>
      <w:pPr>
        <w:pStyle w:val="yFootnoteheading"/>
        <w:keepNext/>
      </w:pPr>
      <w:r>
        <w:tab/>
        <w:t>[Heading inserted: Gazette 4 Oct 2019 p. 3557.]</w:t>
      </w:r>
    </w:p>
    <w:p>
      <w:pPr>
        <w:pStyle w:val="yHeading4"/>
      </w:pPr>
      <w:bookmarkStart w:id="1167" w:name="_Toc184372804"/>
      <w:bookmarkStart w:id="1168" w:name="_Toc184377957"/>
      <w:bookmarkStart w:id="1169" w:name="_Toc184385314"/>
      <w:bookmarkStart w:id="1170" w:name="_Toc201508711"/>
      <w:bookmarkStart w:id="1171" w:name="_Toc201754542"/>
      <w:bookmarkStart w:id="1172" w:name="_Toc201759272"/>
      <w:r>
        <w:t>Subdivision 1 — Regions other than Abrolhos Island Fish Habitat Protection Area</w:t>
      </w:r>
      <w:bookmarkEnd w:id="1167"/>
      <w:bookmarkEnd w:id="1168"/>
      <w:bookmarkEnd w:id="1169"/>
      <w:bookmarkEnd w:id="1170"/>
      <w:bookmarkEnd w:id="1171"/>
      <w:bookmarkEnd w:id="1172"/>
    </w:p>
    <w:p>
      <w:pPr>
        <w:pStyle w:val="yFootnoteheading"/>
        <w:keepNext/>
        <w:spacing w:after="60"/>
      </w:pPr>
      <w:r>
        <w:tab/>
        <w:t>[Heading inserted: SL 2023/2 r. 26.]</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Amberjack, Samsonfish and Yellowtail Kingfish </w:t>
            </w:r>
            <w:r>
              <w:tab/>
            </w:r>
          </w:p>
        </w:tc>
        <w:tc>
          <w:tcPr>
            <w:tcW w:w="926" w:type="dxa"/>
            <w:tcMar>
              <w:left w:w="85" w:type="dxa"/>
            </w:tcMar>
          </w:tcPr>
          <w:p>
            <w:pPr>
              <w:pStyle w:val="yTableNAm"/>
              <w:rPr>
                <w:i/>
              </w:rPr>
            </w:pPr>
            <w:r>
              <w:br/>
              <w:t>3</w:t>
            </w:r>
          </w:p>
        </w:tc>
        <w:tc>
          <w:tcPr>
            <w:tcW w:w="1842" w:type="dxa"/>
            <w:vMerge w:val="restart"/>
            <w:tcMar>
              <w:left w:w="85" w:type="dxa"/>
            </w:tcMar>
            <w:vAlign w:val="center"/>
          </w:tcPr>
          <w:p>
            <w:pPr>
              <w:pStyle w:val="yTableNAm"/>
              <w:jc w:val="center"/>
            </w:pPr>
            <w:r>
              <w:t>3</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Barracouta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Barracuda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Billfish (Marlin, Sailfish) and Swordfish </w:t>
            </w:r>
            <w:r>
              <w:tab/>
            </w:r>
          </w:p>
        </w:tc>
        <w:tc>
          <w:tcPr>
            <w:tcW w:w="926" w:type="dxa"/>
            <w:tcMar>
              <w:left w:w="85" w:type="dxa"/>
            </w:tcMar>
          </w:tcPr>
          <w:p>
            <w:pPr>
              <w:pStyle w:val="yTableNAm"/>
              <w:rPr>
                <w:i/>
              </w:rPr>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Cobia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Dolphinfish (Mahi Mahi)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Mackerel (Grey, School, Shark, Spanish, Spotted) and Wahoo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Sharks and Rays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Trevally, Giant and Golden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Tuna (Bigeye, Longtail, Mackerel, Skipjack, Southern Bluefin, Yellowfin and Dogtooth)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bl>
    <w:p>
      <w:pPr>
        <w:pStyle w:val="yFootnotesection"/>
      </w:pPr>
      <w:r>
        <w:tab/>
        <w:t>[Subdivision 1 (formerly Division 2) inserted: Gazette 4 Oct 2019 p. 3557</w:t>
      </w:r>
      <w:r>
        <w:noBreakHyphen/>
        <w:t>8; amended: SL 2024/263 r. 21(3).]</w:t>
      </w:r>
    </w:p>
    <w:p>
      <w:pPr>
        <w:pStyle w:val="yHeading4"/>
      </w:pPr>
      <w:bookmarkStart w:id="1173" w:name="_Toc184300128"/>
      <w:bookmarkStart w:id="1174" w:name="_Toc184300192"/>
      <w:bookmarkStart w:id="1175" w:name="_Toc184300229"/>
      <w:bookmarkStart w:id="1176" w:name="_Toc184300320"/>
      <w:bookmarkStart w:id="1177" w:name="_Toc184377958"/>
      <w:bookmarkStart w:id="1178" w:name="_Toc184385315"/>
      <w:bookmarkStart w:id="1179" w:name="_Toc201508712"/>
      <w:bookmarkStart w:id="1180" w:name="_Toc201754543"/>
      <w:bookmarkStart w:id="1181" w:name="_Toc201759273"/>
      <w:bookmarkStart w:id="1182" w:name="_Toc184372805"/>
      <w:r>
        <w:t>Subdivision 2 — Abrolhos Island Fish Habitat Protection Area</w:t>
      </w:r>
      <w:bookmarkEnd w:id="1173"/>
      <w:bookmarkEnd w:id="1174"/>
      <w:bookmarkEnd w:id="1175"/>
      <w:bookmarkEnd w:id="1176"/>
      <w:bookmarkEnd w:id="1177"/>
      <w:bookmarkEnd w:id="1178"/>
      <w:bookmarkEnd w:id="1179"/>
      <w:bookmarkEnd w:id="1180"/>
      <w:bookmarkEnd w:id="1181"/>
    </w:p>
    <w:p>
      <w:pPr>
        <w:pStyle w:val="yShoulderClause"/>
        <w:keepNext/>
      </w:pPr>
      <w:r>
        <w:t>[r. 65CA]</w:t>
      </w:r>
    </w:p>
    <w:p>
      <w:pPr>
        <w:pStyle w:val="yFootnoteheading"/>
        <w:keepNext/>
      </w:pPr>
      <w:r>
        <w:tab/>
        <w:t>[Heading inserted: SL 2024/263 r. 21(4).]</w:t>
      </w:r>
    </w:p>
    <w:tbl>
      <w:tblPr>
        <w:tblW w:w="6975"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757"/>
      </w:tblGrid>
      <w:tr>
        <w:trPr>
          <w:cantSplit/>
          <w:tblHeader/>
        </w:trPr>
        <w:tc>
          <w:tcPr>
            <w:tcW w:w="4292" w:type="dxa"/>
            <w:tcBorders>
              <w:top w:val="single" w:sz="4" w:space="0" w:color="auto"/>
            </w:tcBorders>
            <w:tcMar>
              <w:left w:w="85" w:type="dxa"/>
            </w:tcMar>
            <w:vAlign w:val="center"/>
          </w:tcPr>
          <w:p>
            <w:pPr>
              <w:pStyle w:val="yTableNAm"/>
              <w:tabs>
                <w:tab w:val="right" w:leader="dot" w:pos="4092"/>
              </w:tabs>
              <w:rPr>
                <w:b/>
                <w:bCs/>
              </w:rPr>
            </w:pPr>
            <w:r>
              <w:rPr>
                <w:b/>
                <w:bCs/>
              </w:rPr>
              <w:t>Fish</w:t>
            </w:r>
          </w:p>
        </w:tc>
        <w:tc>
          <w:tcPr>
            <w:tcW w:w="926" w:type="dxa"/>
            <w:tcBorders>
              <w:top w:val="single" w:sz="4" w:space="0" w:color="auto"/>
            </w:tcBorders>
            <w:tcMar>
              <w:left w:w="85" w:type="dxa"/>
            </w:tcMar>
            <w:vAlign w:val="center"/>
          </w:tcPr>
          <w:p>
            <w:pPr>
              <w:pStyle w:val="yTableNAm"/>
              <w:rPr>
                <w:b/>
                <w:bCs/>
              </w:rPr>
            </w:pPr>
            <w:r>
              <w:rPr>
                <w:b/>
                <w:bCs/>
              </w:rPr>
              <w:t>Species bag limit for one day</w:t>
            </w:r>
          </w:p>
        </w:tc>
        <w:tc>
          <w:tcPr>
            <w:tcW w:w="1757" w:type="dxa"/>
            <w:tcBorders>
              <w:top w:val="single" w:sz="4" w:space="0" w:color="auto"/>
            </w:tcBorders>
            <w:tcMar>
              <w:left w:w="85" w:type="dxa"/>
            </w:tcMar>
            <w:vAlign w:val="center"/>
          </w:tcPr>
          <w:p>
            <w:pPr>
              <w:pStyle w:val="yTableNAm"/>
              <w:rPr>
                <w:b/>
                <w:bCs/>
              </w:rPr>
            </w:pPr>
            <w:r>
              <w:rPr>
                <w:b/>
                <w:bCs/>
              </w:rPr>
              <w:t>Grouped bag limit of all species of large pelagic finfish for one day</w:t>
            </w:r>
          </w:p>
        </w:tc>
      </w:tr>
      <w:tr>
        <w:trPr>
          <w:cantSplit/>
        </w:trPr>
        <w:tc>
          <w:tcPr>
            <w:tcW w:w="4292" w:type="dxa"/>
            <w:tcMar>
              <w:left w:w="85" w:type="dxa"/>
            </w:tcMar>
          </w:tcPr>
          <w:p>
            <w:pPr>
              <w:pStyle w:val="yTableNAm"/>
              <w:tabs>
                <w:tab w:val="right" w:leader="dot" w:pos="4092"/>
              </w:tabs>
            </w:pPr>
            <w:r>
              <w:t>Amberjack, Samsonfish and Yellowtail Kingfish</w:t>
            </w:r>
            <w:r>
              <w:tab/>
            </w:r>
          </w:p>
        </w:tc>
        <w:tc>
          <w:tcPr>
            <w:tcW w:w="926" w:type="dxa"/>
            <w:tcMar>
              <w:left w:w="85" w:type="dxa"/>
            </w:tcMar>
            <w:vAlign w:val="bottom"/>
          </w:tcPr>
          <w:p>
            <w:pPr>
              <w:pStyle w:val="yTableNAm"/>
              <w:jc w:val="center"/>
            </w:pPr>
            <w:r>
              <w:t>3</w:t>
            </w:r>
          </w:p>
        </w:tc>
        <w:tc>
          <w:tcPr>
            <w:tcW w:w="1757" w:type="dxa"/>
            <w:vMerge w:val="restart"/>
            <w:tcMar>
              <w:left w:w="85" w:type="dxa"/>
            </w:tcMar>
            <w:vAlign w:val="center"/>
          </w:tcPr>
          <w:p>
            <w:pPr>
              <w:pStyle w:val="yTableNAm"/>
              <w:jc w:val="center"/>
            </w:pPr>
            <w:r>
              <w:t>3</w:t>
            </w:r>
          </w:p>
        </w:tc>
      </w:tr>
      <w:tr>
        <w:trPr>
          <w:cantSplit/>
        </w:trPr>
        <w:tc>
          <w:tcPr>
            <w:tcW w:w="4292" w:type="dxa"/>
            <w:tcMar>
              <w:left w:w="85" w:type="dxa"/>
            </w:tcMar>
          </w:tcPr>
          <w:p>
            <w:pPr>
              <w:pStyle w:val="yTableNAm"/>
              <w:tabs>
                <w:tab w:val="right" w:leader="dot" w:pos="4092"/>
              </w:tabs>
              <w:rPr>
                <w:rStyle w:val="DraftersNotes"/>
                <w:b w:val="0"/>
                <w:i w:val="0"/>
              </w:rPr>
            </w:pPr>
            <w:r>
              <w:t>Barracouta</w:t>
            </w:r>
            <w:r>
              <w:tab/>
            </w:r>
          </w:p>
        </w:tc>
        <w:tc>
          <w:tcPr>
            <w:tcW w:w="926" w:type="dxa"/>
            <w:tcMar>
              <w:left w:w="85" w:type="dxa"/>
            </w:tcMar>
            <w:vAlign w:val="center"/>
          </w:tcPr>
          <w:p>
            <w:pPr>
              <w:pStyle w:val="yTableNAm"/>
              <w:jc w:val="center"/>
            </w:pPr>
            <w:r>
              <w:t>3</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right" w:leader="dot" w:pos="4092"/>
              </w:tabs>
            </w:pPr>
            <w:r>
              <w:t>Barracuda</w:t>
            </w:r>
            <w:r>
              <w:tab/>
            </w:r>
          </w:p>
        </w:tc>
        <w:tc>
          <w:tcPr>
            <w:tcW w:w="926" w:type="dxa"/>
            <w:tcMar>
              <w:left w:w="85" w:type="dxa"/>
            </w:tcMar>
            <w:vAlign w:val="center"/>
          </w:tcPr>
          <w:p>
            <w:pPr>
              <w:pStyle w:val="yTableNAm"/>
              <w:jc w:val="center"/>
            </w:pPr>
            <w:r>
              <w:t>3</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right" w:leader="dot" w:pos="4092"/>
              </w:tabs>
            </w:pPr>
            <w:r>
              <w:t>Billfish (Marlin, Sailfish) and Swordfish</w:t>
            </w:r>
            <w:r>
              <w:tab/>
            </w:r>
          </w:p>
        </w:tc>
        <w:tc>
          <w:tcPr>
            <w:tcW w:w="926" w:type="dxa"/>
            <w:tcMar>
              <w:left w:w="85" w:type="dxa"/>
            </w:tcMar>
            <w:vAlign w:val="center"/>
          </w:tcPr>
          <w:p>
            <w:pPr>
              <w:pStyle w:val="yTableNAm"/>
              <w:jc w:val="center"/>
            </w:pPr>
            <w:r>
              <w:t>1</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clear" w:pos="567"/>
                <w:tab w:val="right" w:leader="dot" w:pos="4092"/>
              </w:tabs>
            </w:pPr>
            <w:r>
              <w:t xml:space="preserve">Cobia </w:t>
            </w:r>
            <w:r>
              <w:tab/>
            </w:r>
          </w:p>
        </w:tc>
        <w:tc>
          <w:tcPr>
            <w:tcW w:w="926" w:type="dxa"/>
            <w:tcMar>
              <w:left w:w="85" w:type="dxa"/>
            </w:tcMar>
            <w:vAlign w:val="center"/>
          </w:tcPr>
          <w:p>
            <w:pPr>
              <w:pStyle w:val="yTableNAm"/>
              <w:jc w:val="center"/>
            </w:pPr>
            <w:r>
              <w:t>3</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right" w:leader="dot" w:pos="4092"/>
              </w:tabs>
            </w:pPr>
            <w:r>
              <w:t>Dolphinfish (Mahi Mahi)</w:t>
            </w:r>
            <w:r>
              <w:tab/>
            </w:r>
          </w:p>
        </w:tc>
        <w:tc>
          <w:tcPr>
            <w:tcW w:w="926" w:type="dxa"/>
            <w:tcMar>
              <w:left w:w="85" w:type="dxa"/>
            </w:tcMar>
            <w:vAlign w:val="center"/>
          </w:tcPr>
          <w:p>
            <w:pPr>
              <w:pStyle w:val="yTableNAm"/>
              <w:jc w:val="center"/>
            </w:pPr>
            <w:r>
              <w:t>3</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right" w:leader="dot" w:pos="4092"/>
              </w:tabs>
            </w:pPr>
            <w:r>
              <w:t>Mackerel (Grey, School, Shark, Spanish, Spotted) and Wahoo</w:t>
            </w:r>
            <w:r>
              <w:tab/>
            </w:r>
          </w:p>
        </w:tc>
        <w:tc>
          <w:tcPr>
            <w:tcW w:w="926" w:type="dxa"/>
            <w:tcMar>
              <w:left w:w="85" w:type="dxa"/>
            </w:tcMar>
            <w:vAlign w:val="bottom"/>
          </w:tcPr>
          <w:p>
            <w:pPr>
              <w:pStyle w:val="yTableNAm"/>
              <w:jc w:val="center"/>
            </w:pPr>
            <w:r>
              <w:t>3</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right" w:leader="dot" w:pos="4092"/>
              </w:tabs>
            </w:pPr>
            <w:r>
              <w:t>Sharks and Rays</w:t>
            </w:r>
            <w:r>
              <w:tab/>
            </w:r>
          </w:p>
        </w:tc>
        <w:tc>
          <w:tcPr>
            <w:tcW w:w="926" w:type="dxa"/>
            <w:tcMar>
              <w:left w:w="85" w:type="dxa"/>
            </w:tcMar>
            <w:vAlign w:val="center"/>
          </w:tcPr>
          <w:p>
            <w:pPr>
              <w:pStyle w:val="yTableNAm"/>
              <w:jc w:val="center"/>
            </w:pPr>
            <w:r>
              <w:t>3</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right" w:leader="dot" w:pos="4092"/>
              </w:tabs>
            </w:pPr>
            <w:r>
              <w:t>Trevally, Giant and Golden</w:t>
            </w:r>
            <w:r>
              <w:tab/>
            </w:r>
          </w:p>
        </w:tc>
        <w:tc>
          <w:tcPr>
            <w:tcW w:w="926" w:type="dxa"/>
            <w:tcMar>
              <w:left w:w="85" w:type="dxa"/>
            </w:tcMar>
            <w:vAlign w:val="center"/>
          </w:tcPr>
          <w:p>
            <w:pPr>
              <w:pStyle w:val="yTableNAm"/>
              <w:jc w:val="center"/>
            </w:pPr>
            <w:r>
              <w:t>3</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keepNext/>
              <w:tabs>
                <w:tab w:val="right" w:leader="dot" w:pos="4092"/>
              </w:tabs>
            </w:pPr>
            <w:r>
              <w:t xml:space="preserve">Tuna (Bigeye, Longtail, Mackerel, Skipjack, Southern Bluefin, Yellowfin and </w:t>
            </w:r>
            <w:r>
              <w:br/>
              <w:t>Dogtooth)</w:t>
            </w:r>
            <w:r>
              <w:tab/>
            </w:r>
          </w:p>
        </w:tc>
        <w:tc>
          <w:tcPr>
            <w:tcW w:w="926" w:type="dxa"/>
            <w:tcMar>
              <w:left w:w="85" w:type="dxa"/>
            </w:tcMar>
            <w:vAlign w:val="bottom"/>
          </w:tcPr>
          <w:p>
            <w:pPr>
              <w:pStyle w:val="yTableNAm"/>
              <w:keepNext/>
              <w:jc w:val="center"/>
            </w:pPr>
            <w:r>
              <w:t>3</w:t>
            </w:r>
          </w:p>
        </w:tc>
        <w:tc>
          <w:tcPr>
            <w:tcW w:w="1757" w:type="dxa"/>
            <w:vMerge/>
            <w:tcMar>
              <w:left w:w="85" w:type="dxa"/>
            </w:tcMar>
          </w:tcPr>
          <w:p>
            <w:pPr>
              <w:pStyle w:val="yTableNAm"/>
              <w:jc w:val="center"/>
            </w:pPr>
          </w:p>
        </w:tc>
      </w:tr>
    </w:tbl>
    <w:p>
      <w:pPr>
        <w:pStyle w:val="yFootnotesection"/>
      </w:pPr>
      <w:r>
        <w:tab/>
        <w:t>[Subdivision 2 inserted: SL 2024/263 r. 21(4).]</w:t>
      </w:r>
    </w:p>
    <w:p>
      <w:pPr>
        <w:pStyle w:val="yHeading3"/>
      </w:pPr>
      <w:bookmarkStart w:id="1183" w:name="_Toc184372806"/>
      <w:bookmarkStart w:id="1184" w:name="_Toc184377959"/>
      <w:bookmarkStart w:id="1185" w:name="_Toc184385316"/>
      <w:bookmarkStart w:id="1186" w:name="_Toc201508713"/>
      <w:bookmarkStart w:id="1187" w:name="_Toc201754544"/>
      <w:bookmarkStart w:id="1188" w:name="_Toc201759274"/>
      <w:bookmarkEnd w:id="1182"/>
      <w:r>
        <w:rPr>
          <w:rStyle w:val="CharSDivNo"/>
        </w:rPr>
        <w:t>Division 3</w:t>
      </w:r>
      <w:r>
        <w:rPr>
          <w:b w:val="0"/>
        </w:rPr>
        <w:t> — </w:t>
      </w:r>
      <w:r>
        <w:rPr>
          <w:rStyle w:val="CharSDivText"/>
        </w:rPr>
        <w:t>Bag limits — nearshore or estuarine finfish</w:t>
      </w:r>
      <w:bookmarkEnd w:id="1183"/>
      <w:bookmarkEnd w:id="1184"/>
      <w:bookmarkEnd w:id="1185"/>
      <w:bookmarkEnd w:id="1186"/>
      <w:bookmarkEnd w:id="1187"/>
      <w:bookmarkEnd w:id="1188"/>
    </w:p>
    <w:p>
      <w:pPr>
        <w:pStyle w:val="yShoulderClause"/>
        <w:keepNext/>
      </w:pPr>
      <w:r>
        <w:t>[r. 65D]</w:t>
      </w:r>
    </w:p>
    <w:p>
      <w:pPr>
        <w:pStyle w:val="yFootnoteheading"/>
        <w:keepNext/>
      </w:pPr>
      <w:r>
        <w:tab/>
        <w:t>[Heading inserted: Gazette 4 Oct 2019 p. 3558.]</w:t>
      </w:r>
    </w:p>
    <w:tbl>
      <w:tblPr>
        <w:tblW w:w="7060"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keepNext/>
              <w:tabs>
                <w:tab w:val="left" w:leader="dot" w:pos="3946"/>
              </w:tabs>
              <w:rPr>
                <w:b/>
                <w:bCs/>
              </w:rPr>
            </w:pPr>
            <w:r>
              <w:rPr>
                <w:b/>
              </w:rPr>
              <w:t>Fish</w:t>
            </w:r>
          </w:p>
        </w:tc>
        <w:tc>
          <w:tcPr>
            <w:tcW w:w="1418" w:type="dxa"/>
            <w:tcMar>
              <w:left w:w="85" w:type="dxa"/>
            </w:tcMar>
            <w:vAlign w:val="center"/>
          </w:tcPr>
          <w:p>
            <w:pPr>
              <w:pStyle w:val="yTableNAm"/>
              <w:keepNext/>
              <w:rPr>
                <w:b/>
                <w:bCs/>
              </w:rPr>
            </w:pPr>
            <w:r>
              <w:rPr>
                <w:b/>
                <w:bCs/>
              </w:rPr>
              <w:t xml:space="preserve">Species bag </w:t>
            </w:r>
            <w:r>
              <w:rPr>
                <w:b/>
              </w:rPr>
              <w:t>limit</w:t>
            </w:r>
            <w:r>
              <w:rPr>
                <w:b/>
                <w:bCs/>
              </w:rPr>
              <w:t xml:space="preserve"> for one day</w:t>
            </w:r>
          </w:p>
        </w:tc>
        <w:tc>
          <w:tcPr>
            <w:tcW w:w="1559" w:type="dxa"/>
            <w:tcMar>
              <w:left w:w="85" w:type="dxa"/>
            </w:tcMar>
            <w:vAlign w:val="center"/>
          </w:tcPr>
          <w:p>
            <w:pPr>
              <w:pStyle w:val="yTableNAm"/>
              <w:keepNext/>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Albacore </w:t>
            </w:r>
            <w:r>
              <w:tab/>
            </w:r>
          </w:p>
        </w:tc>
        <w:tc>
          <w:tcPr>
            <w:tcW w:w="1418" w:type="dxa"/>
            <w:tcMar>
              <w:left w:w="85" w:type="dxa"/>
            </w:tcMar>
          </w:tcPr>
          <w:p>
            <w:pPr>
              <w:pStyle w:val="yTableNAm"/>
              <w:rPr>
                <w:bCs/>
                <w:i/>
              </w:rPr>
            </w:pPr>
            <w:r>
              <w:rPr>
                <w:bCs/>
              </w:rPr>
              <w:t>8</w:t>
            </w:r>
          </w:p>
        </w:tc>
        <w:tc>
          <w:tcPr>
            <w:tcW w:w="1559" w:type="dxa"/>
            <w:vMerge w:val="restart"/>
            <w:tcMar>
              <w:left w:w="85" w:type="dxa"/>
            </w:tcMar>
            <w:vAlign w:val="center"/>
          </w:tcPr>
          <w:p>
            <w:pPr>
              <w:pStyle w:val="yTableNAm"/>
              <w:jc w:val="center"/>
              <w:rPr>
                <w:bCs/>
              </w:rPr>
            </w:pPr>
            <w:r>
              <w:t>16</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Barracuda, Striped </w:t>
            </w:r>
            <w:r>
              <w:tab/>
            </w:r>
          </w:p>
        </w:tc>
        <w:tc>
          <w:tcPr>
            <w:tcW w:w="1418" w:type="dxa"/>
            <w:tcMar>
              <w:left w:w="85" w:type="dxa"/>
            </w:tcMar>
          </w:tcPr>
          <w:p>
            <w:pPr>
              <w:pStyle w:val="yTableNAm"/>
              <w:rPr>
                <w:bCs/>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Barramundi </w:t>
            </w:r>
            <w:r>
              <w:tab/>
            </w:r>
          </w:p>
        </w:tc>
        <w:tc>
          <w:tcPr>
            <w:tcW w:w="1418" w:type="dxa"/>
            <w:tcMar>
              <w:left w:w="85" w:type="dxa"/>
            </w:tcMar>
          </w:tcPr>
          <w:p>
            <w:pPr>
              <w:pStyle w:val="yTableNAm"/>
              <w:rPr>
                <w:bCs/>
                <w:i/>
              </w:rPr>
            </w:pPr>
            <w:r>
              <w:rPr>
                <w:bCs/>
              </w:rPr>
              <w:t>2</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Bonitos, all species </w:t>
            </w:r>
            <w:r>
              <w:tab/>
            </w:r>
          </w:p>
        </w:tc>
        <w:tc>
          <w:tcPr>
            <w:tcW w:w="1418" w:type="dxa"/>
            <w:tcMar>
              <w:left w:w="85" w:type="dxa"/>
            </w:tcMar>
          </w:tcPr>
          <w:p>
            <w:pPr>
              <w:pStyle w:val="yTableNAm"/>
              <w:rPr>
                <w:bCs/>
                <w:i/>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Bream, Black, Northwest Black, Western Yellowfin and Tarwhine </w:t>
            </w:r>
            <w:r>
              <w:tab/>
            </w:r>
          </w:p>
        </w:tc>
        <w:tc>
          <w:tcPr>
            <w:tcW w:w="1418" w:type="dxa"/>
            <w:tcMar>
              <w:left w:w="85" w:type="dxa"/>
            </w:tcMar>
          </w:tcPr>
          <w:p>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Catfish and Estuary Cobbler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Dart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Flathead </w:t>
            </w:r>
            <w:r>
              <w:tab/>
            </w:r>
          </w:p>
        </w:tc>
        <w:tc>
          <w:tcPr>
            <w:tcW w:w="1418" w:type="dxa"/>
            <w:tcMar>
              <w:left w:w="85" w:type="dxa"/>
            </w:tcMar>
          </w:tcPr>
          <w:p>
            <w:pPr>
              <w:pStyle w:val="yTableNAm"/>
            </w:pPr>
            <w: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Flounder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Javelinfish and Sweetlips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Jewfish, Black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keepNext/>
              <w:tabs>
                <w:tab w:val="left" w:leader="dot" w:pos="567"/>
                <w:tab w:val="right" w:leader="dot" w:pos="3907"/>
                <w:tab w:val="left" w:leader="dot" w:pos="4145"/>
                <w:tab w:val="right" w:leader="dot" w:pos="4282"/>
              </w:tabs>
            </w:pPr>
            <w:r>
              <w:t xml:space="preserve">Leatherjacket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Mangrove Jack</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Mulloway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Parrotfish </w:t>
            </w:r>
            <w:r>
              <w:tab/>
            </w:r>
          </w:p>
        </w:tc>
        <w:tc>
          <w:tcPr>
            <w:tcW w:w="1418" w:type="dxa"/>
            <w:tcMar>
              <w:left w:w="85" w:type="dxa"/>
            </w:tcMar>
          </w:tcPr>
          <w:p>
            <w:pPr>
              <w:pStyle w:val="yTableNAm"/>
              <w:rPr>
                <w:bCs/>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Pike, Longfin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Rockcod, Chinaman (Charlie Court)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Salmon, Western Australian (Salmon)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Snapper, Golden (Fingermark) and </w:t>
            </w:r>
            <w:r>
              <w:br/>
              <w:t xml:space="preserve">Stripey </w:t>
            </w:r>
            <w:r>
              <w:tab/>
            </w:r>
          </w:p>
        </w:tc>
        <w:tc>
          <w:tcPr>
            <w:tcW w:w="1418" w:type="dxa"/>
            <w:tcMar>
              <w:left w:w="85" w:type="dxa"/>
            </w:tcMar>
          </w:tcPr>
          <w:p>
            <w:pPr>
              <w:pStyle w:val="yTableNAm"/>
              <w:rPr>
                <w:bCs/>
                <w:i/>
              </w:rPr>
            </w:pPr>
            <w:r>
              <w:rPr>
                <w:bCs/>
              </w:rPr>
              <w:b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Snook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Sweep, Sea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Tailor </w:t>
            </w:r>
            <w:r>
              <w:tab/>
            </w:r>
          </w:p>
        </w:tc>
        <w:tc>
          <w:tcPr>
            <w:tcW w:w="1418" w:type="dxa"/>
            <w:tcMar>
              <w:left w:w="85" w:type="dxa"/>
            </w:tcMar>
          </w:tcPr>
          <w:p>
            <w:pPr>
              <w:pStyle w:val="yTableNAm"/>
              <w:rPr>
                <w:bCs/>
                <w:i/>
              </w:rPr>
            </w:pPr>
            <w:r>
              <w:rPr>
                <w:bCs/>
              </w:rPr>
              <w:t>8 (only 2 of which may be over 500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all species except King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King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Trevally and Queenfish, all species except Giant and Golden Trevally, Needleskin Queenfish, and Yellowtail Scad </w:t>
            </w:r>
            <w:r>
              <w:tab/>
            </w:r>
          </w:p>
        </w:tc>
        <w:tc>
          <w:tcPr>
            <w:tcW w:w="1418" w:type="dxa"/>
            <w:tcMar>
              <w:left w:w="85" w:type="dxa"/>
            </w:tcMar>
          </w:tcPr>
          <w:p>
            <w:pPr>
              <w:pStyle w:val="yTableNAm"/>
              <w:rPr>
                <w:bCs/>
                <w:i/>
              </w:rPr>
            </w:pPr>
            <w:r>
              <w:rPr>
                <w:bCs/>
              </w:rPr>
              <w:br/>
            </w:r>
            <w:r>
              <w:rPr>
                <w:bCs/>
              </w:rPr>
              <w:b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Tripletail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keepNext/>
              <w:tabs>
                <w:tab w:val="left" w:leader="dot" w:pos="567"/>
                <w:tab w:val="right" w:leader="dot" w:pos="3907"/>
                <w:tab w:val="left" w:leader="dot" w:pos="4145"/>
                <w:tab w:val="right" w:leader="dot" w:pos="4282"/>
              </w:tabs>
            </w:pPr>
            <w:r>
              <w:t xml:space="preserve">Whiting, King George </w:t>
            </w:r>
            <w:r>
              <w:tab/>
            </w:r>
          </w:p>
        </w:tc>
        <w:tc>
          <w:tcPr>
            <w:tcW w:w="1418" w:type="dxa"/>
            <w:tcMar>
              <w:left w:w="85" w:type="dxa"/>
            </w:tcMar>
          </w:tcPr>
          <w:p>
            <w:pPr>
              <w:pStyle w:val="yTableNAm"/>
              <w:rPr>
                <w:bCs/>
                <w:i/>
              </w:rPr>
            </w:pPr>
            <w:r>
              <w:rPr>
                <w:bCs/>
              </w:rPr>
              <w:t>12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keepNext/>
              <w:tabs>
                <w:tab w:val="left" w:leader="dot" w:pos="567"/>
                <w:tab w:val="right" w:leader="dot" w:pos="3907"/>
                <w:tab w:val="left" w:leader="dot" w:pos="4145"/>
                <w:tab w:val="right" w:leader="dot" w:pos="4282"/>
              </w:tabs>
            </w:pPr>
            <w:r>
              <w:t xml:space="preserve">Wrasse </w:t>
            </w:r>
            <w:r>
              <w:tab/>
            </w:r>
          </w:p>
        </w:tc>
        <w:tc>
          <w:tcPr>
            <w:tcW w:w="1418" w:type="dxa"/>
            <w:tcMar>
              <w:left w:w="85" w:type="dxa"/>
            </w:tcMar>
          </w:tcPr>
          <w:p>
            <w:pPr>
              <w:pStyle w:val="yTableNAm"/>
              <w:keepNext/>
              <w:rPr>
                <w:bCs/>
                <w:i/>
              </w:rPr>
            </w:pPr>
            <w:r>
              <w:rPr>
                <w:bCs/>
              </w:rPr>
              <w:t>8</w:t>
            </w:r>
          </w:p>
        </w:tc>
        <w:tc>
          <w:tcPr>
            <w:tcW w:w="1559" w:type="dxa"/>
            <w:vMerge/>
            <w:tcMar>
              <w:left w:w="85" w:type="dxa"/>
            </w:tcMar>
          </w:tcPr>
          <w:p>
            <w:pPr>
              <w:pStyle w:val="yTableNAm"/>
              <w:keepNext/>
              <w:rPr>
                <w:bCs/>
              </w:rPr>
            </w:pPr>
          </w:p>
        </w:tc>
      </w:tr>
    </w:tbl>
    <w:p>
      <w:pPr>
        <w:pStyle w:val="yFootnotesection"/>
      </w:pPr>
      <w:r>
        <w:tab/>
        <w:t>[Division 3 inserted: Gazette 4 Oct 2019 p. 3558-60.]</w:t>
      </w:r>
    </w:p>
    <w:p>
      <w:pPr>
        <w:pStyle w:val="yHeading3"/>
      </w:pPr>
      <w:bookmarkStart w:id="1189" w:name="_Toc184372807"/>
      <w:bookmarkStart w:id="1190" w:name="_Toc184377960"/>
      <w:bookmarkStart w:id="1191" w:name="_Toc184385317"/>
      <w:bookmarkStart w:id="1192" w:name="_Toc201508714"/>
      <w:bookmarkStart w:id="1193" w:name="_Toc201754545"/>
      <w:bookmarkStart w:id="1194" w:name="_Toc201759275"/>
      <w:r>
        <w:rPr>
          <w:rStyle w:val="CharSDivNo"/>
        </w:rPr>
        <w:t>Division 4</w:t>
      </w:r>
      <w:r>
        <w:rPr>
          <w:b w:val="0"/>
        </w:rPr>
        <w:t> — </w:t>
      </w:r>
      <w:r>
        <w:rPr>
          <w:rStyle w:val="CharSDivText"/>
        </w:rPr>
        <w:t>Bag limits — freshwater finfish</w:t>
      </w:r>
      <w:bookmarkEnd w:id="1189"/>
      <w:bookmarkEnd w:id="1190"/>
      <w:bookmarkEnd w:id="1191"/>
      <w:bookmarkEnd w:id="1192"/>
      <w:bookmarkEnd w:id="1193"/>
      <w:bookmarkEnd w:id="1194"/>
    </w:p>
    <w:p>
      <w:pPr>
        <w:pStyle w:val="yShoulderClause"/>
        <w:keepNext/>
      </w:pPr>
      <w:r>
        <w:t>[r. 65E]</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pPr>
              <w:pStyle w:val="yTableNAm"/>
              <w:keepNext/>
              <w:rPr>
                <w:b/>
                <w:bCs/>
              </w:rPr>
            </w:pPr>
            <w:r>
              <w:rPr>
                <w:b/>
                <w:bCs/>
              </w:rPr>
              <w:t xml:space="preserve">Grouped bag limit of all </w:t>
            </w:r>
            <w:r>
              <w:rPr>
                <w:b/>
              </w:rPr>
              <w:t>species</w:t>
            </w:r>
            <w:r>
              <w:rPr>
                <w:b/>
                <w:bCs/>
              </w:rPr>
              <w:t xml:space="preserve"> of freshwater finfish for one day</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pPr>
              <w:pStyle w:val="yTableNAm"/>
              <w:keepNext/>
              <w:jc w:val="center"/>
              <w:rPr>
                <w:i/>
              </w:rPr>
            </w:pPr>
            <w:r>
              <w:t>4</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592"/>
              </w:tabs>
            </w:pPr>
            <w:r>
              <w:t xml:space="preserve">Perch, Striped </w:t>
            </w:r>
            <w:r>
              <w:tab/>
            </w:r>
          </w:p>
        </w:tc>
        <w:tc>
          <w:tcPr>
            <w:tcW w:w="2268" w:type="dxa"/>
            <w:vMerge/>
            <w:tcBorders>
              <w:left w:val="single" w:sz="4" w:space="0" w:color="auto"/>
            </w:tcBorders>
          </w:tcPr>
          <w:p>
            <w:pPr>
              <w:pStyle w:val="yTableNAm"/>
              <w:keepNext/>
            </w:pPr>
          </w:p>
        </w:tc>
      </w:tr>
      <w:tr>
        <w:trPr>
          <w:cantSplit/>
        </w:trPr>
        <w:tc>
          <w:tcPr>
            <w:tcW w:w="4792"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592"/>
              </w:tabs>
            </w:pPr>
            <w:r>
              <w:t>Trout, Brown and Rainbow</w:t>
            </w:r>
            <w:r>
              <w:tab/>
            </w:r>
          </w:p>
        </w:tc>
        <w:tc>
          <w:tcPr>
            <w:tcW w:w="2268" w:type="dxa"/>
            <w:vMerge/>
            <w:tcBorders>
              <w:left w:val="single" w:sz="4" w:space="0" w:color="auto"/>
              <w:bottom w:val="single" w:sz="4" w:space="0" w:color="auto"/>
            </w:tcBorders>
          </w:tcPr>
          <w:p>
            <w:pPr>
              <w:pStyle w:val="yTableNAm"/>
              <w:keepNext/>
            </w:pPr>
          </w:p>
        </w:tc>
      </w:tr>
    </w:tbl>
    <w:p>
      <w:pPr>
        <w:pStyle w:val="yFootnotesection"/>
      </w:pPr>
      <w:r>
        <w:tab/>
        <w:t>[Division 4 inserted: Gazette 4 Oct 2019 p. 3561.]</w:t>
      </w:r>
    </w:p>
    <w:p>
      <w:pPr>
        <w:pStyle w:val="yHeading3"/>
      </w:pPr>
      <w:bookmarkStart w:id="1195" w:name="_Toc184372808"/>
      <w:bookmarkStart w:id="1196" w:name="_Toc184377961"/>
      <w:bookmarkStart w:id="1197" w:name="_Toc184385318"/>
      <w:bookmarkStart w:id="1198" w:name="_Toc201508715"/>
      <w:bookmarkStart w:id="1199" w:name="_Toc201754546"/>
      <w:bookmarkStart w:id="1200" w:name="_Toc201759276"/>
      <w:r>
        <w:rPr>
          <w:rStyle w:val="CharSDivNo"/>
        </w:rPr>
        <w:t>Division 5</w:t>
      </w:r>
      <w:r>
        <w:rPr>
          <w:b w:val="0"/>
        </w:rPr>
        <w:t> — </w:t>
      </w:r>
      <w:r>
        <w:rPr>
          <w:rStyle w:val="CharSDivText"/>
        </w:rPr>
        <w:t>Bag limits — other finfish</w:t>
      </w:r>
      <w:bookmarkEnd w:id="1195"/>
      <w:bookmarkEnd w:id="1196"/>
      <w:bookmarkEnd w:id="1197"/>
      <w:bookmarkEnd w:id="1198"/>
      <w:bookmarkEnd w:id="1199"/>
      <w:bookmarkEnd w:id="1200"/>
    </w:p>
    <w:p>
      <w:pPr>
        <w:pStyle w:val="yShoulderClause"/>
        <w:keepNext/>
      </w:pPr>
      <w:r>
        <w:t>[r. 65F]</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rPr>
            </w:pPr>
            <w:r>
              <w:rPr>
                <w:b/>
              </w:rPr>
              <w:t>Fish</w:t>
            </w:r>
          </w:p>
        </w:tc>
        <w:tc>
          <w:tcPr>
            <w:tcW w:w="2268" w:type="dxa"/>
            <w:tcBorders>
              <w:top w:val="single" w:sz="8" w:space="0" w:color="auto"/>
              <w:left w:val="single" w:sz="4" w:space="0" w:color="auto"/>
              <w:bottom w:val="single" w:sz="8" w:space="0" w:color="auto"/>
            </w:tcBorders>
          </w:tcPr>
          <w:p>
            <w:pPr>
              <w:pStyle w:val="yTableNAm"/>
              <w:keepNext/>
              <w:rPr>
                <w:b/>
              </w:rPr>
            </w:pPr>
            <w:r>
              <w:rPr>
                <w:b/>
              </w:rPr>
              <w:t>Species bag limit for one day</w:t>
            </w:r>
          </w:p>
        </w:tc>
      </w:tr>
      <w:tr>
        <w:trPr>
          <w:cantSplit/>
        </w:trPr>
        <w:tc>
          <w:tcPr>
            <w:tcW w:w="4792" w:type="dxa"/>
            <w:tcBorders>
              <w:top w:val="single" w:sz="8" w:space="0" w:color="auto"/>
              <w:bottom w:val="single" w:sz="4" w:space="0" w:color="auto"/>
              <w:right w:val="single" w:sz="4" w:space="0" w:color="auto"/>
            </w:tcBorders>
            <w:tcMar>
              <w:left w:w="85" w:type="dxa"/>
              <w:right w:w="113" w:type="dxa"/>
            </w:tcMar>
          </w:tcPr>
          <w:p>
            <w:pPr>
              <w:pStyle w:val="yTableNAm"/>
              <w:keepNext/>
              <w:tabs>
                <w:tab w:val="left" w:leader="dot" w:pos="567"/>
                <w:tab w:val="right" w:leader="dot" w:pos="4592"/>
              </w:tabs>
            </w:pPr>
            <w:r>
              <w:t xml:space="preserve">Herring, Australian (Herring) </w:t>
            </w:r>
            <w:r>
              <w:tab/>
            </w:r>
          </w:p>
        </w:tc>
        <w:tc>
          <w:tcPr>
            <w:tcW w:w="2268" w:type="dxa"/>
            <w:tcBorders>
              <w:top w:val="single" w:sz="8" w:space="0" w:color="auto"/>
              <w:left w:val="single" w:sz="4" w:space="0" w:color="auto"/>
              <w:bottom w:val="single" w:sz="4" w:space="0" w:color="auto"/>
            </w:tcBorders>
          </w:tcPr>
          <w:p>
            <w:pPr>
              <w:pStyle w:val="yTableNAm"/>
              <w:keepNext/>
              <w:jc w:val="center"/>
            </w:pPr>
            <w:r>
              <w:t>20</w:t>
            </w:r>
          </w:p>
        </w:tc>
      </w:tr>
    </w:tbl>
    <w:p>
      <w:pPr>
        <w:pStyle w:val="yFootnotesection"/>
      </w:pPr>
      <w:r>
        <w:tab/>
        <w:t>[Division 5 inserted: Gazette 4 Oct 2019 p. 3561; amended: SL 2022/160 r. 4.]</w:t>
      </w:r>
    </w:p>
    <w:p>
      <w:pPr>
        <w:pStyle w:val="yHeading3"/>
      </w:pPr>
      <w:bookmarkStart w:id="1201" w:name="_Toc184372809"/>
      <w:bookmarkStart w:id="1202" w:name="_Toc184377962"/>
      <w:bookmarkStart w:id="1203" w:name="_Toc184385319"/>
      <w:bookmarkStart w:id="1204" w:name="_Toc201508716"/>
      <w:bookmarkStart w:id="1205" w:name="_Toc201754547"/>
      <w:bookmarkStart w:id="1206" w:name="_Toc201759277"/>
      <w:r>
        <w:rPr>
          <w:rStyle w:val="CharSDivNo"/>
        </w:rPr>
        <w:t>Division 6</w:t>
      </w:r>
      <w:r>
        <w:rPr>
          <w:b w:val="0"/>
        </w:rPr>
        <w:t> — </w:t>
      </w:r>
      <w:r>
        <w:rPr>
          <w:rStyle w:val="CharSDivText"/>
        </w:rPr>
        <w:t>Bag limits — crustaceans</w:t>
      </w:r>
      <w:bookmarkEnd w:id="1201"/>
      <w:bookmarkEnd w:id="1202"/>
      <w:bookmarkEnd w:id="1203"/>
      <w:bookmarkEnd w:id="1204"/>
      <w:bookmarkEnd w:id="1205"/>
      <w:bookmarkEnd w:id="1206"/>
    </w:p>
    <w:p>
      <w:pPr>
        <w:pStyle w:val="yShoulderClause"/>
        <w:keepNext/>
      </w:pPr>
      <w:r>
        <w:t>[r. 65G]</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pPr>
              <w:pStyle w:val="yTableNAm"/>
            </w:pPr>
            <w:r>
              <w:t xml:space="preserve">5 (in </w:t>
            </w:r>
            <w:r>
              <w:rPr>
                <w:szCs w:val="18"/>
              </w:rPr>
              <w:t>Cockburn Sound or the</w:t>
            </w:r>
            <w:r>
              <w:t xml:space="preserve"> Swan and Canning Rivers) </w:t>
            </w:r>
            <w:r>
              <w:br/>
              <w:t>10 (in Geographe Bay and Inland Waters, including no more than 5 females)</w:t>
            </w:r>
            <w:r>
              <w:br/>
              <w:t>10 (in other waters of West Coast Region)</w:t>
            </w:r>
            <w:r>
              <w:br/>
              <w:t>20 (in other regions)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Crab, Mud, all species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Koonac</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Marron </w:t>
            </w:r>
            <w:r>
              <w:tab/>
            </w:r>
          </w:p>
        </w:tc>
        <w:tc>
          <w:tcPr>
            <w:tcW w:w="2552" w:type="dxa"/>
            <w:tcBorders>
              <w:left w:val="single" w:sz="4" w:space="0" w:color="auto"/>
            </w:tcBorders>
            <w:tcMar>
              <w:left w:w="85" w:type="dxa"/>
              <w:right w:w="113" w:type="dxa"/>
            </w:tcMar>
          </w:tcPr>
          <w:p>
            <w:pPr>
              <w:pStyle w:val="yTableNAm"/>
            </w:pPr>
            <w:r>
              <w:t>5 (in marron trophy water)</w:t>
            </w:r>
            <w:r>
              <w:br/>
              <w:t>8 (in other waters)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Prawn</w:t>
            </w:r>
            <w:r>
              <w:tab/>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Prawn, Freshwater (Cherabin) </w:t>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Redclaw </w:t>
            </w:r>
            <w:r>
              <w:rPr>
                <w:szCs w:val="22"/>
              </w:rPr>
              <w:t>Crayfish</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Rock Lobster, all species </w:t>
            </w:r>
            <w:r>
              <w:tab/>
            </w:r>
          </w:p>
        </w:tc>
        <w:tc>
          <w:tcPr>
            <w:tcW w:w="2552" w:type="dxa"/>
            <w:tcBorders>
              <w:left w:val="single" w:sz="4" w:space="0" w:color="auto"/>
            </w:tcBorders>
            <w:tcMar>
              <w:left w:w="85" w:type="dxa"/>
              <w:right w:w="113" w:type="dxa"/>
            </w:tcMar>
          </w:tcPr>
          <w:p>
            <w:pPr>
              <w:pStyle w:val="yTableNAm"/>
            </w:pPr>
            <w:r>
              <w:t>8 (including no more than 4 Tropical Rock Lobsters)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Yabbie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30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pPr>
              <w:pStyle w:val="yTableNAm"/>
              <w:keepNext/>
            </w:pPr>
            <w:r>
              <w:t>10</w:t>
            </w:r>
          </w:p>
        </w:tc>
      </w:tr>
    </w:tbl>
    <w:p>
      <w:pPr>
        <w:pStyle w:val="yFootnotesection"/>
      </w:pPr>
      <w:r>
        <w:tab/>
        <w:t>[Division 6 inserted: Gazette 4 Oct 2019 p. 3561-2; amended: Gazette 29 Nov 2019 p. 4105; SL 2023/2 r. 28; SL 2024/234 r. 7; amended: SL 2024/263 r. 21(5).]</w:t>
      </w:r>
    </w:p>
    <w:p>
      <w:pPr>
        <w:pStyle w:val="yHeading3"/>
      </w:pPr>
      <w:bookmarkStart w:id="1207" w:name="_Toc184372810"/>
      <w:bookmarkStart w:id="1208" w:name="_Toc184377963"/>
      <w:bookmarkStart w:id="1209" w:name="_Toc184385320"/>
      <w:bookmarkStart w:id="1210" w:name="_Toc201508717"/>
      <w:bookmarkStart w:id="1211" w:name="_Toc201754548"/>
      <w:bookmarkStart w:id="1212" w:name="_Toc201759278"/>
      <w:r>
        <w:rPr>
          <w:rStyle w:val="CharSDivNo"/>
        </w:rPr>
        <w:t>Division 7</w:t>
      </w:r>
      <w:r>
        <w:rPr>
          <w:b w:val="0"/>
        </w:rPr>
        <w:t> — </w:t>
      </w:r>
      <w:r>
        <w:rPr>
          <w:rStyle w:val="CharSDivText"/>
        </w:rPr>
        <w:t>Bag limits — molluscs and other invertebrates</w:t>
      </w:r>
      <w:bookmarkEnd w:id="1207"/>
      <w:bookmarkEnd w:id="1208"/>
      <w:bookmarkEnd w:id="1209"/>
      <w:bookmarkEnd w:id="1210"/>
      <w:bookmarkEnd w:id="1211"/>
      <w:bookmarkEnd w:id="1212"/>
    </w:p>
    <w:p>
      <w:pPr>
        <w:pStyle w:val="yShoulderClause"/>
        <w:keepNext/>
      </w:pPr>
      <w:r>
        <w:t>[r. 65H]</w:t>
      </w:r>
    </w:p>
    <w:p>
      <w:pPr>
        <w:pStyle w:val="yFootnoteheading"/>
        <w:keepNext/>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Roe’s </w:t>
            </w:r>
            <w:r>
              <w:tab/>
            </w:r>
          </w:p>
        </w:tc>
        <w:tc>
          <w:tcPr>
            <w:tcW w:w="2552" w:type="dxa"/>
            <w:tcBorders>
              <w:left w:val="single" w:sz="4" w:space="0" w:color="auto"/>
            </w:tcBorders>
            <w:tcMar>
              <w:left w:w="85" w:type="dxa"/>
              <w:right w:w="113" w:type="dxa"/>
            </w:tcMar>
          </w:tcPr>
          <w:p>
            <w:pPr>
              <w:pStyle w:val="yTableNAm"/>
            </w:pPr>
            <w:r>
              <w:t>20 (including no more than 15 taken from Abalone Zone 1)</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Ark Shell, Cockle, Pipis and Clam, Venus</w:t>
            </w:r>
            <w:r>
              <w:tab/>
            </w:r>
          </w:p>
        </w:tc>
        <w:tc>
          <w:tcPr>
            <w:tcW w:w="2552" w:type="dxa"/>
            <w:tcBorders>
              <w:left w:val="single" w:sz="4" w:space="0" w:color="auto"/>
            </w:tcBorders>
            <w:tcMar>
              <w:left w:w="85" w:type="dxa"/>
              <w:right w:w="113" w:type="dxa"/>
            </w:tcMar>
          </w:tcPr>
          <w:p>
            <w:pPr>
              <w:pStyle w:val="yTableNAm"/>
            </w:pPr>
            <w:r>
              <w:t>2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Bloodworm </w:t>
            </w:r>
            <w:r>
              <w:tab/>
            </w:r>
          </w:p>
        </w:tc>
        <w:tc>
          <w:tcPr>
            <w:tcW w:w="2552" w:type="dxa"/>
            <w:tcBorders>
              <w:left w:val="single" w:sz="4" w:space="0" w:color="auto"/>
            </w:tcBorders>
            <w:tcMar>
              <w:left w:w="85" w:type="dxa"/>
              <w:right w:w="113" w:type="dxa"/>
            </w:tcMar>
          </w:tcPr>
          <w:p>
            <w:pPr>
              <w:pStyle w:val="yTableNAm"/>
            </w:pPr>
            <w:r>
              <w:t>1 litre</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Clam, Giant (other than Tridacna gigas)</w:t>
            </w:r>
            <w:r>
              <w:tab/>
            </w:r>
          </w:p>
        </w:tc>
        <w:tc>
          <w:tcPr>
            <w:tcW w:w="2552" w:type="dxa"/>
            <w:tcBorders>
              <w:left w:val="single" w:sz="4" w:space="0" w:color="auto"/>
            </w:tcBorders>
            <w:tcMar>
              <w:left w:w="85" w:type="dxa"/>
              <w:right w:w="113" w:type="dxa"/>
            </w:tcMar>
          </w:tcPr>
          <w:p>
            <w:pPr>
              <w:pStyle w:val="yTableNAm"/>
            </w:pPr>
            <w:r>
              <w:t>2</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Mussel </w:t>
            </w:r>
            <w:r>
              <w:tab/>
            </w:r>
          </w:p>
        </w:tc>
        <w:tc>
          <w:tcPr>
            <w:tcW w:w="2552" w:type="dxa"/>
            <w:tcBorders>
              <w:left w:val="single" w:sz="4" w:space="0" w:color="auto"/>
            </w:tcBorders>
            <w:tcMar>
              <w:left w:w="85" w:type="dxa"/>
              <w:right w:w="113" w:type="dxa"/>
            </w:tcMar>
          </w:tcPr>
          <w:p>
            <w:pPr>
              <w:pStyle w:val="yTableNAm"/>
            </w:pPr>
            <w:r>
              <w:t>9 litres (shell on)</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Oyster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Razor shell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Scallop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Sea Urchin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pPr>
              <w:pStyle w:val="yTableNAm"/>
            </w:pPr>
            <w:r>
              <w:t>15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pPr>
              <w:pStyle w:val="yTableNAm"/>
            </w:pPr>
            <w:r>
              <w:t>10</w:t>
            </w:r>
          </w:p>
        </w:tc>
      </w:tr>
      <w:tr>
        <w:trPr>
          <w:cantSplit/>
        </w:trPr>
        <w:tc>
          <w:tcPr>
            <w:tcW w:w="4508"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306"/>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pPr>
              <w:pStyle w:val="yTableNAm"/>
              <w:keepNext/>
            </w:pPr>
            <w:r>
              <w:br/>
              <w:t>10</w:t>
            </w:r>
          </w:p>
        </w:tc>
      </w:tr>
    </w:tbl>
    <w:p>
      <w:pPr>
        <w:pStyle w:val="yFootnotesection"/>
      </w:pPr>
      <w:r>
        <w:tab/>
        <w:t>[Division 7 inserted: Gazette 4 Oct 2019 p. 3562.]</w:t>
      </w:r>
    </w:p>
    <w:p>
      <w:pPr>
        <w:pStyle w:val="yScheduleHeading"/>
      </w:pPr>
      <w:bookmarkStart w:id="1213" w:name="_Toc184372811"/>
      <w:bookmarkStart w:id="1214" w:name="_Toc184377964"/>
      <w:bookmarkStart w:id="1215" w:name="_Toc184385321"/>
      <w:bookmarkStart w:id="1216" w:name="_Toc201508718"/>
      <w:bookmarkStart w:id="1217" w:name="_Toc201754549"/>
      <w:bookmarkStart w:id="1218" w:name="_Toc201759279"/>
      <w:r>
        <w:rPr>
          <w:rStyle w:val="CharSchNo"/>
        </w:rPr>
        <w:t>Schedule 4</w:t>
      </w:r>
      <w:r>
        <w:rPr>
          <w:rStyle w:val="CharSDivNo"/>
        </w:rPr>
        <w:t> </w:t>
      </w:r>
      <w:r>
        <w:t>—</w:t>
      </w:r>
      <w:r>
        <w:rPr>
          <w:rStyle w:val="CharSDivText"/>
        </w:rPr>
        <w:t> </w:t>
      </w:r>
      <w:r>
        <w:rPr>
          <w:rStyle w:val="CharSchText"/>
        </w:rPr>
        <w:t>Categories of fish</w:t>
      </w:r>
      <w:bookmarkEnd w:id="1213"/>
      <w:bookmarkEnd w:id="1214"/>
      <w:bookmarkEnd w:id="1215"/>
      <w:bookmarkEnd w:id="1216"/>
      <w:bookmarkEnd w:id="1217"/>
      <w:bookmarkEnd w:id="1218"/>
    </w:p>
    <w:p>
      <w:pPr>
        <w:pStyle w:val="yShoulderClause"/>
      </w:pPr>
      <w:r>
        <w:t>[s. 259 and r. 180]</w:t>
      </w:r>
    </w:p>
    <w:p>
      <w:pPr>
        <w:pStyle w:val="yFootnoteheading"/>
      </w:pPr>
      <w:r>
        <w:tab/>
        <w:t>[Heading inserted: Gazette 4 Oct 2019 p. 3563.]</w:t>
      </w:r>
    </w:p>
    <w:p>
      <w:pPr>
        <w:pStyle w:val="yMiscellaneousHeading"/>
        <w:ind w:left="567" w:hanging="567"/>
        <w:jc w:val="left"/>
        <w:rPr>
          <w:b/>
        </w:rPr>
      </w:pPr>
      <w:r>
        <w:rPr>
          <w:b/>
        </w:rPr>
        <w:t>Category 1 fish</w:t>
      </w:r>
    </w:p>
    <w:p>
      <w:pPr>
        <w:pStyle w:val="yNumberedItem"/>
        <w:ind w:left="426" w:firstLine="0"/>
      </w:pPr>
      <w:r>
        <w:t>Abalone, Brownlip</w:t>
      </w:r>
    </w:p>
    <w:p>
      <w:pPr>
        <w:pStyle w:val="yNumberedItem"/>
        <w:ind w:left="426" w:firstLine="0"/>
      </w:pPr>
      <w:r>
        <w:t>Abalone, Greenlip</w:t>
      </w:r>
    </w:p>
    <w:p>
      <w:pPr>
        <w:pStyle w:val="yNumberedItem"/>
        <w:ind w:left="426" w:firstLine="0"/>
      </w:pPr>
      <w:r>
        <w:t>Abalone, Roe’s</w:t>
      </w:r>
    </w:p>
    <w:p>
      <w:pPr>
        <w:pStyle w:val="yNumberedItem"/>
        <w:ind w:left="426" w:firstLine="0"/>
      </w:pPr>
      <w:r>
        <w:t>Amberjack</w:t>
      </w:r>
    </w:p>
    <w:p>
      <w:pPr>
        <w:pStyle w:val="yNumberedItem"/>
        <w:ind w:left="426" w:firstLine="0"/>
      </w:pPr>
      <w:r>
        <w:t>Barramundi</w:t>
      </w:r>
    </w:p>
    <w:p>
      <w:pPr>
        <w:pStyle w:val="yNumberedItem"/>
        <w:ind w:left="426" w:firstLine="0"/>
      </w:pPr>
      <w:r>
        <w:t>Billfish (Marlins, Sailfish and Spearfish) and Swordfish</w:t>
      </w:r>
    </w:p>
    <w:p>
      <w:pPr>
        <w:pStyle w:val="yNumberedItem"/>
        <w:ind w:left="426" w:firstLine="0"/>
      </w:pPr>
      <w:r>
        <w:t>Boarfish</w:t>
      </w:r>
    </w:p>
    <w:p>
      <w:pPr>
        <w:pStyle w:val="yNumberedItem"/>
        <w:ind w:left="426" w:firstLine="0"/>
      </w:pPr>
      <w:r>
        <w:t>Cobbler, Estuary</w:t>
      </w:r>
    </w:p>
    <w:p>
      <w:pPr>
        <w:pStyle w:val="yNumberedItem"/>
        <w:ind w:left="426" w:firstLine="0"/>
      </w:pPr>
      <w:r>
        <w:t>Cobia</w:t>
      </w:r>
    </w:p>
    <w:p>
      <w:pPr>
        <w:pStyle w:val="yNumberedItem"/>
        <w:ind w:left="426" w:firstLine="0"/>
      </w:pPr>
      <w:r>
        <w:t>Common Seadragon</w:t>
      </w:r>
    </w:p>
    <w:p>
      <w:pPr>
        <w:pStyle w:val="yNumberedItem"/>
        <w:ind w:left="426" w:firstLine="0"/>
      </w:pPr>
      <w:r>
        <w:t>Coral</w:t>
      </w:r>
    </w:p>
    <w:p>
      <w:pPr>
        <w:pStyle w:val="yNumberedItem"/>
        <w:ind w:left="426" w:firstLine="0"/>
      </w:pPr>
      <w:r>
        <w:t>Coral Trout</w:t>
      </w:r>
    </w:p>
    <w:p>
      <w:pPr>
        <w:pStyle w:val="yNumberedItem"/>
        <w:ind w:left="426" w:firstLine="0"/>
      </w:pPr>
      <w:r>
        <w:t>Crab, Blue Swimmer (Blue Manna)</w:t>
      </w:r>
    </w:p>
    <w:p>
      <w:pPr>
        <w:pStyle w:val="yNumberedItem"/>
        <w:ind w:left="426" w:firstLine="0"/>
      </w:pPr>
      <w:r>
        <w:t>Crab, Brown Mud</w:t>
      </w:r>
    </w:p>
    <w:p>
      <w:pPr>
        <w:pStyle w:val="yNumberedItem"/>
        <w:ind w:left="426" w:firstLine="0"/>
      </w:pPr>
      <w:r>
        <w:t>Crab, Champagne</w:t>
      </w:r>
    </w:p>
    <w:p>
      <w:pPr>
        <w:pStyle w:val="yNumberedItem"/>
        <w:ind w:left="426" w:firstLine="0"/>
      </w:pPr>
      <w:r>
        <w:t>Crab, Crystal</w:t>
      </w:r>
    </w:p>
    <w:p>
      <w:pPr>
        <w:pStyle w:val="yNumberedItem"/>
        <w:ind w:left="426" w:firstLine="0"/>
      </w:pPr>
      <w:r>
        <w:t>Crab, Giant</w:t>
      </w:r>
    </w:p>
    <w:p>
      <w:pPr>
        <w:pStyle w:val="yNumberedItem"/>
        <w:ind w:left="426" w:firstLine="0"/>
      </w:pPr>
      <w:r>
        <w:t>Crab, Green Mud</w:t>
      </w:r>
    </w:p>
    <w:p>
      <w:pPr>
        <w:pStyle w:val="yNumberedItem"/>
        <w:ind w:left="426" w:firstLine="0"/>
      </w:pPr>
      <w:r>
        <w:t>Dhufish, West Australian</w:t>
      </w:r>
    </w:p>
    <w:p>
      <w:pPr>
        <w:pStyle w:val="yNumberedItem"/>
        <w:ind w:left="426" w:firstLine="0"/>
      </w:pPr>
      <w:r>
        <w:t>Dolphinfish (Mahi Mahi)</w:t>
      </w:r>
    </w:p>
    <w:p>
      <w:pPr>
        <w:pStyle w:val="yNumberedItem"/>
        <w:ind w:left="426" w:firstLine="0"/>
      </w:pPr>
      <w:r>
        <w:t>Emperor</w:t>
      </w:r>
    </w:p>
    <w:p>
      <w:pPr>
        <w:pStyle w:val="yNumberedItem"/>
        <w:ind w:left="426" w:firstLine="0"/>
      </w:pPr>
      <w:r>
        <w:t>Foxfish</w:t>
      </w:r>
    </w:p>
    <w:p>
      <w:pPr>
        <w:pStyle w:val="yNumberedItem"/>
        <w:ind w:left="426" w:firstLine="0"/>
      </w:pPr>
      <w:r>
        <w:t>Groper, Baldchin</w:t>
      </w:r>
    </w:p>
    <w:p>
      <w:pPr>
        <w:pStyle w:val="yNumberedItem"/>
        <w:ind w:left="426" w:firstLine="0"/>
      </w:pPr>
      <w:r>
        <w:t>Groper, Bass</w:t>
      </w:r>
    </w:p>
    <w:p>
      <w:pPr>
        <w:pStyle w:val="yNumberedItem"/>
        <w:ind w:left="426" w:firstLine="0"/>
      </w:pPr>
      <w:r>
        <w:t>Groper, Queensland</w:t>
      </w:r>
    </w:p>
    <w:p>
      <w:pPr>
        <w:pStyle w:val="yNumberedItem"/>
        <w:ind w:left="426" w:firstLine="0"/>
      </w:pPr>
      <w:r>
        <w:t>Groper, Western Blue</w:t>
      </w:r>
    </w:p>
    <w:p>
      <w:pPr>
        <w:pStyle w:val="yNumberedItem"/>
        <w:ind w:left="426" w:firstLine="0"/>
      </w:pPr>
      <w:r>
        <w:t>Hapuku</w:t>
      </w:r>
    </w:p>
    <w:p>
      <w:pPr>
        <w:pStyle w:val="yNumberedItem"/>
        <w:ind w:left="426" w:firstLine="0"/>
      </w:pPr>
      <w:r>
        <w:t>Jewfish, Black</w:t>
      </w:r>
    </w:p>
    <w:p>
      <w:pPr>
        <w:pStyle w:val="yNumberedItem"/>
        <w:ind w:left="426" w:firstLine="0"/>
      </w:pPr>
      <w:r>
        <w:t>Leafy Seadragon</w:t>
      </w:r>
    </w:p>
    <w:p>
      <w:pPr>
        <w:pStyle w:val="yNumberedItem"/>
        <w:ind w:left="426" w:firstLine="0"/>
      </w:pPr>
      <w:r>
        <w:t>Live Rock</w:t>
      </w:r>
    </w:p>
    <w:p>
      <w:pPr>
        <w:pStyle w:val="yNumberedItem"/>
        <w:ind w:left="426" w:firstLine="0"/>
      </w:pPr>
      <w:r>
        <w:t>Mackerel, Grey</w:t>
      </w:r>
    </w:p>
    <w:p>
      <w:pPr>
        <w:pStyle w:val="yNumberedItem"/>
        <w:ind w:left="426" w:firstLine="0"/>
      </w:pPr>
      <w:r>
        <w:t>Mackerel, Shark</w:t>
      </w:r>
    </w:p>
    <w:p>
      <w:pPr>
        <w:pStyle w:val="yNumberedItem"/>
        <w:ind w:left="426" w:firstLine="0"/>
      </w:pPr>
      <w:r>
        <w:t>Mackerel, Spanish</w:t>
      </w:r>
    </w:p>
    <w:p>
      <w:pPr>
        <w:pStyle w:val="yNumberedItem"/>
        <w:ind w:left="426" w:firstLine="0"/>
      </w:pPr>
      <w:r>
        <w:t>Marron</w:t>
      </w:r>
    </w:p>
    <w:p>
      <w:pPr>
        <w:pStyle w:val="yNumberedItem"/>
        <w:ind w:left="426" w:firstLine="0"/>
      </w:pPr>
      <w:r>
        <w:t>Mulloway</w:t>
      </w:r>
    </w:p>
    <w:p>
      <w:pPr>
        <w:pStyle w:val="yNumberedItem"/>
        <w:ind w:left="426" w:firstLine="0"/>
      </w:pPr>
      <w:r>
        <w:t>Parrotfish</w:t>
      </w:r>
    </w:p>
    <w:p>
      <w:pPr>
        <w:pStyle w:val="yNumberedItem"/>
        <w:ind w:left="426" w:firstLine="0"/>
      </w:pPr>
      <w:r>
        <w:t>Pearl Perch</w:t>
      </w:r>
    </w:p>
    <w:p>
      <w:pPr>
        <w:pStyle w:val="yNumberedItem"/>
        <w:ind w:left="426" w:firstLine="0"/>
      </w:pPr>
      <w:r>
        <w:t>Pigfish</w:t>
      </w:r>
    </w:p>
    <w:p>
      <w:pPr>
        <w:pStyle w:val="yNumberedItem"/>
        <w:ind w:left="426" w:firstLine="0"/>
      </w:pPr>
      <w:r>
        <w:t>Rays</w:t>
      </w:r>
    </w:p>
    <w:p>
      <w:pPr>
        <w:pStyle w:val="yNumberedItem"/>
        <w:ind w:left="426" w:firstLine="0"/>
      </w:pPr>
      <w:r>
        <w:t>Redfish, Bight (Red Snapper, Nannygai)</w:t>
      </w:r>
    </w:p>
    <w:p>
      <w:pPr>
        <w:pStyle w:val="yNumberedItem"/>
        <w:ind w:left="426" w:firstLine="0"/>
      </w:pPr>
      <w:r>
        <w:t>Redfish, Yelloweye</w:t>
      </w:r>
    </w:p>
    <w:p>
      <w:pPr>
        <w:pStyle w:val="yNumberedItem"/>
        <w:ind w:left="426" w:firstLine="0"/>
      </w:pPr>
      <w:r>
        <w:t>Rock Lobster (all species)</w:t>
      </w:r>
    </w:p>
    <w:p>
      <w:pPr>
        <w:pStyle w:val="yNumberedItem"/>
        <w:ind w:left="426" w:firstLine="0"/>
      </w:pPr>
      <w:r>
        <w:t>Rockcod</w:t>
      </w:r>
    </w:p>
    <w:p>
      <w:pPr>
        <w:pStyle w:val="yNumberedItem"/>
        <w:ind w:left="426" w:firstLine="0"/>
      </w:pPr>
      <w:r>
        <w:t>Rockcod, Potato</w:t>
      </w:r>
    </w:p>
    <w:p>
      <w:pPr>
        <w:pStyle w:val="yNumberedItem"/>
        <w:ind w:left="426" w:firstLine="0"/>
      </w:pPr>
      <w:r>
        <w:t>Sawfish</w:t>
      </w:r>
    </w:p>
    <w:p>
      <w:pPr>
        <w:pStyle w:val="yNumberedItem"/>
        <w:ind w:left="426" w:firstLine="0"/>
      </w:pPr>
      <w:r>
        <w:t>Seabream</w:t>
      </w:r>
    </w:p>
    <w:p>
      <w:pPr>
        <w:pStyle w:val="yNumberedItem"/>
        <w:ind w:left="426" w:firstLine="0"/>
      </w:pPr>
      <w:r>
        <w:t>Shark, Speartooth</w:t>
      </w:r>
    </w:p>
    <w:p>
      <w:pPr>
        <w:pStyle w:val="yNumberedItem"/>
        <w:ind w:left="426" w:firstLine="0"/>
      </w:pPr>
      <w:r>
        <w:t>Shark, Whale</w:t>
      </w:r>
    </w:p>
    <w:p>
      <w:pPr>
        <w:pStyle w:val="yNumberedItem"/>
        <w:ind w:left="426" w:firstLine="0"/>
      </w:pPr>
      <w:r>
        <w:t>Shark, White</w:t>
      </w:r>
    </w:p>
    <w:p>
      <w:pPr>
        <w:pStyle w:val="yNumberedItem"/>
        <w:ind w:left="426" w:firstLine="0"/>
      </w:pPr>
      <w:r>
        <w:t>Sharks</w:t>
      </w:r>
    </w:p>
    <w:p>
      <w:pPr>
        <w:pStyle w:val="yNumberedItem"/>
        <w:ind w:left="426" w:firstLine="0"/>
      </w:pPr>
      <w:r>
        <w:t>Snapper (Pink Snapper)</w:t>
      </w:r>
    </w:p>
    <w:p>
      <w:pPr>
        <w:pStyle w:val="yNumberedItem"/>
        <w:ind w:left="426" w:firstLine="0"/>
      </w:pPr>
      <w:r>
        <w:t>Snapper, Queen (Blue Morwong)</w:t>
      </w:r>
    </w:p>
    <w:p>
      <w:pPr>
        <w:pStyle w:val="yNumberedItem"/>
        <w:ind w:left="426" w:firstLine="0"/>
      </w:pPr>
      <w:r>
        <w:t>Snapper, Tropical</w:t>
      </w:r>
    </w:p>
    <w:p>
      <w:pPr>
        <w:pStyle w:val="yNumberedItem"/>
        <w:ind w:left="426" w:firstLine="0"/>
      </w:pPr>
      <w:r>
        <w:t>Swallowtail</w:t>
      </w:r>
    </w:p>
    <w:p>
      <w:pPr>
        <w:pStyle w:val="yNumberedItem"/>
        <w:ind w:left="426" w:firstLine="0"/>
      </w:pPr>
      <w:r>
        <w:t>Threadfin, King</w:t>
      </w:r>
    </w:p>
    <w:p>
      <w:pPr>
        <w:pStyle w:val="yNumberedItem"/>
        <w:ind w:left="426" w:firstLine="0"/>
      </w:pPr>
      <w:r>
        <w:t>Trevalla(s), Blue</w:t>
      </w:r>
      <w:r>
        <w:noBreakHyphen/>
        <w:t>Eye</w:t>
      </w:r>
    </w:p>
    <w:p>
      <w:pPr>
        <w:pStyle w:val="yNumberedItem"/>
        <w:ind w:left="426" w:firstLine="0"/>
      </w:pPr>
      <w:r>
        <w:t>Trevally, Giant</w:t>
      </w:r>
    </w:p>
    <w:p>
      <w:pPr>
        <w:pStyle w:val="yNumberedItem"/>
        <w:ind w:left="426" w:firstLine="0"/>
      </w:pPr>
      <w:r>
        <w:t>Trevally, Golden</w:t>
      </w:r>
    </w:p>
    <w:p>
      <w:pPr>
        <w:pStyle w:val="yNumberedItem"/>
        <w:ind w:left="426" w:firstLine="0"/>
      </w:pPr>
      <w:r>
        <w:t>Tripletail</w:t>
      </w:r>
    </w:p>
    <w:p>
      <w:pPr>
        <w:pStyle w:val="yNumberedItem"/>
        <w:ind w:left="426" w:firstLine="0"/>
      </w:pPr>
      <w:r>
        <w:t>Tuna, Bigeye</w:t>
      </w:r>
    </w:p>
    <w:p>
      <w:pPr>
        <w:pStyle w:val="yNumberedItem"/>
        <w:ind w:left="426" w:firstLine="0"/>
      </w:pPr>
      <w:r>
        <w:t>Tuna, Dogtooth</w:t>
      </w:r>
    </w:p>
    <w:p>
      <w:pPr>
        <w:pStyle w:val="yNumberedItem"/>
        <w:ind w:left="426" w:firstLine="0"/>
      </w:pPr>
      <w:r>
        <w:t>Tuna, Longtail</w:t>
      </w:r>
    </w:p>
    <w:p>
      <w:pPr>
        <w:pStyle w:val="yNumberedItem"/>
        <w:ind w:left="426" w:firstLine="0"/>
      </w:pPr>
      <w:r>
        <w:t>Tuna, Southern Bluefin</w:t>
      </w:r>
    </w:p>
    <w:p>
      <w:pPr>
        <w:pStyle w:val="yNumberedItem"/>
        <w:ind w:left="426" w:firstLine="0"/>
      </w:pPr>
      <w:r>
        <w:t>Tuna, Yellowfin</w:t>
      </w:r>
    </w:p>
    <w:p>
      <w:pPr>
        <w:pStyle w:val="yNumberedItem"/>
        <w:ind w:left="426" w:firstLine="0"/>
      </w:pPr>
      <w:r>
        <w:t>Tuskfish</w:t>
      </w:r>
    </w:p>
    <w:p>
      <w:pPr>
        <w:pStyle w:val="yNumberedItem"/>
        <w:ind w:left="426" w:firstLine="0"/>
      </w:pPr>
      <w:r>
        <w:t>Wahoo</w:t>
      </w:r>
    </w:p>
    <w:p>
      <w:pPr>
        <w:pStyle w:val="yNumberedItem"/>
        <w:ind w:left="426" w:firstLine="0"/>
      </w:pPr>
      <w:r>
        <w:t>Wrasse, Humphead Maori</w:t>
      </w:r>
    </w:p>
    <w:p>
      <w:pPr>
        <w:pStyle w:val="yNumberedItem"/>
        <w:ind w:left="426" w:firstLine="0"/>
      </w:pPr>
      <w:r>
        <w:t>Yellowtail Kingfish</w:t>
      </w:r>
    </w:p>
    <w:p>
      <w:pPr>
        <w:pStyle w:val="yMiscellaneousHeading"/>
        <w:ind w:left="567" w:hanging="567"/>
        <w:jc w:val="left"/>
        <w:rPr>
          <w:b/>
        </w:rPr>
      </w:pPr>
      <w:r>
        <w:rPr>
          <w:b/>
        </w:rPr>
        <w:t>Category 2 fish</w:t>
      </w:r>
    </w:p>
    <w:p>
      <w:pPr>
        <w:pStyle w:val="yNumberedItem"/>
        <w:ind w:left="426" w:firstLine="0"/>
      </w:pPr>
      <w:r>
        <w:t>Albacore</w:t>
      </w:r>
    </w:p>
    <w:p>
      <w:pPr>
        <w:pStyle w:val="yNumberedItem"/>
        <w:ind w:left="426" w:firstLine="0"/>
      </w:pPr>
      <w:r>
        <w:t>Barracuda</w:t>
      </w:r>
    </w:p>
    <w:p>
      <w:pPr>
        <w:pStyle w:val="yNumberedItem"/>
        <w:ind w:left="426" w:firstLine="0"/>
      </w:pPr>
      <w:r>
        <w:t>Bonito</w:t>
      </w:r>
    </w:p>
    <w:p>
      <w:pPr>
        <w:pStyle w:val="yNumberedItem"/>
        <w:ind w:left="426" w:firstLine="0"/>
      </w:pPr>
      <w:r>
        <w:t>Bream, Black</w:t>
      </w:r>
    </w:p>
    <w:p>
      <w:pPr>
        <w:pStyle w:val="yNumberedItem"/>
        <w:ind w:left="426" w:firstLine="0"/>
      </w:pPr>
      <w:r>
        <w:t>Bream, Northwest Black</w:t>
      </w:r>
    </w:p>
    <w:p>
      <w:pPr>
        <w:pStyle w:val="yNumberedItem"/>
        <w:ind w:left="426" w:firstLine="0"/>
      </w:pPr>
      <w:r>
        <w:t>Bream, Western Yellowfin</w:t>
      </w:r>
    </w:p>
    <w:p>
      <w:pPr>
        <w:pStyle w:val="yNumberedItem"/>
        <w:ind w:left="426" w:firstLine="0"/>
      </w:pPr>
      <w:r>
        <w:t>Catfish</w:t>
      </w:r>
    </w:p>
    <w:p>
      <w:pPr>
        <w:pStyle w:val="yNumberedItem"/>
        <w:ind w:left="426" w:firstLine="0"/>
      </w:pPr>
      <w:r>
        <w:t>Cuttlefish</w:t>
      </w:r>
    </w:p>
    <w:p>
      <w:pPr>
        <w:pStyle w:val="yNumberedItem"/>
        <w:ind w:left="426" w:firstLine="0"/>
      </w:pPr>
      <w:r>
        <w:t>Dart</w:t>
      </w:r>
    </w:p>
    <w:p>
      <w:pPr>
        <w:pStyle w:val="yNumberedItem"/>
        <w:ind w:left="426" w:firstLine="0"/>
      </w:pPr>
      <w:r>
        <w:t>Flathead</w:t>
      </w:r>
    </w:p>
    <w:p>
      <w:pPr>
        <w:pStyle w:val="yNumberedItem"/>
        <w:ind w:left="426" w:firstLine="0"/>
      </w:pPr>
      <w:r>
        <w:t>Flounder</w:t>
      </w:r>
    </w:p>
    <w:p>
      <w:pPr>
        <w:pStyle w:val="yNumberedItem"/>
        <w:ind w:left="426" w:firstLine="0"/>
      </w:pPr>
      <w:r>
        <w:t>Freshwater Crayfish (all species)</w:t>
      </w:r>
    </w:p>
    <w:p>
      <w:pPr>
        <w:pStyle w:val="yNumberedItem"/>
        <w:ind w:left="426" w:firstLine="0"/>
      </w:pPr>
      <w:r>
        <w:t>Grunter, Sooty</w:t>
      </w:r>
    </w:p>
    <w:p>
      <w:pPr>
        <w:pStyle w:val="yNumberedItem"/>
        <w:ind w:left="426" w:firstLine="0"/>
      </w:pPr>
      <w:r>
        <w:t>Javelinfish and Sweetlips</w:t>
      </w:r>
    </w:p>
    <w:p>
      <w:pPr>
        <w:pStyle w:val="yNumberedItem"/>
        <w:ind w:left="426" w:firstLine="0"/>
      </w:pPr>
      <w:r>
        <w:t>John Dory</w:t>
      </w:r>
    </w:p>
    <w:p>
      <w:pPr>
        <w:pStyle w:val="yNumberedItem"/>
        <w:ind w:left="426" w:firstLine="0"/>
      </w:pPr>
      <w:r>
        <w:t>Leatherjacket</w:t>
      </w:r>
    </w:p>
    <w:p>
      <w:pPr>
        <w:pStyle w:val="yNumberedItem"/>
        <w:ind w:left="426" w:firstLine="0"/>
      </w:pPr>
      <w:r>
        <w:t>Mullet, Red (Goatfish)</w:t>
      </w:r>
    </w:p>
    <w:p>
      <w:pPr>
        <w:pStyle w:val="yNumberedItem"/>
        <w:ind w:left="426" w:firstLine="0"/>
      </w:pPr>
      <w:r>
        <w:t>Octopus</w:t>
      </w:r>
    </w:p>
    <w:p>
      <w:pPr>
        <w:pStyle w:val="yNumberedItem"/>
        <w:ind w:left="426" w:firstLine="0"/>
      </w:pPr>
      <w:r>
        <w:t>Pike</w:t>
      </w:r>
    </w:p>
    <w:p>
      <w:pPr>
        <w:pStyle w:val="yNumberedItem"/>
        <w:ind w:left="426" w:firstLine="0"/>
      </w:pPr>
      <w:r>
        <w:t>Prawn, Brown Tiger</w:t>
      </w:r>
    </w:p>
    <w:p>
      <w:pPr>
        <w:pStyle w:val="yNumberedItem"/>
        <w:ind w:left="426" w:firstLine="0"/>
      </w:pPr>
      <w:r>
        <w:t>Prawn, Freshwater (Cherabin)</w:t>
      </w:r>
    </w:p>
    <w:p>
      <w:pPr>
        <w:pStyle w:val="yNumberedItem"/>
        <w:ind w:left="426" w:firstLine="0"/>
      </w:pPr>
      <w:r>
        <w:t>Prawn, Western King</w:t>
      </w:r>
    </w:p>
    <w:p>
      <w:pPr>
        <w:pStyle w:val="yNumberedItem"/>
        <w:ind w:left="426" w:firstLine="0"/>
      </w:pPr>
      <w:r>
        <w:t>Prawn, Western School</w:t>
      </w:r>
    </w:p>
    <w:p>
      <w:pPr>
        <w:pStyle w:val="yNumberedItem"/>
        <w:ind w:left="426" w:firstLine="0"/>
      </w:pPr>
      <w:r>
        <w:t>Queenfish</w:t>
      </w:r>
    </w:p>
    <w:p>
      <w:pPr>
        <w:pStyle w:val="yNumberedItem"/>
        <w:ind w:left="426" w:firstLine="0"/>
      </w:pPr>
      <w:r>
        <w:t>Razor shell</w:t>
      </w:r>
    </w:p>
    <w:p>
      <w:pPr>
        <w:pStyle w:val="yNumberedItem"/>
        <w:ind w:left="426" w:firstLine="0"/>
      </w:pPr>
      <w:r>
        <w:t>Salmon, Western Australian (Salmon)</w:t>
      </w:r>
    </w:p>
    <w:p>
      <w:pPr>
        <w:pStyle w:val="yNumberedItem"/>
        <w:ind w:left="426" w:firstLine="0"/>
      </w:pPr>
      <w:r>
        <w:t>Samsonfish</w:t>
      </w:r>
    </w:p>
    <w:p>
      <w:pPr>
        <w:pStyle w:val="yNumberedItem"/>
        <w:ind w:left="426" w:firstLine="0"/>
      </w:pPr>
      <w:r>
        <w:t>Scallops</w:t>
      </w:r>
    </w:p>
    <w:p>
      <w:pPr>
        <w:pStyle w:val="yNumberedItem"/>
        <w:ind w:left="426" w:firstLine="0"/>
      </w:pPr>
      <w:r>
        <w:t>Sea Cucumber</w:t>
      </w:r>
    </w:p>
    <w:p>
      <w:pPr>
        <w:pStyle w:val="yNumberedItem"/>
        <w:ind w:left="426" w:firstLine="0"/>
      </w:pPr>
      <w:r>
        <w:t>Sea Urchins</w:t>
      </w:r>
    </w:p>
    <w:p>
      <w:pPr>
        <w:pStyle w:val="yNumberedItem"/>
        <w:ind w:left="426" w:firstLine="0"/>
      </w:pPr>
      <w:r>
        <w:t>Snook</w:t>
      </w:r>
    </w:p>
    <w:p>
      <w:pPr>
        <w:pStyle w:val="yNumberedItem"/>
        <w:ind w:left="426" w:firstLine="0"/>
      </w:pPr>
      <w:r>
        <w:t>Sole</w:t>
      </w:r>
    </w:p>
    <w:p>
      <w:pPr>
        <w:pStyle w:val="yNumberedItem"/>
        <w:ind w:left="426" w:firstLine="0"/>
      </w:pPr>
      <w:r>
        <w:t>Squid</w:t>
      </w:r>
    </w:p>
    <w:p>
      <w:pPr>
        <w:pStyle w:val="yNumberedItem"/>
        <w:ind w:left="426" w:firstLine="0"/>
      </w:pPr>
      <w:r>
        <w:t>Sweep, Banded</w:t>
      </w:r>
    </w:p>
    <w:p>
      <w:pPr>
        <w:pStyle w:val="yNumberedItem"/>
        <w:ind w:left="426" w:firstLine="0"/>
      </w:pPr>
      <w:r>
        <w:t>Sweep, Sea</w:t>
      </w:r>
    </w:p>
    <w:p>
      <w:pPr>
        <w:pStyle w:val="yNumberedItem"/>
        <w:ind w:left="426" w:firstLine="0"/>
      </w:pPr>
      <w:r>
        <w:t>Tailor</w:t>
      </w:r>
    </w:p>
    <w:p>
      <w:pPr>
        <w:pStyle w:val="yNumberedItem"/>
        <w:ind w:left="426" w:firstLine="0"/>
      </w:pPr>
      <w:r>
        <w:t>Tarwhine</w:t>
      </w:r>
    </w:p>
    <w:p>
      <w:pPr>
        <w:pStyle w:val="yNumberedItem"/>
        <w:ind w:left="426" w:firstLine="0"/>
      </w:pPr>
      <w:r>
        <w:t>Threadfin, Blue</w:t>
      </w:r>
    </w:p>
    <w:p>
      <w:pPr>
        <w:pStyle w:val="yNumberedItem"/>
        <w:ind w:left="426" w:firstLine="0"/>
      </w:pPr>
      <w:r>
        <w:t>Trevally, Silver (Skipjack)</w:t>
      </w:r>
    </w:p>
    <w:p>
      <w:pPr>
        <w:pStyle w:val="yNumberedItem"/>
        <w:ind w:left="426" w:firstLine="0"/>
      </w:pPr>
      <w:r>
        <w:t>Trochus</w:t>
      </w:r>
    </w:p>
    <w:p>
      <w:pPr>
        <w:pStyle w:val="yNumberedItem"/>
        <w:ind w:left="426" w:firstLine="0"/>
      </w:pPr>
      <w:r>
        <w:t>Trout, Brown</w:t>
      </w:r>
    </w:p>
    <w:p>
      <w:pPr>
        <w:pStyle w:val="yNumberedItem"/>
        <w:ind w:left="426" w:firstLine="0"/>
      </w:pPr>
      <w:r>
        <w:t>Trout, Rainbow</w:t>
      </w:r>
    </w:p>
    <w:p>
      <w:pPr>
        <w:pStyle w:val="yNumberedItem"/>
        <w:ind w:left="426" w:firstLine="0"/>
      </w:pPr>
      <w:r>
        <w:t>Tuna, Skipjack</w:t>
      </w:r>
    </w:p>
    <w:p>
      <w:pPr>
        <w:pStyle w:val="yNumberedItem"/>
        <w:ind w:left="426" w:firstLine="0"/>
      </w:pPr>
      <w:r>
        <w:t>Whiting, King George</w:t>
      </w:r>
    </w:p>
    <w:p>
      <w:pPr>
        <w:pStyle w:val="yNumberedItem"/>
        <w:ind w:left="426" w:firstLine="0"/>
      </w:pPr>
      <w:r>
        <w:t>Whiting, Yellowfin</w:t>
      </w:r>
    </w:p>
    <w:p>
      <w:pPr>
        <w:pStyle w:val="yMiscellaneousHeading"/>
        <w:ind w:left="567" w:hanging="567"/>
        <w:jc w:val="left"/>
        <w:rPr>
          <w:b/>
        </w:rPr>
      </w:pPr>
      <w:r>
        <w:rPr>
          <w:b/>
        </w:rPr>
        <w:t>Category 3 fish</w:t>
      </w:r>
    </w:p>
    <w:p>
      <w:pPr>
        <w:pStyle w:val="yNumberedItem"/>
        <w:ind w:left="426" w:firstLine="0"/>
      </w:pPr>
      <w:r>
        <w:t>Bait Fish</w:t>
      </w:r>
    </w:p>
    <w:p>
      <w:pPr>
        <w:pStyle w:val="yNumberedItem"/>
        <w:ind w:left="426" w:firstLine="0"/>
      </w:pPr>
      <w:r>
        <w:t>Cockle, Ark Shell and other edible bivalves</w:t>
      </w:r>
    </w:p>
    <w:p>
      <w:pPr>
        <w:pStyle w:val="yNumberedItem"/>
        <w:ind w:left="426" w:firstLine="0"/>
      </w:pPr>
      <w:r>
        <w:t>Clam, Venus</w:t>
      </w:r>
    </w:p>
    <w:p>
      <w:pPr>
        <w:pStyle w:val="yNumberedItem"/>
        <w:ind w:left="426" w:firstLine="0"/>
      </w:pPr>
      <w:r>
        <w:t>Freshwater fish (other than freshwater fish listed as category 2 fish)</w:t>
      </w:r>
    </w:p>
    <w:p>
      <w:pPr>
        <w:pStyle w:val="yNumberedItem"/>
        <w:ind w:left="426" w:firstLine="0"/>
      </w:pPr>
      <w:r>
        <w:t>Garfish</w:t>
      </w:r>
    </w:p>
    <w:p>
      <w:pPr>
        <w:pStyle w:val="yNumberedItem"/>
        <w:ind w:left="426" w:firstLine="0"/>
      </w:pPr>
      <w:r>
        <w:t>Herring, Australian (Herring)</w:t>
      </w:r>
    </w:p>
    <w:p>
      <w:pPr>
        <w:pStyle w:val="yNumberedItem"/>
        <w:ind w:left="426" w:firstLine="0"/>
      </w:pPr>
      <w:r>
        <w:t>Longtom</w:t>
      </w:r>
    </w:p>
    <w:p>
      <w:pPr>
        <w:pStyle w:val="yNumberedItem"/>
        <w:ind w:left="426" w:firstLine="0"/>
      </w:pPr>
      <w:r>
        <w:t>Mackerel, Blue</w:t>
      </w:r>
    </w:p>
    <w:p>
      <w:pPr>
        <w:pStyle w:val="yNumberedItem"/>
        <w:ind w:left="426" w:firstLine="0"/>
      </w:pPr>
      <w:r>
        <w:t>Mullet</w:t>
      </w:r>
    </w:p>
    <w:p>
      <w:pPr>
        <w:pStyle w:val="yNumberedItem"/>
        <w:ind w:left="426" w:firstLine="0"/>
      </w:pPr>
      <w:r>
        <w:t>Prawns (other than prawns listed as category 2 fish)</w:t>
      </w:r>
    </w:p>
    <w:p>
      <w:pPr>
        <w:pStyle w:val="yNumberedItem"/>
        <w:ind w:left="426" w:firstLine="0"/>
      </w:pPr>
      <w:r>
        <w:t>Whiting (other than whiting listed as category 2 fish)</w:t>
      </w:r>
    </w:p>
    <w:p>
      <w:pPr>
        <w:pStyle w:val="yNumberedItem"/>
        <w:ind w:left="426" w:firstLine="0"/>
      </w:pPr>
      <w:r>
        <w:t>Wrasse (other than wrasse listed as category 1 fish)</w:t>
      </w:r>
    </w:p>
    <w:p>
      <w:pPr>
        <w:pStyle w:val="yMiscellaneousHeading"/>
        <w:ind w:left="567" w:hanging="567"/>
        <w:jc w:val="left"/>
        <w:rPr>
          <w:b/>
        </w:rPr>
      </w:pPr>
      <w:r>
        <w:rPr>
          <w:b/>
        </w:rPr>
        <w:t>Category 4 fish</w:t>
      </w:r>
    </w:p>
    <w:p>
      <w:pPr>
        <w:pStyle w:val="yNumberedItem"/>
        <w:ind w:left="426" w:firstLine="0"/>
      </w:pPr>
      <w:r>
        <w:t>Any species of fish not specified in this Schedule to be category 1 fish, category 2 fish or category 3 fish.</w:t>
      </w:r>
    </w:p>
    <w:p>
      <w:pPr>
        <w:pStyle w:val="yFootnotesection"/>
      </w:pPr>
      <w:r>
        <w:tab/>
        <w:t>[Schedule 4 inserted: Gazette 4 Oct 2019 p. 3563-6; amended: SL 2024/263 r. 22.]</w:t>
      </w:r>
    </w:p>
    <w:p>
      <w:pPr>
        <w:pStyle w:val="yScheduleHeading"/>
      </w:pPr>
      <w:bookmarkStart w:id="1219" w:name="_Toc184372812"/>
      <w:bookmarkStart w:id="1220" w:name="_Toc184377965"/>
      <w:bookmarkStart w:id="1221" w:name="_Toc184385322"/>
      <w:bookmarkStart w:id="1222" w:name="_Toc201508719"/>
      <w:bookmarkStart w:id="1223" w:name="_Toc201754550"/>
      <w:bookmarkStart w:id="1224" w:name="_Toc201759280"/>
      <w:r>
        <w:rPr>
          <w:rStyle w:val="CharSchNo"/>
        </w:rPr>
        <w:t>Schedule 5</w:t>
      </w:r>
      <w:r>
        <w:rPr>
          <w:rStyle w:val="CharSDivNo"/>
        </w:rPr>
        <w:t> </w:t>
      </w:r>
      <w:r>
        <w:t>—</w:t>
      </w:r>
      <w:r>
        <w:rPr>
          <w:rStyle w:val="CharSDivText"/>
        </w:rPr>
        <w:t> </w:t>
      </w:r>
      <w:r>
        <w:rPr>
          <w:rStyle w:val="CharSchText"/>
        </w:rPr>
        <w:t>Noxious fish</w:t>
      </w:r>
      <w:bookmarkEnd w:id="1219"/>
      <w:bookmarkEnd w:id="1220"/>
      <w:bookmarkEnd w:id="1221"/>
      <w:bookmarkEnd w:id="1222"/>
      <w:bookmarkEnd w:id="1223"/>
      <w:bookmarkEnd w:id="1224"/>
    </w:p>
    <w:p>
      <w:pPr>
        <w:pStyle w:val="yShoulderClause"/>
      </w:pPr>
      <w:r>
        <w:t>[r. 70]</w:t>
      </w:r>
    </w:p>
    <w:p>
      <w:pPr>
        <w:pStyle w:val="yFootnoteheading"/>
      </w:pPr>
      <w:r>
        <w:tab/>
        <w:t>[Heading inserted: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rPr>
                <w:b/>
              </w:rPr>
            </w:pPr>
            <w:r>
              <w:rPr>
                <w:b/>
              </w:rPr>
              <w:t>Scientific name</w:t>
            </w:r>
          </w:p>
        </w:tc>
        <w:tc>
          <w:tcPr>
            <w:tcW w:w="2410" w:type="dxa"/>
          </w:tcPr>
          <w:p>
            <w:pPr>
              <w:pStyle w:val="yTableNAm"/>
              <w:rPr>
                <w:b/>
              </w:rPr>
            </w:pPr>
            <w:r>
              <w:rPr>
                <w:b/>
              </w:rPr>
              <w:t>Examples of common names used</w:t>
            </w:r>
          </w:p>
        </w:tc>
        <w:tc>
          <w:tcPr>
            <w:tcW w:w="2268" w:type="dxa"/>
          </w:tcPr>
          <w:p>
            <w:pPr>
              <w:pStyle w:val="yTableNAm"/>
              <w:rPr>
                <w:b/>
              </w:rPr>
            </w:pPr>
            <w:r>
              <w:rPr>
                <w:b/>
              </w:rPr>
              <w:t>Area or areas where fish is prescribed to be noxious</w:t>
            </w:r>
          </w:p>
        </w:tc>
      </w:tr>
      <w:tr>
        <w:trPr>
          <w:cantSplit/>
        </w:trPr>
        <w:tc>
          <w:tcPr>
            <w:tcW w:w="2410" w:type="dxa"/>
          </w:tcPr>
          <w:p>
            <w:pPr>
              <w:pStyle w:val="yTableNAm"/>
              <w:rPr>
                <w:i/>
              </w:rPr>
            </w:pPr>
            <w:r>
              <w:rPr>
                <w:i/>
              </w:rPr>
              <w:t>Acanthogobius flavimanus</w:t>
            </w:r>
          </w:p>
        </w:tc>
        <w:tc>
          <w:tcPr>
            <w:tcW w:w="2410" w:type="dxa"/>
          </w:tcPr>
          <w:p>
            <w:pPr>
              <w:pStyle w:val="yTableNAm"/>
            </w:pPr>
            <w:r>
              <w:t>Yellow Fin Goby</w:t>
            </w:r>
          </w:p>
        </w:tc>
        <w:tc>
          <w:tcPr>
            <w:tcW w:w="2268" w:type="dxa"/>
          </w:tcPr>
          <w:p>
            <w:pPr>
              <w:pStyle w:val="yTableNAm"/>
            </w:pPr>
            <w:r>
              <w:t>Any area of the State</w:t>
            </w:r>
          </w:p>
        </w:tc>
      </w:tr>
      <w:tr>
        <w:trPr>
          <w:cantSplit/>
        </w:trPr>
        <w:tc>
          <w:tcPr>
            <w:tcW w:w="2410" w:type="dxa"/>
          </w:tcPr>
          <w:p>
            <w:pPr>
              <w:pStyle w:val="yTableNAm"/>
              <w:rPr>
                <w:i/>
              </w:rPr>
            </w:pPr>
            <w:r>
              <w:rPr>
                <w:i/>
              </w:rPr>
              <w:t>Acestrorhynchus microlepis</w:t>
            </w:r>
          </w:p>
        </w:tc>
        <w:tc>
          <w:tcPr>
            <w:tcW w:w="2410" w:type="dxa"/>
          </w:tcPr>
          <w:p>
            <w:pPr>
              <w:pStyle w:val="yTableNAm"/>
            </w:pPr>
            <w:r>
              <w:t>Pike Characin</w:t>
            </w:r>
          </w:p>
        </w:tc>
        <w:tc>
          <w:tcPr>
            <w:tcW w:w="2268" w:type="dxa"/>
          </w:tcPr>
          <w:p>
            <w:pPr>
              <w:pStyle w:val="yTableNAm"/>
            </w:pPr>
            <w:r>
              <w:t>Any area of the State</w:t>
            </w:r>
          </w:p>
        </w:tc>
      </w:tr>
      <w:tr>
        <w:trPr>
          <w:cantSplit/>
        </w:trPr>
        <w:tc>
          <w:tcPr>
            <w:tcW w:w="2410" w:type="dxa"/>
          </w:tcPr>
          <w:p>
            <w:pPr>
              <w:pStyle w:val="yTableNAm"/>
              <w:rPr>
                <w:i/>
              </w:rPr>
            </w:pPr>
            <w:r>
              <w:rPr>
                <w:i/>
              </w:rPr>
              <w:t>Acipenser baerii baerii</w:t>
            </w:r>
          </w:p>
        </w:tc>
        <w:tc>
          <w:tcPr>
            <w:tcW w:w="2410" w:type="dxa"/>
          </w:tcPr>
          <w:p>
            <w:pPr>
              <w:pStyle w:val="yTableNAm"/>
            </w:pPr>
            <w:r>
              <w:t>Siberian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baerii baicalensis</w:t>
            </w:r>
          </w:p>
        </w:tc>
        <w:tc>
          <w:tcPr>
            <w:tcW w:w="2410" w:type="dxa"/>
          </w:tcPr>
          <w:p>
            <w:pPr>
              <w:pStyle w:val="yTableNAm"/>
            </w:pPr>
            <w:r>
              <w:t>Baikal Sturgeon</w:t>
            </w:r>
          </w:p>
        </w:tc>
        <w:tc>
          <w:tcPr>
            <w:tcW w:w="2268" w:type="dxa"/>
          </w:tcPr>
          <w:p>
            <w:pPr>
              <w:pStyle w:val="yTableNAm"/>
            </w:pPr>
            <w:r>
              <w:t>Any area of the State</w:t>
            </w:r>
          </w:p>
        </w:tc>
      </w:tr>
      <w:tr>
        <w:trPr>
          <w:cantSplit/>
        </w:trPr>
        <w:tc>
          <w:tcPr>
            <w:tcW w:w="2410" w:type="dxa"/>
          </w:tcPr>
          <w:p>
            <w:pPr>
              <w:pStyle w:val="yTableNAm"/>
              <w:rPr>
                <w:i/>
              </w:rPr>
            </w:pPr>
            <w:r>
              <w:rPr>
                <w:i/>
              </w:rPr>
              <w:t>Acipenser brevirostrum</w:t>
            </w:r>
          </w:p>
        </w:tc>
        <w:tc>
          <w:tcPr>
            <w:tcW w:w="2410" w:type="dxa"/>
          </w:tcPr>
          <w:p>
            <w:pPr>
              <w:pStyle w:val="yTableNAm"/>
            </w:pPr>
            <w:r>
              <w:t xml:space="preserve">Shortnose Sturgeon </w:t>
            </w:r>
          </w:p>
        </w:tc>
        <w:tc>
          <w:tcPr>
            <w:tcW w:w="2268" w:type="dxa"/>
          </w:tcPr>
          <w:p>
            <w:pPr>
              <w:pStyle w:val="yTableNAm"/>
            </w:pPr>
            <w:r>
              <w:t>Any area of the State</w:t>
            </w:r>
          </w:p>
        </w:tc>
      </w:tr>
      <w:tr>
        <w:trPr>
          <w:cantSplit/>
        </w:trPr>
        <w:tc>
          <w:tcPr>
            <w:tcW w:w="2410" w:type="dxa"/>
          </w:tcPr>
          <w:p>
            <w:pPr>
              <w:pStyle w:val="yTableNAm"/>
              <w:rPr>
                <w:i/>
              </w:rPr>
            </w:pPr>
            <w:r>
              <w:rPr>
                <w:i/>
              </w:rPr>
              <w:t>Acipenser dabryanus</w:t>
            </w:r>
          </w:p>
        </w:tc>
        <w:tc>
          <w:tcPr>
            <w:tcW w:w="2410" w:type="dxa"/>
          </w:tcPr>
          <w:p>
            <w:pPr>
              <w:pStyle w:val="yTableNAm"/>
            </w:pPr>
            <w:r>
              <w:t xml:space="preserve">Yangtze Sturgeon </w:t>
            </w:r>
          </w:p>
        </w:tc>
        <w:tc>
          <w:tcPr>
            <w:tcW w:w="2268" w:type="dxa"/>
          </w:tcPr>
          <w:p>
            <w:pPr>
              <w:pStyle w:val="yTableNAm"/>
            </w:pPr>
            <w:r>
              <w:t>Any area of the State</w:t>
            </w:r>
          </w:p>
        </w:tc>
      </w:tr>
      <w:tr>
        <w:trPr>
          <w:cantSplit/>
        </w:trPr>
        <w:tc>
          <w:tcPr>
            <w:tcW w:w="2410" w:type="dxa"/>
          </w:tcPr>
          <w:p>
            <w:pPr>
              <w:pStyle w:val="yTableNAm"/>
              <w:rPr>
                <w:i/>
              </w:rPr>
            </w:pPr>
            <w:r>
              <w:rPr>
                <w:i/>
              </w:rPr>
              <w:t>Acipenser fulvescens</w:t>
            </w:r>
          </w:p>
        </w:tc>
        <w:tc>
          <w:tcPr>
            <w:tcW w:w="2410" w:type="dxa"/>
          </w:tcPr>
          <w:p>
            <w:pPr>
              <w:pStyle w:val="yTableNAm"/>
            </w:pPr>
            <w:r>
              <w:t>Lake Sturgeon</w:t>
            </w:r>
          </w:p>
        </w:tc>
        <w:tc>
          <w:tcPr>
            <w:tcW w:w="2268" w:type="dxa"/>
          </w:tcPr>
          <w:p>
            <w:pPr>
              <w:pStyle w:val="yTableNAm"/>
            </w:pPr>
            <w:r>
              <w:t>Any area of the State</w:t>
            </w:r>
          </w:p>
        </w:tc>
      </w:tr>
      <w:tr>
        <w:trPr>
          <w:cantSplit/>
        </w:trPr>
        <w:tc>
          <w:tcPr>
            <w:tcW w:w="2410" w:type="dxa"/>
          </w:tcPr>
          <w:p>
            <w:pPr>
              <w:pStyle w:val="yTableNAm"/>
              <w:rPr>
                <w:i/>
              </w:rPr>
            </w:pPr>
            <w:r>
              <w:rPr>
                <w:i/>
              </w:rPr>
              <w:t>Acipenser gueldenstaedtii</w:t>
            </w:r>
          </w:p>
        </w:tc>
        <w:tc>
          <w:tcPr>
            <w:tcW w:w="2410" w:type="dxa"/>
          </w:tcPr>
          <w:p>
            <w:pPr>
              <w:pStyle w:val="yTableNAm"/>
            </w:pPr>
            <w:r>
              <w:t>Russian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medirostris</w:t>
            </w:r>
          </w:p>
        </w:tc>
        <w:tc>
          <w:tcPr>
            <w:tcW w:w="2410" w:type="dxa"/>
          </w:tcPr>
          <w:p>
            <w:pPr>
              <w:pStyle w:val="yTableNAm"/>
            </w:pPr>
            <w:r>
              <w:t>Green Sturgeon</w:t>
            </w:r>
          </w:p>
        </w:tc>
        <w:tc>
          <w:tcPr>
            <w:tcW w:w="2268" w:type="dxa"/>
          </w:tcPr>
          <w:p>
            <w:pPr>
              <w:pStyle w:val="yTableNAm"/>
            </w:pPr>
            <w:r>
              <w:t>Any area of the State</w:t>
            </w:r>
          </w:p>
        </w:tc>
      </w:tr>
      <w:tr>
        <w:trPr>
          <w:cantSplit/>
        </w:trPr>
        <w:tc>
          <w:tcPr>
            <w:tcW w:w="2410" w:type="dxa"/>
          </w:tcPr>
          <w:p>
            <w:pPr>
              <w:pStyle w:val="yTableNAm"/>
              <w:rPr>
                <w:i/>
              </w:rPr>
            </w:pPr>
            <w:r>
              <w:rPr>
                <w:i/>
              </w:rPr>
              <w:t>Acipenser mikadoi</w:t>
            </w:r>
          </w:p>
        </w:tc>
        <w:tc>
          <w:tcPr>
            <w:tcW w:w="2410" w:type="dxa"/>
          </w:tcPr>
          <w:p>
            <w:pPr>
              <w:pStyle w:val="yTableNAm"/>
            </w:pPr>
            <w:r>
              <w:t>Sakhalin Sturgeon</w:t>
            </w:r>
          </w:p>
        </w:tc>
        <w:tc>
          <w:tcPr>
            <w:tcW w:w="2268" w:type="dxa"/>
          </w:tcPr>
          <w:p>
            <w:pPr>
              <w:pStyle w:val="yTableNAm"/>
            </w:pPr>
            <w:r>
              <w:t>Any area of the State</w:t>
            </w:r>
          </w:p>
        </w:tc>
      </w:tr>
      <w:tr>
        <w:trPr>
          <w:cantSplit/>
        </w:trPr>
        <w:tc>
          <w:tcPr>
            <w:tcW w:w="2410" w:type="dxa"/>
          </w:tcPr>
          <w:p>
            <w:pPr>
              <w:pStyle w:val="yTableNAm"/>
              <w:rPr>
                <w:i/>
              </w:rPr>
            </w:pPr>
            <w:r>
              <w:rPr>
                <w:i/>
              </w:rPr>
              <w:t>Acipenser multiscutatus</w:t>
            </w:r>
          </w:p>
        </w:tc>
        <w:tc>
          <w:tcPr>
            <w:tcW w:w="2410" w:type="dxa"/>
          </w:tcPr>
          <w:p>
            <w:pPr>
              <w:pStyle w:val="yTableNAm"/>
            </w:pPr>
            <w:r>
              <w:t>Japanese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naccarii</w:t>
            </w:r>
          </w:p>
        </w:tc>
        <w:tc>
          <w:tcPr>
            <w:tcW w:w="2410" w:type="dxa"/>
          </w:tcPr>
          <w:p>
            <w:pPr>
              <w:pStyle w:val="yTableNAm"/>
            </w:pPr>
            <w:r>
              <w:t>Adriatic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nudiventris</w:t>
            </w:r>
          </w:p>
        </w:tc>
        <w:tc>
          <w:tcPr>
            <w:tcW w:w="2410" w:type="dxa"/>
          </w:tcPr>
          <w:p>
            <w:pPr>
              <w:pStyle w:val="yTableNAm"/>
            </w:pPr>
            <w:r>
              <w:t>Fringebarbel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Acipenser oxyrinchus destotoi</w:t>
            </w:r>
          </w:p>
        </w:tc>
        <w:tc>
          <w:tcPr>
            <w:tcW w:w="2410" w:type="dxa"/>
          </w:tcPr>
          <w:p>
            <w:pPr>
              <w:pStyle w:val="yTableNAm"/>
            </w:pPr>
            <w:r>
              <w:t>Gulf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 oxyrinchus</w:t>
            </w:r>
          </w:p>
        </w:tc>
        <w:tc>
          <w:tcPr>
            <w:tcW w:w="2410" w:type="dxa"/>
          </w:tcPr>
          <w:p>
            <w:pPr>
              <w:pStyle w:val="yTableNAm"/>
            </w:pPr>
            <w:r>
              <w:t>Atlantic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persicus</w:t>
            </w:r>
          </w:p>
        </w:tc>
        <w:tc>
          <w:tcPr>
            <w:tcW w:w="2410" w:type="dxa"/>
          </w:tcPr>
          <w:p>
            <w:pPr>
              <w:pStyle w:val="yTableNAm"/>
            </w:pPr>
            <w:r>
              <w:t>Persian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ruthenus</w:t>
            </w:r>
          </w:p>
        </w:tc>
        <w:tc>
          <w:tcPr>
            <w:tcW w:w="2410" w:type="dxa"/>
          </w:tcPr>
          <w:p>
            <w:pPr>
              <w:pStyle w:val="yTableNAm"/>
            </w:pPr>
            <w:r>
              <w:t>Sterlet</w:t>
            </w:r>
          </w:p>
        </w:tc>
        <w:tc>
          <w:tcPr>
            <w:tcW w:w="2268" w:type="dxa"/>
          </w:tcPr>
          <w:p>
            <w:pPr>
              <w:pStyle w:val="yTableNAm"/>
            </w:pPr>
            <w:r>
              <w:t>Any area of the State</w:t>
            </w:r>
          </w:p>
        </w:tc>
      </w:tr>
      <w:tr>
        <w:trPr>
          <w:cantSplit/>
        </w:trPr>
        <w:tc>
          <w:tcPr>
            <w:tcW w:w="2410" w:type="dxa"/>
          </w:tcPr>
          <w:p>
            <w:pPr>
              <w:pStyle w:val="yTableNAm"/>
              <w:rPr>
                <w:i/>
              </w:rPr>
            </w:pPr>
            <w:r>
              <w:rPr>
                <w:i/>
              </w:rPr>
              <w:t>Acipenser schrenckii</w:t>
            </w:r>
          </w:p>
        </w:tc>
        <w:tc>
          <w:tcPr>
            <w:tcW w:w="2410" w:type="dxa"/>
          </w:tcPr>
          <w:p>
            <w:pPr>
              <w:pStyle w:val="yTableNAm"/>
            </w:pPr>
            <w:r>
              <w:t>Amur Sturgeon</w:t>
            </w:r>
          </w:p>
        </w:tc>
        <w:tc>
          <w:tcPr>
            <w:tcW w:w="2268" w:type="dxa"/>
          </w:tcPr>
          <w:p>
            <w:pPr>
              <w:pStyle w:val="yTableNAm"/>
            </w:pPr>
            <w:r>
              <w:t>Any area of the State</w:t>
            </w:r>
          </w:p>
        </w:tc>
      </w:tr>
      <w:tr>
        <w:trPr>
          <w:cantSplit/>
        </w:trPr>
        <w:tc>
          <w:tcPr>
            <w:tcW w:w="2410" w:type="dxa"/>
          </w:tcPr>
          <w:p>
            <w:pPr>
              <w:pStyle w:val="yTableNAm"/>
              <w:rPr>
                <w:i/>
              </w:rPr>
            </w:pPr>
            <w:r>
              <w:rPr>
                <w:i/>
              </w:rPr>
              <w:t>Acipenser sinensis</w:t>
            </w:r>
          </w:p>
        </w:tc>
        <w:tc>
          <w:tcPr>
            <w:tcW w:w="2410" w:type="dxa"/>
          </w:tcPr>
          <w:p>
            <w:pPr>
              <w:pStyle w:val="yTableNAm"/>
            </w:pPr>
            <w:r>
              <w:t>Chinese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stellatus</w:t>
            </w:r>
          </w:p>
        </w:tc>
        <w:tc>
          <w:tcPr>
            <w:tcW w:w="2410" w:type="dxa"/>
          </w:tcPr>
          <w:p>
            <w:pPr>
              <w:pStyle w:val="yTableNAm"/>
            </w:pPr>
            <w:r>
              <w:t>Starry Sturgeon</w:t>
            </w:r>
          </w:p>
        </w:tc>
        <w:tc>
          <w:tcPr>
            <w:tcW w:w="2268" w:type="dxa"/>
          </w:tcPr>
          <w:p>
            <w:pPr>
              <w:pStyle w:val="yTableNAm"/>
            </w:pPr>
            <w:r>
              <w:t>Any area of the State</w:t>
            </w:r>
          </w:p>
        </w:tc>
      </w:tr>
      <w:tr>
        <w:trPr>
          <w:cantSplit/>
        </w:trPr>
        <w:tc>
          <w:tcPr>
            <w:tcW w:w="2410" w:type="dxa"/>
          </w:tcPr>
          <w:p>
            <w:pPr>
              <w:pStyle w:val="yTableNAm"/>
              <w:rPr>
                <w:i/>
              </w:rPr>
            </w:pPr>
            <w:r>
              <w:rPr>
                <w:i/>
              </w:rPr>
              <w:t>Acipenser sturio</w:t>
            </w:r>
          </w:p>
        </w:tc>
        <w:tc>
          <w:tcPr>
            <w:tcW w:w="2410" w:type="dxa"/>
          </w:tcPr>
          <w:p>
            <w:pPr>
              <w:pStyle w:val="yTableNAm"/>
            </w:pPr>
            <w:r>
              <w:t>European Sturgeon</w:t>
            </w:r>
          </w:p>
        </w:tc>
        <w:tc>
          <w:tcPr>
            <w:tcW w:w="2268" w:type="dxa"/>
          </w:tcPr>
          <w:p>
            <w:pPr>
              <w:pStyle w:val="yTableNAm"/>
            </w:pPr>
            <w:r>
              <w:t>Any area of the State</w:t>
            </w:r>
          </w:p>
        </w:tc>
      </w:tr>
      <w:tr>
        <w:trPr>
          <w:cantSplit/>
        </w:trPr>
        <w:tc>
          <w:tcPr>
            <w:tcW w:w="2410" w:type="dxa"/>
          </w:tcPr>
          <w:p>
            <w:pPr>
              <w:pStyle w:val="yTableNAm"/>
              <w:rPr>
                <w:i/>
              </w:rPr>
            </w:pPr>
            <w:r>
              <w:rPr>
                <w:i/>
              </w:rPr>
              <w:t>Acipenser transmontanus</w:t>
            </w:r>
          </w:p>
        </w:tc>
        <w:tc>
          <w:tcPr>
            <w:tcW w:w="2410" w:type="dxa"/>
          </w:tcPr>
          <w:p>
            <w:pPr>
              <w:pStyle w:val="yTableNAm"/>
            </w:pPr>
            <w:r>
              <w:t>White Sturgeon</w:t>
            </w:r>
          </w:p>
        </w:tc>
        <w:tc>
          <w:tcPr>
            <w:tcW w:w="2268" w:type="dxa"/>
          </w:tcPr>
          <w:p>
            <w:pPr>
              <w:pStyle w:val="yTableNAm"/>
            </w:pPr>
            <w:r>
              <w:t>Any area of the State</w:t>
            </w:r>
          </w:p>
        </w:tc>
      </w:tr>
      <w:tr>
        <w:trPr>
          <w:cantSplit/>
        </w:trPr>
        <w:tc>
          <w:tcPr>
            <w:tcW w:w="2410" w:type="dxa"/>
            <w:vAlign w:val="bottom"/>
          </w:tcPr>
          <w:p>
            <w:pPr>
              <w:pStyle w:val="yTableNAm"/>
              <w:rPr>
                <w:i/>
              </w:rPr>
            </w:pPr>
            <w:r>
              <w:rPr>
                <w:i/>
              </w:rPr>
              <w:t>Alfaro amazonus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Alfaro cultratus</w:t>
            </w:r>
          </w:p>
        </w:tc>
        <w:tc>
          <w:tcPr>
            <w:tcW w:w="2410" w:type="dxa"/>
          </w:tcPr>
          <w:p>
            <w:pPr>
              <w:pStyle w:val="yTableNAm"/>
            </w:pPr>
            <w:r>
              <w:t>Knife</w:t>
            </w:r>
            <w:r>
              <w:noBreakHyphen/>
              <w:t>edged Livebearer</w:t>
            </w:r>
          </w:p>
        </w:tc>
        <w:tc>
          <w:tcPr>
            <w:tcW w:w="2268" w:type="dxa"/>
          </w:tcPr>
          <w:p>
            <w:pPr>
              <w:pStyle w:val="yTableNAm"/>
            </w:pPr>
            <w:r>
              <w:t>Any area of the State</w:t>
            </w:r>
          </w:p>
        </w:tc>
      </w:tr>
      <w:tr>
        <w:trPr>
          <w:cantSplit/>
        </w:trPr>
        <w:tc>
          <w:tcPr>
            <w:tcW w:w="2410" w:type="dxa"/>
          </w:tcPr>
          <w:p>
            <w:pPr>
              <w:pStyle w:val="yTableNAm"/>
              <w:rPr>
                <w:i/>
              </w:rPr>
            </w:pPr>
            <w:r>
              <w:rPr>
                <w:i/>
              </w:rPr>
              <w:t>Alfaro huberi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Allomogurnda nesolepis</w:t>
            </w:r>
          </w:p>
        </w:tc>
        <w:tc>
          <w:tcPr>
            <w:tcW w:w="2410" w:type="dxa"/>
          </w:tcPr>
          <w:p>
            <w:pPr>
              <w:pStyle w:val="yTableNAm"/>
            </w:pPr>
            <w:r>
              <w:t>Yellowbelly Gudgeon</w:t>
            </w:r>
          </w:p>
        </w:tc>
        <w:tc>
          <w:tcPr>
            <w:tcW w:w="2268" w:type="dxa"/>
          </w:tcPr>
          <w:p>
            <w:pPr>
              <w:pStyle w:val="yTableNAm"/>
            </w:pPr>
            <w:r>
              <w:t>Any area of the State</w:t>
            </w:r>
          </w:p>
        </w:tc>
      </w:tr>
      <w:tr>
        <w:trPr>
          <w:cantSplit/>
        </w:trPr>
        <w:tc>
          <w:tcPr>
            <w:tcW w:w="2410" w:type="dxa"/>
          </w:tcPr>
          <w:p>
            <w:pPr>
              <w:pStyle w:val="yTableNAm"/>
              <w:rPr>
                <w:i/>
              </w:rPr>
            </w:pPr>
            <w:r>
              <w:rPr>
                <w:i/>
              </w:rPr>
              <w:t>Ameiurus brunneus</w:t>
            </w:r>
          </w:p>
        </w:tc>
        <w:tc>
          <w:tcPr>
            <w:tcW w:w="2410" w:type="dxa"/>
          </w:tcPr>
          <w:p>
            <w:pPr>
              <w:pStyle w:val="yTableNAm"/>
            </w:pPr>
            <w:r>
              <w:t>Snail Bullhead</w:t>
            </w:r>
          </w:p>
        </w:tc>
        <w:tc>
          <w:tcPr>
            <w:tcW w:w="2268" w:type="dxa"/>
          </w:tcPr>
          <w:p>
            <w:pPr>
              <w:pStyle w:val="yTableNAm"/>
            </w:pPr>
            <w:r>
              <w:t>Any area of the State</w:t>
            </w:r>
          </w:p>
        </w:tc>
      </w:tr>
      <w:tr>
        <w:trPr>
          <w:cantSplit/>
        </w:trPr>
        <w:tc>
          <w:tcPr>
            <w:tcW w:w="2410" w:type="dxa"/>
          </w:tcPr>
          <w:p>
            <w:pPr>
              <w:pStyle w:val="yTableNAm"/>
              <w:rPr>
                <w:i/>
              </w:rPr>
            </w:pPr>
            <w:r>
              <w:rPr>
                <w:i/>
              </w:rPr>
              <w:t>Ameiurus catus</w:t>
            </w:r>
          </w:p>
        </w:tc>
        <w:tc>
          <w:tcPr>
            <w:tcW w:w="2410" w:type="dxa"/>
          </w:tcPr>
          <w:p>
            <w:pPr>
              <w:pStyle w:val="yTableNAm"/>
            </w:pPr>
            <w:r>
              <w:t>White Catfish</w:t>
            </w:r>
          </w:p>
        </w:tc>
        <w:tc>
          <w:tcPr>
            <w:tcW w:w="2268" w:type="dxa"/>
          </w:tcPr>
          <w:p>
            <w:pPr>
              <w:pStyle w:val="yTableNAm"/>
            </w:pPr>
            <w:r>
              <w:t>Any area of the State</w:t>
            </w:r>
          </w:p>
        </w:tc>
      </w:tr>
      <w:tr>
        <w:trPr>
          <w:cantSplit/>
        </w:trPr>
        <w:tc>
          <w:tcPr>
            <w:tcW w:w="2410" w:type="dxa"/>
          </w:tcPr>
          <w:p>
            <w:pPr>
              <w:pStyle w:val="yTableNAm"/>
              <w:rPr>
                <w:i/>
              </w:rPr>
            </w:pPr>
            <w:r>
              <w:rPr>
                <w:i/>
              </w:rPr>
              <w:t>Ameiurus melas</w:t>
            </w:r>
          </w:p>
        </w:tc>
        <w:tc>
          <w:tcPr>
            <w:tcW w:w="2410" w:type="dxa"/>
          </w:tcPr>
          <w:p>
            <w:pPr>
              <w:pStyle w:val="yTableNAm"/>
            </w:pPr>
            <w:r>
              <w:t>Black Bullhead</w:t>
            </w:r>
          </w:p>
        </w:tc>
        <w:tc>
          <w:tcPr>
            <w:tcW w:w="2268" w:type="dxa"/>
          </w:tcPr>
          <w:p>
            <w:pPr>
              <w:pStyle w:val="yTableNAm"/>
            </w:pPr>
            <w:r>
              <w:t>Any area of the State</w:t>
            </w:r>
          </w:p>
        </w:tc>
      </w:tr>
      <w:tr>
        <w:trPr>
          <w:cantSplit/>
        </w:trPr>
        <w:tc>
          <w:tcPr>
            <w:tcW w:w="2410" w:type="dxa"/>
          </w:tcPr>
          <w:p>
            <w:pPr>
              <w:pStyle w:val="yTableNAm"/>
              <w:rPr>
                <w:i/>
              </w:rPr>
            </w:pPr>
            <w:r>
              <w:rPr>
                <w:i/>
              </w:rPr>
              <w:t>Ameiurus natalis</w:t>
            </w:r>
          </w:p>
        </w:tc>
        <w:tc>
          <w:tcPr>
            <w:tcW w:w="2410" w:type="dxa"/>
          </w:tcPr>
          <w:p>
            <w:pPr>
              <w:pStyle w:val="yTableNAm"/>
            </w:pPr>
            <w:r>
              <w:t>Yellow Bullhead</w:t>
            </w:r>
          </w:p>
        </w:tc>
        <w:tc>
          <w:tcPr>
            <w:tcW w:w="2268" w:type="dxa"/>
          </w:tcPr>
          <w:p>
            <w:pPr>
              <w:pStyle w:val="yTableNAm"/>
            </w:pPr>
            <w:r>
              <w:t>Any area of the State</w:t>
            </w:r>
          </w:p>
        </w:tc>
      </w:tr>
      <w:tr>
        <w:trPr>
          <w:cantSplit/>
        </w:trPr>
        <w:tc>
          <w:tcPr>
            <w:tcW w:w="2410" w:type="dxa"/>
          </w:tcPr>
          <w:p>
            <w:pPr>
              <w:pStyle w:val="yTableNAm"/>
              <w:rPr>
                <w:i/>
              </w:rPr>
            </w:pPr>
            <w:r>
              <w:rPr>
                <w:i/>
              </w:rPr>
              <w:t>Ameiurus nebulosus</w:t>
            </w:r>
          </w:p>
        </w:tc>
        <w:tc>
          <w:tcPr>
            <w:tcW w:w="2410" w:type="dxa"/>
          </w:tcPr>
          <w:p>
            <w:pPr>
              <w:pStyle w:val="yTableNAm"/>
            </w:pPr>
            <w:r>
              <w:t>Brown Bullhead</w:t>
            </w:r>
          </w:p>
        </w:tc>
        <w:tc>
          <w:tcPr>
            <w:tcW w:w="2268" w:type="dxa"/>
          </w:tcPr>
          <w:p>
            <w:pPr>
              <w:pStyle w:val="yTableNAm"/>
            </w:pPr>
            <w:r>
              <w:t>Any area of the State</w:t>
            </w:r>
          </w:p>
        </w:tc>
      </w:tr>
      <w:tr>
        <w:trPr>
          <w:cantSplit/>
        </w:trPr>
        <w:tc>
          <w:tcPr>
            <w:tcW w:w="2410" w:type="dxa"/>
          </w:tcPr>
          <w:p>
            <w:pPr>
              <w:pStyle w:val="yTableNAm"/>
              <w:rPr>
                <w:i/>
              </w:rPr>
            </w:pPr>
            <w:r>
              <w:rPr>
                <w:i/>
              </w:rPr>
              <w:t>Ameiurus platycephalus</w:t>
            </w:r>
          </w:p>
        </w:tc>
        <w:tc>
          <w:tcPr>
            <w:tcW w:w="2410" w:type="dxa"/>
          </w:tcPr>
          <w:p>
            <w:pPr>
              <w:pStyle w:val="yTableNAm"/>
            </w:pPr>
            <w:r>
              <w:t>Flat Bullhead</w:t>
            </w:r>
          </w:p>
        </w:tc>
        <w:tc>
          <w:tcPr>
            <w:tcW w:w="2268" w:type="dxa"/>
          </w:tcPr>
          <w:p>
            <w:pPr>
              <w:pStyle w:val="yTableNAm"/>
            </w:pPr>
            <w:r>
              <w:t>Any area of the State</w:t>
            </w:r>
          </w:p>
        </w:tc>
      </w:tr>
      <w:tr>
        <w:trPr>
          <w:cantSplit/>
        </w:trPr>
        <w:tc>
          <w:tcPr>
            <w:tcW w:w="2410" w:type="dxa"/>
          </w:tcPr>
          <w:p>
            <w:pPr>
              <w:pStyle w:val="yTableNAm"/>
              <w:rPr>
                <w:i/>
              </w:rPr>
            </w:pPr>
            <w:r>
              <w:rPr>
                <w:i/>
              </w:rPr>
              <w:t>Ameiurus serracanthus</w:t>
            </w:r>
          </w:p>
        </w:tc>
        <w:tc>
          <w:tcPr>
            <w:tcW w:w="2410" w:type="dxa"/>
          </w:tcPr>
          <w:p>
            <w:pPr>
              <w:pStyle w:val="yTableNAm"/>
            </w:pPr>
            <w:r>
              <w:t>Spotted Bullhead</w:t>
            </w:r>
          </w:p>
        </w:tc>
        <w:tc>
          <w:tcPr>
            <w:tcW w:w="2268" w:type="dxa"/>
          </w:tcPr>
          <w:p>
            <w:pPr>
              <w:pStyle w:val="yTableNAm"/>
            </w:pPr>
            <w:r>
              <w:t>Any area of the State</w:t>
            </w:r>
          </w:p>
        </w:tc>
      </w:tr>
      <w:tr>
        <w:trPr>
          <w:cantSplit/>
        </w:trPr>
        <w:tc>
          <w:tcPr>
            <w:tcW w:w="2410" w:type="dxa"/>
          </w:tcPr>
          <w:p>
            <w:pPr>
              <w:pStyle w:val="yTableNAm"/>
              <w:rPr>
                <w:i/>
              </w:rPr>
            </w:pPr>
            <w:r>
              <w:rPr>
                <w:i/>
              </w:rPr>
              <w:t>Amia calva</w:t>
            </w:r>
          </w:p>
        </w:tc>
        <w:tc>
          <w:tcPr>
            <w:tcW w:w="2410" w:type="dxa"/>
          </w:tcPr>
          <w:p>
            <w:pPr>
              <w:pStyle w:val="yTableNAm"/>
            </w:pPr>
            <w:r>
              <w:t>Bowfin</w:t>
            </w:r>
          </w:p>
        </w:tc>
        <w:tc>
          <w:tcPr>
            <w:tcW w:w="2268" w:type="dxa"/>
          </w:tcPr>
          <w:p>
            <w:pPr>
              <w:pStyle w:val="yTableNAm"/>
            </w:pPr>
            <w:r>
              <w:t>Any area of the State</w:t>
            </w:r>
          </w:p>
        </w:tc>
      </w:tr>
      <w:tr>
        <w:trPr>
          <w:cantSplit/>
        </w:trPr>
        <w:tc>
          <w:tcPr>
            <w:tcW w:w="2410" w:type="dxa"/>
          </w:tcPr>
          <w:p>
            <w:pPr>
              <w:pStyle w:val="yTableNAm"/>
            </w:pPr>
            <w:r>
              <w:rPr>
                <w:i/>
              </w:rPr>
              <w:t xml:space="preserve">Amphibalanus eburneus </w:t>
            </w:r>
            <w:r>
              <w:t>(syn.</w:t>
            </w:r>
            <w:r>
              <w:rPr>
                <w:i/>
              </w:rPr>
              <w:t xml:space="preserve"> Balanus eburneus</w:t>
            </w:r>
            <w:r>
              <w:t>)</w:t>
            </w:r>
          </w:p>
        </w:tc>
        <w:tc>
          <w:tcPr>
            <w:tcW w:w="2410" w:type="dxa"/>
          </w:tcPr>
          <w:p>
            <w:pPr>
              <w:pStyle w:val="yTableNAm"/>
            </w:pPr>
            <w:r>
              <w:t>Ivory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Amphibalanus improvisus </w:t>
            </w:r>
            <w:r>
              <w:t>(syn.</w:t>
            </w:r>
            <w:r>
              <w:rPr>
                <w:i/>
              </w:rPr>
              <w:t xml:space="preserve"> Balanus improvisus</w:t>
            </w:r>
            <w:r>
              <w:t>)</w:t>
            </w:r>
          </w:p>
        </w:tc>
        <w:tc>
          <w:tcPr>
            <w:tcW w:w="2410" w:type="dxa"/>
          </w:tcPr>
          <w:p>
            <w:pPr>
              <w:pStyle w:val="yTableNAm"/>
            </w:pPr>
            <w:r>
              <w:t>Bay Barnacle</w:t>
            </w:r>
          </w:p>
        </w:tc>
        <w:tc>
          <w:tcPr>
            <w:tcW w:w="2268" w:type="dxa"/>
          </w:tcPr>
          <w:p>
            <w:pPr>
              <w:pStyle w:val="yTableNAm"/>
            </w:pPr>
            <w:r>
              <w:t>Any area of the State</w:t>
            </w:r>
          </w:p>
        </w:tc>
      </w:tr>
      <w:tr>
        <w:trPr>
          <w:cantSplit/>
        </w:trPr>
        <w:tc>
          <w:tcPr>
            <w:tcW w:w="2410" w:type="dxa"/>
          </w:tcPr>
          <w:p>
            <w:pPr>
              <w:pStyle w:val="yTableNAm"/>
              <w:rPr>
                <w:i/>
              </w:rPr>
            </w:pPr>
            <w:r>
              <w:rPr>
                <w:i/>
              </w:rPr>
              <w:t>Anabas cobojius</w:t>
            </w:r>
          </w:p>
        </w:tc>
        <w:tc>
          <w:tcPr>
            <w:tcW w:w="2410" w:type="dxa"/>
          </w:tcPr>
          <w:p>
            <w:pPr>
              <w:pStyle w:val="yTableNAm"/>
            </w:pPr>
            <w:r>
              <w:t>Gangetic Climbing Perch</w:t>
            </w:r>
          </w:p>
        </w:tc>
        <w:tc>
          <w:tcPr>
            <w:tcW w:w="2268" w:type="dxa"/>
          </w:tcPr>
          <w:p>
            <w:pPr>
              <w:pStyle w:val="yTableNAm"/>
            </w:pPr>
            <w:r>
              <w:t>Any area of the State</w:t>
            </w:r>
          </w:p>
        </w:tc>
      </w:tr>
      <w:tr>
        <w:trPr>
          <w:cantSplit/>
        </w:trPr>
        <w:tc>
          <w:tcPr>
            <w:tcW w:w="2410" w:type="dxa"/>
          </w:tcPr>
          <w:p>
            <w:pPr>
              <w:pStyle w:val="yTableNAm"/>
              <w:rPr>
                <w:i/>
              </w:rPr>
            </w:pPr>
            <w:r>
              <w:rPr>
                <w:i/>
              </w:rPr>
              <w:t>Anabas testudineus</w:t>
            </w:r>
          </w:p>
        </w:tc>
        <w:tc>
          <w:tcPr>
            <w:tcW w:w="2410" w:type="dxa"/>
          </w:tcPr>
          <w:p>
            <w:pPr>
              <w:pStyle w:val="yTableNAm"/>
            </w:pPr>
            <w:r>
              <w:t>Climbing Perch</w:t>
            </w:r>
          </w:p>
        </w:tc>
        <w:tc>
          <w:tcPr>
            <w:tcW w:w="2268" w:type="dxa"/>
          </w:tcPr>
          <w:p>
            <w:pPr>
              <w:pStyle w:val="yTableNAm"/>
            </w:pPr>
            <w:r>
              <w:t>Any area of the State</w:t>
            </w:r>
          </w:p>
        </w:tc>
      </w:tr>
      <w:tr>
        <w:trPr>
          <w:cantSplit/>
        </w:trPr>
        <w:tc>
          <w:tcPr>
            <w:tcW w:w="2410" w:type="dxa"/>
          </w:tcPr>
          <w:p>
            <w:pPr>
              <w:pStyle w:val="yTableNAm"/>
              <w:rPr>
                <w:i/>
              </w:rPr>
            </w:pPr>
            <w:r>
              <w:rPr>
                <w:i/>
              </w:rPr>
              <w:t xml:space="preserve">Anadara transversa </w:t>
            </w:r>
            <w:r>
              <w:rPr>
                <w:i/>
              </w:rPr>
              <w:br/>
            </w:r>
            <w:r>
              <w:t>(syn</w:t>
            </w:r>
            <w:r>
              <w:rPr>
                <w:i/>
              </w:rPr>
              <w:t>. A. demiri</w:t>
            </w:r>
            <w:r>
              <w:t>)</w:t>
            </w:r>
          </w:p>
        </w:tc>
        <w:tc>
          <w:tcPr>
            <w:tcW w:w="2410" w:type="dxa"/>
          </w:tcPr>
          <w:p>
            <w:pPr>
              <w:pStyle w:val="yTableNAm"/>
            </w:pPr>
            <w:r>
              <w:t>Transverse Arc Clam</w:t>
            </w:r>
          </w:p>
        </w:tc>
        <w:tc>
          <w:tcPr>
            <w:tcW w:w="2268" w:type="dxa"/>
          </w:tcPr>
          <w:p>
            <w:pPr>
              <w:pStyle w:val="yTableNAm"/>
            </w:pPr>
            <w:r>
              <w:t>Any area of the State</w:t>
            </w:r>
          </w:p>
        </w:tc>
      </w:tr>
      <w:tr>
        <w:trPr>
          <w:cantSplit/>
        </w:trPr>
        <w:tc>
          <w:tcPr>
            <w:tcW w:w="2410" w:type="dxa"/>
          </w:tcPr>
          <w:p>
            <w:pPr>
              <w:pStyle w:val="yTableNAm"/>
              <w:rPr>
                <w:i/>
              </w:rPr>
            </w:pPr>
            <w:r>
              <w:rPr>
                <w:i/>
              </w:rPr>
              <w:t>Anaspidoglanis macrostoma</w:t>
            </w:r>
          </w:p>
        </w:tc>
        <w:tc>
          <w:tcPr>
            <w:tcW w:w="2410" w:type="dxa"/>
          </w:tcPr>
          <w:p>
            <w:pPr>
              <w:pStyle w:val="yTableNAm"/>
            </w:pPr>
            <w:r>
              <w:t>Flatnose Catfish</w:t>
            </w:r>
          </w:p>
        </w:tc>
        <w:tc>
          <w:tcPr>
            <w:tcW w:w="2268" w:type="dxa"/>
          </w:tcPr>
          <w:p>
            <w:pPr>
              <w:pStyle w:val="yTableNAm"/>
            </w:pPr>
            <w:r>
              <w:t>Any area of the State</w:t>
            </w:r>
          </w:p>
        </w:tc>
      </w:tr>
      <w:tr>
        <w:trPr>
          <w:cantSplit/>
        </w:trPr>
        <w:tc>
          <w:tcPr>
            <w:tcW w:w="2410" w:type="dxa"/>
          </w:tcPr>
          <w:p>
            <w:pPr>
              <w:pStyle w:val="yTableNAm"/>
              <w:rPr>
                <w:i/>
              </w:rPr>
            </w:pPr>
            <w:r>
              <w:rPr>
                <w:i/>
              </w:rPr>
              <w:t>Apeltes quadracus</w:t>
            </w:r>
          </w:p>
        </w:tc>
        <w:tc>
          <w:tcPr>
            <w:tcW w:w="2410" w:type="dxa"/>
          </w:tcPr>
          <w:p>
            <w:pPr>
              <w:pStyle w:val="yTableNAm"/>
            </w:pPr>
            <w:r>
              <w:t>Four</w:t>
            </w:r>
            <w:r>
              <w:noBreakHyphen/>
              <w:t>spined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Arcuatula senhousia </w:t>
            </w:r>
            <w:r>
              <w:t>(syn.</w:t>
            </w:r>
            <w:r>
              <w:rPr>
                <w:i/>
              </w:rPr>
              <w:t xml:space="preserve"> Musculista senhousia</w:t>
            </w:r>
            <w:r>
              <w:t>)</w:t>
            </w:r>
          </w:p>
        </w:tc>
        <w:tc>
          <w:tcPr>
            <w:tcW w:w="2410" w:type="dxa"/>
          </w:tcPr>
          <w:p>
            <w:pPr>
              <w:pStyle w:val="yTableNAm"/>
            </w:pPr>
            <w:r>
              <w:t>Asian Bag Mussel, Asian Date Mussel</w:t>
            </w:r>
          </w:p>
        </w:tc>
        <w:tc>
          <w:tcPr>
            <w:tcW w:w="2268" w:type="dxa"/>
          </w:tcPr>
          <w:p>
            <w:pPr>
              <w:pStyle w:val="yTableNAm"/>
            </w:pPr>
            <w:r>
              <w:t>Any area of the State except in the Swan River and Port of Fremantle</w:t>
            </w:r>
          </w:p>
        </w:tc>
      </w:tr>
      <w:tr>
        <w:trPr>
          <w:cantSplit/>
        </w:trPr>
        <w:tc>
          <w:tcPr>
            <w:tcW w:w="2410" w:type="dxa"/>
          </w:tcPr>
          <w:p>
            <w:pPr>
              <w:pStyle w:val="yTableNAm"/>
              <w:rPr>
                <w:i/>
              </w:rPr>
            </w:pPr>
            <w:r>
              <w:rPr>
                <w:i/>
              </w:rPr>
              <w:t>Aristichthys noblis</w:t>
            </w:r>
          </w:p>
        </w:tc>
        <w:tc>
          <w:tcPr>
            <w:tcW w:w="2410" w:type="dxa"/>
          </w:tcPr>
          <w:p>
            <w:pPr>
              <w:pStyle w:val="yTableNAm"/>
            </w:pPr>
            <w:r>
              <w:t>Bighead Carp</w:t>
            </w:r>
          </w:p>
        </w:tc>
        <w:tc>
          <w:tcPr>
            <w:tcW w:w="2268" w:type="dxa"/>
          </w:tcPr>
          <w:p>
            <w:pPr>
              <w:pStyle w:val="yTableNAm"/>
            </w:pPr>
            <w:r>
              <w:t>Any area of the State</w:t>
            </w:r>
          </w:p>
        </w:tc>
      </w:tr>
      <w:tr>
        <w:trPr>
          <w:cantSplit/>
        </w:trPr>
        <w:tc>
          <w:tcPr>
            <w:tcW w:w="2410" w:type="dxa"/>
          </w:tcPr>
          <w:p>
            <w:pPr>
              <w:pStyle w:val="yTableNAm"/>
              <w:rPr>
                <w:i/>
              </w:rPr>
            </w:pPr>
            <w:r>
              <w:rPr>
                <w:i/>
                <w:iCs/>
              </w:rPr>
              <w:t>Astacus leptodactylus</w:t>
            </w:r>
          </w:p>
        </w:tc>
        <w:tc>
          <w:tcPr>
            <w:tcW w:w="2410" w:type="dxa"/>
          </w:tcPr>
          <w:p>
            <w:pPr>
              <w:pStyle w:val="yTableNAm"/>
            </w:pPr>
            <w:r>
              <w:t>Danube Crayfish, Turkish Crayfish</w:t>
            </w:r>
          </w:p>
        </w:tc>
        <w:tc>
          <w:tcPr>
            <w:tcW w:w="2268" w:type="dxa"/>
          </w:tcPr>
          <w:p>
            <w:pPr>
              <w:pStyle w:val="yTableNAm"/>
            </w:pPr>
            <w:r>
              <w:t>Any area of the State</w:t>
            </w:r>
          </w:p>
        </w:tc>
      </w:tr>
      <w:tr>
        <w:trPr>
          <w:cantSplit/>
        </w:trPr>
        <w:tc>
          <w:tcPr>
            <w:tcW w:w="2410" w:type="dxa"/>
          </w:tcPr>
          <w:p>
            <w:pPr>
              <w:pStyle w:val="yTableNAm"/>
              <w:rPr>
                <w:i/>
              </w:rPr>
            </w:pPr>
            <w:r>
              <w:rPr>
                <w:i/>
              </w:rPr>
              <w:t>Asterias amurensis</w:t>
            </w:r>
          </w:p>
        </w:tc>
        <w:tc>
          <w:tcPr>
            <w:tcW w:w="2410" w:type="dxa"/>
          </w:tcPr>
          <w:p>
            <w:pPr>
              <w:pStyle w:val="yTableNAm"/>
            </w:pPr>
            <w:r>
              <w:t>Northern Pacific Seastar</w:t>
            </w:r>
          </w:p>
        </w:tc>
        <w:tc>
          <w:tcPr>
            <w:tcW w:w="2268" w:type="dxa"/>
          </w:tcPr>
          <w:p>
            <w:pPr>
              <w:pStyle w:val="yTableNAm"/>
            </w:pPr>
            <w:r>
              <w:t>Any area of the State</w:t>
            </w:r>
          </w:p>
        </w:tc>
      </w:tr>
      <w:tr>
        <w:trPr>
          <w:cantSplit/>
        </w:trPr>
        <w:tc>
          <w:tcPr>
            <w:tcW w:w="2410" w:type="dxa"/>
          </w:tcPr>
          <w:p>
            <w:pPr>
              <w:pStyle w:val="yTableNAm"/>
              <w:rPr>
                <w:i/>
              </w:rPr>
            </w:pPr>
            <w:r>
              <w:rPr>
                <w:i/>
              </w:rPr>
              <w:t>Astyanax aeneus</w:t>
            </w:r>
          </w:p>
        </w:tc>
        <w:tc>
          <w:tcPr>
            <w:tcW w:w="2410" w:type="dxa"/>
          </w:tcPr>
          <w:p>
            <w:pPr>
              <w:pStyle w:val="yTableNAm"/>
            </w:pPr>
            <w:r>
              <w:t>Banded Tetra</w:t>
            </w:r>
          </w:p>
        </w:tc>
        <w:tc>
          <w:tcPr>
            <w:tcW w:w="2268" w:type="dxa"/>
          </w:tcPr>
          <w:p>
            <w:pPr>
              <w:pStyle w:val="yTableNAm"/>
            </w:pPr>
            <w:r>
              <w:t>Any area of the State</w:t>
            </w:r>
          </w:p>
        </w:tc>
      </w:tr>
      <w:tr>
        <w:trPr>
          <w:cantSplit/>
        </w:trPr>
        <w:tc>
          <w:tcPr>
            <w:tcW w:w="2410" w:type="dxa"/>
          </w:tcPr>
          <w:p>
            <w:pPr>
              <w:pStyle w:val="yTableNAm"/>
              <w:rPr>
                <w:i/>
              </w:rPr>
            </w:pPr>
            <w:r>
              <w:rPr>
                <w:i/>
              </w:rPr>
              <w:t>Astyanax fasciatus</w:t>
            </w:r>
          </w:p>
        </w:tc>
        <w:tc>
          <w:tcPr>
            <w:tcW w:w="2410" w:type="dxa"/>
          </w:tcPr>
          <w:p>
            <w:pPr>
              <w:pStyle w:val="yTableNAm"/>
            </w:pPr>
            <w:r>
              <w:t>Banded Astyanax</w:t>
            </w:r>
          </w:p>
        </w:tc>
        <w:tc>
          <w:tcPr>
            <w:tcW w:w="2268" w:type="dxa"/>
          </w:tcPr>
          <w:p>
            <w:pPr>
              <w:pStyle w:val="yTableNAm"/>
            </w:pPr>
            <w:r>
              <w:t>Any area of the State</w:t>
            </w:r>
          </w:p>
        </w:tc>
      </w:tr>
      <w:tr>
        <w:trPr>
          <w:cantSplit/>
        </w:trPr>
        <w:tc>
          <w:tcPr>
            <w:tcW w:w="2410" w:type="dxa"/>
          </w:tcPr>
          <w:p>
            <w:pPr>
              <w:pStyle w:val="yTableNAm"/>
              <w:rPr>
                <w:i/>
              </w:rPr>
            </w:pPr>
            <w:r>
              <w:rPr>
                <w:i/>
              </w:rPr>
              <w:t>Astyanacinus moorii</w:t>
            </w:r>
          </w:p>
        </w:tc>
        <w:tc>
          <w:tcPr>
            <w:tcW w:w="2410" w:type="dxa"/>
          </w:tcPr>
          <w:p>
            <w:pPr>
              <w:pStyle w:val="yTableNAm"/>
              <w:rPr>
                <w:szCs w:val="22"/>
              </w:rPr>
            </w:pPr>
            <w:r>
              <w:t>Tetra</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Bagrus ubangensis</w:t>
            </w:r>
          </w:p>
        </w:tc>
        <w:tc>
          <w:tcPr>
            <w:tcW w:w="2410" w:type="dxa"/>
          </w:tcPr>
          <w:p>
            <w:pPr>
              <w:pStyle w:val="yTableNAm"/>
            </w:pPr>
            <w:r>
              <w:t>Ubangi Shovelnose Catfish</w:t>
            </w:r>
          </w:p>
        </w:tc>
        <w:tc>
          <w:tcPr>
            <w:tcW w:w="2268" w:type="dxa"/>
          </w:tcPr>
          <w:p>
            <w:pPr>
              <w:pStyle w:val="yTableNAm"/>
            </w:pPr>
            <w:r>
              <w:t>Any area of the State</w:t>
            </w:r>
          </w:p>
        </w:tc>
      </w:tr>
      <w:tr>
        <w:trPr>
          <w:cantSplit/>
        </w:trPr>
        <w:tc>
          <w:tcPr>
            <w:tcW w:w="2410" w:type="dxa"/>
          </w:tcPr>
          <w:p>
            <w:pPr>
              <w:pStyle w:val="yTableNAm"/>
              <w:rPr>
                <w:i/>
              </w:rPr>
            </w:pPr>
            <w:r>
              <w:rPr>
                <w:i/>
              </w:rPr>
              <w:t>Balanus glandula</w:t>
            </w:r>
          </w:p>
        </w:tc>
        <w:tc>
          <w:tcPr>
            <w:tcW w:w="2410" w:type="dxa"/>
          </w:tcPr>
          <w:p>
            <w:pPr>
              <w:pStyle w:val="yTableNAm"/>
            </w:pPr>
            <w:r>
              <w:t>Common Acorn Barnacle, White Buckshot Barnacle</w:t>
            </w:r>
          </w:p>
        </w:tc>
        <w:tc>
          <w:tcPr>
            <w:tcW w:w="2268" w:type="dxa"/>
          </w:tcPr>
          <w:p>
            <w:pPr>
              <w:pStyle w:val="yTableNAm"/>
            </w:pPr>
            <w:r>
              <w:t>Any area of the State</w:t>
            </w:r>
          </w:p>
        </w:tc>
      </w:tr>
      <w:tr>
        <w:trPr>
          <w:cantSplit/>
        </w:trPr>
        <w:tc>
          <w:tcPr>
            <w:tcW w:w="2410" w:type="dxa"/>
          </w:tcPr>
          <w:p>
            <w:pPr>
              <w:pStyle w:val="yTableNAm"/>
              <w:rPr>
                <w:i/>
              </w:rPr>
            </w:pPr>
            <w:r>
              <w:rPr>
                <w:i/>
              </w:rPr>
              <w:t>Barbodes hexagonolepis</w:t>
            </w:r>
          </w:p>
        </w:tc>
        <w:tc>
          <w:tcPr>
            <w:tcW w:w="2410" w:type="dxa"/>
          </w:tcPr>
          <w:p>
            <w:pPr>
              <w:pStyle w:val="yTableNAm"/>
            </w:pPr>
            <w:r>
              <w:t>Copper Mahseer</w:t>
            </w:r>
          </w:p>
        </w:tc>
        <w:tc>
          <w:tcPr>
            <w:tcW w:w="2268" w:type="dxa"/>
          </w:tcPr>
          <w:p>
            <w:pPr>
              <w:pStyle w:val="yTableNAm"/>
            </w:pPr>
            <w:r>
              <w:t>Any area of the State</w:t>
            </w:r>
          </w:p>
        </w:tc>
      </w:tr>
      <w:tr>
        <w:trPr>
          <w:cantSplit/>
        </w:trPr>
        <w:tc>
          <w:tcPr>
            <w:tcW w:w="2410" w:type="dxa"/>
          </w:tcPr>
          <w:p>
            <w:pPr>
              <w:pStyle w:val="yTableNAm"/>
              <w:rPr>
                <w:i/>
              </w:rPr>
            </w:pPr>
            <w:r>
              <w:rPr>
                <w:i/>
              </w:rPr>
              <w:t>Belonesox belizanus</w:t>
            </w:r>
          </w:p>
        </w:tc>
        <w:tc>
          <w:tcPr>
            <w:tcW w:w="2410" w:type="dxa"/>
          </w:tcPr>
          <w:p>
            <w:pPr>
              <w:pStyle w:val="yTableNAm"/>
            </w:pPr>
            <w:r>
              <w:t>Pike Minnow, Pike Killifish</w:t>
            </w:r>
          </w:p>
        </w:tc>
        <w:tc>
          <w:tcPr>
            <w:tcW w:w="2268" w:type="dxa"/>
          </w:tcPr>
          <w:p>
            <w:pPr>
              <w:pStyle w:val="yTableNAm"/>
            </w:pPr>
            <w:r>
              <w:t>Any area of the State</w:t>
            </w:r>
          </w:p>
        </w:tc>
      </w:tr>
      <w:tr>
        <w:trPr>
          <w:cantSplit/>
        </w:trPr>
        <w:tc>
          <w:tcPr>
            <w:tcW w:w="2410" w:type="dxa"/>
          </w:tcPr>
          <w:p>
            <w:pPr>
              <w:pStyle w:val="yTableNAm"/>
              <w:rPr>
                <w:i/>
              </w:rPr>
            </w:pPr>
            <w:r>
              <w:rPr>
                <w:i/>
              </w:rPr>
              <w:t>Beroe ovata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Blackfordia virginica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Bonnemaisonia hamifera</w:t>
            </w:r>
          </w:p>
        </w:tc>
        <w:tc>
          <w:tcPr>
            <w:tcW w:w="2410" w:type="dxa"/>
          </w:tcPr>
          <w:p>
            <w:pPr>
              <w:pStyle w:val="yTableNAm"/>
            </w:pPr>
            <w:r>
              <w:t>Bonnemaison’s Hook Weed, Pink Cotton Wool</w:t>
            </w:r>
          </w:p>
        </w:tc>
        <w:tc>
          <w:tcPr>
            <w:tcW w:w="2268" w:type="dxa"/>
          </w:tcPr>
          <w:p>
            <w:pPr>
              <w:pStyle w:val="yTableNAm"/>
            </w:pPr>
            <w:r>
              <w:t>Any area of the State</w:t>
            </w:r>
          </w:p>
        </w:tc>
      </w:tr>
      <w:tr>
        <w:trPr>
          <w:cantSplit/>
        </w:trPr>
        <w:tc>
          <w:tcPr>
            <w:tcW w:w="2410" w:type="dxa"/>
          </w:tcPr>
          <w:p>
            <w:pPr>
              <w:pStyle w:val="yTableNAm"/>
              <w:rPr>
                <w:i/>
              </w:rPr>
            </w:pPr>
            <w:r>
              <w:rPr>
                <w:i/>
              </w:rPr>
              <w:t>Boulengerella cuvieri</w:t>
            </w:r>
          </w:p>
        </w:tc>
        <w:tc>
          <w:tcPr>
            <w:tcW w:w="2410" w:type="dxa"/>
          </w:tcPr>
          <w:p>
            <w:pPr>
              <w:pStyle w:val="yTableNAm"/>
              <w:rPr>
                <w:szCs w:val="22"/>
              </w:rPr>
            </w:pPr>
            <w:r>
              <w:t>Bicuda</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Boulengerella lucius</w:t>
            </w:r>
          </w:p>
        </w:tc>
        <w:tc>
          <w:tcPr>
            <w:tcW w:w="2410" w:type="dxa"/>
          </w:tcPr>
          <w:p>
            <w:pPr>
              <w:pStyle w:val="yTableNAm"/>
              <w:rPr>
                <w:szCs w:val="22"/>
              </w:rPr>
            </w:pPr>
            <w:r>
              <w:rPr>
                <w:szCs w:val="22"/>
              </w:rPr>
              <w:t>Golden Pike</w:t>
            </w:r>
            <w:r>
              <w:rPr>
                <w:szCs w:val="22"/>
              </w:rPr>
              <w:noBreakHyphen/>
            </w:r>
            <w:r>
              <w:t>characin</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Boulengerella xyrekes</w:t>
            </w:r>
          </w:p>
        </w:tc>
        <w:tc>
          <w:tcPr>
            <w:tcW w:w="2410" w:type="dxa"/>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Boulengerochromis microlepis</w:t>
            </w:r>
          </w:p>
        </w:tc>
        <w:tc>
          <w:tcPr>
            <w:tcW w:w="2410" w:type="dxa"/>
          </w:tcPr>
          <w:p>
            <w:pPr>
              <w:pStyle w:val="yTableNAm"/>
            </w:pPr>
            <w:r>
              <w:t>Giant Cichlid, Yellow</w:t>
            </w:r>
            <w:r>
              <w:noBreakHyphen/>
              <w:t>belly Cichlid</w:t>
            </w:r>
          </w:p>
        </w:tc>
        <w:tc>
          <w:tcPr>
            <w:tcW w:w="2268" w:type="dxa"/>
          </w:tcPr>
          <w:p>
            <w:pPr>
              <w:pStyle w:val="yTableNAm"/>
            </w:pPr>
            <w:r>
              <w:t>Any area of the State</w:t>
            </w:r>
          </w:p>
        </w:tc>
      </w:tr>
      <w:tr>
        <w:trPr>
          <w:cantSplit/>
        </w:trPr>
        <w:tc>
          <w:tcPr>
            <w:tcW w:w="2410" w:type="dxa"/>
          </w:tcPr>
          <w:p>
            <w:pPr>
              <w:pStyle w:val="yTableNAm"/>
              <w:rPr>
                <w:i/>
              </w:rPr>
            </w:pPr>
            <w:r>
              <w:rPr>
                <w:i/>
              </w:rPr>
              <w:t>Brachidontes pharaonis</w:t>
            </w:r>
          </w:p>
        </w:tc>
        <w:tc>
          <w:tcPr>
            <w:tcW w:w="2410" w:type="dxa"/>
          </w:tcPr>
          <w:p>
            <w:pPr>
              <w:pStyle w:val="yTableNAm"/>
            </w:pPr>
            <w:r>
              <w:t>Variable Mussel</w:t>
            </w:r>
          </w:p>
        </w:tc>
        <w:tc>
          <w:tcPr>
            <w:tcW w:w="2268" w:type="dxa"/>
          </w:tcPr>
          <w:p>
            <w:pPr>
              <w:pStyle w:val="yTableNAm"/>
            </w:pPr>
            <w:r>
              <w:t>Any area of the State</w:t>
            </w:r>
          </w:p>
        </w:tc>
      </w:tr>
      <w:tr>
        <w:trPr>
          <w:cantSplit/>
        </w:trPr>
        <w:tc>
          <w:tcPr>
            <w:tcW w:w="2410" w:type="dxa"/>
          </w:tcPr>
          <w:p>
            <w:pPr>
              <w:pStyle w:val="yTableNAm"/>
              <w:rPr>
                <w:i/>
              </w:rPr>
            </w:pPr>
            <w:r>
              <w:rPr>
                <w:i/>
              </w:rPr>
              <w:t>Callinectes sapidus</w:t>
            </w:r>
          </w:p>
        </w:tc>
        <w:tc>
          <w:tcPr>
            <w:tcW w:w="2410" w:type="dxa"/>
          </w:tcPr>
          <w:p>
            <w:pPr>
              <w:pStyle w:val="yTableNAm"/>
            </w:pPr>
            <w:r>
              <w:t>Chesapeake Blue Crab, Atlantic Blue Crab, Blue Crab</w:t>
            </w:r>
          </w:p>
        </w:tc>
        <w:tc>
          <w:tcPr>
            <w:tcW w:w="2268" w:type="dxa"/>
          </w:tcPr>
          <w:p>
            <w:pPr>
              <w:pStyle w:val="yTableNAm"/>
            </w:pPr>
            <w:r>
              <w:t>Any area of the State</w:t>
            </w:r>
          </w:p>
        </w:tc>
      </w:tr>
      <w:tr>
        <w:trPr>
          <w:cantSplit/>
        </w:trPr>
        <w:tc>
          <w:tcPr>
            <w:tcW w:w="2410" w:type="dxa"/>
          </w:tcPr>
          <w:p>
            <w:pPr>
              <w:pStyle w:val="yTableNAm"/>
              <w:rPr>
                <w:i/>
              </w:rPr>
            </w:pPr>
            <w:r>
              <w:rPr>
                <w:i/>
                <w:iCs/>
              </w:rPr>
              <w:t>Cambarellus patzcuarensis</w:t>
            </w:r>
          </w:p>
        </w:tc>
        <w:tc>
          <w:tcPr>
            <w:tcW w:w="2410" w:type="dxa"/>
          </w:tcPr>
          <w:p>
            <w:pPr>
              <w:pStyle w:val="yTableNAm"/>
            </w:pPr>
            <w:r>
              <w:t>Mexican Dwarf Crayfish</w:t>
            </w:r>
          </w:p>
        </w:tc>
        <w:tc>
          <w:tcPr>
            <w:tcW w:w="2268" w:type="dxa"/>
          </w:tcPr>
          <w:p>
            <w:pPr>
              <w:pStyle w:val="yTableNAm"/>
            </w:pPr>
            <w:r>
              <w:t>Any area of the State</w:t>
            </w:r>
          </w:p>
        </w:tc>
      </w:tr>
      <w:tr>
        <w:trPr>
          <w:cantSplit/>
        </w:trPr>
        <w:tc>
          <w:tcPr>
            <w:tcW w:w="2410" w:type="dxa"/>
          </w:tcPr>
          <w:p>
            <w:pPr>
              <w:pStyle w:val="yTableNAm"/>
              <w:rPr>
                <w:i/>
              </w:rPr>
            </w:pPr>
            <w:r>
              <w:rPr>
                <w:i/>
              </w:rPr>
              <w:t>Carcinoscorpius rotundicauda</w:t>
            </w:r>
          </w:p>
        </w:tc>
        <w:tc>
          <w:tcPr>
            <w:tcW w:w="2410" w:type="dxa"/>
          </w:tcPr>
          <w:p>
            <w:pPr>
              <w:pStyle w:val="yTableNAm"/>
            </w:pPr>
            <w:r>
              <w:t>Mangrove Horseshoe Crab</w:t>
            </w:r>
          </w:p>
        </w:tc>
        <w:tc>
          <w:tcPr>
            <w:tcW w:w="2268" w:type="dxa"/>
          </w:tcPr>
          <w:p>
            <w:pPr>
              <w:pStyle w:val="yTableNAm"/>
            </w:pPr>
            <w:r>
              <w:t>Any area of the State</w:t>
            </w:r>
          </w:p>
        </w:tc>
      </w:tr>
      <w:tr>
        <w:trPr>
          <w:cantSplit/>
        </w:trPr>
        <w:tc>
          <w:tcPr>
            <w:tcW w:w="2410" w:type="dxa"/>
          </w:tcPr>
          <w:p>
            <w:pPr>
              <w:pStyle w:val="yTableNAm"/>
              <w:rPr>
                <w:i/>
              </w:rPr>
            </w:pPr>
            <w:r>
              <w:rPr>
                <w:i/>
              </w:rPr>
              <w:t>Carcinus maenas</w:t>
            </w:r>
          </w:p>
        </w:tc>
        <w:tc>
          <w:tcPr>
            <w:tcW w:w="2410" w:type="dxa"/>
          </w:tcPr>
          <w:p>
            <w:pPr>
              <w:pStyle w:val="yTableNAm"/>
            </w:pPr>
            <w:r>
              <w:t>European Green Crab, European Shore Crab</w:t>
            </w:r>
          </w:p>
        </w:tc>
        <w:tc>
          <w:tcPr>
            <w:tcW w:w="2268" w:type="dxa"/>
          </w:tcPr>
          <w:p>
            <w:pPr>
              <w:pStyle w:val="yTableNAm"/>
            </w:pPr>
            <w:r>
              <w:t>Any area of the State</w:t>
            </w:r>
          </w:p>
        </w:tc>
      </w:tr>
      <w:tr>
        <w:trPr>
          <w:cantSplit/>
        </w:trPr>
        <w:tc>
          <w:tcPr>
            <w:tcW w:w="2410" w:type="dxa"/>
          </w:tcPr>
          <w:p>
            <w:pPr>
              <w:pStyle w:val="yTableNAm"/>
              <w:rPr>
                <w:i/>
              </w:rPr>
            </w:pPr>
            <w:r>
              <w:rPr>
                <w:i/>
              </w:rPr>
              <w:t>Catla catla</w:t>
            </w:r>
          </w:p>
        </w:tc>
        <w:tc>
          <w:tcPr>
            <w:tcW w:w="2410" w:type="dxa"/>
          </w:tcPr>
          <w:p>
            <w:pPr>
              <w:pStyle w:val="yTableNAm"/>
            </w:pPr>
            <w:r>
              <w:t>Catla</w:t>
            </w:r>
          </w:p>
        </w:tc>
        <w:tc>
          <w:tcPr>
            <w:tcW w:w="2268" w:type="dxa"/>
          </w:tcPr>
          <w:p>
            <w:pPr>
              <w:pStyle w:val="yTableNAm"/>
            </w:pPr>
            <w:r>
              <w:t>Any area of the State</w:t>
            </w:r>
          </w:p>
        </w:tc>
      </w:tr>
      <w:tr>
        <w:trPr>
          <w:cantSplit/>
        </w:trPr>
        <w:tc>
          <w:tcPr>
            <w:tcW w:w="2410" w:type="dxa"/>
          </w:tcPr>
          <w:p>
            <w:pPr>
              <w:pStyle w:val="yTableNAm"/>
              <w:rPr>
                <w:i/>
              </w:rPr>
            </w:pPr>
            <w:r>
              <w:rPr>
                <w:i/>
              </w:rPr>
              <w:t>Catlocarpio siamensis</w:t>
            </w:r>
          </w:p>
        </w:tc>
        <w:tc>
          <w:tcPr>
            <w:tcW w:w="2410" w:type="dxa"/>
          </w:tcPr>
          <w:p>
            <w:pPr>
              <w:pStyle w:val="yTableNAm"/>
            </w:pPr>
            <w:r>
              <w:t>Giant Barb</w:t>
            </w:r>
          </w:p>
        </w:tc>
        <w:tc>
          <w:tcPr>
            <w:tcW w:w="2268" w:type="dxa"/>
          </w:tcPr>
          <w:p>
            <w:pPr>
              <w:pStyle w:val="yTableNAm"/>
            </w:pPr>
            <w:r>
              <w:t>Any area of the State</w:t>
            </w:r>
          </w:p>
        </w:tc>
      </w:tr>
      <w:tr>
        <w:trPr>
          <w:cantSplit/>
        </w:trPr>
        <w:tc>
          <w:tcPr>
            <w:tcW w:w="2410" w:type="dxa"/>
          </w:tcPr>
          <w:p>
            <w:pPr>
              <w:pStyle w:val="yTableNAm"/>
              <w:rPr>
                <w:i/>
              </w:rPr>
            </w:pPr>
            <w:r>
              <w:rPr>
                <w:i/>
              </w:rPr>
              <w:t>Caulerpa taxifolia non</w:t>
            </w:r>
            <w:r>
              <w:rPr>
                <w:i/>
              </w:rPr>
              <w:noBreakHyphen/>
              <w:t xml:space="preserve">endemic </w:t>
            </w:r>
            <w:r>
              <w:t>spp.</w:t>
            </w:r>
            <w:r>
              <w:br/>
              <w:t>(or variants)</w:t>
            </w:r>
          </w:p>
        </w:tc>
        <w:tc>
          <w:tcPr>
            <w:tcW w:w="2410" w:type="dxa"/>
          </w:tcPr>
          <w:p>
            <w:pPr>
              <w:pStyle w:val="yTableNAm"/>
            </w:pPr>
            <w:r>
              <w:t>Aquarium Weed, Feather Alga, Killer Alga</w:t>
            </w:r>
          </w:p>
        </w:tc>
        <w:tc>
          <w:tcPr>
            <w:tcW w:w="2268" w:type="dxa"/>
          </w:tcPr>
          <w:p>
            <w:pPr>
              <w:pStyle w:val="yTableNAm"/>
            </w:pPr>
            <w:r>
              <w:t>Any area of the State except in the Pilbara and Kimberley Region</w:t>
            </w:r>
          </w:p>
        </w:tc>
      </w:tr>
      <w:tr>
        <w:trPr>
          <w:cantSplit/>
        </w:trPr>
        <w:tc>
          <w:tcPr>
            <w:tcW w:w="2410" w:type="dxa"/>
          </w:tcPr>
          <w:p>
            <w:pPr>
              <w:pStyle w:val="yTableNAm"/>
              <w:rPr>
                <w:i/>
              </w:rPr>
            </w:pPr>
            <w:r>
              <w:rPr>
                <w:i/>
              </w:rPr>
              <w:t xml:space="preserve">Centrarchidae </w:t>
            </w:r>
            <w:r>
              <w:rPr>
                <w:i/>
              </w:rPr>
              <w:br/>
            </w:r>
            <w:r>
              <w:t>(entire family)</w:t>
            </w:r>
          </w:p>
        </w:tc>
        <w:tc>
          <w:tcPr>
            <w:tcW w:w="2410" w:type="dxa"/>
          </w:tcPr>
          <w:p>
            <w:pPr>
              <w:pStyle w:val="yTableNAm"/>
            </w:pPr>
            <w:r>
              <w:t>Banded Sunfish, Spotted Sunfish, Largemouth Bass, Bluegill</w:t>
            </w:r>
          </w:p>
        </w:tc>
        <w:tc>
          <w:tcPr>
            <w:tcW w:w="2268" w:type="dxa"/>
          </w:tcPr>
          <w:p>
            <w:pPr>
              <w:pStyle w:val="yTableNAm"/>
            </w:pPr>
            <w:r>
              <w:t>Any area of the State</w:t>
            </w:r>
          </w:p>
        </w:tc>
      </w:tr>
      <w:tr>
        <w:trPr>
          <w:cantSplit/>
        </w:trPr>
        <w:tc>
          <w:tcPr>
            <w:tcW w:w="2410" w:type="dxa"/>
          </w:tcPr>
          <w:p>
            <w:pPr>
              <w:pStyle w:val="yTableNAm"/>
              <w:rPr>
                <w:i/>
              </w:rPr>
            </w:pPr>
            <w:r>
              <w:rPr>
                <w:i/>
              </w:rPr>
              <w:t xml:space="preserve">Centropomus </w:t>
            </w:r>
            <w:r>
              <w:rPr>
                <w:i/>
              </w:rPr>
              <w:br/>
            </w:r>
            <w:r>
              <w:t>(entire genus)</w:t>
            </w:r>
          </w:p>
        </w:tc>
        <w:tc>
          <w:tcPr>
            <w:tcW w:w="2410" w:type="dxa"/>
          </w:tcPr>
          <w:p>
            <w:pPr>
              <w:pStyle w:val="yTableNAm"/>
            </w:pPr>
            <w:r>
              <w:t>Snooks (American)</w:t>
            </w:r>
          </w:p>
        </w:tc>
        <w:tc>
          <w:tcPr>
            <w:tcW w:w="2268" w:type="dxa"/>
          </w:tcPr>
          <w:p>
            <w:pPr>
              <w:pStyle w:val="yTableNAm"/>
            </w:pPr>
            <w:r>
              <w:t>Any area of the State</w:t>
            </w:r>
          </w:p>
        </w:tc>
      </w:tr>
      <w:tr>
        <w:trPr>
          <w:cantSplit/>
        </w:trPr>
        <w:tc>
          <w:tcPr>
            <w:tcW w:w="2410" w:type="dxa"/>
          </w:tcPr>
          <w:p>
            <w:pPr>
              <w:pStyle w:val="yTableNAm"/>
              <w:rPr>
                <w:i/>
              </w:rPr>
            </w:pPr>
            <w:r>
              <w:rPr>
                <w:i/>
              </w:rPr>
              <w:t>Chaca bankanensis</w:t>
            </w:r>
          </w:p>
        </w:tc>
        <w:tc>
          <w:tcPr>
            <w:tcW w:w="2410" w:type="dxa"/>
          </w:tcPr>
          <w:p>
            <w:pPr>
              <w:pStyle w:val="yTableNAm"/>
            </w:pPr>
            <w:r>
              <w:t>Angler Catfish</w:t>
            </w:r>
          </w:p>
        </w:tc>
        <w:tc>
          <w:tcPr>
            <w:tcW w:w="2268" w:type="dxa"/>
          </w:tcPr>
          <w:p>
            <w:pPr>
              <w:pStyle w:val="yTableNAm"/>
            </w:pPr>
            <w:r>
              <w:t>Any area of the State</w:t>
            </w:r>
          </w:p>
        </w:tc>
      </w:tr>
      <w:tr>
        <w:trPr>
          <w:cantSplit/>
        </w:trPr>
        <w:tc>
          <w:tcPr>
            <w:tcW w:w="2410" w:type="dxa"/>
          </w:tcPr>
          <w:p>
            <w:pPr>
              <w:pStyle w:val="yTableNAm"/>
              <w:rPr>
                <w:i/>
              </w:rPr>
            </w:pPr>
            <w:r>
              <w:rPr>
                <w:i/>
              </w:rPr>
              <w:t>Chaca burmensis</w:t>
            </w:r>
          </w:p>
        </w:tc>
        <w:tc>
          <w:tcPr>
            <w:tcW w:w="2410" w:type="dxa"/>
          </w:tcPr>
          <w:p>
            <w:pPr>
              <w:pStyle w:val="yTableNAm"/>
            </w:pPr>
            <w:r>
              <w:t>Burmensis Frogmouth Catfish</w:t>
            </w:r>
          </w:p>
        </w:tc>
        <w:tc>
          <w:tcPr>
            <w:tcW w:w="2268" w:type="dxa"/>
          </w:tcPr>
          <w:p>
            <w:pPr>
              <w:pStyle w:val="yTableNAm"/>
            </w:pPr>
            <w:r>
              <w:t>Any area of the State</w:t>
            </w:r>
          </w:p>
        </w:tc>
      </w:tr>
      <w:tr>
        <w:trPr>
          <w:cantSplit/>
        </w:trPr>
        <w:tc>
          <w:tcPr>
            <w:tcW w:w="2410" w:type="dxa"/>
          </w:tcPr>
          <w:p>
            <w:pPr>
              <w:pStyle w:val="yTableNAm"/>
              <w:rPr>
                <w:i/>
              </w:rPr>
            </w:pPr>
            <w:r>
              <w:rPr>
                <w:i/>
              </w:rPr>
              <w:t>Chaca chaca</w:t>
            </w:r>
          </w:p>
        </w:tc>
        <w:tc>
          <w:tcPr>
            <w:tcW w:w="2410" w:type="dxa"/>
          </w:tcPr>
          <w:p>
            <w:pPr>
              <w:pStyle w:val="yTableNAm"/>
            </w:pPr>
            <w:r>
              <w:t>Angler, Frogmouth and Squarehead Catfish</w:t>
            </w:r>
          </w:p>
        </w:tc>
        <w:tc>
          <w:tcPr>
            <w:tcW w:w="2268" w:type="dxa"/>
          </w:tcPr>
          <w:p>
            <w:pPr>
              <w:pStyle w:val="yTableNAm"/>
            </w:pPr>
            <w:r>
              <w:t>Any area of the State</w:t>
            </w:r>
          </w:p>
        </w:tc>
      </w:tr>
      <w:tr>
        <w:trPr>
          <w:cantSplit/>
        </w:trPr>
        <w:tc>
          <w:tcPr>
            <w:tcW w:w="2410" w:type="dxa"/>
          </w:tcPr>
          <w:p>
            <w:pPr>
              <w:pStyle w:val="yTableNAm"/>
              <w:rPr>
                <w:i/>
              </w:rPr>
            </w:pPr>
            <w:r>
              <w:rPr>
                <w:i/>
              </w:rPr>
              <w:t xml:space="preserve">Channa </w:t>
            </w:r>
            <w:r>
              <w:t>spp.</w:t>
            </w:r>
            <w:r>
              <w:rPr>
                <w:i/>
              </w:rPr>
              <w:t xml:space="preserve"> </w:t>
            </w:r>
            <w:r>
              <w:rPr>
                <w:i/>
              </w:rPr>
              <w:br/>
            </w:r>
            <w:r>
              <w:t>(entire genus)</w:t>
            </w:r>
          </w:p>
        </w:tc>
        <w:tc>
          <w:tcPr>
            <w:tcW w:w="2410" w:type="dxa"/>
          </w:tcPr>
          <w:p>
            <w:pPr>
              <w:pStyle w:val="yTableNAm"/>
            </w:pPr>
            <w:r>
              <w:t>Snakehead</w:t>
            </w:r>
          </w:p>
        </w:tc>
        <w:tc>
          <w:tcPr>
            <w:tcW w:w="2268" w:type="dxa"/>
          </w:tcPr>
          <w:p>
            <w:pPr>
              <w:pStyle w:val="yTableNAm"/>
            </w:pPr>
            <w:r>
              <w:t>Any area of the State</w:t>
            </w:r>
          </w:p>
        </w:tc>
      </w:tr>
      <w:tr>
        <w:trPr>
          <w:cantSplit/>
        </w:trPr>
        <w:tc>
          <w:tcPr>
            <w:tcW w:w="2410" w:type="dxa"/>
          </w:tcPr>
          <w:p>
            <w:pPr>
              <w:pStyle w:val="yTableNAm"/>
              <w:rPr>
                <w:i/>
              </w:rPr>
            </w:pPr>
            <w:r>
              <w:rPr>
                <w:i/>
              </w:rPr>
              <w:t>Charybdis (Charybdis) japonica</w:t>
            </w:r>
          </w:p>
        </w:tc>
        <w:tc>
          <w:tcPr>
            <w:tcW w:w="2410" w:type="dxa"/>
          </w:tcPr>
          <w:p>
            <w:pPr>
              <w:pStyle w:val="yTableNAm"/>
            </w:pPr>
            <w:r>
              <w:t>Asian Paddle Crab</w:t>
            </w:r>
          </w:p>
        </w:tc>
        <w:tc>
          <w:tcPr>
            <w:tcW w:w="2268" w:type="dxa"/>
          </w:tcPr>
          <w:p>
            <w:pPr>
              <w:pStyle w:val="yTableNAm"/>
            </w:pPr>
            <w:r>
              <w:t>Any area of the State</w:t>
            </w:r>
          </w:p>
        </w:tc>
      </w:tr>
      <w:tr>
        <w:trPr>
          <w:cantSplit/>
        </w:trPr>
        <w:tc>
          <w:tcPr>
            <w:tcW w:w="2410" w:type="dxa"/>
          </w:tcPr>
          <w:p>
            <w:pPr>
              <w:pStyle w:val="yTableNAm"/>
              <w:rPr>
                <w:i/>
              </w:rPr>
            </w:pPr>
            <w:r>
              <w:rPr>
                <w:i/>
              </w:rPr>
              <w:t>Chthamalus proteus</w:t>
            </w:r>
          </w:p>
        </w:tc>
        <w:tc>
          <w:tcPr>
            <w:tcW w:w="2410" w:type="dxa"/>
          </w:tcPr>
          <w:p>
            <w:pPr>
              <w:pStyle w:val="yTableNAm"/>
            </w:pPr>
            <w:r>
              <w:t>Atlantic Barnacle, Caribbean Barnacle</w:t>
            </w:r>
          </w:p>
        </w:tc>
        <w:tc>
          <w:tcPr>
            <w:tcW w:w="2268" w:type="dxa"/>
          </w:tcPr>
          <w:p>
            <w:pPr>
              <w:pStyle w:val="yTableNAm"/>
            </w:pPr>
            <w:r>
              <w:t>Any area of the State</w:t>
            </w:r>
          </w:p>
        </w:tc>
      </w:tr>
      <w:tr>
        <w:trPr>
          <w:cantSplit/>
        </w:trPr>
        <w:tc>
          <w:tcPr>
            <w:tcW w:w="2410" w:type="dxa"/>
          </w:tcPr>
          <w:p>
            <w:pPr>
              <w:pStyle w:val="yTableNAm"/>
              <w:rPr>
                <w:i/>
              </w:rPr>
            </w:pPr>
            <w:r>
              <w:rPr>
                <w:i/>
              </w:rPr>
              <w:t>Cirrhinus cirrhosus</w:t>
            </w:r>
          </w:p>
        </w:tc>
        <w:tc>
          <w:tcPr>
            <w:tcW w:w="2410" w:type="dxa"/>
          </w:tcPr>
          <w:p>
            <w:pPr>
              <w:pStyle w:val="yTableNAm"/>
            </w:pPr>
            <w:r>
              <w:t>Mrigal</w:t>
            </w:r>
          </w:p>
        </w:tc>
        <w:tc>
          <w:tcPr>
            <w:tcW w:w="2268" w:type="dxa"/>
          </w:tcPr>
          <w:p>
            <w:pPr>
              <w:pStyle w:val="yTableNAm"/>
            </w:pPr>
            <w:r>
              <w:t>Any area of the State</w:t>
            </w:r>
          </w:p>
        </w:tc>
      </w:tr>
      <w:tr>
        <w:trPr>
          <w:cantSplit/>
        </w:trPr>
        <w:tc>
          <w:tcPr>
            <w:tcW w:w="2410" w:type="dxa"/>
          </w:tcPr>
          <w:p>
            <w:pPr>
              <w:pStyle w:val="yTableNAm"/>
              <w:rPr>
                <w:i/>
              </w:rPr>
            </w:pPr>
            <w:r>
              <w:rPr>
                <w:i/>
              </w:rPr>
              <w:t xml:space="preserve">Clarias </w:t>
            </w:r>
            <w:r>
              <w:t>spp.</w:t>
            </w:r>
            <w:r>
              <w:rPr>
                <w:i/>
              </w:rPr>
              <w:t xml:space="preserve"> </w:t>
            </w:r>
            <w:r>
              <w:rPr>
                <w:i/>
              </w:rPr>
              <w:br/>
            </w:r>
            <w:r>
              <w:t>(entire genus)</w:t>
            </w:r>
          </w:p>
        </w:tc>
        <w:tc>
          <w:tcPr>
            <w:tcW w:w="2410" w:type="dxa"/>
          </w:tcPr>
          <w:p>
            <w:pPr>
              <w:pStyle w:val="yTableNAm"/>
            </w:pPr>
            <w:r>
              <w:t>Walking Catfish</w:t>
            </w:r>
          </w:p>
        </w:tc>
        <w:tc>
          <w:tcPr>
            <w:tcW w:w="2268" w:type="dxa"/>
          </w:tcPr>
          <w:p>
            <w:pPr>
              <w:pStyle w:val="yTableNAm"/>
            </w:pPr>
            <w:r>
              <w:t>Any area of the State</w:t>
            </w:r>
          </w:p>
        </w:tc>
      </w:tr>
      <w:tr>
        <w:trPr>
          <w:cantSplit/>
        </w:trPr>
        <w:tc>
          <w:tcPr>
            <w:tcW w:w="2410" w:type="dxa"/>
          </w:tcPr>
          <w:p>
            <w:pPr>
              <w:pStyle w:val="yTableNAm"/>
              <w:rPr>
                <w:i/>
              </w:rPr>
            </w:pPr>
            <w:r>
              <w:rPr>
                <w:i/>
              </w:rPr>
              <w:t>Cliona thoosina</w:t>
            </w:r>
          </w:p>
        </w:tc>
        <w:tc>
          <w:tcPr>
            <w:tcW w:w="2410" w:type="dxa"/>
          </w:tcPr>
          <w:p>
            <w:pPr>
              <w:pStyle w:val="yTableNAm"/>
            </w:pPr>
            <w:r>
              <w:t>Boring Sponge, Sulfur Sponge</w:t>
            </w:r>
          </w:p>
        </w:tc>
        <w:tc>
          <w:tcPr>
            <w:tcW w:w="2268" w:type="dxa"/>
          </w:tcPr>
          <w:p>
            <w:pPr>
              <w:pStyle w:val="yTableNAm"/>
            </w:pPr>
            <w:r>
              <w:t>Any area of the State</w:t>
            </w:r>
          </w:p>
        </w:tc>
      </w:tr>
      <w:tr>
        <w:trPr>
          <w:cantSplit/>
        </w:trPr>
        <w:tc>
          <w:tcPr>
            <w:tcW w:w="2410" w:type="dxa"/>
          </w:tcPr>
          <w:p>
            <w:pPr>
              <w:pStyle w:val="yTableNAm"/>
              <w:rPr>
                <w:i/>
              </w:rPr>
            </w:pPr>
            <w:r>
              <w:rPr>
                <w:i/>
              </w:rPr>
              <w:t xml:space="preserve">Codium fragile fragile </w:t>
            </w:r>
            <w:r>
              <w:rPr>
                <w:i/>
              </w:rPr>
              <w:br/>
            </w:r>
            <w:r>
              <w:t>(syn</w:t>
            </w:r>
            <w:r>
              <w:rPr>
                <w:i/>
              </w:rPr>
              <w:t>. C. fragile tomentosoides</w:t>
            </w:r>
            <w:r>
              <w:t>)</w:t>
            </w:r>
          </w:p>
        </w:tc>
        <w:tc>
          <w:tcPr>
            <w:tcW w:w="2410" w:type="dxa"/>
          </w:tcPr>
          <w:p>
            <w:pPr>
              <w:pStyle w:val="yTableNAm"/>
            </w:pPr>
            <w:r>
              <w:t>Dead Man’s Fingers, Oyster Thief, Broccoli Weed</w:t>
            </w:r>
          </w:p>
        </w:tc>
        <w:tc>
          <w:tcPr>
            <w:tcW w:w="2268" w:type="dxa"/>
          </w:tcPr>
          <w:p>
            <w:pPr>
              <w:pStyle w:val="yTableNAm"/>
            </w:pPr>
            <w:r>
              <w:t>Any area of the State except in the Port of Albany</w:t>
            </w:r>
          </w:p>
        </w:tc>
      </w:tr>
      <w:tr>
        <w:trPr>
          <w:cantSplit/>
        </w:trPr>
        <w:tc>
          <w:tcPr>
            <w:tcW w:w="2410" w:type="dxa"/>
          </w:tcPr>
          <w:p>
            <w:pPr>
              <w:pStyle w:val="yTableNAm"/>
              <w:rPr>
                <w:i/>
              </w:rPr>
            </w:pPr>
            <w:r>
              <w:rPr>
                <w:i/>
              </w:rPr>
              <w:t xml:space="preserve">Colossoma </w:t>
            </w:r>
            <w:r>
              <w:t>spp.</w:t>
            </w:r>
            <w:r>
              <w:br/>
              <w:t>(entire genus)</w:t>
            </w:r>
          </w:p>
        </w:tc>
        <w:tc>
          <w:tcPr>
            <w:tcW w:w="2410" w:type="dxa"/>
          </w:tcPr>
          <w:p>
            <w:pPr>
              <w:pStyle w:val="yTableNAm"/>
            </w:pPr>
            <w:r>
              <w:t>Tambaqui Pacu, Pirapitinga</w:t>
            </w:r>
          </w:p>
        </w:tc>
        <w:tc>
          <w:tcPr>
            <w:tcW w:w="2268" w:type="dxa"/>
          </w:tcPr>
          <w:p>
            <w:pPr>
              <w:pStyle w:val="yTableNAm"/>
            </w:pPr>
            <w:r>
              <w:t>Any area of the State</w:t>
            </w:r>
          </w:p>
        </w:tc>
      </w:tr>
      <w:tr>
        <w:trPr>
          <w:cantSplit/>
        </w:trPr>
        <w:tc>
          <w:tcPr>
            <w:tcW w:w="2410" w:type="dxa"/>
          </w:tcPr>
          <w:p>
            <w:pPr>
              <w:pStyle w:val="yTableNAm"/>
              <w:rPr>
                <w:i/>
              </w:rPr>
            </w:pPr>
            <w:r>
              <w:rPr>
                <w:i/>
              </w:rPr>
              <w:t>Corbicula fluminea</w:t>
            </w:r>
          </w:p>
        </w:tc>
        <w:tc>
          <w:tcPr>
            <w:tcW w:w="2410" w:type="dxa"/>
          </w:tcPr>
          <w:p>
            <w:pPr>
              <w:pStyle w:val="yTableNAm"/>
            </w:pPr>
            <w:r>
              <w:t>Asian Clam, Asiatic Clam</w:t>
            </w:r>
          </w:p>
        </w:tc>
        <w:tc>
          <w:tcPr>
            <w:tcW w:w="2268" w:type="dxa"/>
          </w:tcPr>
          <w:p>
            <w:pPr>
              <w:pStyle w:val="yTableNAm"/>
            </w:pPr>
            <w:r>
              <w:t>Any area of the State</w:t>
            </w:r>
          </w:p>
        </w:tc>
      </w:tr>
      <w:tr>
        <w:trPr>
          <w:cantSplit/>
        </w:trPr>
        <w:tc>
          <w:tcPr>
            <w:tcW w:w="2410" w:type="dxa"/>
          </w:tcPr>
          <w:p>
            <w:pPr>
              <w:pStyle w:val="yTableNAm"/>
              <w:rPr>
                <w:i/>
              </w:rPr>
            </w:pPr>
            <w:r>
              <w:rPr>
                <w:i/>
              </w:rPr>
              <w:t xml:space="preserve">Corbula gibba </w:t>
            </w:r>
            <w:r>
              <w:rPr>
                <w:i/>
              </w:rPr>
              <w:br/>
            </w:r>
            <w:r>
              <w:t>(syn.</w:t>
            </w:r>
            <w:r>
              <w:rPr>
                <w:i/>
              </w:rPr>
              <w:t xml:space="preserve"> Varicorbula gibba</w:t>
            </w:r>
            <w:r>
              <w:t>)</w:t>
            </w:r>
          </w:p>
        </w:tc>
        <w:tc>
          <w:tcPr>
            <w:tcW w:w="2410" w:type="dxa"/>
          </w:tcPr>
          <w:p>
            <w:pPr>
              <w:pStyle w:val="yTableNAm"/>
            </w:pPr>
            <w:r>
              <w:t>Basket Shell, European Clam, Basket Shell Clam</w:t>
            </w:r>
          </w:p>
        </w:tc>
        <w:tc>
          <w:tcPr>
            <w:tcW w:w="2268" w:type="dxa"/>
          </w:tcPr>
          <w:p>
            <w:pPr>
              <w:pStyle w:val="yTableNAm"/>
            </w:pPr>
            <w:r>
              <w:t>Any area of the State</w:t>
            </w:r>
          </w:p>
        </w:tc>
      </w:tr>
      <w:tr>
        <w:trPr>
          <w:cantSplit/>
        </w:trPr>
        <w:tc>
          <w:tcPr>
            <w:tcW w:w="2410" w:type="dxa"/>
          </w:tcPr>
          <w:p>
            <w:pPr>
              <w:pStyle w:val="yTableNAm"/>
              <w:rPr>
                <w:i/>
              </w:rPr>
            </w:pPr>
            <w:r>
              <w:rPr>
                <w:i/>
              </w:rPr>
              <w:t>Crassostrea ariakensis</w:t>
            </w:r>
          </w:p>
        </w:tc>
        <w:tc>
          <w:tcPr>
            <w:tcW w:w="2410" w:type="dxa"/>
          </w:tcPr>
          <w:p>
            <w:pPr>
              <w:pStyle w:val="yTableNAm"/>
            </w:pPr>
            <w:r>
              <w:t>Suminoe Oyster, Asian Oyster</w:t>
            </w:r>
          </w:p>
        </w:tc>
        <w:tc>
          <w:tcPr>
            <w:tcW w:w="2268" w:type="dxa"/>
          </w:tcPr>
          <w:p>
            <w:pPr>
              <w:pStyle w:val="yTableNAm"/>
            </w:pPr>
            <w:r>
              <w:t>Any area of the State</w:t>
            </w:r>
          </w:p>
        </w:tc>
      </w:tr>
      <w:tr>
        <w:trPr>
          <w:cantSplit/>
        </w:trPr>
        <w:tc>
          <w:tcPr>
            <w:tcW w:w="2410" w:type="dxa"/>
          </w:tcPr>
          <w:p>
            <w:pPr>
              <w:pStyle w:val="yTableNAm"/>
              <w:rPr>
                <w:i/>
              </w:rPr>
            </w:pPr>
            <w:r>
              <w:rPr>
                <w:i/>
              </w:rPr>
              <w:t>Crassostrea virginica</w:t>
            </w:r>
          </w:p>
        </w:tc>
        <w:tc>
          <w:tcPr>
            <w:tcW w:w="2410" w:type="dxa"/>
          </w:tcPr>
          <w:p>
            <w:pPr>
              <w:pStyle w:val="yTableNAm"/>
            </w:pPr>
            <w:r>
              <w:t>American Oyster, Eastern Oyster</w:t>
            </w:r>
          </w:p>
        </w:tc>
        <w:tc>
          <w:tcPr>
            <w:tcW w:w="2268" w:type="dxa"/>
          </w:tcPr>
          <w:p>
            <w:pPr>
              <w:pStyle w:val="yTableNAm"/>
            </w:pPr>
            <w:r>
              <w:t>Any area of the State</w:t>
            </w:r>
          </w:p>
        </w:tc>
      </w:tr>
      <w:tr>
        <w:trPr>
          <w:cantSplit/>
        </w:trPr>
        <w:tc>
          <w:tcPr>
            <w:tcW w:w="2410" w:type="dxa"/>
          </w:tcPr>
          <w:p>
            <w:pPr>
              <w:pStyle w:val="yTableNAm"/>
              <w:rPr>
                <w:i/>
              </w:rPr>
            </w:pPr>
            <w:r>
              <w:rPr>
                <w:i/>
              </w:rPr>
              <w:t>Crenicichla lepidota</w:t>
            </w:r>
          </w:p>
        </w:tc>
        <w:tc>
          <w:tcPr>
            <w:tcW w:w="2410" w:type="dxa"/>
          </w:tcPr>
          <w:p>
            <w:pPr>
              <w:pStyle w:val="yTableNAm"/>
            </w:pPr>
            <w:r>
              <w:t>Pike Cichlid</w:t>
            </w:r>
          </w:p>
        </w:tc>
        <w:tc>
          <w:tcPr>
            <w:tcW w:w="2268" w:type="dxa"/>
          </w:tcPr>
          <w:p>
            <w:pPr>
              <w:pStyle w:val="yTableNAm"/>
            </w:pPr>
            <w:r>
              <w:t>Any area of the State</w:t>
            </w:r>
          </w:p>
        </w:tc>
      </w:tr>
      <w:tr>
        <w:trPr>
          <w:cantSplit/>
        </w:trPr>
        <w:tc>
          <w:tcPr>
            <w:tcW w:w="2410" w:type="dxa"/>
          </w:tcPr>
          <w:p>
            <w:pPr>
              <w:pStyle w:val="yTableNAm"/>
              <w:rPr>
                <w:i/>
              </w:rPr>
            </w:pPr>
            <w:r>
              <w:rPr>
                <w:i/>
              </w:rPr>
              <w:t>Crepidula fornicata</w:t>
            </w:r>
          </w:p>
        </w:tc>
        <w:tc>
          <w:tcPr>
            <w:tcW w:w="2410" w:type="dxa"/>
          </w:tcPr>
          <w:p>
            <w:pPr>
              <w:pStyle w:val="yTableNAm"/>
            </w:pPr>
            <w:r>
              <w:t>Slipper Limpet, Atlantic Slipper Snail</w:t>
            </w:r>
          </w:p>
        </w:tc>
        <w:tc>
          <w:tcPr>
            <w:tcW w:w="2268" w:type="dxa"/>
          </w:tcPr>
          <w:p>
            <w:pPr>
              <w:pStyle w:val="yTableNAm"/>
            </w:pPr>
            <w:r>
              <w:t>Any area of the State</w:t>
            </w:r>
          </w:p>
        </w:tc>
      </w:tr>
      <w:tr>
        <w:trPr>
          <w:cantSplit/>
        </w:trPr>
        <w:tc>
          <w:tcPr>
            <w:tcW w:w="2410" w:type="dxa"/>
          </w:tcPr>
          <w:p>
            <w:pPr>
              <w:pStyle w:val="yTableNAm"/>
              <w:rPr>
                <w:i/>
              </w:rPr>
            </w:pPr>
            <w:r>
              <w:rPr>
                <w:i/>
              </w:rPr>
              <w:t>Ctenobrycon hauxwellianus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Ctenobrycon multiradiatus</w:t>
            </w:r>
          </w:p>
        </w:tc>
        <w:tc>
          <w:tcPr>
            <w:tcW w:w="2410" w:type="dxa"/>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Ctenopharyngodon idella</w:t>
            </w:r>
          </w:p>
        </w:tc>
        <w:tc>
          <w:tcPr>
            <w:tcW w:w="2410" w:type="dxa"/>
          </w:tcPr>
          <w:p>
            <w:pPr>
              <w:pStyle w:val="yTableNAm"/>
            </w:pPr>
            <w:r>
              <w:t>Grass Carp</w:t>
            </w:r>
          </w:p>
        </w:tc>
        <w:tc>
          <w:tcPr>
            <w:tcW w:w="2268" w:type="dxa"/>
          </w:tcPr>
          <w:p>
            <w:pPr>
              <w:pStyle w:val="yTableNAm"/>
            </w:pPr>
            <w:r>
              <w:t>Any area of the State</w:t>
            </w:r>
          </w:p>
        </w:tc>
      </w:tr>
      <w:tr>
        <w:trPr>
          <w:cantSplit/>
        </w:trPr>
        <w:tc>
          <w:tcPr>
            <w:tcW w:w="2410" w:type="dxa"/>
          </w:tcPr>
          <w:p>
            <w:pPr>
              <w:pStyle w:val="yTableNAm"/>
              <w:rPr>
                <w:i/>
              </w:rPr>
            </w:pPr>
            <w:r>
              <w:rPr>
                <w:i/>
              </w:rPr>
              <w:t>Ctenopoma argentoventer</w:t>
            </w:r>
          </w:p>
        </w:tc>
        <w:tc>
          <w:tcPr>
            <w:tcW w:w="2410" w:type="dxa"/>
          </w:tcPr>
          <w:p>
            <w:pPr>
              <w:pStyle w:val="yTableNAm"/>
            </w:pPr>
            <w:r>
              <w:t>Silverbelly Ctenopoma</w:t>
            </w:r>
          </w:p>
        </w:tc>
        <w:tc>
          <w:tcPr>
            <w:tcW w:w="2268" w:type="dxa"/>
          </w:tcPr>
          <w:p>
            <w:pPr>
              <w:pStyle w:val="yTableNAm"/>
            </w:pPr>
            <w:r>
              <w:t>Any area of the State</w:t>
            </w:r>
          </w:p>
        </w:tc>
      </w:tr>
      <w:tr>
        <w:trPr>
          <w:cantSplit/>
        </w:trPr>
        <w:tc>
          <w:tcPr>
            <w:tcW w:w="2410" w:type="dxa"/>
          </w:tcPr>
          <w:p>
            <w:pPr>
              <w:pStyle w:val="yTableNAm"/>
              <w:rPr>
                <w:i/>
              </w:rPr>
            </w:pPr>
            <w:r>
              <w:rPr>
                <w:i/>
              </w:rPr>
              <w:t>Ctenopoma kingsleyae</w:t>
            </w:r>
          </w:p>
        </w:tc>
        <w:tc>
          <w:tcPr>
            <w:tcW w:w="2410" w:type="dxa"/>
          </w:tcPr>
          <w:p>
            <w:pPr>
              <w:pStyle w:val="yTableNAm"/>
            </w:pPr>
            <w:r>
              <w:t>Tailspot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multispine</w:t>
            </w:r>
          </w:p>
        </w:tc>
        <w:tc>
          <w:tcPr>
            <w:tcW w:w="2410" w:type="dxa"/>
          </w:tcPr>
          <w:p>
            <w:pPr>
              <w:pStyle w:val="yTableNAm"/>
            </w:pPr>
            <w:r>
              <w:t>Manyspined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muriei</w:t>
            </w:r>
          </w:p>
        </w:tc>
        <w:tc>
          <w:tcPr>
            <w:tcW w:w="2410" w:type="dxa"/>
          </w:tcPr>
          <w:p>
            <w:pPr>
              <w:pStyle w:val="yTableNAm"/>
            </w:pPr>
            <w:r>
              <w:t>Ocellated Labyrinth Fish</w:t>
            </w:r>
          </w:p>
        </w:tc>
        <w:tc>
          <w:tcPr>
            <w:tcW w:w="2268" w:type="dxa"/>
          </w:tcPr>
          <w:p>
            <w:pPr>
              <w:pStyle w:val="yTableNAm"/>
            </w:pPr>
            <w:r>
              <w:t>Any area of the State</w:t>
            </w:r>
          </w:p>
        </w:tc>
      </w:tr>
      <w:tr>
        <w:trPr>
          <w:cantSplit/>
        </w:trPr>
        <w:tc>
          <w:tcPr>
            <w:tcW w:w="2410" w:type="dxa"/>
          </w:tcPr>
          <w:p>
            <w:pPr>
              <w:pStyle w:val="yTableNAm"/>
              <w:rPr>
                <w:i/>
              </w:rPr>
            </w:pPr>
            <w:r>
              <w:rPr>
                <w:i/>
              </w:rPr>
              <w:t>Ctenopoma nigropannosum</w:t>
            </w:r>
          </w:p>
        </w:tc>
        <w:tc>
          <w:tcPr>
            <w:tcW w:w="2410" w:type="dxa"/>
          </w:tcPr>
          <w:p>
            <w:pPr>
              <w:pStyle w:val="yTableNAm"/>
            </w:pPr>
            <w:r>
              <w:t>Twospot Climbing Perch</w:t>
            </w:r>
          </w:p>
        </w:tc>
        <w:tc>
          <w:tcPr>
            <w:tcW w:w="2268" w:type="dxa"/>
          </w:tcPr>
          <w:p>
            <w:pPr>
              <w:pStyle w:val="yTableNAm"/>
            </w:pPr>
            <w:r>
              <w:t>Any area of the State</w:t>
            </w:r>
          </w:p>
        </w:tc>
      </w:tr>
      <w:tr>
        <w:trPr>
          <w:cantSplit/>
        </w:trPr>
        <w:tc>
          <w:tcPr>
            <w:tcW w:w="2410" w:type="dxa"/>
          </w:tcPr>
          <w:p>
            <w:pPr>
              <w:pStyle w:val="yTableNAm"/>
              <w:rPr>
                <w:i/>
              </w:rPr>
            </w:pPr>
            <w:r>
              <w:rPr>
                <w:i/>
              </w:rPr>
              <w:t>Ctenopoma ocellatum</w:t>
            </w:r>
          </w:p>
        </w:tc>
        <w:tc>
          <w:tcPr>
            <w:tcW w:w="2410" w:type="dxa"/>
          </w:tcPr>
          <w:p>
            <w:pPr>
              <w:pStyle w:val="yTableNAm"/>
            </w:pPr>
            <w:r>
              <w:t>Eyespot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weeksii</w:t>
            </w:r>
          </w:p>
        </w:tc>
        <w:tc>
          <w:tcPr>
            <w:tcW w:w="2410" w:type="dxa"/>
          </w:tcPr>
          <w:p>
            <w:pPr>
              <w:pStyle w:val="yTableNAm"/>
            </w:pPr>
            <w:r>
              <w:t>Mottled Ctenopoma</w:t>
            </w:r>
          </w:p>
        </w:tc>
        <w:tc>
          <w:tcPr>
            <w:tcW w:w="2268" w:type="dxa"/>
          </w:tcPr>
          <w:p>
            <w:pPr>
              <w:pStyle w:val="yTableNAm"/>
            </w:pPr>
            <w:r>
              <w:t>Any area of the State</w:t>
            </w:r>
          </w:p>
        </w:tc>
      </w:tr>
      <w:tr>
        <w:trPr>
          <w:cantSplit/>
        </w:trPr>
        <w:tc>
          <w:tcPr>
            <w:tcW w:w="2410" w:type="dxa"/>
          </w:tcPr>
          <w:p>
            <w:pPr>
              <w:pStyle w:val="yTableNAm"/>
              <w:rPr>
                <w:i/>
              </w:rPr>
            </w:pPr>
            <w:r>
              <w:rPr>
                <w:i/>
              </w:rPr>
              <w:t>Culaea inconstans</w:t>
            </w:r>
          </w:p>
        </w:tc>
        <w:tc>
          <w:tcPr>
            <w:tcW w:w="2410" w:type="dxa"/>
          </w:tcPr>
          <w:p>
            <w:pPr>
              <w:pStyle w:val="yTableNAm"/>
            </w:pPr>
            <w:r>
              <w:t>Brook Stickleback</w:t>
            </w:r>
          </w:p>
        </w:tc>
        <w:tc>
          <w:tcPr>
            <w:tcW w:w="2268" w:type="dxa"/>
          </w:tcPr>
          <w:p>
            <w:pPr>
              <w:pStyle w:val="yTableNAm"/>
            </w:pPr>
            <w:r>
              <w:t>Any area of the State</w:t>
            </w:r>
          </w:p>
        </w:tc>
      </w:tr>
      <w:tr>
        <w:trPr>
          <w:cantSplit/>
        </w:trPr>
        <w:tc>
          <w:tcPr>
            <w:tcW w:w="2410" w:type="dxa"/>
          </w:tcPr>
          <w:p>
            <w:pPr>
              <w:pStyle w:val="yTableNAm"/>
              <w:rPr>
                <w:i/>
              </w:rPr>
            </w:pPr>
            <w:r>
              <w:rPr>
                <w:i/>
              </w:rPr>
              <w:t>Didemnum non</w:t>
            </w:r>
            <w:r>
              <w:rPr>
                <w:i/>
              </w:rPr>
              <w:noBreakHyphen/>
              <w:t xml:space="preserve">endemic </w:t>
            </w:r>
            <w:r>
              <w:t>spp.</w:t>
            </w:r>
          </w:p>
        </w:tc>
        <w:tc>
          <w:tcPr>
            <w:tcW w:w="2410" w:type="dxa"/>
          </w:tcPr>
          <w:p>
            <w:pPr>
              <w:pStyle w:val="yTableNAm"/>
            </w:pPr>
            <w:r>
              <w:t>Colonial Sea Squirt, Colonial Ascidian</w:t>
            </w:r>
          </w:p>
        </w:tc>
        <w:tc>
          <w:tcPr>
            <w:tcW w:w="2268" w:type="dxa"/>
          </w:tcPr>
          <w:p>
            <w:pPr>
              <w:pStyle w:val="yTableNAm"/>
            </w:pPr>
            <w:r>
              <w:t>Any area of the State</w:t>
            </w:r>
          </w:p>
        </w:tc>
      </w:tr>
      <w:tr>
        <w:trPr>
          <w:cantSplit/>
        </w:trPr>
        <w:tc>
          <w:tcPr>
            <w:tcW w:w="2410" w:type="dxa"/>
          </w:tcPr>
          <w:p>
            <w:pPr>
              <w:pStyle w:val="yTableNAm"/>
              <w:rPr>
                <w:i/>
              </w:rPr>
            </w:pPr>
            <w:r>
              <w:rPr>
                <w:i/>
              </w:rPr>
              <w:t>Didemnum perlucidum</w:t>
            </w:r>
          </w:p>
        </w:tc>
        <w:tc>
          <w:tcPr>
            <w:tcW w:w="2410" w:type="dxa"/>
          </w:tcPr>
          <w:p>
            <w:pPr>
              <w:pStyle w:val="yTableNAm"/>
            </w:pPr>
            <w:r>
              <w:t>White Sea Squirt, White Ascidian</w:t>
            </w:r>
          </w:p>
        </w:tc>
        <w:tc>
          <w:tcPr>
            <w:tcW w:w="2268" w:type="dxa"/>
          </w:tcPr>
          <w:p>
            <w:pPr>
              <w:pStyle w:val="yTableNAm"/>
            </w:pPr>
            <w:r>
              <w:t>Montebello Islands Marine Park</w:t>
            </w:r>
          </w:p>
        </w:tc>
      </w:tr>
      <w:tr>
        <w:trPr>
          <w:cantSplit/>
        </w:trPr>
        <w:tc>
          <w:tcPr>
            <w:tcW w:w="2410" w:type="dxa"/>
          </w:tcPr>
          <w:p>
            <w:pPr>
              <w:pStyle w:val="yTableNAm"/>
              <w:rPr>
                <w:i/>
              </w:rPr>
            </w:pPr>
            <w:r>
              <w:rPr>
                <w:i/>
              </w:rPr>
              <w:t>Didemnum vexillum</w:t>
            </w:r>
          </w:p>
        </w:tc>
        <w:tc>
          <w:tcPr>
            <w:tcW w:w="2410" w:type="dxa"/>
          </w:tcPr>
          <w:p>
            <w:pPr>
              <w:pStyle w:val="yTableNAm"/>
            </w:pPr>
            <w:r>
              <w:t>Colonial Sea Squirt</w:t>
            </w:r>
          </w:p>
        </w:tc>
        <w:tc>
          <w:tcPr>
            <w:tcW w:w="2268" w:type="dxa"/>
          </w:tcPr>
          <w:p>
            <w:pPr>
              <w:pStyle w:val="yTableNAm"/>
            </w:pPr>
            <w:r>
              <w:t>Any area of the State</w:t>
            </w:r>
          </w:p>
        </w:tc>
      </w:tr>
      <w:tr>
        <w:trPr>
          <w:cantSplit/>
        </w:trPr>
        <w:tc>
          <w:tcPr>
            <w:tcW w:w="2410" w:type="dxa"/>
          </w:tcPr>
          <w:p>
            <w:pPr>
              <w:pStyle w:val="yTableNAm"/>
              <w:rPr>
                <w:i/>
              </w:rPr>
            </w:pPr>
            <w:r>
              <w:rPr>
                <w:i/>
              </w:rPr>
              <w:t>Dikerogammarus villosus</w:t>
            </w:r>
          </w:p>
        </w:tc>
        <w:tc>
          <w:tcPr>
            <w:tcW w:w="2410" w:type="dxa"/>
          </w:tcPr>
          <w:p>
            <w:pPr>
              <w:pStyle w:val="yTableNAm"/>
            </w:pPr>
            <w:r>
              <w:t>Killer Shrimp</w:t>
            </w:r>
          </w:p>
        </w:tc>
        <w:tc>
          <w:tcPr>
            <w:tcW w:w="2268" w:type="dxa"/>
          </w:tcPr>
          <w:p>
            <w:pPr>
              <w:pStyle w:val="yTableNAm"/>
            </w:pPr>
            <w:r>
              <w:t>Any area of the State</w:t>
            </w:r>
          </w:p>
        </w:tc>
      </w:tr>
      <w:tr>
        <w:trPr>
          <w:cantSplit/>
        </w:trPr>
        <w:tc>
          <w:tcPr>
            <w:tcW w:w="2410" w:type="dxa"/>
          </w:tcPr>
          <w:p>
            <w:pPr>
              <w:pStyle w:val="yTableNAm"/>
              <w:rPr>
                <w:i/>
              </w:rPr>
            </w:pPr>
            <w:r>
              <w:rPr>
                <w:i/>
              </w:rPr>
              <w:t>Dormitator latifrons</w:t>
            </w:r>
          </w:p>
        </w:tc>
        <w:tc>
          <w:tcPr>
            <w:tcW w:w="2410" w:type="dxa"/>
          </w:tcPr>
          <w:p>
            <w:pPr>
              <w:pStyle w:val="yTableNAm"/>
            </w:pPr>
            <w:r>
              <w:t>Pacific Fat Sleeper</w:t>
            </w:r>
          </w:p>
        </w:tc>
        <w:tc>
          <w:tcPr>
            <w:tcW w:w="2268" w:type="dxa"/>
          </w:tcPr>
          <w:p>
            <w:pPr>
              <w:pStyle w:val="yTableNAm"/>
            </w:pPr>
            <w:r>
              <w:t>Any area of the State</w:t>
            </w:r>
          </w:p>
        </w:tc>
      </w:tr>
      <w:tr>
        <w:trPr>
          <w:cantSplit/>
        </w:trPr>
        <w:tc>
          <w:tcPr>
            <w:tcW w:w="2410" w:type="dxa"/>
          </w:tcPr>
          <w:p>
            <w:pPr>
              <w:pStyle w:val="yTableNAm"/>
              <w:rPr>
                <w:i/>
              </w:rPr>
            </w:pPr>
            <w:r>
              <w:rPr>
                <w:i/>
              </w:rPr>
              <w:t>Dormitator lebretonis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Dormitator maculatus</w:t>
            </w:r>
          </w:p>
        </w:tc>
        <w:tc>
          <w:tcPr>
            <w:tcW w:w="2410" w:type="dxa"/>
          </w:tcPr>
          <w:p>
            <w:pPr>
              <w:pStyle w:val="yTableNAm"/>
            </w:pPr>
            <w:r>
              <w:t>Fat Sleeper</w:t>
            </w:r>
          </w:p>
        </w:tc>
        <w:tc>
          <w:tcPr>
            <w:tcW w:w="2268" w:type="dxa"/>
          </w:tcPr>
          <w:p>
            <w:pPr>
              <w:pStyle w:val="yTableNAm"/>
            </w:pPr>
            <w:r>
              <w:t>Any area of the State</w:t>
            </w:r>
          </w:p>
        </w:tc>
      </w:tr>
      <w:tr>
        <w:trPr>
          <w:cantSplit/>
        </w:trPr>
        <w:tc>
          <w:tcPr>
            <w:tcW w:w="2410" w:type="dxa"/>
          </w:tcPr>
          <w:p>
            <w:pPr>
              <w:pStyle w:val="yTableNAm"/>
              <w:rPr>
                <w:i/>
              </w:rPr>
            </w:pPr>
            <w:r>
              <w:rPr>
                <w:i/>
              </w:rPr>
              <w:t>Dreissena bugensis</w:t>
            </w:r>
          </w:p>
        </w:tc>
        <w:tc>
          <w:tcPr>
            <w:tcW w:w="2410" w:type="dxa"/>
          </w:tcPr>
          <w:p>
            <w:pPr>
              <w:pStyle w:val="yTableNAm"/>
            </w:pPr>
            <w:r>
              <w:t>Quagga Mussel</w:t>
            </w:r>
          </w:p>
        </w:tc>
        <w:tc>
          <w:tcPr>
            <w:tcW w:w="2268" w:type="dxa"/>
          </w:tcPr>
          <w:p>
            <w:pPr>
              <w:pStyle w:val="yTableNAm"/>
            </w:pPr>
            <w:r>
              <w:t>Any area of the State</w:t>
            </w:r>
          </w:p>
        </w:tc>
      </w:tr>
      <w:tr>
        <w:trPr>
          <w:cantSplit/>
        </w:trPr>
        <w:tc>
          <w:tcPr>
            <w:tcW w:w="2410" w:type="dxa"/>
          </w:tcPr>
          <w:p>
            <w:pPr>
              <w:pStyle w:val="yTableNAm"/>
              <w:rPr>
                <w:i/>
              </w:rPr>
            </w:pPr>
            <w:r>
              <w:rPr>
                <w:i/>
              </w:rPr>
              <w:t>Dreissena polymorpha</w:t>
            </w:r>
          </w:p>
        </w:tc>
        <w:tc>
          <w:tcPr>
            <w:tcW w:w="2410" w:type="dxa"/>
          </w:tcPr>
          <w:p>
            <w:pPr>
              <w:pStyle w:val="yTableNAm"/>
            </w:pPr>
            <w:r>
              <w:t>European Zebra Mussel, Wandering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Elassoma </w:t>
            </w:r>
            <w:r>
              <w:t xml:space="preserve">spp. </w:t>
            </w:r>
            <w:r>
              <w:rPr>
                <w:i/>
              </w:rPr>
              <w:br/>
            </w:r>
            <w:r>
              <w:t>(entire genus)</w:t>
            </w:r>
          </w:p>
        </w:tc>
        <w:tc>
          <w:tcPr>
            <w:tcW w:w="2410" w:type="dxa"/>
          </w:tcPr>
          <w:p>
            <w:pPr>
              <w:pStyle w:val="yTableNAm"/>
            </w:pPr>
            <w:r>
              <w:t>Pygmy Sunfish</w:t>
            </w:r>
          </w:p>
        </w:tc>
        <w:tc>
          <w:tcPr>
            <w:tcW w:w="2268" w:type="dxa"/>
          </w:tcPr>
          <w:p>
            <w:pPr>
              <w:pStyle w:val="yTableNAm"/>
            </w:pPr>
            <w:r>
              <w:t>Any area of the State</w:t>
            </w:r>
          </w:p>
        </w:tc>
      </w:tr>
      <w:tr>
        <w:trPr>
          <w:cantSplit/>
        </w:trPr>
        <w:tc>
          <w:tcPr>
            <w:tcW w:w="2410" w:type="dxa"/>
          </w:tcPr>
          <w:p>
            <w:pPr>
              <w:pStyle w:val="yTableNAm"/>
              <w:rPr>
                <w:i/>
              </w:rPr>
            </w:pPr>
            <w:r>
              <w:rPr>
                <w:i/>
              </w:rPr>
              <w:t>Electrophorus electricus</w:t>
            </w:r>
          </w:p>
        </w:tc>
        <w:tc>
          <w:tcPr>
            <w:tcW w:w="2410" w:type="dxa"/>
          </w:tcPr>
          <w:p>
            <w:pPr>
              <w:pStyle w:val="yTableNAm"/>
            </w:pPr>
            <w:r>
              <w:t>Electric Eel</w:t>
            </w:r>
          </w:p>
        </w:tc>
        <w:tc>
          <w:tcPr>
            <w:tcW w:w="2268" w:type="dxa"/>
          </w:tcPr>
          <w:p>
            <w:pPr>
              <w:pStyle w:val="yTableNAm"/>
            </w:pPr>
            <w:r>
              <w:t>Any area of the State</w:t>
            </w:r>
          </w:p>
        </w:tc>
      </w:tr>
      <w:tr>
        <w:trPr>
          <w:cantSplit/>
        </w:trPr>
        <w:tc>
          <w:tcPr>
            <w:tcW w:w="2410" w:type="dxa"/>
          </w:tcPr>
          <w:p>
            <w:pPr>
              <w:pStyle w:val="yTableNAm"/>
              <w:rPr>
                <w:i/>
              </w:rPr>
            </w:pPr>
            <w:r>
              <w:rPr>
                <w:i/>
              </w:rPr>
              <w:t>Eleotris amblyopsis</w:t>
            </w:r>
          </w:p>
        </w:tc>
        <w:tc>
          <w:tcPr>
            <w:tcW w:w="2410" w:type="dxa"/>
          </w:tcPr>
          <w:p>
            <w:pPr>
              <w:pStyle w:val="yTableNAm"/>
            </w:pPr>
            <w:r>
              <w:t>Large Scaled Spiny Cheek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andamensis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annobonensis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aquadulcis</w:t>
            </w:r>
          </w:p>
        </w:tc>
        <w:tc>
          <w:tcPr>
            <w:tcW w:w="2410" w:type="dxa"/>
            <w:vAlign w:val="bottom"/>
          </w:tcPr>
          <w:p>
            <w:pPr>
              <w:pStyle w:val="yTableNAm"/>
              <w:rPr>
                <w:szCs w:val="22"/>
              </w:rPr>
            </w:pPr>
            <w:r>
              <w:rPr>
                <w:szCs w:val="22"/>
              </w:rPr>
              <w:t xml:space="preserve">Freshwater </w:t>
            </w:r>
            <w:r>
              <w:t>Gudgeon</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balia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brachyurus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daganensis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fasciatus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feai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lutea</w:t>
            </w:r>
          </w:p>
        </w:tc>
        <w:tc>
          <w:tcPr>
            <w:tcW w:w="2410" w:type="dxa"/>
            <w:vAlign w:val="bottom"/>
          </w:tcPr>
          <w:p>
            <w:pPr>
              <w:pStyle w:val="yTableNAm"/>
              <w:rPr>
                <w:szCs w:val="22"/>
              </w:rPr>
            </w:pPr>
            <w:r>
              <w:rPr>
                <w:szCs w:val="22"/>
              </w:rPr>
              <w:t xml:space="preserve">Lutea Sleeper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macrocephala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macrolepis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mauritianus</w:t>
            </w:r>
          </w:p>
        </w:tc>
        <w:tc>
          <w:tcPr>
            <w:tcW w:w="2410" w:type="dxa"/>
            <w:vAlign w:val="bottom"/>
          </w:tcPr>
          <w:p>
            <w:pPr>
              <w:pStyle w:val="yTableNAm"/>
              <w:rPr>
                <w:szCs w:val="22"/>
              </w:rPr>
            </w:pPr>
            <w:r>
              <w:rPr>
                <w:szCs w:val="22"/>
              </w:rPr>
              <w:t>Widehead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melanura</w:t>
            </w:r>
          </w:p>
        </w:tc>
        <w:tc>
          <w:tcPr>
            <w:tcW w:w="2410" w:type="dxa"/>
            <w:vAlign w:val="bottom"/>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oxycephala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pellegrini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Eleotris perniger</w:t>
            </w:r>
          </w:p>
        </w:tc>
        <w:tc>
          <w:tcPr>
            <w:tcW w:w="2410" w:type="dxa"/>
            <w:vAlign w:val="bottom"/>
          </w:tcPr>
          <w:p>
            <w:pPr>
              <w:pStyle w:val="yTableNAm"/>
              <w:rPr>
                <w:szCs w:val="22"/>
              </w:rPr>
            </w:pPr>
            <w:r>
              <w:rPr>
                <w:szCs w:val="22"/>
              </w:rPr>
              <w:t>Smallscaled Spinycheek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picta</w:t>
            </w:r>
          </w:p>
        </w:tc>
        <w:tc>
          <w:tcPr>
            <w:tcW w:w="2410" w:type="dxa"/>
            <w:vAlign w:val="bottom"/>
          </w:tcPr>
          <w:p>
            <w:pPr>
              <w:pStyle w:val="yTableNAm"/>
              <w:rPr>
                <w:szCs w:val="22"/>
              </w:rPr>
            </w:pPr>
            <w:r>
              <w:rPr>
                <w:szCs w:val="22"/>
              </w:rPr>
              <w:t xml:space="preserve">Spotted </w:t>
            </w:r>
            <w:r>
              <w:t>Sleeper</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pisonis</w:t>
            </w:r>
          </w:p>
        </w:tc>
        <w:tc>
          <w:tcPr>
            <w:tcW w:w="2410" w:type="dxa"/>
            <w:vAlign w:val="bottom"/>
          </w:tcPr>
          <w:p>
            <w:pPr>
              <w:pStyle w:val="yTableNAm"/>
              <w:rPr>
                <w:szCs w:val="22"/>
              </w:rPr>
            </w:pPr>
            <w:r>
              <w:rPr>
                <w:szCs w:val="22"/>
              </w:rPr>
              <w:t xml:space="preserve">Spinycheek </w:t>
            </w:r>
            <w:r>
              <w:t>Sleeper</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pseudacanthopomus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Eleotris sandwicensis</w:t>
            </w:r>
          </w:p>
        </w:tc>
        <w:tc>
          <w:tcPr>
            <w:tcW w:w="2410" w:type="dxa"/>
          </w:tcPr>
          <w:p>
            <w:pPr>
              <w:pStyle w:val="yTableNAm"/>
            </w:pPr>
            <w:r>
              <w:t>Sandwich Island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senegalensis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soaresi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tecta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tubularis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vittata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vomerodentata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Ensis directus</w:t>
            </w:r>
          </w:p>
        </w:tc>
        <w:tc>
          <w:tcPr>
            <w:tcW w:w="2410" w:type="dxa"/>
          </w:tcPr>
          <w:p>
            <w:pPr>
              <w:pStyle w:val="yTableNAm"/>
            </w:pPr>
            <w:r>
              <w:t>Jack</w:t>
            </w:r>
            <w:r>
              <w:noBreakHyphen/>
              <w:t>knife Clam</w:t>
            </w:r>
          </w:p>
        </w:tc>
        <w:tc>
          <w:tcPr>
            <w:tcW w:w="2268" w:type="dxa"/>
          </w:tcPr>
          <w:p>
            <w:pPr>
              <w:pStyle w:val="yTableNAm"/>
            </w:pPr>
            <w:r>
              <w:t>Any area of the State</w:t>
            </w:r>
          </w:p>
        </w:tc>
      </w:tr>
      <w:tr>
        <w:trPr>
          <w:cantSplit/>
        </w:trPr>
        <w:tc>
          <w:tcPr>
            <w:tcW w:w="2410" w:type="dxa"/>
          </w:tcPr>
          <w:p>
            <w:pPr>
              <w:pStyle w:val="yTableNAm"/>
              <w:rPr>
                <w:i/>
              </w:rPr>
            </w:pPr>
            <w:r>
              <w:rPr>
                <w:i/>
              </w:rPr>
              <w:t>Eriocheir sinensis</w:t>
            </w:r>
          </w:p>
        </w:tc>
        <w:tc>
          <w:tcPr>
            <w:tcW w:w="2410" w:type="dxa"/>
          </w:tcPr>
          <w:p>
            <w:pPr>
              <w:pStyle w:val="yTableNAm"/>
            </w:pPr>
            <w:r>
              <w:t>Chinese Mitten Crab</w:t>
            </w:r>
          </w:p>
        </w:tc>
        <w:tc>
          <w:tcPr>
            <w:tcW w:w="2268" w:type="dxa"/>
          </w:tcPr>
          <w:p>
            <w:pPr>
              <w:pStyle w:val="yTableNAm"/>
            </w:pPr>
            <w:r>
              <w:t>Any area of the State</w:t>
            </w:r>
          </w:p>
        </w:tc>
      </w:tr>
      <w:tr>
        <w:trPr>
          <w:cantSplit/>
        </w:trPr>
        <w:tc>
          <w:tcPr>
            <w:tcW w:w="2410" w:type="dxa"/>
          </w:tcPr>
          <w:p>
            <w:pPr>
              <w:pStyle w:val="yTableNAm"/>
              <w:rPr>
                <w:i/>
              </w:rPr>
            </w:pPr>
            <w:r>
              <w:rPr>
                <w:i/>
              </w:rPr>
              <w:t xml:space="preserve">Eriocheir </w:t>
            </w:r>
            <w:r>
              <w:t>spp.</w:t>
            </w:r>
          </w:p>
        </w:tc>
        <w:tc>
          <w:tcPr>
            <w:tcW w:w="2410" w:type="dxa"/>
          </w:tcPr>
          <w:p>
            <w:pPr>
              <w:pStyle w:val="yTableNAm"/>
            </w:pPr>
            <w:r>
              <w:t>Mitten Crabs</w:t>
            </w:r>
          </w:p>
        </w:tc>
        <w:tc>
          <w:tcPr>
            <w:tcW w:w="2268" w:type="dxa"/>
          </w:tcPr>
          <w:p>
            <w:pPr>
              <w:pStyle w:val="yTableNAm"/>
            </w:pPr>
            <w:r>
              <w:t>Any area of the State</w:t>
            </w:r>
          </w:p>
        </w:tc>
      </w:tr>
      <w:tr>
        <w:trPr>
          <w:cantSplit/>
        </w:trPr>
        <w:tc>
          <w:tcPr>
            <w:tcW w:w="2410" w:type="dxa"/>
          </w:tcPr>
          <w:p>
            <w:pPr>
              <w:pStyle w:val="yTableNAm"/>
              <w:rPr>
                <w:i/>
              </w:rPr>
            </w:pPr>
            <w:r>
              <w:rPr>
                <w:i/>
              </w:rPr>
              <w:t>Erpetoichthys calabaricus</w:t>
            </w:r>
          </w:p>
        </w:tc>
        <w:tc>
          <w:tcPr>
            <w:tcW w:w="2410" w:type="dxa"/>
          </w:tcPr>
          <w:p>
            <w:pPr>
              <w:pStyle w:val="yTableNAm"/>
            </w:pPr>
            <w:r>
              <w:t>Reedfish</w:t>
            </w:r>
          </w:p>
        </w:tc>
        <w:tc>
          <w:tcPr>
            <w:tcW w:w="2268" w:type="dxa"/>
          </w:tcPr>
          <w:p>
            <w:pPr>
              <w:pStyle w:val="yTableNAm"/>
            </w:pPr>
            <w:r>
              <w:t>Any area of the State</w:t>
            </w:r>
          </w:p>
        </w:tc>
      </w:tr>
      <w:tr>
        <w:trPr>
          <w:cantSplit/>
        </w:trPr>
        <w:tc>
          <w:tcPr>
            <w:tcW w:w="2410" w:type="dxa"/>
          </w:tcPr>
          <w:p>
            <w:pPr>
              <w:pStyle w:val="yTableNAm"/>
              <w:rPr>
                <w:i/>
              </w:rPr>
            </w:pPr>
            <w:r>
              <w:rPr>
                <w:i/>
              </w:rPr>
              <w:t xml:space="preserve">Erythrinus </w:t>
            </w:r>
            <w:r>
              <w:t>spp.</w:t>
            </w:r>
            <w:r>
              <w:rPr>
                <w:i/>
              </w:rPr>
              <w:t xml:space="preserve">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Esox </w:t>
            </w:r>
            <w:r>
              <w:t>spp.</w:t>
            </w:r>
            <w:r>
              <w:rPr>
                <w:i/>
              </w:rPr>
              <w:t xml:space="preserve"> </w:t>
            </w:r>
            <w:r>
              <w:rPr>
                <w:i/>
              </w:rPr>
              <w:br/>
            </w:r>
            <w:r>
              <w:t>(entire genus)</w:t>
            </w:r>
          </w:p>
        </w:tc>
        <w:tc>
          <w:tcPr>
            <w:tcW w:w="2410" w:type="dxa"/>
          </w:tcPr>
          <w:p>
            <w:pPr>
              <w:pStyle w:val="yTableNAm"/>
            </w:pPr>
            <w:r>
              <w:t>Pikes (Freshwater)</w:t>
            </w:r>
          </w:p>
        </w:tc>
        <w:tc>
          <w:tcPr>
            <w:tcW w:w="2268" w:type="dxa"/>
          </w:tcPr>
          <w:p>
            <w:pPr>
              <w:pStyle w:val="yTableNAm"/>
            </w:pPr>
            <w:r>
              <w:t>Any area of the State</w:t>
            </w:r>
          </w:p>
        </w:tc>
      </w:tr>
      <w:tr>
        <w:trPr>
          <w:cantSplit/>
        </w:trPr>
        <w:tc>
          <w:tcPr>
            <w:tcW w:w="2410" w:type="dxa"/>
          </w:tcPr>
          <w:p>
            <w:pPr>
              <w:pStyle w:val="yTableNAm"/>
              <w:rPr>
                <w:i/>
              </w:rPr>
            </w:pPr>
            <w:r>
              <w:rPr>
                <w:i/>
                <w:iCs/>
              </w:rPr>
              <w:t>Faxonius rusticus</w:t>
            </w:r>
            <w:r>
              <w:t xml:space="preserve"> (formerly </w:t>
            </w:r>
            <w:r>
              <w:rPr>
                <w:i/>
                <w:iCs/>
              </w:rPr>
              <w:t>Orconectes rusticus</w:t>
            </w:r>
            <w:r>
              <w:t>)</w:t>
            </w:r>
          </w:p>
        </w:tc>
        <w:tc>
          <w:tcPr>
            <w:tcW w:w="2410" w:type="dxa"/>
          </w:tcPr>
          <w:p>
            <w:pPr>
              <w:pStyle w:val="yTableNAm"/>
            </w:pPr>
            <w:r>
              <w:t>Rusty Crayfish</w:t>
            </w:r>
          </w:p>
        </w:tc>
        <w:tc>
          <w:tcPr>
            <w:tcW w:w="2268" w:type="dxa"/>
          </w:tcPr>
          <w:p>
            <w:pPr>
              <w:pStyle w:val="yTableNAm"/>
            </w:pPr>
            <w:r>
              <w:t>Any area of the State</w:t>
            </w:r>
          </w:p>
        </w:tc>
      </w:tr>
      <w:tr>
        <w:trPr>
          <w:cantSplit/>
        </w:trPr>
        <w:tc>
          <w:tcPr>
            <w:tcW w:w="2410" w:type="dxa"/>
          </w:tcPr>
          <w:p>
            <w:pPr>
              <w:pStyle w:val="yTableNAm"/>
              <w:rPr>
                <w:i/>
              </w:rPr>
            </w:pPr>
            <w:r>
              <w:rPr>
                <w:i/>
              </w:rPr>
              <w:t>Fucus evanescens</w:t>
            </w:r>
          </w:p>
        </w:tc>
        <w:tc>
          <w:tcPr>
            <w:tcW w:w="2410" w:type="dxa"/>
          </w:tcPr>
          <w:p>
            <w:pPr>
              <w:pStyle w:val="yTableNAm"/>
            </w:pPr>
            <w:r>
              <w:t>Brown Macroalga, Wrack</w:t>
            </w:r>
          </w:p>
        </w:tc>
        <w:tc>
          <w:tcPr>
            <w:tcW w:w="2268" w:type="dxa"/>
          </w:tcPr>
          <w:p>
            <w:pPr>
              <w:pStyle w:val="yTableNAm"/>
            </w:pPr>
            <w:r>
              <w:t>Any area of the State</w:t>
            </w:r>
          </w:p>
        </w:tc>
      </w:tr>
      <w:tr>
        <w:trPr>
          <w:cantSplit/>
        </w:trPr>
        <w:tc>
          <w:tcPr>
            <w:tcW w:w="2410" w:type="dxa"/>
          </w:tcPr>
          <w:p>
            <w:pPr>
              <w:pStyle w:val="yTableNAm"/>
              <w:rPr>
                <w:i/>
              </w:rPr>
            </w:pPr>
            <w:r>
              <w:rPr>
                <w:i/>
              </w:rPr>
              <w:t xml:space="preserve">Gambusia </w:t>
            </w:r>
            <w:r>
              <w:t xml:space="preserve">spp. </w:t>
            </w:r>
            <w:r>
              <w:br/>
              <w:t>(entire genus)</w:t>
            </w:r>
          </w:p>
        </w:tc>
        <w:tc>
          <w:tcPr>
            <w:tcW w:w="2410" w:type="dxa"/>
          </w:tcPr>
          <w:p>
            <w:pPr>
              <w:pStyle w:val="yTableNAm"/>
            </w:pPr>
            <w:r>
              <w:t>Mosquito Fish</w:t>
            </w:r>
          </w:p>
        </w:tc>
        <w:tc>
          <w:tcPr>
            <w:tcW w:w="2268" w:type="dxa"/>
          </w:tcPr>
          <w:p>
            <w:pPr>
              <w:pStyle w:val="yTableNAm"/>
            </w:pPr>
            <w:r>
              <w:t>Any area of the State</w:t>
            </w:r>
          </w:p>
        </w:tc>
      </w:tr>
      <w:tr>
        <w:trPr>
          <w:cantSplit/>
        </w:trPr>
        <w:tc>
          <w:tcPr>
            <w:tcW w:w="2410" w:type="dxa"/>
          </w:tcPr>
          <w:p>
            <w:pPr>
              <w:pStyle w:val="yTableNAm"/>
              <w:rPr>
                <w:i/>
              </w:rPr>
            </w:pPr>
            <w:r>
              <w:rPr>
                <w:i/>
              </w:rPr>
              <w:t>Gelliodes fibrosa</w:t>
            </w:r>
          </w:p>
        </w:tc>
        <w:tc>
          <w:tcPr>
            <w:tcW w:w="2410" w:type="dxa"/>
          </w:tcPr>
          <w:p>
            <w:pPr>
              <w:pStyle w:val="yTableNAm"/>
            </w:pPr>
            <w:r>
              <w:t>Gray Encrusting Sponge</w:t>
            </w:r>
          </w:p>
        </w:tc>
        <w:tc>
          <w:tcPr>
            <w:tcW w:w="2268" w:type="dxa"/>
          </w:tcPr>
          <w:p>
            <w:pPr>
              <w:pStyle w:val="yTableNAm"/>
            </w:pPr>
            <w:r>
              <w:t>Any area of the State</w:t>
            </w:r>
          </w:p>
        </w:tc>
      </w:tr>
      <w:tr>
        <w:trPr>
          <w:cantSplit/>
        </w:trPr>
        <w:tc>
          <w:tcPr>
            <w:tcW w:w="2410" w:type="dxa"/>
          </w:tcPr>
          <w:p>
            <w:pPr>
              <w:pStyle w:val="yTableNAm"/>
              <w:rPr>
                <w:i/>
              </w:rPr>
            </w:pPr>
            <w:r>
              <w:rPr>
                <w:i/>
              </w:rPr>
              <w:t>Geukensia demissa</w:t>
            </w:r>
          </w:p>
        </w:tc>
        <w:tc>
          <w:tcPr>
            <w:tcW w:w="2410" w:type="dxa"/>
          </w:tcPr>
          <w:p>
            <w:pPr>
              <w:pStyle w:val="yTableNAm"/>
            </w:pPr>
            <w:r>
              <w:t>Ribbed Mussel</w:t>
            </w:r>
          </w:p>
        </w:tc>
        <w:tc>
          <w:tcPr>
            <w:tcW w:w="2268" w:type="dxa"/>
          </w:tcPr>
          <w:p>
            <w:pPr>
              <w:pStyle w:val="yTableNAm"/>
            </w:pPr>
            <w:r>
              <w:t>Any area of the State</w:t>
            </w:r>
          </w:p>
        </w:tc>
      </w:tr>
      <w:tr>
        <w:trPr>
          <w:cantSplit/>
        </w:trPr>
        <w:tc>
          <w:tcPr>
            <w:tcW w:w="2410" w:type="dxa"/>
          </w:tcPr>
          <w:p>
            <w:pPr>
              <w:pStyle w:val="yTableNAm"/>
              <w:rPr>
                <w:i/>
              </w:rPr>
            </w:pPr>
            <w:r>
              <w:rPr>
                <w:i/>
              </w:rPr>
              <w:t>Gobiomorphus gobioides</w:t>
            </w:r>
          </w:p>
        </w:tc>
        <w:tc>
          <w:tcPr>
            <w:tcW w:w="2410" w:type="dxa"/>
          </w:tcPr>
          <w:p>
            <w:pPr>
              <w:pStyle w:val="yTableNAm"/>
            </w:pPr>
            <w:r>
              <w:t>Giant Bully</w:t>
            </w:r>
          </w:p>
        </w:tc>
        <w:tc>
          <w:tcPr>
            <w:tcW w:w="2268" w:type="dxa"/>
          </w:tcPr>
          <w:p>
            <w:pPr>
              <w:pStyle w:val="yTableNAm"/>
            </w:pPr>
            <w:r>
              <w:t>Any area of the State</w:t>
            </w:r>
          </w:p>
        </w:tc>
      </w:tr>
      <w:tr>
        <w:trPr>
          <w:cantSplit/>
        </w:trPr>
        <w:tc>
          <w:tcPr>
            <w:tcW w:w="2410" w:type="dxa"/>
          </w:tcPr>
          <w:p>
            <w:pPr>
              <w:pStyle w:val="yTableNAm"/>
              <w:rPr>
                <w:i/>
              </w:rPr>
            </w:pPr>
            <w:r>
              <w:rPr>
                <w:i/>
              </w:rPr>
              <w:t>Gobiomorphus huttoni</w:t>
            </w:r>
          </w:p>
        </w:tc>
        <w:tc>
          <w:tcPr>
            <w:tcW w:w="2410" w:type="dxa"/>
          </w:tcPr>
          <w:p>
            <w:pPr>
              <w:pStyle w:val="yTableNAm"/>
            </w:pPr>
            <w:r>
              <w:t>Redfin Bully</w:t>
            </w:r>
          </w:p>
        </w:tc>
        <w:tc>
          <w:tcPr>
            <w:tcW w:w="2268" w:type="dxa"/>
          </w:tcPr>
          <w:p>
            <w:pPr>
              <w:pStyle w:val="yTableNAm"/>
            </w:pPr>
            <w:r>
              <w:t>Any area of the State</w:t>
            </w:r>
          </w:p>
        </w:tc>
      </w:tr>
      <w:tr>
        <w:trPr>
          <w:cantSplit/>
        </w:trPr>
        <w:tc>
          <w:tcPr>
            <w:tcW w:w="2410" w:type="dxa"/>
          </w:tcPr>
          <w:p>
            <w:pPr>
              <w:pStyle w:val="yTableNAm"/>
              <w:rPr>
                <w:i/>
              </w:rPr>
            </w:pPr>
            <w:r>
              <w:rPr>
                <w:i/>
              </w:rPr>
              <w:t>Gobiomorus dormitor</w:t>
            </w:r>
          </w:p>
        </w:tc>
        <w:tc>
          <w:tcPr>
            <w:tcW w:w="2410" w:type="dxa"/>
          </w:tcPr>
          <w:p>
            <w:pPr>
              <w:pStyle w:val="yTableNAm"/>
            </w:pPr>
            <w:r>
              <w:t>Bigmouth Sleeper</w:t>
            </w:r>
          </w:p>
        </w:tc>
        <w:tc>
          <w:tcPr>
            <w:tcW w:w="2268" w:type="dxa"/>
          </w:tcPr>
          <w:p>
            <w:pPr>
              <w:pStyle w:val="yTableNAm"/>
            </w:pPr>
            <w:r>
              <w:t>Any area of the State</w:t>
            </w:r>
          </w:p>
        </w:tc>
      </w:tr>
      <w:tr>
        <w:trPr>
          <w:cantSplit/>
        </w:trPr>
        <w:tc>
          <w:tcPr>
            <w:tcW w:w="2410" w:type="dxa"/>
          </w:tcPr>
          <w:p>
            <w:pPr>
              <w:pStyle w:val="yTableNAm"/>
              <w:rPr>
                <w:i/>
              </w:rPr>
            </w:pPr>
            <w:r>
              <w:rPr>
                <w:i/>
              </w:rPr>
              <w:t>Gobiomorus maculatus</w:t>
            </w:r>
          </w:p>
        </w:tc>
        <w:tc>
          <w:tcPr>
            <w:tcW w:w="2410" w:type="dxa"/>
          </w:tcPr>
          <w:p>
            <w:pPr>
              <w:pStyle w:val="yTableNAm"/>
            </w:pPr>
            <w:r>
              <w:t>Pacific Sleeper</w:t>
            </w:r>
          </w:p>
        </w:tc>
        <w:tc>
          <w:tcPr>
            <w:tcW w:w="2268" w:type="dxa"/>
          </w:tcPr>
          <w:p>
            <w:pPr>
              <w:pStyle w:val="yTableNAm"/>
            </w:pPr>
            <w:r>
              <w:t>Any area of the State</w:t>
            </w:r>
          </w:p>
        </w:tc>
      </w:tr>
      <w:tr>
        <w:trPr>
          <w:cantSplit/>
        </w:trPr>
        <w:tc>
          <w:tcPr>
            <w:tcW w:w="2410" w:type="dxa"/>
          </w:tcPr>
          <w:p>
            <w:pPr>
              <w:pStyle w:val="yTableNAm"/>
              <w:rPr>
                <w:i/>
              </w:rPr>
            </w:pPr>
            <w:r>
              <w:rPr>
                <w:i/>
              </w:rPr>
              <w:t>Grateloupia turuturu</w:t>
            </w:r>
          </w:p>
        </w:tc>
        <w:tc>
          <w:tcPr>
            <w:tcW w:w="2410" w:type="dxa"/>
          </w:tcPr>
          <w:p>
            <w:pPr>
              <w:pStyle w:val="yTableNAm"/>
            </w:pPr>
            <w:r>
              <w:t>Devil’s Tongue Weed, Asian Red Seaweed</w:t>
            </w:r>
          </w:p>
        </w:tc>
        <w:tc>
          <w:tcPr>
            <w:tcW w:w="2268" w:type="dxa"/>
          </w:tcPr>
          <w:p>
            <w:pPr>
              <w:pStyle w:val="yTableNAm"/>
            </w:pPr>
            <w:r>
              <w:t>Any area of the State</w:t>
            </w:r>
          </w:p>
        </w:tc>
      </w:tr>
      <w:tr>
        <w:trPr>
          <w:cantSplit/>
        </w:trPr>
        <w:tc>
          <w:tcPr>
            <w:tcW w:w="2410" w:type="dxa"/>
          </w:tcPr>
          <w:p>
            <w:pPr>
              <w:pStyle w:val="yTableNAm"/>
              <w:rPr>
                <w:i/>
              </w:rPr>
            </w:pPr>
            <w:r>
              <w:rPr>
                <w:i/>
              </w:rPr>
              <w:t>Gymnarchus niloticus</w:t>
            </w:r>
          </w:p>
        </w:tc>
        <w:tc>
          <w:tcPr>
            <w:tcW w:w="2410" w:type="dxa"/>
          </w:tcPr>
          <w:p>
            <w:pPr>
              <w:pStyle w:val="yTableNAm"/>
            </w:pPr>
            <w:r>
              <w:t>Aba Aba</w:t>
            </w:r>
          </w:p>
        </w:tc>
        <w:tc>
          <w:tcPr>
            <w:tcW w:w="2268" w:type="dxa"/>
          </w:tcPr>
          <w:p>
            <w:pPr>
              <w:pStyle w:val="yTableNAm"/>
            </w:pPr>
            <w:r>
              <w:t>Any area of the State</w:t>
            </w:r>
          </w:p>
        </w:tc>
      </w:tr>
      <w:tr>
        <w:trPr>
          <w:cantSplit/>
        </w:trPr>
        <w:tc>
          <w:tcPr>
            <w:tcW w:w="2410" w:type="dxa"/>
          </w:tcPr>
          <w:p>
            <w:pPr>
              <w:pStyle w:val="yTableNAm"/>
              <w:rPr>
                <w:i/>
              </w:rPr>
            </w:pPr>
            <w:r>
              <w:rPr>
                <w:i/>
              </w:rPr>
              <w:t>Helicophagus leptorhynchus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waandersii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Hemichromis fasciatus</w:t>
            </w:r>
          </w:p>
        </w:tc>
        <w:tc>
          <w:tcPr>
            <w:tcW w:w="2410" w:type="dxa"/>
          </w:tcPr>
          <w:p>
            <w:pPr>
              <w:pStyle w:val="yTableNAm"/>
            </w:pPr>
            <w:r>
              <w:t>Banded Jewelfish</w:t>
            </w:r>
          </w:p>
        </w:tc>
        <w:tc>
          <w:tcPr>
            <w:tcW w:w="2268" w:type="dxa"/>
          </w:tcPr>
          <w:p>
            <w:pPr>
              <w:pStyle w:val="yTableNAm"/>
            </w:pPr>
            <w:r>
              <w:t>Any area of the State</w:t>
            </w:r>
          </w:p>
        </w:tc>
      </w:tr>
      <w:tr>
        <w:trPr>
          <w:cantSplit/>
        </w:trPr>
        <w:tc>
          <w:tcPr>
            <w:tcW w:w="2410" w:type="dxa"/>
          </w:tcPr>
          <w:p>
            <w:pPr>
              <w:pStyle w:val="yTableNAm"/>
              <w:rPr>
                <w:i/>
              </w:rPr>
            </w:pPr>
            <w:r>
              <w:rPr>
                <w:i/>
              </w:rPr>
              <w:t xml:space="preserve">Hemigrapsus penicillatus </w:t>
            </w:r>
            <w:r>
              <w:t>(syn.</w:t>
            </w:r>
            <w:r>
              <w:rPr>
                <w:i/>
              </w:rPr>
              <w:t xml:space="preserve"> Grapsus (Eriocheir) penicillatus</w:t>
            </w:r>
            <w:r>
              <w:t>)</w:t>
            </w:r>
          </w:p>
        </w:tc>
        <w:tc>
          <w:tcPr>
            <w:tcW w:w="2410" w:type="dxa"/>
          </w:tcPr>
          <w:p>
            <w:pPr>
              <w:pStyle w:val="yTableNAm"/>
            </w:pPr>
            <w:r>
              <w:t>Hairy</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sanguineus</w:t>
            </w:r>
          </w:p>
        </w:tc>
        <w:tc>
          <w:tcPr>
            <w:tcW w:w="2410" w:type="dxa"/>
          </w:tcPr>
          <w:p>
            <w:pPr>
              <w:pStyle w:val="yTableNAm"/>
            </w:pPr>
            <w:r>
              <w:t>Asian Shore Crab, Japanese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takanoi</w:t>
            </w:r>
          </w:p>
        </w:tc>
        <w:tc>
          <w:tcPr>
            <w:tcW w:w="2410" w:type="dxa"/>
          </w:tcPr>
          <w:p>
            <w:pPr>
              <w:pStyle w:val="yTableNAm"/>
            </w:pPr>
            <w:r>
              <w:t>Brush</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Hepsetus odoe</w:t>
            </w:r>
          </w:p>
        </w:tc>
        <w:tc>
          <w:tcPr>
            <w:tcW w:w="2410" w:type="dxa"/>
          </w:tcPr>
          <w:p>
            <w:pPr>
              <w:pStyle w:val="yTableNAm"/>
            </w:pPr>
            <w:r>
              <w:t>African Pike</w:t>
            </w:r>
          </w:p>
        </w:tc>
        <w:tc>
          <w:tcPr>
            <w:tcW w:w="2268" w:type="dxa"/>
          </w:tcPr>
          <w:p>
            <w:pPr>
              <w:pStyle w:val="yTableNAm"/>
            </w:pPr>
            <w:r>
              <w:t>Any area of the State</w:t>
            </w:r>
          </w:p>
        </w:tc>
      </w:tr>
      <w:tr>
        <w:trPr>
          <w:cantSplit/>
        </w:trPr>
        <w:tc>
          <w:tcPr>
            <w:tcW w:w="2410" w:type="dxa"/>
          </w:tcPr>
          <w:p>
            <w:pPr>
              <w:pStyle w:val="yTableNAm"/>
              <w:rPr>
                <w:i/>
              </w:rPr>
            </w:pPr>
            <w:r>
              <w:rPr>
                <w:i/>
              </w:rPr>
              <w:t>Heterandria bimaculata</w:t>
            </w:r>
          </w:p>
        </w:tc>
        <w:tc>
          <w:tcPr>
            <w:tcW w:w="2410" w:type="dxa"/>
          </w:tcPr>
          <w:p>
            <w:pPr>
              <w:pStyle w:val="yTableNAm"/>
            </w:pPr>
            <w:r>
              <w:t>Twospot Livebearer</w:t>
            </w:r>
          </w:p>
        </w:tc>
        <w:tc>
          <w:tcPr>
            <w:tcW w:w="2268" w:type="dxa"/>
          </w:tcPr>
          <w:p>
            <w:pPr>
              <w:pStyle w:val="yTableNAm"/>
            </w:pPr>
            <w:r>
              <w:t>Any area of the State</w:t>
            </w:r>
          </w:p>
        </w:tc>
      </w:tr>
      <w:tr>
        <w:trPr>
          <w:cantSplit/>
        </w:trPr>
        <w:tc>
          <w:tcPr>
            <w:tcW w:w="2410" w:type="dxa"/>
          </w:tcPr>
          <w:p>
            <w:pPr>
              <w:pStyle w:val="yTableNAm"/>
              <w:rPr>
                <w:i/>
              </w:rPr>
            </w:pPr>
            <w:r>
              <w:rPr>
                <w:i/>
              </w:rPr>
              <w:t>Heteropneustes fossilis</w:t>
            </w:r>
          </w:p>
        </w:tc>
        <w:tc>
          <w:tcPr>
            <w:tcW w:w="2410" w:type="dxa"/>
          </w:tcPr>
          <w:p>
            <w:pPr>
              <w:pStyle w:val="yTableNAm"/>
            </w:pPr>
            <w:r>
              <w:t>Stinging Catfish</w:t>
            </w:r>
          </w:p>
        </w:tc>
        <w:tc>
          <w:tcPr>
            <w:tcW w:w="2268" w:type="dxa"/>
          </w:tcPr>
          <w:p>
            <w:pPr>
              <w:pStyle w:val="yTableNAm"/>
            </w:pPr>
            <w:r>
              <w:t>Any area of the State</w:t>
            </w:r>
          </w:p>
        </w:tc>
      </w:tr>
      <w:tr>
        <w:trPr>
          <w:cantSplit/>
        </w:trPr>
        <w:tc>
          <w:tcPr>
            <w:tcW w:w="2410" w:type="dxa"/>
          </w:tcPr>
          <w:p>
            <w:pPr>
              <w:pStyle w:val="yTableNAm"/>
              <w:rPr>
                <w:i/>
              </w:rPr>
            </w:pPr>
            <w:r>
              <w:rPr>
                <w:i/>
              </w:rPr>
              <w:t>Himantura kittipongi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Himantura krempfi</w:t>
            </w:r>
          </w:p>
        </w:tc>
        <w:tc>
          <w:tcPr>
            <w:tcW w:w="2410" w:type="dxa"/>
          </w:tcPr>
          <w:p>
            <w:pPr>
              <w:pStyle w:val="yTableNAm"/>
            </w:pPr>
            <w:r>
              <w:t>Marbled Freshwater Whipray</w:t>
            </w:r>
          </w:p>
        </w:tc>
        <w:tc>
          <w:tcPr>
            <w:tcW w:w="2268" w:type="dxa"/>
          </w:tcPr>
          <w:p>
            <w:pPr>
              <w:pStyle w:val="yTableNAm"/>
            </w:pPr>
            <w:r>
              <w:t>Any area of the State</w:t>
            </w:r>
          </w:p>
        </w:tc>
      </w:tr>
      <w:tr>
        <w:trPr>
          <w:cantSplit/>
        </w:trPr>
        <w:tc>
          <w:tcPr>
            <w:tcW w:w="2410" w:type="dxa"/>
          </w:tcPr>
          <w:p>
            <w:pPr>
              <w:pStyle w:val="yTableNAm"/>
              <w:rPr>
                <w:i/>
              </w:rPr>
            </w:pPr>
            <w:r>
              <w:rPr>
                <w:i/>
              </w:rPr>
              <w:t>Himantura oxyrhyncha</w:t>
            </w:r>
          </w:p>
        </w:tc>
        <w:tc>
          <w:tcPr>
            <w:tcW w:w="2410" w:type="dxa"/>
          </w:tcPr>
          <w:p>
            <w:pPr>
              <w:pStyle w:val="yTableNAm"/>
            </w:pPr>
            <w:r>
              <w:t>Marbled Whipray</w:t>
            </w:r>
          </w:p>
        </w:tc>
        <w:tc>
          <w:tcPr>
            <w:tcW w:w="2268" w:type="dxa"/>
          </w:tcPr>
          <w:p>
            <w:pPr>
              <w:pStyle w:val="yTableNAm"/>
            </w:pPr>
            <w:r>
              <w:t>Any area of the State</w:t>
            </w:r>
          </w:p>
        </w:tc>
      </w:tr>
      <w:tr>
        <w:trPr>
          <w:cantSplit/>
        </w:trPr>
        <w:tc>
          <w:tcPr>
            <w:tcW w:w="2410" w:type="dxa"/>
          </w:tcPr>
          <w:p>
            <w:pPr>
              <w:pStyle w:val="yTableNAm"/>
              <w:rPr>
                <w:i/>
              </w:rPr>
            </w:pPr>
            <w:r>
              <w:rPr>
                <w:i/>
              </w:rPr>
              <w:t xml:space="preserve">Hoplerythrinus </w:t>
            </w:r>
            <w:r>
              <w:t>spp. (entire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Hoplias </w:t>
            </w:r>
            <w:r>
              <w:t xml:space="preserve">spp.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Hydrocynus </w:t>
            </w:r>
            <w:r>
              <w:t>spp. (entire genus)</w:t>
            </w:r>
          </w:p>
        </w:tc>
        <w:tc>
          <w:tcPr>
            <w:tcW w:w="2410" w:type="dxa"/>
          </w:tcPr>
          <w:p>
            <w:pPr>
              <w:pStyle w:val="yTableNAm"/>
            </w:pPr>
            <w:r>
              <w:t>Tigerfish</w:t>
            </w:r>
          </w:p>
        </w:tc>
        <w:tc>
          <w:tcPr>
            <w:tcW w:w="2268" w:type="dxa"/>
          </w:tcPr>
          <w:p>
            <w:pPr>
              <w:pStyle w:val="yTableNAm"/>
            </w:pPr>
            <w:r>
              <w:t>Any area of the State</w:t>
            </w:r>
          </w:p>
        </w:tc>
      </w:tr>
      <w:tr>
        <w:trPr>
          <w:cantSplit/>
        </w:trPr>
        <w:tc>
          <w:tcPr>
            <w:tcW w:w="2410" w:type="dxa"/>
          </w:tcPr>
          <w:p>
            <w:pPr>
              <w:pStyle w:val="yTableNAm"/>
              <w:rPr>
                <w:i/>
              </w:rPr>
            </w:pPr>
            <w:r>
              <w:rPr>
                <w:i/>
              </w:rPr>
              <w:t>Hydroides dianthus</w:t>
            </w:r>
          </w:p>
        </w:tc>
        <w:tc>
          <w:tcPr>
            <w:tcW w:w="2410" w:type="dxa"/>
          </w:tcPr>
          <w:p>
            <w:pPr>
              <w:pStyle w:val="yTableNAm"/>
            </w:pPr>
            <w:r>
              <w:t>Serpulid Tube Worm, Limy Tube Worm</w:t>
            </w:r>
          </w:p>
        </w:tc>
        <w:tc>
          <w:tcPr>
            <w:tcW w:w="2268" w:type="dxa"/>
          </w:tcPr>
          <w:p>
            <w:pPr>
              <w:pStyle w:val="yTableNAm"/>
            </w:pPr>
            <w:r>
              <w:t>Any area of the State</w:t>
            </w:r>
          </w:p>
        </w:tc>
      </w:tr>
      <w:tr>
        <w:trPr>
          <w:cantSplit/>
        </w:trPr>
        <w:tc>
          <w:tcPr>
            <w:tcW w:w="2410" w:type="dxa"/>
          </w:tcPr>
          <w:p>
            <w:pPr>
              <w:pStyle w:val="yTableNAm"/>
              <w:rPr>
                <w:i/>
              </w:rPr>
            </w:pPr>
            <w:r>
              <w:rPr>
                <w:i/>
              </w:rPr>
              <w:t>Hypophthalmichthys molitrix</w:t>
            </w:r>
          </w:p>
        </w:tc>
        <w:tc>
          <w:tcPr>
            <w:tcW w:w="2410" w:type="dxa"/>
          </w:tcPr>
          <w:p>
            <w:pPr>
              <w:pStyle w:val="yTableNAm"/>
            </w:pPr>
            <w:r>
              <w:t>Silver Carp</w:t>
            </w:r>
          </w:p>
        </w:tc>
        <w:tc>
          <w:tcPr>
            <w:tcW w:w="2268" w:type="dxa"/>
          </w:tcPr>
          <w:p>
            <w:pPr>
              <w:pStyle w:val="yTableNAm"/>
            </w:pPr>
            <w:r>
              <w:t>Any area of the State</w:t>
            </w:r>
          </w:p>
        </w:tc>
      </w:tr>
      <w:tr>
        <w:trPr>
          <w:cantSplit/>
        </w:trPr>
        <w:tc>
          <w:tcPr>
            <w:tcW w:w="2410" w:type="dxa"/>
          </w:tcPr>
          <w:p>
            <w:pPr>
              <w:pStyle w:val="yTableNAm"/>
              <w:rPr>
                <w:i/>
              </w:rPr>
            </w:pPr>
            <w:r>
              <w:rPr>
                <w:i/>
              </w:rPr>
              <w:t>Hypseleotris cyprinoides</w:t>
            </w:r>
          </w:p>
        </w:tc>
        <w:tc>
          <w:tcPr>
            <w:tcW w:w="2410" w:type="dxa"/>
          </w:tcPr>
          <w:p>
            <w:pPr>
              <w:pStyle w:val="yTableNAm"/>
            </w:pPr>
            <w:r>
              <w:t>Tropical Carp</w:t>
            </w:r>
            <w:r>
              <w:noBreakHyphen/>
              <w:t>gudgeon</w:t>
            </w:r>
          </w:p>
        </w:tc>
        <w:tc>
          <w:tcPr>
            <w:tcW w:w="2268" w:type="dxa"/>
          </w:tcPr>
          <w:p>
            <w:pPr>
              <w:pStyle w:val="yTableNAm"/>
            </w:pPr>
            <w:r>
              <w:t>Any area of the State</w:t>
            </w:r>
          </w:p>
        </w:tc>
      </w:tr>
      <w:tr>
        <w:trPr>
          <w:cantSplit/>
        </w:trPr>
        <w:tc>
          <w:tcPr>
            <w:tcW w:w="2410" w:type="dxa"/>
          </w:tcPr>
          <w:p>
            <w:pPr>
              <w:pStyle w:val="yTableNAm"/>
              <w:rPr>
                <w:i/>
              </w:rPr>
            </w:pPr>
            <w:r>
              <w:rPr>
                <w:i/>
              </w:rPr>
              <w:t>Hypseleotris tohizonae</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Ichthyborinae </w:t>
            </w:r>
            <w:r>
              <w:rPr>
                <w:i/>
              </w:rPr>
              <w:br/>
            </w:r>
            <w:r>
              <w:t>(entire subfamily)</w:t>
            </w:r>
          </w:p>
        </w:tc>
        <w:tc>
          <w:tcPr>
            <w:tcW w:w="2410" w:type="dxa"/>
          </w:tcPr>
          <w:p>
            <w:pPr>
              <w:pStyle w:val="yTableNAm"/>
            </w:pPr>
            <w:r>
              <w:t>African Pike</w:t>
            </w:r>
            <w:r>
              <w:noBreakHyphen/>
              <w:t>characin, Tubenose Poacher, Fin Eater</w:t>
            </w:r>
          </w:p>
        </w:tc>
        <w:tc>
          <w:tcPr>
            <w:tcW w:w="2268" w:type="dxa"/>
          </w:tcPr>
          <w:p>
            <w:pPr>
              <w:pStyle w:val="yTableNAm"/>
            </w:pPr>
            <w:r>
              <w:t>Any area of the State</w:t>
            </w:r>
          </w:p>
        </w:tc>
      </w:tr>
      <w:tr>
        <w:trPr>
          <w:cantSplit/>
        </w:trPr>
        <w:tc>
          <w:tcPr>
            <w:tcW w:w="2410" w:type="dxa"/>
          </w:tcPr>
          <w:p>
            <w:pPr>
              <w:pStyle w:val="yTableNAm"/>
              <w:rPr>
                <w:i/>
              </w:rPr>
            </w:pPr>
            <w:r>
              <w:rPr>
                <w:i/>
              </w:rPr>
              <w:t>Ictalurus balsanus</w:t>
            </w:r>
          </w:p>
        </w:tc>
        <w:tc>
          <w:tcPr>
            <w:tcW w:w="2410" w:type="dxa"/>
          </w:tcPr>
          <w:p>
            <w:pPr>
              <w:pStyle w:val="yTableNAm"/>
            </w:pPr>
            <w:r>
              <w:t>Balsas Catfish</w:t>
            </w:r>
          </w:p>
        </w:tc>
        <w:tc>
          <w:tcPr>
            <w:tcW w:w="2268" w:type="dxa"/>
          </w:tcPr>
          <w:p>
            <w:pPr>
              <w:pStyle w:val="yTableNAm"/>
            </w:pPr>
            <w:r>
              <w:t>Any area of the State</w:t>
            </w:r>
          </w:p>
        </w:tc>
      </w:tr>
      <w:tr>
        <w:trPr>
          <w:cantSplit/>
        </w:trPr>
        <w:tc>
          <w:tcPr>
            <w:tcW w:w="2410" w:type="dxa"/>
          </w:tcPr>
          <w:p>
            <w:pPr>
              <w:pStyle w:val="yTableNAm"/>
              <w:rPr>
                <w:i/>
              </w:rPr>
            </w:pPr>
            <w:r>
              <w:rPr>
                <w:i/>
              </w:rPr>
              <w:t>Ictalurus dugesii</w:t>
            </w:r>
          </w:p>
        </w:tc>
        <w:tc>
          <w:tcPr>
            <w:tcW w:w="2410" w:type="dxa"/>
          </w:tcPr>
          <w:p>
            <w:pPr>
              <w:pStyle w:val="yTableNAm"/>
            </w:pPr>
            <w:r>
              <w:t>Lerma Catfish</w:t>
            </w:r>
          </w:p>
        </w:tc>
        <w:tc>
          <w:tcPr>
            <w:tcW w:w="2268" w:type="dxa"/>
          </w:tcPr>
          <w:p>
            <w:pPr>
              <w:pStyle w:val="yTableNAm"/>
            </w:pPr>
            <w:r>
              <w:t>Any area of the State</w:t>
            </w:r>
          </w:p>
        </w:tc>
      </w:tr>
      <w:tr>
        <w:trPr>
          <w:cantSplit/>
        </w:trPr>
        <w:tc>
          <w:tcPr>
            <w:tcW w:w="2410" w:type="dxa"/>
          </w:tcPr>
          <w:p>
            <w:pPr>
              <w:pStyle w:val="yTableNAm"/>
              <w:rPr>
                <w:i/>
              </w:rPr>
            </w:pPr>
            <w:r>
              <w:rPr>
                <w:i/>
              </w:rPr>
              <w:t>Ictalurus furcatus</w:t>
            </w:r>
          </w:p>
        </w:tc>
        <w:tc>
          <w:tcPr>
            <w:tcW w:w="2410" w:type="dxa"/>
          </w:tcPr>
          <w:p>
            <w:pPr>
              <w:pStyle w:val="yTableNAm"/>
            </w:pPr>
            <w:r>
              <w:t>Blue Catfish</w:t>
            </w:r>
          </w:p>
        </w:tc>
        <w:tc>
          <w:tcPr>
            <w:tcW w:w="2268" w:type="dxa"/>
          </w:tcPr>
          <w:p>
            <w:pPr>
              <w:pStyle w:val="yTableNAm"/>
            </w:pPr>
            <w:r>
              <w:t>Any area of the State</w:t>
            </w:r>
          </w:p>
        </w:tc>
      </w:tr>
      <w:tr>
        <w:trPr>
          <w:cantSplit/>
        </w:trPr>
        <w:tc>
          <w:tcPr>
            <w:tcW w:w="2410" w:type="dxa"/>
          </w:tcPr>
          <w:p>
            <w:pPr>
              <w:pStyle w:val="yTableNAm"/>
              <w:rPr>
                <w:i/>
              </w:rPr>
            </w:pPr>
            <w:r>
              <w:rPr>
                <w:i/>
              </w:rPr>
              <w:t>Ictalurus lupus</w:t>
            </w:r>
          </w:p>
        </w:tc>
        <w:tc>
          <w:tcPr>
            <w:tcW w:w="2410" w:type="dxa"/>
          </w:tcPr>
          <w:p>
            <w:pPr>
              <w:pStyle w:val="yTableNAm"/>
            </w:pPr>
            <w:r>
              <w:t>Headwater Catfish</w:t>
            </w:r>
          </w:p>
        </w:tc>
        <w:tc>
          <w:tcPr>
            <w:tcW w:w="2268" w:type="dxa"/>
          </w:tcPr>
          <w:p>
            <w:pPr>
              <w:pStyle w:val="yTableNAm"/>
            </w:pPr>
            <w:r>
              <w:t>Any area of the State</w:t>
            </w:r>
          </w:p>
        </w:tc>
      </w:tr>
      <w:tr>
        <w:trPr>
          <w:cantSplit/>
        </w:trPr>
        <w:tc>
          <w:tcPr>
            <w:tcW w:w="2410" w:type="dxa"/>
          </w:tcPr>
          <w:p>
            <w:pPr>
              <w:pStyle w:val="yTableNAm"/>
              <w:rPr>
                <w:i/>
              </w:rPr>
            </w:pPr>
            <w:r>
              <w:rPr>
                <w:i/>
              </w:rPr>
              <w:t>Ictalurus mexicanus</w:t>
            </w:r>
          </w:p>
        </w:tc>
        <w:tc>
          <w:tcPr>
            <w:tcW w:w="2410" w:type="dxa"/>
          </w:tcPr>
          <w:p>
            <w:pPr>
              <w:pStyle w:val="yTableNAm"/>
            </w:pPr>
            <w:r>
              <w:t>Rio Verde Catfish</w:t>
            </w:r>
          </w:p>
        </w:tc>
        <w:tc>
          <w:tcPr>
            <w:tcW w:w="2268" w:type="dxa"/>
          </w:tcPr>
          <w:p>
            <w:pPr>
              <w:pStyle w:val="yTableNAm"/>
            </w:pPr>
            <w:r>
              <w:t>Any area of the State</w:t>
            </w:r>
          </w:p>
        </w:tc>
      </w:tr>
      <w:tr>
        <w:trPr>
          <w:cantSplit/>
        </w:trPr>
        <w:tc>
          <w:tcPr>
            <w:tcW w:w="2410" w:type="dxa"/>
          </w:tcPr>
          <w:p>
            <w:pPr>
              <w:pStyle w:val="yTableNAm"/>
              <w:rPr>
                <w:i/>
              </w:rPr>
            </w:pPr>
            <w:r>
              <w:rPr>
                <w:i/>
              </w:rPr>
              <w:t>Ictalurus ochoterenai</w:t>
            </w:r>
          </w:p>
        </w:tc>
        <w:tc>
          <w:tcPr>
            <w:tcW w:w="2410" w:type="dxa"/>
          </w:tcPr>
          <w:p>
            <w:pPr>
              <w:pStyle w:val="yTableNAm"/>
            </w:pPr>
            <w:r>
              <w:t>Chapala Catfish</w:t>
            </w:r>
          </w:p>
        </w:tc>
        <w:tc>
          <w:tcPr>
            <w:tcW w:w="2268" w:type="dxa"/>
          </w:tcPr>
          <w:p>
            <w:pPr>
              <w:pStyle w:val="yTableNAm"/>
            </w:pPr>
            <w:r>
              <w:t>Any area of the State</w:t>
            </w:r>
          </w:p>
        </w:tc>
      </w:tr>
      <w:tr>
        <w:trPr>
          <w:cantSplit/>
        </w:trPr>
        <w:tc>
          <w:tcPr>
            <w:tcW w:w="2410" w:type="dxa"/>
          </w:tcPr>
          <w:p>
            <w:pPr>
              <w:pStyle w:val="yTableNAm"/>
              <w:rPr>
                <w:i/>
              </w:rPr>
            </w:pPr>
            <w:r>
              <w:rPr>
                <w:i/>
              </w:rPr>
              <w:t>Ictalurus pricei</w:t>
            </w:r>
          </w:p>
        </w:tc>
        <w:tc>
          <w:tcPr>
            <w:tcW w:w="2410" w:type="dxa"/>
          </w:tcPr>
          <w:p>
            <w:pPr>
              <w:pStyle w:val="yTableNAm"/>
            </w:pPr>
            <w:r>
              <w:t>Yaqui Catfish</w:t>
            </w:r>
          </w:p>
        </w:tc>
        <w:tc>
          <w:tcPr>
            <w:tcW w:w="2268" w:type="dxa"/>
          </w:tcPr>
          <w:p>
            <w:pPr>
              <w:pStyle w:val="yTableNAm"/>
            </w:pPr>
            <w:r>
              <w:t>Any area of the State</w:t>
            </w:r>
          </w:p>
        </w:tc>
      </w:tr>
      <w:tr>
        <w:trPr>
          <w:cantSplit/>
        </w:trPr>
        <w:tc>
          <w:tcPr>
            <w:tcW w:w="2410" w:type="dxa"/>
          </w:tcPr>
          <w:p>
            <w:pPr>
              <w:pStyle w:val="yTableNAm"/>
              <w:rPr>
                <w:i/>
              </w:rPr>
            </w:pPr>
            <w:r>
              <w:rPr>
                <w:i/>
              </w:rPr>
              <w:t>Ictalurus punctatus</w:t>
            </w:r>
          </w:p>
        </w:tc>
        <w:tc>
          <w:tcPr>
            <w:tcW w:w="2410" w:type="dxa"/>
          </w:tcPr>
          <w:p>
            <w:pPr>
              <w:pStyle w:val="yTableNAm"/>
            </w:pPr>
            <w:r>
              <w:t>Channel Catfish</w:t>
            </w:r>
          </w:p>
        </w:tc>
        <w:tc>
          <w:tcPr>
            <w:tcW w:w="2268" w:type="dxa"/>
          </w:tcPr>
          <w:p>
            <w:pPr>
              <w:pStyle w:val="yTableNAm"/>
            </w:pPr>
            <w:r>
              <w:t>Any area of the State</w:t>
            </w:r>
          </w:p>
        </w:tc>
      </w:tr>
      <w:tr>
        <w:trPr>
          <w:cantSplit/>
        </w:trPr>
        <w:tc>
          <w:tcPr>
            <w:tcW w:w="2410" w:type="dxa"/>
          </w:tcPr>
          <w:p>
            <w:pPr>
              <w:pStyle w:val="yTableNAm"/>
              <w:rPr>
                <w:i/>
              </w:rPr>
            </w:pPr>
            <w:r>
              <w:rPr>
                <w:i/>
              </w:rPr>
              <w:t>Labeo calbasu</w:t>
            </w:r>
          </w:p>
        </w:tc>
        <w:tc>
          <w:tcPr>
            <w:tcW w:w="2410" w:type="dxa"/>
          </w:tcPr>
          <w:p>
            <w:pPr>
              <w:pStyle w:val="yTableNAm"/>
            </w:pPr>
            <w:r>
              <w:t>Orange Fin Labeo</w:t>
            </w:r>
          </w:p>
        </w:tc>
        <w:tc>
          <w:tcPr>
            <w:tcW w:w="2268" w:type="dxa"/>
          </w:tcPr>
          <w:p>
            <w:pPr>
              <w:pStyle w:val="yTableNAm"/>
            </w:pPr>
            <w:r>
              <w:t>Any area of the State</w:t>
            </w:r>
          </w:p>
        </w:tc>
      </w:tr>
      <w:tr>
        <w:trPr>
          <w:cantSplit/>
        </w:trPr>
        <w:tc>
          <w:tcPr>
            <w:tcW w:w="2410" w:type="dxa"/>
          </w:tcPr>
          <w:p>
            <w:pPr>
              <w:pStyle w:val="yTableNAm"/>
              <w:rPr>
                <w:i/>
              </w:rPr>
            </w:pPr>
            <w:r>
              <w:rPr>
                <w:i/>
              </w:rPr>
              <w:t>Labeo rohita</w:t>
            </w:r>
          </w:p>
        </w:tc>
        <w:tc>
          <w:tcPr>
            <w:tcW w:w="2410" w:type="dxa"/>
          </w:tcPr>
          <w:p>
            <w:pPr>
              <w:pStyle w:val="yTableNAm"/>
            </w:pPr>
            <w:r>
              <w:t>Rohu</w:t>
            </w:r>
          </w:p>
        </w:tc>
        <w:tc>
          <w:tcPr>
            <w:tcW w:w="2268" w:type="dxa"/>
          </w:tcPr>
          <w:p>
            <w:pPr>
              <w:pStyle w:val="yTableNAm"/>
            </w:pPr>
            <w:r>
              <w:t>Any area of the State</w:t>
            </w:r>
          </w:p>
        </w:tc>
      </w:tr>
      <w:tr>
        <w:trPr>
          <w:cantSplit/>
        </w:trPr>
        <w:tc>
          <w:tcPr>
            <w:tcW w:w="2410" w:type="dxa"/>
          </w:tcPr>
          <w:p>
            <w:pPr>
              <w:pStyle w:val="yTableNAm"/>
              <w:rPr>
                <w:i/>
              </w:rPr>
            </w:pPr>
            <w:r>
              <w:rPr>
                <w:i/>
              </w:rPr>
              <w:t>Lates microlepis</w:t>
            </w:r>
          </w:p>
        </w:tc>
        <w:tc>
          <w:tcPr>
            <w:tcW w:w="2410" w:type="dxa"/>
          </w:tcPr>
          <w:p>
            <w:pPr>
              <w:pStyle w:val="yTableNAm"/>
            </w:pPr>
            <w:r>
              <w:t>Forktail Lates</w:t>
            </w:r>
          </w:p>
        </w:tc>
        <w:tc>
          <w:tcPr>
            <w:tcW w:w="2268" w:type="dxa"/>
          </w:tcPr>
          <w:p>
            <w:pPr>
              <w:pStyle w:val="yTableNAm"/>
            </w:pPr>
            <w:r>
              <w:t>Any area of the State</w:t>
            </w:r>
          </w:p>
        </w:tc>
      </w:tr>
      <w:tr>
        <w:trPr>
          <w:cantSplit/>
        </w:trPr>
        <w:tc>
          <w:tcPr>
            <w:tcW w:w="2410" w:type="dxa"/>
          </w:tcPr>
          <w:p>
            <w:pPr>
              <w:pStyle w:val="yTableNAm"/>
              <w:rPr>
                <w:i/>
              </w:rPr>
            </w:pPr>
            <w:r>
              <w:rPr>
                <w:i/>
              </w:rPr>
              <w:t>Lates niloticus</w:t>
            </w:r>
          </w:p>
        </w:tc>
        <w:tc>
          <w:tcPr>
            <w:tcW w:w="2410" w:type="dxa"/>
          </w:tcPr>
          <w:p>
            <w:pPr>
              <w:pStyle w:val="yTableNAm"/>
            </w:pPr>
            <w:r>
              <w:t>Nile Perch</w:t>
            </w:r>
          </w:p>
        </w:tc>
        <w:tc>
          <w:tcPr>
            <w:tcW w:w="2268" w:type="dxa"/>
          </w:tcPr>
          <w:p>
            <w:pPr>
              <w:pStyle w:val="yTableNAm"/>
            </w:pPr>
            <w:r>
              <w:t>Any area of the State</w:t>
            </w:r>
          </w:p>
        </w:tc>
      </w:tr>
      <w:tr>
        <w:trPr>
          <w:cantSplit/>
        </w:trPr>
        <w:tc>
          <w:tcPr>
            <w:tcW w:w="2410" w:type="dxa"/>
          </w:tcPr>
          <w:p>
            <w:pPr>
              <w:pStyle w:val="yTableNAm"/>
              <w:rPr>
                <w:i/>
              </w:rPr>
            </w:pPr>
            <w:r>
              <w:rPr>
                <w:i/>
              </w:rPr>
              <w:t>Lebiasina bimaculata</w:t>
            </w:r>
          </w:p>
        </w:tc>
        <w:tc>
          <w:tcPr>
            <w:tcW w:w="2410" w:type="dxa"/>
          </w:tcPr>
          <w:p>
            <w:pPr>
              <w:pStyle w:val="yTableNAm"/>
            </w:pPr>
            <w:r>
              <w:t>Twospot Lebiasina</w:t>
            </w:r>
          </w:p>
        </w:tc>
        <w:tc>
          <w:tcPr>
            <w:tcW w:w="2268" w:type="dxa"/>
          </w:tcPr>
          <w:p>
            <w:pPr>
              <w:pStyle w:val="yTableNAm"/>
            </w:pPr>
            <w:r>
              <w:t>Any area of the State</w:t>
            </w:r>
          </w:p>
        </w:tc>
      </w:tr>
      <w:tr>
        <w:trPr>
          <w:cantSplit/>
        </w:trPr>
        <w:tc>
          <w:tcPr>
            <w:tcW w:w="2410" w:type="dxa"/>
          </w:tcPr>
          <w:p>
            <w:pPr>
              <w:pStyle w:val="yTableNAm"/>
              <w:rPr>
                <w:i/>
              </w:rPr>
            </w:pPr>
            <w:r>
              <w:rPr>
                <w:i/>
              </w:rPr>
              <w:t>Lepidosiren paradoxa</w:t>
            </w:r>
          </w:p>
        </w:tc>
        <w:tc>
          <w:tcPr>
            <w:tcW w:w="2410" w:type="dxa"/>
          </w:tcPr>
          <w:p>
            <w:pPr>
              <w:pStyle w:val="yTableNAm"/>
            </w:pPr>
            <w:r>
              <w:t>South American Lungfish</w:t>
            </w:r>
          </w:p>
        </w:tc>
        <w:tc>
          <w:tcPr>
            <w:tcW w:w="2268" w:type="dxa"/>
          </w:tcPr>
          <w:p>
            <w:pPr>
              <w:pStyle w:val="yTableNAm"/>
            </w:pPr>
            <w:r>
              <w:t>Any area of the State</w:t>
            </w:r>
          </w:p>
        </w:tc>
      </w:tr>
      <w:tr>
        <w:trPr>
          <w:cantSplit/>
        </w:trPr>
        <w:tc>
          <w:tcPr>
            <w:tcW w:w="2410" w:type="dxa"/>
          </w:tcPr>
          <w:p>
            <w:pPr>
              <w:pStyle w:val="yTableNAm"/>
              <w:rPr>
                <w:i/>
              </w:rPr>
            </w:pPr>
            <w:r>
              <w:rPr>
                <w:i/>
              </w:rPr>
              <w:t>Leptolebias aureoguttatus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Leptolebias marmoratus</w:t>
            </w:r>
          </w:p>
        </w:tc>
        <w:tc>
          <w:tcPr>
            <w:tcW w:w="2410" w:type="dxa"/>
          </w:tcPr>
          <w:p>
            <w:pPr>
              <w:pStyle w:val="yTableNAm"/>
            </w:pPr>
            <w:r>
              <w:t>Marbled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minimus</w:t>
            </w:r>
          </w:p>
        </w:tc>
        <w:tc>
          <w:tcPr>
            <w:tcW w:w="2410" w:type="dxa"/>
          </w:tcPr>
          <w:p>
            <w:pPr>
              <w:pStyle w:val="yTableNAm"/>
            </w:pPr>
            <w:r>
              <w:t>Barred Tail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opalescens</w:t>
            </w:r>
          </w:p>
        </w:tc>
        <w:tc>
          <w:tcPr>
            <w:tcW w:w="2410" w:type="dxa"/>
          </w:tcPr>
          <w:p>
            <w:pPr>
              <w:pStyle w:val="yTableNAm"/>
            </w:pPr>
            <w:r>
              <w:t>Opal Pearlfish</w:t>
            </w:r>
          </w:p>
        </w:tc>
        <w:tc>
          <w:tcPr>
            <w:tcW w:w="2268" w:type="dxa"/>
          </w:tcPr>
          <w:p>
            <w:pPr>
              <w:pStyle w:val="yTableNAm"/>
            </w:pPr>
            <w:r>
              <w:t>Any area of the State</w:t>
            </w:r>
          </w:p>
        </w:tc>
      </w:tr>
      <w:tr>
        <w:trPr>
          <w:cantSplit/>
        </w:trPr>
        <w:tc>
          <w:tcPr>
            <w:tcW w:w="2410" w:type="dxa"/>
          </w:tcPr>
          <w:p>
            <w:pPr>
              <w:pStyle w:val="yTableNAm"/>
              <w:rPr>
                <w:i/>
              </w:rPr>
            </w:pPr>
            <w:r>
              <w:rPr>
                <w:i/>
              </w:rPr>
              <w:t>Limnoperna fortunei</w:t>
            </w:r>
          </w:p>
        </w:tc>
        <w:tc>
          <w:tcPr>
            <w:tcW w:w="2410" w:type="dxa"/>
          </w:tcPr>
          <w:p>
            <w:pPr>
              <w:pStyle w:val="yTableNAm"/>
            </w:pPr>
            <w:r>
              <w:t>Golden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Malapterurus </w:t>
            </w:r>
            <w:r>
              <w:t>spp. (entire genus)</w:t>
            </w:r>
          </w:p>
        </w:tc>
        <w:tc>
          <w:tcPr>
            <w:tcW w:w="2410" w:type="dxa"/>
          </w:tcPr>
          <w:p>
            <w:pPr>
              <w:pStyle w:val="yTableNAm"/>
            </w:pPr>
            <w:r>
              <w:t>Electric Catfish</w:t>
            </w:r>
          </w:p>
        </w:tc>
        <w:tc>
          <w:tcPr>
            <w:tcW w:w="2268" w:type="dxa"/>
          </w:tcPr>
          <w:p>
            <w:pPr>
              <w:pStyle w:val="yTableNAm"/>
            </w:pPr>
            <w:r>
              <w:t>Any area of the State</w:t>
            </w:r>
          </w:p>
        </w:tc>
      </w:tr>
      <w:tr>
        <w:trPr>
          <w:cantSplit/>
        </w:trPr>
        <w:tc>
          <w:tcPr>
            <w:tcW w:w="2410" w:type="dxa"/>
          </w:tcPr>
          <w:p>
            <w:pPr>
              <w:pStyle w:val="yTableNAm"/>
              <w:rPr>
                <w:i/>
              </w:rPr>
            </w:pPr>
            <w:r>
              <w:rPr>
                <w:i/>
              </w:rPr>
              <w:t>Maoricolpus roseus</w:t>
            </w:r>
          </w:p>
        </w:tc>
        <w:tc>
          <w:tcPr>
            <w:tcW w:w="2410" w:type="dxa"/>
          </w:tcPr>
          <w:p>
            <w:pPr>
              <w:pStyle w:val="yTableNAm"/>
            </w:pPr>
            <w:r>
              <w:t>New Zealand Screwshell</w:t>
            </w:r>
          </w:p>
        </w:tc>
        <w:tc>
          <w:tcPr>
            <w:tcW w:w="2268" w:type="dxa"/>
          </w:tcPr>
          <w:p>
            <w:pPr>
              <w:pStyle w:val="yTableNAm"/>
            </w:pPr>
            <w:r>
              <w:t>Any area of the State</w:t>
            </w:r>
          </w:p>
        </w:tc>
      </w:tr>
      <w:tr>
        <w:trPr>
          <w:cantSplit/>
        </w:trPr>
        <w:tc>
          <w:tcPr>
            <w:tcW w:w="2410" w:type="dxa"/>
          </w:tcPr>
          <w:p>
            <w:pPr>
              <w:pStyle w:val="yTableNAm"/>
              <w:rPr>
                <w:i/>
              </w:rPr>
            </w:pPr>
            <w:r>
              <w:rPr>
                <w:i/>
              </w:rPr>
              <w:t>Marenzelleria non</w:t>
            </w:r>
            <w:r>
              <w:rPr>
                <w:i/>
              </w:rPr>
              <w:noBreakHyphen/>
              <w:t xml:space="preserve">endemic </w:t>
            </w:r>
            <w:r>
              <w:t>spp.</w:t>
            </w:r>
          </w:p>
        </w:tc>
        <w:tc>
          <w:tcPr>
            <w:tcW w:w="2410" w:type="dxa"/>
          </w:tcPr>
          <w:p>
            <w:pPr>
              <w:pStyle w:val="yTableNAm"/>
            </w:pPr>
            <w:r>
              <w:t>Red</w:t>
            </w:r>
            <w:r>
              <w:noBreakHyphen/>
              <w:t>Gilled Mudworm</w:t>
            </w:r>
          </w:p>
        </w:tc>
        <w:tc>
          <w:tcPr>
            <w:tcW w:w="2268" w:type="dxa"/>
          </w:tcPr>
          <w:p>
            <w:pPr>
              <w:pStyle w:val="yTableNAm"/>
            </w:pPr>
            <w:r>
              <w:t>Any area of the State</w:t>
            </w:r>
          </w:p>
        </w:tc>
      </w:tr>
      <w:tr>
        <w:trPr>
          <w:cantSplit/>
        </w:trPr>
        <w:tc>
          <w:tcPr>
            <w:tcW w:w="2410" w:type="dxa"/>
          </w:tcPr>
          <w:p>
            <w:pPr>
              <w:pStyle w:val="yTableNAm"/>
              <w:rPr>
                <w:i/>
              </w:rPr>
            </w:pPr>
            <w:r>
              <w:rPr>
                <w:i/>
              </w:rPr>
              <w:t>Melanotheron melanotheron</w:t>
            </w:r>
          </w:p>
        </w:tc>
        <w:tc>
          <w:tcPr>
            <w:tcW w:w="2410" w:type="dxa"/>
          </w:tcPr>
          <w:p>
            <w:pPr>
              <w:pStyle w:val="yTableNAm"/>
            </w:pPr>
            <w:r>
              <w:t>Blackchin Tilapia</w:t>
            </w:r>
          </w:p>
        </w:tc>
        <w:tc>
          <w:tcPr>
            <w:tcW w:w="2268" w:type="dxa"/>
          </w:tcPr>
          <w:p>
            <w:pPr>
              <w:pStyle w:val="yTableNAm"/>
            </w:pPr>
            <w:r>
              <w:t>Any area of the State</w:t>
            </w:r>
          </w:p>
        </w:tc>
      </w:tr>
      <w:tr>
        <w:trPr>
          <w:cantSplit/>
        </w:trPr>
        <w:tc>
          <w:tcPr>
            <w:tcW w:w="2410" w:type="dxa"/>
          </w:tcPr>
          <w:p>
            <w:pPr>
              <w:pStyle w:val="yTableNAm"/>
              <w:rPr>
                <w:i/>
              </w:rPr>
            </w:pPr>
            <w:r>
              <w:rPr>
                <w:i/>
              </w:rPr>
              <w:t>Misgurnus anguillicaudatus</w:t>
            </w:r>
          </w:p>
        </w:tc>
        <w:tc>
          <w:tcPr>
            <w:tcW w:w="2410" w:type="dxa"/>
          </w:tcPr>
          <w:p>
            <w:pPr>
              <w:pStyle w:val="yTableNAm"/>
            </w:pPr>
            <w:r>
              <w:t>Weatherloach</w:t>
            </w:r>
          </w:p>
        </w:tc>
        <w:tc>
          <w:tcPr>
            <w:tcW w:w="2268" w:type="dxa"/>
          </w:tcPr>
          <w:p>
            <w:pPr>
              <w:pStyle w:val="yTableNAm"/>
            </w:pPr>
            <w:r>
              <w:t>Any area of the State</w:t>
            </w:r>
          </w:p>
        </w:tc>
      </w:tr>
      <w:tr>
        <w:trPr>
          <w:cantSplit/>
        </w:trPr>
        <w:tc>
          <w:tcPr>
            <w:tcW w:w="2410" w:type="dxa"/>
          </w:tcPr>
          <w:p>
            <w:pPr>
              <w:pStyle w:val="yTableNAm"/>
              <w:rPr>
                <w:i/>
              </w:rPr>
            </w:pPr>
            <w:r>
              <w:rPr>
                <w:i/>
              </w:rPr>
              <w:t>Mnemiopsis leidyi</w:t>
            </w:r>
          </w:p>
        </w:tc>
        <w:tc>
          <w:tcPr>
            <w:tcW w:w="2410" w:type="dxa"/>
          </w:tcPr>
          <w:p>
            <w:pPr>
              <w:pStyle w:val="yTableNAm"/>
            </w:pPr>
            <w:r>
              <w:t>Comb Jelly</w:t>
            </w:r>
          </w:p>
        </w:tc>
        <w:tc>
          <w:tcPr>
            <w:tcW w:w="2268" w:type="dxa"/>
          </w:tcPr>
          <w:p>
            <w:pPr>
              <w:pStyle w:val="yTableNAm"/>
            </w:pPr>
            <w:r>
              <w:t>Any area of the State</w:t>
            </w:r>
          </w:p>
        </w:tc>
      </w:tr>
      <w:tr>
        <w:trPr>
          <w:cantSplit/>
        </w:trPr>
        <w:tc>
          <w:tcPr>
            <w:tcW w:w="2410" w:type="dxa"/>
          </w:tcPr>
          <w:p>
            <w:pPr>
              <w:pStyle w:val="yTableNAm"/>
              <w:rPr>
                <w:i/>
              </w:rPr>
            </w:pPr>
            <w:r>
              <w:rPr>
                <w:i/>
              </w:rPr>
              <w:t xml:space="preserve">Monia nobilis </w:t>
            </w:r>
            <w:r>
              <w:rPr>
                <w:i/>
              </w:rPr>
              <w:br/>
            </w:r>
            <w:r>
              <w:t>(syn.</w:t>
            </w:r>
            <w:r>
              <w:rPr>
                <w:i/>
              </w:rPr>
              <w:t xml:space="preserve"> Anomia nobilis</w:t>
            </w:r>
            <w:r>
              <w:t>)</w:t>
            </w:r>
          </w:p>
        </w:tc>
        <w:tc>
          <w:tcPr>
            <w:tcW w:w="2410" w:type="dxa"/>
          </w:tcPr>
          <w:p>
            <w:pPr>
              <w:pStyle w:val="yTableNAm"/>
            </w:pPr>
            <w:r>
              <w:t>Jingle Shell, Saddle Oyster</w:t>
            </w:r>
          </w:p>
        </w:tc>
        <w:tc>
          <w:tcPr>
            <w:tcW w:w="2268" w:type="dxa"/>
          </w:tcPr>
          <w:p>
            <w:pPr>
              <w:pStyle w:val="yTableNAm"/>
            </w:pPr>
            <w:r>
              <w:t>Any area of the State</w:t>
            </w:r>
          </w:p>
        </w:tc>
      </w:tr>
      <w:tr>
        <w:trPr>
          <w:cantSplit/>
        </w:trPr>
        <w:tc>
          <w:tcPr>
            <w:tcW w:w="2410" w:type="dxa"/>
          </w:tcPr>
          <w:p>
            <w:pPr>
              <w:pStyle w:val="yTableNAm"/>
              <w:rPr>
                <w:i/>
              </w:rPr>
            </w:pPr>
            <w:r>
              <w:rPr>
                <w:i/>
              </w:rPr>
              <w:t>Mormyrops anguilloides</w:t>
            </w:r>
          </w:p>
        </w:tc>
        <w:tc>
          <w:tcPr>
            <w:tcW w:w="2410" w:type="dxa"/>
          </w:tcPr>
          <w:p>
            <w:pPr>
              <w:pStyle w:val="yTableNAm"/>
            </w:pPr>
            <w:r>
              <w:t>Cornish Jack, Bottlenose</w:t>
            </w:r>
          </w:p>
        </w:tc>
        <w:tc>
          <w:tcPr>
            <w:tcW w:w="2268" w:type="dxa"/>
          </w:tcPr>
          <w:p>
            <w:pPr>
              <w:pStyle w:val="yTableNAm"/>
            </w:pPr>
            <w:r>
              <w:t>Any area of the State</w:t>
            </w:r>
          </w:p>
        </w:tc>
      </w:tr>
      <w:tr>
        <w:trPr>
          <w:cantSplit/>
        </w:trPr>
        <w:tc>
          <w:tcPr>
            <w:tcW w:w="2410" w:type="dxa"/>
          </w:tcPr>
          <w:p>
            <w:pPr>
              <w:pStyle w:val="yTableNAm"/>
              <w:rPr>
                <w:i/>
              </w:rPr>
            </w:pPr>
            <w:r>
              <w:rPr>
                <w:i/>
              </w:rPr>
              <w:t>Mya arenaria</w:t>
            </w:r>
          </w:p>
        </w:tc>
        <w:tc>
          <w:tcPr>
            <w:tcW w:w="2410" w:type="dxa"/>
          </w:tcPr>
          <w:p>
            <w:pPr>
              <w:pStyle w:val="yTableNAm"/>
            </w:pPr>
            <w:r>
              <w:t>Soft</w:t>
            </w:r>
            <w:r>
              <w:noBreakHyphen/>
              <w:t>shell Clam, Long</w:t>
            </w:r>
            <w:r>
              <w:noBreakHyphen/>
              <w:t>neck Clam, Steamer</w:t>
            </w:r>
          </w:p>
        </w:tc>
        <w:tc>
          <w:tcPr>
            <w:tcW w:w="2268" w:type="dxa"/>
          </w:tcPr>
          <w:p>
            <w:pPr>
              <w:pStyle w:val="yTableNAm"/>
            </w:pPr>
            <w:r>
              <w:t>Any area of the State</w:t>
            </w:r>
          </w:p>
        </w:tc>
      </w:tr>
      <w:tr>
        <w:trPr>
          <w:cantSplit/>
        </w:trPr>
        <w:tc>
          <w:tcPr>
            <w:tcW w:w="2410" w:type="dxa"/>
          </w:tcPr>
          <w:p>
            <w:pPr>
              <w:pStyle w:val="yTableNAm"/>
              <w:rPr>
                <w:i/>
              </w:rPr>
            </w:pPr>
            <w:r>
              <w:rPr>
                <w:i/>
              </w:rPr>
              <w:t>Mytella charruana</w:t>
            </w:r>
          </w:p>
        </w:tc>
        <w:tc>
          <w:tcPr>
            <w:tcW w:w="2410" w:type="dxa"/>
          </w:tcPr>
          <w:p>
            <w:pPr>
              <w:pStyle w:val="yTableNAm"/>
            </w:pPr>
            <w:r>
              <w:t>Charru Mussel</w:t>
            </w:r>
          </w:p>
        </w:tc>
        <w:tc>
          <w:tcPr>
            <w:tcW w:w="2268" w:type="dxa"/>
          </w:tcPr>
          <w:p>
            <w:pPr>
              <w:pStyle w:val="yTableNAm"/>
            </w:pPr>
            <w:r>
              <w:t>Any area of the State</w:t>
            </w:r>
          </w:p>
        </w:tc>
      </w:tr>
      <w:tr>
        <w:trPr>
          <w:cantSplit/>
        </w:trPr>
        <w:tc>
          <w:tcPr>
            <w:tcW w:w="2410" w:type="dxa"/>
          </w:tcPr>
          <w:p>
            <w:pPr>
              <w:pStyle w:val="yTableNAm"/>
              <w:rPr>
                <w:i/>
              </w:rPr>
            </w:pPr>
            <w:r>
              <w:rPr>
                <w:i/>
              </w:rPr>
              <w:t>Mytilopsis leucophaeata</w:t>
            </w:r>
          </w:p>
        </w:tc>
        <w:tc>
          <w:tcPr>
            <w:tcW w:w="2410" w:type="dxa"/>
          </w:tcPr>
          <w:p>
            <w:pPr>
              <w:pStyle w:val="yTableNAm"/>
            </w:pPr>
            <w:r>
              <w:t>Dark False Mussel, Conrad’s False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pPr>
              <w:pStyle w:val="yTableNAm"/>
            </w:pPr>
            <w:r>
              <w:t>Black</w:t>
            </w:r>
            <w:r>
              <w:noBreakHyphen/>
              <w:t>Striped Mussel</w:t>
            </w:r>
          </w:p>
        </w:tc>
        <w:tc>
          <w:tcPr>
            <w:tcW w:w="2268" w:type="dxa"/>
          </w:tcPr>
          <w:p>
            <w:pPr>
              <w:pStyle w:val="yTableNAm"/>
            </w:pPr>
            <w:r>
              <w:t>Any area of the State</w:t>
            </w:r>
          </w:p>
        </w:tc>
      </w:tr>
      <w:tr>
        <w:trPr>
          <w:cantSplit/>
        </w:trPr>
        <w:tc>
          <w:tcPr>
            <w:tcW w:w="2410" w:type="dxa"/>
          </w:tcPr>
          <w:p>
            <w:pPr>
              <w:pStyle w:val="yTableNAm"/>
              <w:rPr>
                <w:i/>
              </w:rPr>
            </w:pPr>
            <w:r>
              <w:rPr>
                <w:i/>
              </w:rPr>
              <w:t>Neogobius melanostomus</w:t>
            </w:r>
          </w:p>
        </w:tc>
        <w:tc>
          <w:tcPr>
            <w:tcW w:w="2410" w:type="dxa"/>
          </w:tcPr>
          <w:p>
            <w:pPr>
              <w:pStyle w:val="yTableNAm"/>
            </w:pPr>
            <w:r>
              <w:t>Round Goby</w:t>
            </w:r>
          </w:p>
        </w:tc>
        <w:tc>
          <w:tcPr>
            <w:tcW w:w="2268" w:type="dxa"/>
          </w:tcPr>
          <w:p>
            <w:pPr>
              <w:pStyle w:val="yTableNAm"/>
            </w:pPr>
            <w:r>
              <w:t>Any area of the State</w:t>
            </w:r>
          </w:p>
        </w:tc>
      </w:tr>
      <w:tr>
        <w:trPr>
          <w:cantSplit/>
        </w:trPr>
        <w:tc>
          <w:tcPr>
            <w:tcW w:w="2410" w:type="dxa"/>
          </w:tcPr>
          <w:p>
            <w:pPr>
              <w:pStyle w:val="yTableNAm"/>
              <w:rPr>
                <w:i/>
              </w:rPr>
            </w:pPr>
            <w:r>
              <w:rPr>
                <w:i/>
              </w:rPr>
              <w:t xml:space="preserve">Notropis </w:t>
            </w:r>
            <w:r>
              <w:t>spp.</w:t>
            </w:r>
            <w:r>
              <w:rPr>
                <w:i/>
              </w:rPr>
              <w:t xml:space="preserve"> </w:t>
            </w:r>
            <w:r>
              <w:br/>
              <w:t>(entire genus)</w:t>
            </w:r>
          </w:p>
        </w:tc>
        <w:tc>
          <w:tcPr>
            <w:tcW w:w="2410" w:type="dxa"/>
          </w:tcPr>
          <w:p>
            <w:pPr>
              <w:pStyle w:val="yTableNAm"/>
            </w:pPr>
            <w:r>
              <w:t>Shiners</w:t>
            </w:r>
          </w:p>
        </w:tc>
        <w:tc>
          <w:tcPr>
            <w:tcW w:w="2268" w:type="dxa"/>
          </w:tcPr>
          <w:p>
            <w:pPr>
              <w:pStyle w:val="yTableNAm"/>
            </w:pPr>
            <w:r>
              <w:t>Any area of the State</w:t>
            </w:r>
          </w:p>
        </w:tc>
      </w:tr>
      <w:tr>
        <w:trPr>
          <w:cantSplit/>
        </w:trPr>
        <w:tc>
          <w:tcPr>
            <w:tcW w:w="2410" w:type="dxa"/>
          </w:tcPr>
          <w:p>
            <w:pPr>
              <w:pStyle w:val="yTableNAm"/>
              <w:rPr>
                <w:i/>
              </w:rPr>
            </w:pPr>
            <w:r>
              <w:rPr>
                <w:i/>
              </w:rPr>
              <w:t>Noturus albater</w:t>
            </w:r>
          </w:p>
        </w:tc>
        <w:tc>
          <w:tcPr>
            <w:tcW w:w="2410" w:type="dxa"/>
          </w:tcPr>
          <w:p>
            <w:pPr>
              <w:pStyle w:val="yTableNAm"/>
            </w:pPr>
            <w:r>
              <w:t>Ozark Madtom</w:t>
            </w:r>
          </w:p>
        </w:tc>
        <w:tc>
          <w:tcPr>
            <w:tcW w:w="2268" w:type="dxa"/>
          </w:tcPr>
          <w:p>
            <w:pPr>
              <w:pStyle w:val="yTableNAm"/>
            </w:pPr>
            <w:r>
              <w:t>Any area of the State</w:t>
            </w:r>
          </w:p>
        </w:tc>
      </w:tr>
      <w:tr>
        <w:trPr>
          <w:cantSplit/>
        </w:trPr>
        <w:tc>
          <w:tcPr>
            <w:tcW w:w="2410" w:type="dxa"/>
          </w:tcPr>
          <w:p>
            <w:pPr>
              <w:pStyle w:val="yTableNAm"/>
              <w:rPr>
                <w:i/>
              </w:rPr>
            </w:pPr>
            <w:r>
              <w:rPr>
                <w:i/>
              </w:rPr>
              <w:t>Noturus baileyi</w:t>
            </w:r>
          </w:p>
        </w:tc>
        <w:tc>
          <w:tcPr>
            <w:tcW w:w="2410" w:type="dxa"/>
          </w:tcPr>
          <w:p>
            <w:pPr>
              <w:pStyle w:val="yTableNAm"/>
            </w:pPr>
            <w:r>
              <w:t>Smoky Madtom</w:t>
            </w:r>
          </w:p>
        </w:tc>
        <w:tc>
          <w:tcPr>
            <w:tcW w:w="2268" w:type="dxa"/>
          </w:tcPr>
          <w:p>
            <w:pPr>
              <w:pStyle w:val="yTableNAm"/>
            </w:pPr>
            <w:r>
              <w:t>Any area of the State</w:t>
            </w:r>
          </w:p>
        </w:tc>
      </w:tr>
      <w:tr>
        <w:trPr>
          <w:cantSplit/>
        </w:trPr>
        <w:tc>
          <w:tcPr>
            <w:tcW w:w="2410" w:type="dxa"/>
          </w:tcPr>
          <w:p>
            <w:pPr>
              <w:pStyle w:val="yTableNAm"/>
              <w:rPr>
                <w:i/>
              </w:rPr>
            </w:pPr>
            <w:r>
              <w:rPr>
                <w:i/>
              </w:rPr>
              <w:t>Noturus crypticus</w:t>
            </w:r>
          </w:p>
        </w:tc>
        <w:tc>
          <w:tcPr>
            <w:tcW w:w="2410" w:type="dxa"/>
          </w:tcPr>
          <w:p>
            <w:pPr>
              <w:pStyle w:val="yTableNAm"/>
            </w:pPr>
            <w:r>
              <w:t>Chucky Madtom</w:t>
            </w:r>
          </w:p>
        </w:tc>
        <w:tc>
          <w:tcPr>
            <w:tcW w:w="2268" w:type="dxa"/>
          </w:tcPr>
          <w:p>
            <w:pPr>
              <w:pStyle w:val="yTableNAm"/>
            </w:pPr>
            <w:r>
              <w:t>Any area of the State</w:t>
            </w:r>
          </w:p>
        </w:tc>
      </w:tr>
      <w:tr>
        <w:trPr>
          <w:cantSplit/>
        </w:trPr>
        <w:tc>
          <w:tcPr>
            <w:tcW w:w="2410" w:type="dxa"/>
          </w:tcPr>
          <w:p>
            <w:pPr>
              <w:pStyle w:val="yTableNAm"/>
              <w:rPr>
                <w:i/>
              </w:rPr>
            </w:pPr>
            <w:r>
              <w:rPr>
                <w:i/>
              </w:rPr>
              <w:t>Noturus elegans</w:t>
            </w:r>
          </w:p>
        </w:tc>
        <w:tc>
          <w:tcPr>
            <w:tcW w:w="2410" w:type="dxa"/>
          </w:tcPr>
          <w:p>
            <w:pPr>
              <w:pStyle w:val="yTableNAm"/>
            </w:pPr>
            <w:r>
              <w:t>Elegant Madtom</w:t>
            </w:r>
          </w:p>
        </w:tc>
        <w:tc>
          <w:tcPr>
            <w:tcW w:w="2268" w:type="dxa"/>
          </w:tcPr>
          <w:p>
            <w:pPr>
              <w:pStyle w:val="yTableNAm"/>
            </w:pPr>
            <w:r>
              <w:t>Any area of the State</w:t>
            </w:r>
          </w:p>
        </w:tc>
      </w:tr>
      <w:tr>
        <w:trPr>
          <w:cantSplit/>
        </w:trPr>
        <w:tc>
          <w:tcPr>
            <w:tcW w:w="2410" w:type="dxa"/>
          </w:tcPr>
          <w:p>
            <w:pPr>
              <w:pStyle w:val="yTableNAm"/>
              <w:rPr>
                <w:i/>
              </w:rPr>
            </w:pPr>
            <w:r>
              <w:rPr>
                <w:i/>
              </w:rPr>
              <w:t>Noturus eleutherus</w:t>
            </w:r>
          </w:p>
        </w:tc>
        <w:tc>
          <w:tcPr>
            <w:tcW w:w="2410" w:type="dxa"/>
          </w:tcPr>
          <w:p>
            <w:pPr>
              <w:pStyle w:val="yTableNAm"/>
            </w:pPr>
            <w:r>
              <w:t>Mountain Madtom</w:t>
            </w:r>
          </w:p>
        </w:tc>
        <w:tc>
          <w:tcPr>
            <w:tcW w:w="2268" w:type="dxa"/>
          </w:tcPr>
          <w:p>
            <w:pPr>
              <w:pStyle w:val="yTableNAm"/>
            </w:pPr>
            <w:r>
              <w:t>Any area of the State</w:t>
            </w:r>
          </w:p>
        </w:tc>
      </w:tr>
      <w:tr>
        <w:trPr>
          <w:cantSplit/>
        </w:trPr>
        <w:tc>
          <w:tcPr>
            <w:tcW w:w="2410" w:type="dxa"/>
          </w:tcPr>
          <w:p>
            <w:pPr>
              <w:pStyle w:val="yTableNAm"/>
              <w:rPr>
                <w:i/>
              </w:rPr>
            </w:pPr>
            <w:r>
              <w:rPr>
                <w:i/>
              </w:rPr>
              <w:t>Noturus exilis</w:t>
            </w:r>
          </w:p>
        </w:tc>
        <w:tc>
          <w:tcPr>
            <w:tcW w:w="2410" w:type="dxa"/>
          </w:tcPr>
          <w:p>
            <w:pPr>
              <w:pStyle w:val="yTableNAm"/>
            </w:pPr>
            <w:r>
              <w:t>Slender Madtom</w:t>
            </w:r>
          </w:p>
        </w:tc>
        <w:tc>
          <w:tcPr>
            <w:tcW w:w="2268" w:type="dxa"/>
          </w:tcPr>
          <w:p>
            <w:pPr>
              <w:pStyle w:val="yTableNAm"/>
            </w:pPr>
            <w:r>
              <w:t>Any area of the State</w:t>
            </w:r>
          </w:p>
        </w:tc>
      </w:tr>
      <w:tr>
        <w:trPr>
          <w:cantSplit/>
        </w:trPr>
        <w:tc>
          <w:tcPr>
            <w:tcW w:w="2410" w:type="dxa"/>
          </w:tcPr>
          <w:p>
            <w:pPr>
              <w:pStyle w:val="yTableNAm"/>
              <w:rPr>
                <w:i/>
              </w:rPr>
            </w:pPr>
            <w:r>
              <w:rPr>
                <w:i/>
              </w:rPr>
              <w:t>Noturus fasciatus</w:t>
            </w:r>
          </w:p>
        </w:tc>
        <w:tc>
          <w:tcPr>
            <w:tcW w:w="2410" w:type="dxa"/>
          </w:tcPr>
          <w:p>
            <w:pPr>
              <w:pStyle w:val="yTableNAm"/>
            </w:pPr>
            <w:r>
              <w:t>Saddled Madtom</w:t>
            </w:r>
          </w:p>
        </w:tc>
        <w:tc>
          <w:tcPr>
            <w:tcW w:w="2268" w:type="dxa"/>
          </w:tcPr>
          <w:p>
            <w:pPr>
              <w:pStyle w:val="yTableNAm"/>
            </w:pPr>
            <w:r>
              <w:t>Any area of the State</w:t>
            </w:r>
          </w:p>
        </w:tc>
      </w:tr>
      <w:tr>
        <w:trPr>
          <w:cantSplit/>
        </w:trPr>
        <w:tc>
          <w:tcPr>
            <w:tcW w:w="2410" w:type="dxa"/>
          </w:tcPr>
          <w:p>
            <w:pPr>
              <w:pStyle w:val="yTableNAm"/>
              <w:rPr>
                <w:i/>
              </w:rPr>
            </w:pPr>
            <w:r>
              <w:rPr>
                <w:i/>
              </w:rPr>
              <w:t>Noturus flavater</w:t>
            </w:r>
          </w:p>
        </w:tc>
        <w:tc>
          <w:tcPr>
            <w:tcW w:w="2410" w:type="dxa"/>
          </w:tcPr>
          <w:p>
            <w:pPr>
              <w:pStyle w:val="yTableNAm"/>
            </w:pPr>
            <w:r>
              <w:t>Checkered Madtom</w:t>
            </w:r>
          </w:p>
        </w:tc>
        <w:tc>
          <w:tcPr>
            <w:tcW w:w="2268" w:type="dxa"/>
          </w:tcPr>
          <w:p>
            <w:pPr>
              <w:pStyle w:val="yTableNAm"/>
            </w:pPr>
            <w:r>
              <w:t>Any area of the State</w:t>
            </w:r>
          </w:p>
        </w:tc>
      </w:tr>
      <w:tr>
        <w:trPr>
          <w:cantSplit/>
        </w:trPr>
        <w:tc>
          <w:tcPr>
            <w:tcW w:w="2410" w:type="dxa"/>
          </w:tcPr>
          <w:p>
            <w:pPr>
              <w:pStyle w:val="yTableNAm"/>
              <w:rPr>
                <w:i/>
              </w:rPr>
            </w:pPr>
            <w:r>
              <w:rPr>
                <w:i/>
              </w:rPr>
              <w:t>Noturus flavipinnis</w:t>
            </w:r>
          </w:p>
        </w:tc>
        <w:tc>
          <w:tcPr>
            <w:tcW w:w="2410" w:type="dxa"/>
          </w:tcPr>
          <w:p>
            <w:pPr>
              <w:pStyle w:val="yTableNAm"/>
            </w:pPr>
            <w:r>
              <w:t>Yellowfin Madtom</w:t>
            </w:r>
          </w:p>
        </w:tc>
        <w:tc>
          <w:tcPr>
            <w:tcW w:w="2268" w:type="dxa"/>
          </w:tcPr>
          <w:p>
            <w:pPr>
              <w:pStyle w:val="yTableNAm"/>
            </w:pPr>
            <w:r>
              <w:t>Any area of the State</w:t>
            </w:r>
          </w:p>
        </w:tc>
      </w:tr>
      <w:tr>
        <w:trPr>
          <w:cantSplit/>
        </w:trPr>
        <w:tc>
          <w:tcPr>
            <w:tcW w:w="2410" w:type="dxa"/>
          </w:tcPr>
          <w:p>
            <w:pPr>
              <w:pStyle w:val="yTableNAm"/>
              <w:rPr>
                <w:i/>
              </w:rPr>
            </w:pPr>
            <w:r>
              <w:rPr>
                <w:i/>
              </w:rPr>
              <w:t>Noturus flavus</w:t>
            </w:r>
          </w:p>
        </w:tc>
        <w:tc>
          <w:tcPr>
            <w:tcW w:w="2410" w:type="dxa"/>
          </w:tcPr>
          <w:p>
            <w:pPr>
              <w:pStyle w:val="yTableNAm"/>
            </w:pPr>
            <w:r>
              <w:t>Stonecat</w:t>
            </w:r>
          </w:p>
        </w:tc>
        <w:tc>
          <w:tcPr>
            <w:tcW w:w="2268" w:type="dxa"/>
          </w:tcPr>
          <w:p>
            <w:pPr>
              <w:pStyle w:val="yTableNAm"/>
            </w:pPr>
            <w:r>
              <w:t>Any area of the State</w:t>
            </w:r>
          </w:p>
        </w:tc>
      </w:tr>
      <w:tr>
        <w:trPr>
          <w:cantSplit/>
        </w:trPr>
        <w:tc>
          <w:tcPr>
            <w:tcW w:w="2410" w:type="dxa"/>
          </w:tcPr>
          <w:p>
            <w:pPr>
              <w:pStyle w:val="yTableNAm"/>
              <w:rPr>
                <w:i/>
              </w:rPr>
            </w:pPr>
            <w:r>
              <w:rPr>
                <w:i/>
              </w:rPr>
              <w:t>Noturus funebris</w:t>
            </w:r>
          </w:p>
        </w:tc>
        <w:tc>
          <w:tcPr>
            <w:tcW w:w="2410" w:type="dxa"/>
          </w:tcPr>
          <w:p>
            <w:pPr>
              <w:pStyle w:val="yTableNAm"/>
            </w:pPr>
            <w:r>
              <w:t>Black Madtom</w:t>
            </w:r>
          </w:p>
        </w:tc>
        <w:tc>
          <w:tcPr>
            <w:tcW w:w="2268" w:type="dxa"/>
          </w:tcPr>
          <w:p>
            <w:pPr>
              <w:pStyle w:val="yTableNAm"/>
            </w:pPr>
            <w:r>
              <w:t>Any area of the State</w:t>
            </w:r>
          </w:p>
        </w:tc>
      </w:tr>
      <w:tr>
        <w:trPr>
          <w:cantSplit/>
        </w:trPr>
        <w:tc>
          <w:tcPr>
            <w:tcW w:w="2410" w:type="dxa"/>
          </w:tcPr>
          <w:p>
            <w:pPr>
              <w:pStyle w:val="yTableNAm"/>
              <w:rPr>
                <w:i/>
              </w:rPr>
            </w:pPr>
            <w:r>
              <w:rPr>
                <w:i/>
              </w:rPr>
              <w:t>Noturus furiosus</w:t>
            </w:r>
          </w:p>
        </w:tc>
        <w:tc>
          <w:tcPr>
            <w:tcW w:w="2410" w:type="dxa"/>
          </w:tcPr>
          <w:p>
            <w:pPr>
              <w:pStyle w:val="yTableNAm"/>
            </w:pPr>
            <w:r>
              <w:t>Carolina Madtom</w:t>
            </w:r>
          </w:p>
        </w:tc>
        <w:tc>
          <w:tcPr>
            <w:tcW w:w="2268" w:type="dxa"/>
          </w:tcPr>
          <w:p>
            <w:pPr>
              <w:pStyle w:val="yTableNAm"/>
            </w:pPr>
            <w:r>
              <w:t>Any area of the State</w:t>
            </w:r>
          </w:p>
        </w:tc>
      </w:tr>
      <w:tr>
        <w:trPr>
          <w:cantSplit/>
        </w:trPr>
        <w:tc>
          <w:tcPr>
            <w:tcW w:w="2410" w:type="dxa"/>
          </w:tcPr>
          <w:p>
            <w:pPr>
              <w:pStyle w:val="yTableNAm"/>
              <w:rPr>
                <w:i/>
              </w:rPr>
            </w:pPr>
            <w:r>
              <w:rPr>
                <w:i/>
              </w:rPr>
              <w:t>Noturus gilberti</w:t>
            </w:r>
          </w:p>
        </w:tc>
        <w:tc>
          <w:tcPr>
            <w:tcW w:w="2410" w:type="dxa"/>
          </w:tcPr>
          <w:p>
            <w:pPr>
              <w:pStyle w:val="yTableNAm"/>
            </w:pPr>
            <w:r>
              <w:t>Orangefin Madtom</w:t>
            </w:r>
          </w:p>
        </w:tc>
        <w:tc>
          <w:tcPr>
            <w:tcW w:w="2268" w:type="dxa"/>
          </w:tcPr>
          <w:p>
            <w:pPr>
              <w:pStyle w:val="yTableNAm"/>
            </w:pPr>
            <w:r>
              <w:t>Any area of the State</w:t>
            </w:r>
          </w:p>
        </w:tc>
      </w:tr>
      <w:tr>
        <w:trPr>
          <w:cantSplit/>
        </w:trPr>
        <w:tc>
          <w:tcPr>
            <w:tcW w:w="2410" w:type="dxa"/>
          </w:tcPr>
          <w:p>
            <w:pPr>
              <w:pStyle w:val="yTableNAm"/>
              <w:rPr>
                <w:i/>
              </w:rPr>
            </w:pPr>
            <w:r>
              <w:rPr>
                <w:i/>
              </w:rPr>
              <w:t>Noturus gladiator</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gyrinus</w:t>
            </w:r>
          </w:p>
        </w:tc>
        <w:tc>
          <w:tcPr>
            <w:tcW w:w="2410" w:type="dxa"/>
          </w:tcPr>
          <w:p>
            <w:pPr>
              <w:pStyle w:val="yTableNAm"/>
            </w:pPr>
            <w:r>
              <w:t>Tadpole Madtom</w:t>
            </w:r>
          </w:p>
        </w:tc>
        <w:tc>
          <w:tcPr>
            <w:tcW w:w="2268" w:type="dxa"/>
          </w:tcPr>
          <w:p>
            <w:pPr>
              <w:pStyle w:val="yTableNAm"/>
            </w:pPr>
            <w:r>
              <w:t>Any area of the State</w:t>
            </w:r>
          </w:p>
        </w:tc>
      </w:tr>
      <w:tr>
        <w:trPr>
          <w:cantSplit/>
        </w:trPr>
        <w:tc>
          <w:tcPr>
            <w:tcW w:w="2410" w:type="dxa"/>
          </w:tcPr>
          <w:p>
            <w:pPr>
              <w:pStyle w:val="yTableNAm"/>
              <w:rPr>
                <w:i/>
              </w:rPr>
            </w:pPr>
            <w:r>
              <w:rPr>
                <w:i/>
              </w:rPr>
              <w:t>Noturus hildebrandi hildebrandi</w:t>
            </w:r>
          </w:p>
        </w:tc>
        <w:tc>
          <w:tcPr>
            <w:tcW w:w="2410" w:type="dxa"/>
          </w:tcPr>
          <w:p>
            <w:pPr>
              <w:pStyle w:val="yTableNAm"/>
            </w:pPr>
            <w:r>
              <w:t xml:space="preserve">Least Madtom </w:t>
            </w:r>
          </w:p>
        </w:tc>
        <w:tc>
          <w:tcPr>
            <w:tcW w:w="2268" w:type="dxa"/>
          </w:tcPr>
          <w:p>
            <w:pPr>
              <w:pStyle w:val="yTableNAm"/>
            </w:pPr>
            <w:r>
              <w:t>Any area of the State</w:t>
            </w:r>
          </w:p>
        </w:tc>
      </w:tr>
      <w:tr>
        <w:trPr>
          <w:cantSplit/>
        </w:trPr>
        <w:tc>
          <w:tcPr>
            <w:tcW w:w="2410" w:type="dxa"/>
          </w:tcPr>
          <w:p>
            <w:pPr>
              <w:pStyle w:val="yTableNAm"/>
              <w:rPr>
                <w:i/>
              </w:rPr>
            </w:pPr>
            <w:r>
              <w:rPr>
                <w:i/>
              </w:rPr>
              <w:t>Noturus hildebrandi lautus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insignis</w:t>
            </w:r>
          </w:p>
        </w:tc>
        <w:tc>
          <w:tcPr>
            <w:tcW w:w="2410" w:type="dxa"/>
          </w:tcPr>
          <w:p>
            <w:pPr>
              <w:pStyle w:val="yTableNAm"/>
            </w:pPr>
            <w:r>
              <w:t>Margined Madtom</w:t>
            </w:r>
          </w:p>
        </w:tc>
        <w:tc>
          <w:tcPr>
            <w:tcW w:w="2268" w:type="dxa"/>
          </w:tcPr>
          <w:p>
            <w:pPr>
              <w:pStyle w:val="yTableNAm"/>
            </w:pPr>
            <w:r>
              <w:t>Any area of the State</w:t>
            </w:r>
          </w:p>
        </w:tc>
      </w:tr>
      <w:tr>
        <w:trPr>
          <w:cantSplit/>
        </w:trPr>
        <w:tc>
          <w:tcPr>
            <w:tcW w:w="2410" w:type="dxa"/>
          </w:tcPr>
          <w:p>
            <w:pPr>
              <w:pStyle w:val="yTableNAm"/>
              <w:rPr>
                <w:i/>
              </w:rPr>
            </w:pPr>
            <w:r>
              <w:rPr>
                <w:i/>
              </w:rPr>
              <w:t>Noturus lachneri</w:t>
            </w:r>
          </w:p>
        </w:tc>
        <w:tc>
          <w:tcPr>
            <w:tcW w:w="2410" w:type="dxa"/>
          </w:tcPr>
          <w:p>
            <w:pPr>
              <w:pStyle w:val="yTableNAm"/>
            </w:pPr>
            <w:r>
              <w:t>Ouachita Madtom</w:t>
            </w:r>
          </w:p>
        </w:tc>
        <w:tc>
          <w:tcPr>
            <w:tcW w:w="2268" w:type="dxa"/>
          </w:tcPr>
          <w:p>
            <w:pPr>
              <w:pStyle w:val="yTableNAm"/>
            </w:pPr>
            <w:r>
              <w:t>Any area of the State</w:t>
            </w:r>
          </w:p>
        </w:tc>
      </w:tr>
      <w:tr>
        <w:trPr>
          <w:cantSplit/>
        </w:trPr>
        <w:tc>
          <w:tcPr>
            <w:tcW w:w="2410" w:type="dxa"/>
          </w:tcPr>
          <w:p>
            <w:pPr>
              <w:pStyle w:val="yTableNAm"/>
              <w:rPr>
                <w:i/>
              </w:rPr>
            </w:pPr>
            <w:r>
              <w:rPr>
                <w:i/>
              </w:rPr>
              <w:t>Noturus leptacanthus</w:t>
            </w:r>
          </w:p>
        </w:tc>
        <w:tc>
          <w:tcPr>
            <w:tcW w:w="2410" w:type="dxa"/>
          </w:tcPr>
          <w:p>
            <w:pPr>
              <w:pStyle w:val="yTableNAm"/>
            </w:pPr>
            <w:r>
              <w:t>Speckled Madtom</w:t>
            </w:r>
          </w:p>
        </w:tc>
        <w:tc>
          <w:tcPr>
            <w:tcW w:w="2268" w:type="dxa"/>
          </w:tcPr>
          <w:p>
            <w:pPr>
              <w:pStyle w:val="yTableNAm"/>
            </w:pPr>
            <w:r>
              <w:t>Any area of the State</w:t>
            </w:r>
          </w:p>
        </w:tc>
      </w:tr>
      <w:tr>
        <w:trPr>
          <w:cantSplit/>
        </w:trPr>
        <w:tc>
          <w:tcPr>
            <w:tcW w:w="2410" w:type="dxa"/>
          </w:tcPr>
          <w:p>
            <w:pPr>
              <w:pStyle w:val="yTableNAm"/>
              <w:rPr>
                <w:i/>
              </w:rPr>
            </w:pPr>
            <w:r>
              <w:rPr>
                <w:i/>
              </w:rPr>
              <w:t>Noturus maydeni</w:t>
            </w:r>
          </w:p>
        </w:tc>
        <w:tc>
          <w:tcPr>
            <w:tcW w:w="2410" w:type="dxa"/>
          </w:tcPr>
          <w:p>
            <w:pPr>
              <w:pStyle w:val="yTableNAm"/>
            </w:pPr>
            <w:r>
              <w:t>Black River Madtom</w:t>
            </w:r>
          </w:p>
        </w:tc>
        <w:tc>
          <w:tcPr>
            <w:tcW w:w="2268" w:type="dxa"/>
          </w:tcPr>
          <w:p>
            <w:pPr>
              <w:pStyle w:val="yTableNAm"/>
            </w:pPr>
            <w:r>
              <w:t>Any area of the State</w:t>
            </w:r>
          </w:p>
        </w:tc>
      </w:tr>
      <w:tr>
        <w:trPr>
          <w:cantSplit/>
        </w:trPr>
        <w:tc>
          <w:tcPr>
            <w:tcW w:w="2410" w:type="dxa"/>
          </w:tcPr>
          <w:p>
            <w:pPr>
              <w:pStyle w:val="yTableNAm"/>
              <w:rPr>
                <w:i/>
              </w:rPr>
            </w:pPr>
            <w:r>
              <w:rPr>
                <w:i/>
              </w:rPr>
              <w:t>Noturus miurus</w:t>
            </w:r>
          </w:p>
        </w:tc>
        <w:tc>
          <w:tcPr>
            <w:tcW w:w="2410" w:type="dxa"/>
          </w:tcPr>
          <w:p>
            <w:pPr>
              <w:pStyle w:val="yTableNAm"/>
            </w:pPr>
            <w:r>
              <w:t>Brindled Madtom</w:t>
            </w:r>
          </w:p>
        </w:tc>
        <w:tc>
          <w:tcPr>
            <w:tcW w:w="2268" w:type="dxa"/>
          </w:tcPr>
          <w:p>
            <w:pPr>
              <w:pStyle w:val="yTableNAm"/>
            </w:pPr>
            <w:r>
              <w:t>Any area of the State</w:t>
            </w:r>
          </w:p>
        </w:tc>
      </w:tr>
      <w:tr>
        <w:trPr>
          <w:cantSplit/>
        </w:trPr>
        <w:tc>
          <w:tcPr>
            <w:tcW w:w="2410" w:type="dxa"/>
          </w:tcPr>
          <w:p>
            <w:pPr>
              <w:pStyle w:val="yTableNAm"/>
              <w:rPr>
                <w:i/>
              </w:rPr>
            </w:pPr>
            <w:r>
              <w:rPr>
                <w:i/>
              </w:rPr>
              <w:t>Noturus munitus</w:t>
            </w:r>
          </w:p>
        </w:tc>
        <w:tc>
          <w:tcPr>
            <w:tcW w:w="2410" w:type="dxa"/>
          </w:tcPr>
          <w:p>
            <w:pPr>
              <w:pStyle w:val="yTableNAm"/>
            </w:pPr>
            <w:r>
              <w:t>Frecklebelly Madtom</w:t>
            </w:r>
          </w:p>
        </w:tc>
        <w:tc>
          <w:tcPr>
            <w:tcW w:w="2268" w:type="dxa"/>
          </w:tcPr>
          <w:p>
            <w:pPr>
              <w:pStyle w:val="yTableNAm"/>
            </w:pPr>
            <w:r>
              <w:t>Any area of the State</w:t>
            </w:r>
          </w:p>
        </w:tc>
      </w:tr>
      <w:tr>
        <w:trPr>
          <w:cantSplit/>
        </w:trPr>
        <w:tc>
          <w:tcPr>
            <w:tcW w:w="2410" w:type="dxa"/>
          </w:tcPr>
          <w:p>
            <w:pPr>
              <w:pStyle w:val="yTableNAm"/>
              <w:rPr>
                <w:i/>
              </w:rPr>
            </w:pPr>
            <w:r>
              <w:rPr>
                <w:i/>
              </w:rPr>
              <w:t>Noturus nocturnus</w:t>
            </w:r>
          </w:p>
        </w:tc>
        <w:tc>
          <w:tcPr>
            <w:tcW w:w="2410" w:type="dxa"/>
          </w:tcPr>
          <w:p>
            <w:pPr>
              <w:pStyle w:val="yTableNAm"/>
            </w:pPr>
            <w:r>
              <w:t>Freckled Madtom</w:t>
            </w:r>
          </w:p>
        </w:tc>
        <w:tc>
          <w:tcPr>
            <w:tcW w:w="2268" w:type="dxa"/>
          </w:tcPr>
          <w:p>
            <w:pPr>
              <w:pStyle w:val="yTableNAm"/>
            </w:pPr>
            <w:r>
              <w:t>Any area of the State</w:t>
            </w:r>
          </w:p>
        </w:tc>
      </w:tr>
      <w:tr>
        <w:trPr>
          <w:cantSplit/>
        </w:trPr>
        <w:tc>
          <w:tcPr>
            <w:tcW w:w="2410" w:type="dxa"/>
          </w:tcPr>
          <w:p>
            <w:pPr>
              <w:pStyle w:val="yTableNAm"/>
              <w:rPr>
                <w:i/>
              </w:rPr>
            </w:pPr>
            <w:r>
              <w:rPr>
                <w:i/>
              </w:rPr>
              <w:t>Noturus phaeus</w:t>
            </w:r>
          </w:p>
        </w:tc>
        <w:tc>
          <w:tcPr>
            <w:tcW w:w="2410" w:type="dxa"/>
          </w:tcPr>
          <w:p>
            <w:pPr>
              <w:pStyle w:val="yTableNAm"/>
            </w:pPr>
            <w:r>
              <w:t>Brown Madtom</w:t>
            </w:r>
          </w:p>
        </w:tc>
        <w:tc>
          <w:tcPr>
            <w:tcW w:w="2268" w:type="dxa"/>
          </w:tcPr>
          <w:p>
            <w:pPr>
              <w:pStyle w:val="yTableNAm"/>
            </w:pPr>
            <w:r>
              <w:t>Any area of the State</w:t>
            </w:r>
          </w:p>
        </w:tc>
      </w:tr>
      <w:tr>
        <w:trPr>
          <w:cantSplit/>
        </w:trPr>
        <w:tc>
          <w:tcPr>
            <w:tcW w:w="2410" w:type="dxa"/>
          </w:tcPr>
          <w:p>
            <w:pPr>
              <w:pStyle w:val="yTableNAm"/>
              <w:rPr>
                <w:i/>
              </w:rPr>
            </w:pPr>
            <w:r>
              <w:rPr>
                <w:i/>
              </w:rPr>
              <w:t>Noturus placidus</w:t>
            </w:r>
          </w:p>
        </w:tc>
        <w:tc>
          <w:tcPr>
            <w:tcW w:w="2410" w:type="dxa"/>
          </w:tcPr>
          <w:p>
            <w:pPr>
              <w:pStyle w:val="yTableNAm"/>
            </w:pPr>
            <w:r>
              <w:t>Neosho Madtom</w:t>
            </w:r>
          </w:p>
        </w:tc>
        <w:tc>
          <w:tcPr>
            <w:tcW w:w="2268" w:type="dxa"/>
          </w:tcPr>
          <w:p>
            <w:pPr>
              <w:pStyle w:val="yTableNAm"/>
            </w:pPr>
            <w:r>
              <w:t>Any area of the State</w:t>
            </w:r>
          </w:p>
        </w:tc>
      </w:tr>
      <w:tr>
        <w:trPr>
          <w:cantSplit/>
        </w:trPr>
        <w:tc>
          <w:tcPr>
            <w:tcW w:w="2410" w:type="dxa"/>
          </w:tcPr>
          <w:p>
            <w:pPr>
              <w:pStyle w:val="yTableNAm"/>
              <w:rPr>
                <w:i/>
              </w:rPr>
            </w:pPr>
            <w:r>
              <w:rPr>
                <w:i/>
              </w:rPr>
              <w:t>Noturus stanauli</w:t>
            </w:r>
          </w:p>
        </w:tc>
        <w:tc>
          <w:tcPr>
            <w:tcW w:w="2410" w:type="dxa"/>
          </w:tcPr>
          <w:p>
            <w:pPr>
              <w:pStyle w:val="yTableNAm"/>
            </w:pPr>
            <w:r>
              <w:t>Pygmy Madtom</w:t>
            </w:r>
          </w:p>
        </w:tc>
        <w:tc>
          <w:tcPr>
            <w:tcW w:w="2268" w:type="dxa"/>
          </w:tcPr>
          <w:p>
            <w:pPr>
              <w:pStyle w:val="yTableNAm"/>
            </w:pPr>
            <w:r>
              <w:t>Any area of the State</w:t>
            </w:r>
          </w:p>
        </w:tc>
      </w:tr>
      <w:tr>
        <w:trPr>
          <w:cantSplit/>
        </w:trPr>
        <w:tc>
          <w:tcPr>
            <w:tcW w:w="2410" w:type="dxa"/>
          </w:tcPr>
          <w:p>
            <w:pPr>
              <w:pStyle w:val="yTableNAm"/>
              <w:rPr>
                <w:i/>
              </w:rPr>
            </w:pPr>
            <w:r>
              <w:rPr>
                <w:i/>
              </w:rPr>
              <w:t>Noturus stigmosus</w:t>
            </w:r>
          </w:p>
        </w:tc>
        <w:tc>
          <w:tcPr>
            <w:tcW w:w="2410" w:type="dxa"/>
          </w:tcPr>
          <w:p>
            <w:pPr>
              <w:pStyle w:val="yTableNAm"/>
            </w:pPr>
            <w:r>
              <w:t>Northern Madtom</w:t>
            </w:r>
          </w:p>
        </w:tc>
        <w:tc>
          <w:tcPr>
            <w:tcW w:w="2268" w:type="dxa"/>
          </w:tcPr>
          <w:p>
            <w:pPr>
              <w:pStyle w:val="yTableNAm"/>
            </w:pPr>
            <w:r>
              <w:t>Any area of the State</w:t>
            </w:r>
          </w:p>
        </w:tc>
      </w:tr>
      <w:tr>
        <w:trPr>
          <w:cantSplit/>
        </w:trPr>
        <w:tc>
          <w:tcPr>
            <w:tcW w:w="2410" w:type="dxa"/>
          </w:tcPr>
          <w:p>
            <w:pPr>
              <w:pStyle w:val="yTableNAm"/>
              <w:rPr>
                <w:i/>
              </w:rPr>
            </w:pPr>
            <w:r>
              <w:rPr>
                <w:i/>
              </w:rPr>
              <w:t>Noturus taylori</w:t>
            </w:r>
          </w:p>
        </w:tc>
        <w:tc>
          <w:tcPr>
            <w:tcW w:w="2410" w:type="dxa"/>
          </w:tcPr>
          <w:p>
            <w:pPr>
              <w:pStyle w:val="yTableNAm"/>
            </w:pPr>
            <w:r>
              <w:t>Caddo Madtom</w:t>
            </w:r>
          </w:p>
        </w:tc>
        <w:tc>
          <w:tcPr>
            <w:tcW w:w="2268" w:type="dxa"/>
          </w:tcPr>
          <w:p>
            <w:pPr>
              <w:pStyle w:val="yTableNAm"/>
            </w:pPr>
            <w:r>
              <w:t>Any area of the State</w:t>
            </w:r>
          </w:p>
        </w:tc>
      </w:tr>
      <w:tr>
        <w:trPr>
          <w:cantSplit/>
        </w:trPr>
        <w:tc>
          <w:tcPr>
            <w:tcW w:w="2410" w:type="dxa"/>
          </w:tcPr>
          <w:p>
            <w:pPr>
              <w:pStyle w:val="yTableNAm"/>
              <w:rPr>
                <w:i/>
              </w:rPr>
            </w:pPr>
            <w:r>
              <w:rPr>
                <w:i/>
              </w:rPr>
              <w:t>Noturus trautmani</w:t>
            </w:r>
          </w:p>
        </w:tc>
        <w:tc>
          <w:tcPr>
            <w:tcW w:w="2410" w:type="dxa"/>
          </w:tcPr>
          <w:p>
            <w:pPr>
              <w:pStyle w:val="yTableNAm"/>
            </w:pPr>
            <w:r>
              <w:t>Scioto Madtom</w:t>
            </w:r>
          </w:p>
        </w:tc>
        <w:tc>
          <w:tcPr>
            <w:tcW w:w="2268" w:type="dxa"/>
          </w:tcPr>
          <w:p>
            <w:pPr>
              <w:pStyle w:val="yTableNAm"/>
            </w:pPr>
            <w:r>
              <w:t>Any area of the State</w:t>
            </w:r>
          </w:p>
        </w:tc>
      </w:tr>
      <w:tr>
        <w:trPr>
          <w:cantSplit/>
        </w:trPr>
        <w:tc>
          <w:tcPr>
            <w:tcW w:w="2410" w:type="dxa"/>
          </w:tcPr>
          <w:p>
            <w:pPr>
              <w:pStyle w:val="yTableNAm"/>
              <w:rPr>
                <w:i/>
              </w:rPr>
            </w:pPr>
            <w:r>
              <w:rPr>
                <w:i/>
                <w:iCs/>
              </w:rPr>
              <w:t>Orconectes limosus</w:t>
            </w:r>
          </w:p>
        </w:tc>
        <w:tc>
          <w:tcPr>
            <w:tcW w:w="2410" w:type="dxa"/>
          </w:tcPr>
          <w:p>
            <w:pPr>
              <w:pStyle w:val="yTableNAm"/>
            </w:pPr>
            <w:r>
              <w:t>Spiny Cheek Crayfish</w:t>
            </w:r>
          </w:p>
        </w:tc>
        <w:tc>
          <w:tcPr>
            <w:tcW w:w="2268" w:type="dxa"/>
          </w:tcPr>
          <w:p>
            <w:pPr>
              <w:pStyle w:val="yTableNAm"/>
            </w:pPr>
            <w:r>
              <w:t>Any area of the State</w:t>
            </w:r>
          </w:p>
        </w:tc>
      </w:tr>
      <w:tr>
        <w:trPr>
          <w:cantSplit/>
        </w:trPr>
        <w:tc>
          <w:tcPr>
            <w:tcW w:w="2410" w:type="dxa"/>
          </w:tcPr>
          <w:p>
            <w:pPr>
              <w:pStyle w:val="yTableNAm"/>
              <w:rPr>
                <w:i/>
              </w:rPr>
            </w:pPr>
            <w:r>
              <w:rPr>
                <w:i/>
                <w:iCs/>
              </w:rPr>
              <w:t>Orconectes virilis</w:t>
            </w:r>
          </w:p>
        </w:tc>
        <w:tc>
          <w:tcPr>
            <w:tcW w:w="2410" w:type="dxa"/>
          </w:tcPr>
          <w:p>
            <w:pPr>
              <w:pStyle w:val="yTableNAm"/>
            </w:pPr>
            <w:r>
              <w:t>Northern Crayfish, Virile Crayfish</w:t>
            </w:r>
          </w:p>
        </w:tc>
        <w:tc>
          <w:tcPr>
            <w:tcW w:w="2268" w:type="dxa"/>
          </w:tcPr>
          <w:p>
            <w:pPr>
              <w:pStyle w:val="yTableNAm"/>
            </w:pPr>
            <w:r>
              <w:t>Any area of the State</w:t>
            </w:r>
          </w:p>
        </w:tc>
      </w:tr>
      <w:tr>
        <w:trPr>
          <w:cantSplit/>
        </w:trPr>
        <w:tc>
          <w:tcPr>
            <w:tcW w:w="2410" w:type="dxa"/>
          </w:tcPr>
          <w:p>
            <w:pPr>
              <w:pStyle w:val="yTableNAm"/>
              <w:rPr>
                <w:i/>
              </w:rPr>
            </w:pPr>
            <w:r>
              <w:rPr>
                <w:i/>
              </w:rPr>
              <w:t xml:space="preserve">Oreochromis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Oxydoras </w:t>
            </w:r>
            <w:r>
              <w:t xml:space="preserve">spp. </w:t>
            </w:r>
            <w:r>
              <w:rPr>
                <w:i/>
              </w:rPr>
              <w:br/>
            </w:r>
            <w:r>
              <w:t>(entire genus)</w:t>
            </w:r>
          </w:p>
        </w:tc>
        <w:tc>
          <w:tcPr>
            <w:tcW w:w="2410" w:type="dxa"/>
          </w:tcPr>
          <w:p>
            <w:pPr>
              <w:pStyle w:val="yTableNAm"/>
            </w:pPr>
            <w:r>
              <w:t>Ripsaw Catfish, Black Doras, Black Shielded Catfish</w:t>
            </w:r>
          </w:p>
        </w:tc>
        <w:tc>
          <w:tcPr>
            <w:tcW w:w="2268" w:type="dxa"/>
          </w:tcPr>
          <w:p>
            <w:pPr>
              <w:pStyle w:val="yTableNAm"/>
            </w:pPr>
            <w:r>
              <w:t>Any area of the State</w:t>
            </w:r>
          </w:p>
        </w:tc>
      </w:tr>
      <w:tr>
        <w:trPr>
          <w:cantSplit/>
        </w:trPr>
        <w:tc>
          <w:tcPr>
            <w:tcW w:w="2410" w:type="dxa"/>
          </w:tcPr>
          <w:p>
            <w:pPr>
              <w:pStyle w:val="yTableNAm"/>
              <w:rPr>
                <w:i/>
              </w:rPr>
            </w:pPr>
            <w:r>
              <w:rPr>
                <w:i/>
              </w:rPr>
              <w:t>Oxyeleotris heterodon</w:t>
            </w:r>
          </w:p>
        </w:tc>
        <w:tc>
          <w:tcPr>
            <w:tcW w:w="2410" w:type="dxa"/>
          </w:tcPr>
          <w:p>
            <w:pPr>
              <w:pStyle w:val="yTableNAm"/>
            </w:pPr>
            <w:r>
              <w:t>Sentani Gudgeon</w:t>
            </w:r>
          </w:p>
        </w:tc>
        <w:tc>
          <w:tcPr>
            <w:tcW w:w="2268" w:type="dxa"/>
          </w:tcPr>
          <w:p>
            <w:pPr>
              <w:pStyle w:val="yTableNAm"/>
            </w:pPr>
            <w:r>
              <w:t>Any area of the State</w:t>
            </w:r>
          </w:p>
        </w:tc>
      </w:tr>
      <w:tr>
        <w:trPr>
          <w:cantSplit/>
        </w:trPr>
        <w:tc>
          <w:tcPr>
            <w:tcW w:w="2410" w:type="dxa"/>
          </w:tcPr>
          <w:p>
            <w:pPr>
              <w:pStyle w:val="yTableNAm"/>
              <w:rPr>
                <w:i/>
              </w:rPr>
            </w:pPr>
            <w:r>
              <w:rPr>
                <w:i/>
              </w:rPr>
              <w:t>Oxyeleotris marmorata</w:t>
            </w:r>
          </w:p>
        </w:tc>
        <w:tc>
          <w:tcPr>
            <w:tcW w:w="2410" w:type="dxa"/>
          </w:tcPr>
          <w:p>
            <w:pPr>
              <w:pStyle w:val="yTableNAm"/>
            </w:pPr>
            <w:r>
              <w:t>Marble Goby</w:t>
            </w:r>
          </w:p>
        </w:tc>
        <w:tc>
          <w:tcPr>
            <w:tcW w:w="2268" w:type="dxa"/>
          </w:tcPr>
          <w:p>
            <w:pPr>
              <w:pStyle w:val="yTableNAm"/>
            </w:pPr>
            <w:r>
              <w:t>Any area of the State</w:t>
            </w:r>
          </w:p>
        </w:tc>
      </w:tr>
      <w:tr>
        <w:trPr>
          <w:cantSplit/>
        </w:trPr>
        <w:tc>
          <w:tcPr>
            <w:tcW w:w="2410" w:type="dxa"/>
          </w:tcPr>
          <w:p>
            <w:pPr>
              <w:pStyle w:val="yTableNAm"/>
              <w:rPr>
                <w:i/>
              </w:rPr>
            </w:pPr>
            <w:r>
              <w:rPr>
                <w:i/>
              </w:rPr>
              <w:t>Oxyeleotris siamensis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urophthalmoides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Pachygrapsus fakaravensis</w:t>
            </w:r>
          </w:p>
        </w:tc>
        <w:tc>
          <w:tcPr>
            <w:tcW w:w="2410" w:type="dxa"/>
          </w:tcPr>
          <w:p>
            <w:pPr>
              <w:pStyle w:val="yTableNAm"/>
            </w:pPr>
            <w:r>
              <w:t>Polynesian Grapsid Crab</w:t>
            </w:r>
          </w:p>
        </w:tc>
        <w:tc>
          <w:tcPr>
            <w:tcW w:w="2268" w:type="dxa"/>
          </w:tcPr>
          <w:p>
            <w:pPr>
              <w:pStyle w:val="yTableNAm"/>
            </w:pPr>
            <w:r>
              <w:t>Any area of the State</w:t>
            </w:r>
          </w:p>
        </w:tc>
      </w:tr>
      <w:tr>
        <w:trPr>
          <w:cantSplit/>
        </w:trPr>
        <w:tc>
          <w:tcPr>
            <w:tcW w:w="2410" w:type="dxa"/>
          </w:tcPr>
          <w:p>
            <w:pPr>
              <w:pStyle w:val="yTableNAm"/>
              <w:rPr>
                <w:i/>
              </w:rPr>
            </w:pPr>
            <w:r>
              <w:rPr>
                <w:i/>
                <w:iCs/>
              </w:rPr>
              <w:t>Pacifastacus leniusculus</w:t>
            </w:r>
          </w:p>
        </w:tc>
        <w:tc>
          <w:tcPr>
            <w:tcW w:w="2410" w:type="dxa"/>
          </w:tcPr>
          <w:p>
            <w:pPr>
              <w:pStyle w:val="yTableNAm"/>
            </w:pPr>
            <w:r>
              <w:t>Signal Crayfish</w:t>
            </w:r>
          </w:p>
        </w:tc>
        <w:tc>
          <w:tcPr>
            <w:tcW w:w="2268" w:type="dxa"/>
          </w:tcPr>
          <w:p>
            <w:pPr>
              <w:pStyle w:val="yTableNAm"/>
            </w:pPr>
            <w:r>
              <w:t>Any area of the State</w:t>
            </w:r>
          </w:p>
        </w:tc>
      </w:tr>
      <w:tr>
        <w:trPr>
          <w:cantSplit/>
        </w:trPr>
        <w:tc>
          <w:tcPr>
            <w:tcW w:w="2410" w:type="dxa"/>
          </w:tcPr>
          <w:p>
            <w:pPr>
              <w:pStyle w:val="yTableNAm"/>
              <w:rPr>
                <w:i/>
              </w:rPr>
            </w:pPr>
            <w:r>
              <w:rPr>
                <w:i/>
              </w:rPr>
              <w:t>Pangasianodon gigas</w:t>
            </w:r>
          </w:p>
        </w:tc>
        <w:tc>
          <w:tcPr>
            <w:tcW w:w="2410" w:type="dxa"/>
          </w:tcPr>
          <w:p>
            <w:pPr>
              <w:pStyle w:val="yTableNAm"/>
            </w:pPr>
            <w:r>
              <w:t>Mekong Giant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bedado</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bocourti</w:t>
            </w:r>
          </w:p>
        </w:tc>
        <w:tc>
          <w:tcPr>
            <w:tcW w:w="2410" w:type="dxa"/>
            <w:vAlign w:val="bottom"/>
          </w:tcPr>
          <w:p>
            <w:pPr>
              <w:pStyle w:val="yTableNAm"/>
              <w:rPr>
                <w:szCs w:val="22"/>
              </w:rPr>
            </w:pPr>
            <w:r>
              <w:rPr>
                <w:szCs w:val="22"/>
              </w:rPr>
              <w:t xml:space="preserve">Basa </w:t>
            </w:r>
            <w:r>
              <w:t>Fish</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conchophilus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djambal</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Pangasius elongatus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humeralis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kinabatanganensis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krempfi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kunyit</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larnaudii</w:t>
            </w:r>
          </w:p>
        </w:tc>
        <w:tc>
          <w:tcPr>
            <w:tcW w:w="2410" w:type="dxa"/>
          </w:tcPr>
          <w:p>
            <w:pPr>
              <w:pStyle w:val="yTableNAm"/>
            </w:pPr>
            <w:r>
              <w:t>Spot Pangasius</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lithostoma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macronema</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mahakamensis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mekongensis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myanmar</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nasutus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nieuwenhuisii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pangasius</w:t>
            </w:r>
          </w:p>
        </w:tc>
        <w:tc>
          <w:tcPr>
            <w:tcW w:w="2410" w:type="dxa"/>
          </w:tcPr>
          <w:p>
            <w:pPr>
              <w:pStyle w:val="yTableNAm"/>
            </w:pPr>
            <w:r>
              <w:t>Yellowtailed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polyuranodon</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rheophilus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sabahensis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Pangasius sanitwongsei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tubbi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Paratrygon aiereba</w:t>
            </w:r>
          </w:p>
        </w:tc>
        <w:tc>
          <w:tcPr>
            <w:tcW w:w="2410" w:type="dxa"/>
          </w:tcPr>
          <w:p>
            <w:pPr>
              <w:pStyle w:val="yTableNAm"/>
            </w:pPr>
            <w:r>
              <w:t>Discus Ray</w:t>
            </w:r>
          </w:p>
        </w:tc>
        <w:tc>
          <w:tcPr>
            <w:tcW w:w="2268" w:type="dxa"/>
          </w:tcPr>
          <w:p>
            <w:pPr>
              <w:pStyle w:val="yTableNAm"/>
            </w:pPr>
            <w:r>
              <w:t>Any area of the State</w:t>
            </w:r>
          </w:p>
        </w:tc>
      </w:tr>
      <w:tr>
        <w:trPr>
          <w:cantSplit/>
        </w:trPr>
        <w:tc>
          <w:tcPr>
            <w:tcW w:w="2410" w:type="dxa"/>
          </w:tcPr>
          <w:p>
            <w:pPr>
              <w:pStyle w:val="yTableNAm"/>
              <w:rPr>
                <w:i/>
              </w:rPr>
            </w:pPr>
            <w:r>
              <w:rPr>
                <w:i/>
              </w:rPr>
              <w:t>Paravandelia oxyptera</w:t>
            </w:r>
          </w:p>
        </w:tc>
        <w:tc>
          <w:tcPr>
            <w:tcW w:w="2410" w:type="dxa"/>
          </w:tcPr>
          <w:p>
            <w:pPr>
              <w:pStyle w:val="yTableNAm"/>
            </w:pPr>
            <w:r>
              <w:t>Parasitic Catfish</w:t>
            </w:r>
          </w:p>
        </w:tc>
        <w:tc>
          <w:tcPr>
            <w:tcW w:w="2268" w:type="dxa"/>
          </w:tcPr>
          <w:p>
            <w:pPr>
              <w:pStyle w:val="yTableNAm"/>
            </w:pPr>
            <w:r>
              <w:t>Any area of the State</w:t>
            </w:r>
          </w:p>
        </w:tc>
      </w:tr>
      <w:tr>
        <w:trPr>
          <w:cantSplit/>
        </w:trPr>
        <w:tc>
          <w:tcPr>
            <w:tcW w:w="2410" w:type="dxa"/>
          </w:tcPr>
          <w:p>
            <w:pPr>
              <w:pStyle w:val="yTableNAm"/>
              <w:rPr>
                <w:i/>
              </w:rPr>
            </w:pPr>
            <w:r>
              <w:rPr>
                <w:i/>
              </w:rPr>
              <w:t>Perna canaliculus</w:t>
            </w:r>
          </w:p>
        </w:tc>
        <w:tc>
          <w:tcPr>
            <w:tcW w:w="2410" w:type="dxa"/>
          </w:tcPr>
          <w:p>
            <w:pPr>
              <w:pStyle w:val="yTableNAm"/>
            </w:pPr>
            <w:r>
              <w:t>New Zealand Mussel, New Zealand Green</w:t>
            </w:r>
            <w:r>
              <w:noBreakHyphen/>
              <w:t>lipped Mussel, Greenshell Mussel, Kuku, Kutai</w:t>
            </w:r>
          </w:p>
        </w:tc>
        <w:tc>
          <w:tcPr>
            <w:tcW w:w="2268" w:type="dxa"/>
          </w:tcPr>
          <w:p>
            <w:pPr>
              <w:pStyle w:val="yTableNAm"/>
            </w:pPr>
            <w:r>
              <w:t>Any area of the State</w:t>
            </w:r>
          </w:p>
        </w:tc>
      </w:tr>
      <w:tr>
        <w:trPr>
          <w:cantSplit/>
        </w:trPr>
        <w:tc>
          <w:tcPr>
            <w:tcW w:w="2410" w:type="dxa"/>
          </w:tcPr>
          <w:p>
            <w:pPr>
              <w:pStyle w:val="yTableNAm"/>
              <w:rPr>
                <w:i/>
              </w:rPr>
            </w:pPr>
            <w:r>
              <w:rPr>
                <w:i/>
              </w:rPr>
              <w:t>Perna perna</w:t>
            </w:r>
          </w:p>
        </w:tc>
        <w:tc>
          <w:tcPr>
            <w:tcW w:w="2410" w:type="dxa"/>
          </w:tcPr>
          <w:p>
            <w:pPr>
              <w:pStyle w:val="yTableNAm"/>
            </w:pPr>
            <w:r>
              <w:t>Brown Mussel</w:t>
            </w:r>
          </w:p>
        </w:tc>
        <w:tc>
          <w:tcPr>
            <w:tcW w:w="2268" w:type="dxa"/>
          </w:tcPr>
          <w:p>
            <w:pPr>
              <w:pStyle w:val="yTableNAm"/>
            </w:pPr>
            <w:r>
              <w:t>Any area of the State</w:t>
            </w:r>
          </w:p>
        </w:tc>
      </w:tr>
      <w:tr>
        <w:trPr>
          <w:cantSplit/>
        </w:trPr>
        <w:tc>
          <w:tcPr>
            <w:tcW w:w="2410" w:type="dxa"/>
          </w:tcPr>
          <w:p>
            <w:pPr>
              <w:pStyle w:val="yTableNAm"/>
              <w:rPr>
                <w:i/>
              </w:rPr>
            </w:pPr>
            <w:r>
              <w:rPr>
                <w:i/>
              </w:rPr>
              <w:t>Perna viridis</w:t>
            </w:r>
          </w:p>
        </w:tc>
        <w:tc>
          <w:tcPr>
            <w:tcW w:w="2410" w:type="dxa"/>
          </w:tcPr>
          <w:p>
            <w:pPr>
              <w:pStyle w:val="yTableNAm"/>
            </w:pPr>
            <w:r>
              <w:t>Asian Green Mussel</w:t>
            </w:r>
          </w:p>
        </w:tc>
        <w:tc>
          <w:tcPr>
            <w:tcW w:w="2268" w:type="dxa"/>
          </w:tcPr>
          <w:p>
            <w:pPr>
              <w:pStyle w:val="yTableNAm"/>
            </w:pPr>
            <w:r>
              <w:t>Any area of the State</w:t>
            </w:r>
          </w:p>
        </w:tc>
      </w:tr>
      <w:tr>
        <w:trPr>
          <w:cantSplit/>
        </w:trPr>
        <w:tc>
          <w:tcPr>
            <w:tcW w:w="2410" w:type="dxa"/>
          </w:tcPr>
          <w:p>
            <w:pPr>
              <w:pStyle w:val="yTableNAm"/>
              <w:rPr>
                <w:i/>
              </w:rPr>
            </w:pPr>
            <w:r>
              <w:rPr>
                <w:i/>
              </w:rPr>
              <w:t>Phoxinus erythrogaster</w:t>
            </w:r>
          </w:p>
        </w:tc>
        <w:tc>
          <w:tcPr>
            <w:tcW w:w="2410" w:type="dxa"/>
          </w:tcPr>
          <w:p>
            <w:pPr>
              <w:pStyle w:val="yTableNAm"/>
            </w:pPr>
            <w:r>
              <w:t>Southern Redbelly Dace</w:t>
            </w:r>
          </w:p>
        </w:tc>
        <w:tc>
          <w:tcPr>
            <w:tcW w:w="2268" w:type="dxa"/>
          </w:tcPr>
          <w:p>
            <w:pPr>
              <w:pStyle w:val="yTableNAm"/>
            </w:pPr>
            <w:r>
              <w:t>Any area of the State</w:t>
            </w:r>
          </w:p>
        </w:tc>
      </w:tr>
      <w:tr>
        <w:trPr>
          <w:cantSplit/>
        </w:trPr>
        <w:tc>
          <w:tcPr>
            <w:tcW w:w="2410" w:type="dxa"/>
          </w:tcPr>
          <w:p>
            <w:pPr>
              <w:pStyle w:val="yTableNAm"/>
              <w:rPr>
                <w:i/>
              </w:rPr>
            </w:pPr>
            <w:r>
              <w:rPr>
                <w:i/>
              </w:rPr>
              <w:t>Polyodon spathula</w:t>
            </w:r>
          </w:p>
        </w:tc>
        <w:tc>
          <w:tcPr>
            <w:tcW w:w="2410" w:type="dxa"/>
          </w:tcPr>
          <w:p>
            <w:pPr>
              <w:pStyle w:val="yTableNAm"/>
            </w:pPr>
            <w:r>
              <w:t>Mississippi Paddlefish</w:t>
            </w:r>
          </w:p>
        </w:tc>
        <w:tc>
          <w:tcPr>
            <w:tcW w:w="2268" w:type="dxa"/>
          </w:tcPr>
          <w:p>
            <w:pPr>
              <w:pStyle w:val="yTableNAm"/>
            </w:pPr>
            <w:r>
              <w:t>Any area of the State</w:t>
            </w:r>
          </w:p>
        </w:tc>
      </w:tr>
      <w:tr>
        <w:trPr>
          <w:cantSplit/>
        </w:trPr>
        <w:tc>
          <w:tcPr>
            <w:tcW w:w="2410" w:type="dxa"/>
          </w:tcPr>
          <w:p>
            <w:pPr>
              <w:pStyle w:val="yTableNAm"/>
              <w:rPr>
                <w:i/>
              </w:rPr>
            </w:pPr>
            <w:r>
              <w:rPr>
                <w:i/>
              </w:rPr>
              <w:t xml:space="preserve">Potamocorbula amurensis </w:t>
            </w:r>
            <w:r>
              <w:t>(syn.</w:t>
            </w:r>
            <w:r>
              <w:rPr>
                <w:i/>
              </w:rPr>
              <w:t xml:space="preserve"> Corbula amurensis</w:t>
            </w:r>
            <w:r>
              <w:t>)</w:t>
            </w:r>
          </w:p>
        </w:tc>
        <w:tc>
          <w:tcPr>
            <w:tcW w:w="2410" w:type="dxa"/>
          </w:tcPr>
          <w:p>
            <w:pPr>
              <w:pStyle w:val="yTableNAm"/>
            </w:pPr>
            <w:r>
              <w:t>Asian Clam, Amur River Clam, Overbite Clam, Brackish</w:t>
            </w:r>
            <w:r>
              <w:noBreakHyphen/>
              <w:t>water Corbula</w:t>
            </w:r>
          </w:p>
        </w:tc>
        <w:tc>
          <w:tcPr>
            <w:tcW w:w="2268" w:type="dxa"/>
          </w:tcPr>
          <w:p>
            <w:pPr>
              <w:pStyle w:val="yTableNAm"/>
            </w:pPr>
            <w:r>
              <w:t>Any area of the State</w:t>
            </w:r>
          </w:p>
        </w:tc>
      </w:tr>
      <w:tr>
        <w:trPr>
          <w:cantSplit/>
        </w:trPr>
        <w:tc>
          <w:tcPr>
            <w:tcW w:w="2410" w:type="dxa"/>
          </w:tcPr>
          <w:p>
            <w:pPr>
              <w:pStyle w:val="yTableNAm"/>
              <w:rPr>
                <w:i/>
              </w:rPr>
            </w:pPr>
            <w:r>
              <w:rPr>
                <w:i/>
              </w:rPr>
              <w:t>Procambarus clarkii</w:t>
            </w:r>
          </w:p>
        </w:tc>
        <w:tc>
          <w:tcPr>
            <w:tcW w:w="2410" w:type="dxa"/>
          </w:tcPr>
          <w:p>
            <w:pPr>
              <w:pStyle w:val="yTableNAm"/>
            </w:pPr>
            <w:r>
              <w:t>Red Swamp Crayfish</w:t>
            </w:r>
          </w:p>
        </w:tc>
        <w:tc>
          <w:tcPr>
            <w:tcW w:w="2268" w:type="dxa"/>
          </w:tcPr>
          <w:p>
            <w:pPr>
              <w:pStyle w:val="yTableNAm"/>
            </w:pPr>
            <w:r>
              <w:t>Any area of the State</w:t>
            </w:r>
          </w:p>
        </w:tc>
      </w:tr>
      <w:tr>
        <w:trPr>
          <w:cantSplit/>
        </w:trPr>
        <w:tc>
          <w:tcPr>
            <w:tcW w:w="2410" w:type="dxa"/>
          </w:tcPr>
          <w:p>
            <w:pPr>
              <w:pStyle w:val="yTableNAm"/>
              <w:rPr>
                <w:i/>
              </w:rPr>
            </w:pPr>
            <w:r>
              <w:rPr>
                <w:i/>
                <w:iCs/>
              </w:rPr>
              <w:t>Procambarus fallax f. virginalis</w:t>
            </w:r>
          </w:p>
        </w:tc>
        <w:tc>
          <w:tcPr>
            <w:tcW w:w="2410" w:type="dxa"/>
          </w:tcPr>
          <w:p>
            <w:pPr>
              <w:pStyle w:val="yTableNAm"/>
            </w:pPr>
            <w:r>
              <w:t>Marbled Crayfish, Marmorkrebs</w:t>
            </w:r>
          </w:p>
        </w:tc>
        <w:tc>
          <w:tcPr>
            <w:tcW w:w="2268" w:type="dxa"/>
          </w:tcPr>
          <w:p>
            <w:pPr>
              <w:pStyle w:val="yTableNAm"/>
            </w:pPr>
            <w:r>
              <w:t>Any area of the State</w:t>
            </w:r>
          </w:p>
        </w:tc>
      </w:tr>
      <w:tr>
        <w:trPr>
          <w:cantSplit/>
        </w:trPr>
        <w:tc>
          <w:tcPr>
            <w:tcW w:w="2410" w:type="dxa"/>
          </w:tcPr>
          <w:p>
            <w:pPr>
              <w:pStyle w:val="yTableNAm"/>
              <w:rPr>
                <w:i/>
              </w:rPr>
            </w:pPr>
            <w:r>
              <w:rPr>
                <w:i/>
              </w:rPr>
              <w:t>Protopterus aethiopicus</w:t>
            </w:r>
          </w:p>
        </w:tc>
        <w:tc>
          <w:tcPr>
            <w:tcW w:w="2410" w:type="dxa"/>
          </w:tcPr>
          <w:p>
            <w:pPr>
              <w:pStyle w:val="yTableNAm"/>
            </w:pPr>
            <w:r>
              <w:t>Marbled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amphibius</w:t>
            </w:r>
          </w:p>
        </w:tc>
        <w:tc>
          <w:tcPr>
            <w:tcW w:w="2410" w:type="dxa"/>
          </w:tcPr>
          <w:p>
            <w:pPr>
              <w:pStyle w:val="yTableNAm"/>
            </w:pPr>
            <w:r>
              <w:t>Gilled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annectens</w:t>
            </w:r>
          </w:p>
        </w:tc>
        <w:tc>
          <w:tcPr>
            <w:tcW w:w="2410" w:type="dxa"/>
          </w:tcPr>
          <w:p>
            <w:pPr>
              <w:pStyle w:val="yTableNAm"/>
            </w:pPr>
            <w:r>
              <w:t>African Lungfish</w:t>
            </w:r>
          </w:p>
        </w:tc>
        <w:tc>
          <w:tcPr>
            <w:tcW w:w="2268" w:type="dxa"/>
          </w:tcPr>
          <w:p>
            <w:pPr>
              <w:pStyle w:val="yTableNAm"/>
            </w:pPr>
            <w:r>
              <w:t>Any area of the State</w:t>
            </w:r>
          </w:p>
        </w:tc>
      </w:tr>
      <w:tr>
        <w:trPr>
          <w:cantSplit/>
        </w:trPr>
        <w:tc>
          <w:tcPr>
            <w:tcW w:w="2410" w:type="dxa"/>
          </w:tcPr>
          <w:p>
            <w:pPr>
              <w:pStyle w:val="yTableNAm"/>
              <w:rPr>
                <w:i/>
              </w:rPr>
            </w:pPr>
            <w:r>
              <w:rPr>
                <w:i/>
              </w:rPr>
              <w:t>Protopterus dolloi</w:t>
            </w:r>
          </w:p>
        </w:tc>
        <w:tc>
          <w:tcPr>
            <w:tcW w:w="2410" w:type="dxa"/>
          </w:tcPr>
          <w:p>
            <w:pPr>
              <w:pStyle w:val="yTableNAm"/>
            </w:pPr>
            <w:r>
              <w:t>Slender Lungfish</w:t>
            </w:r>
          </w:p>
        </w:tc>
        <w:tc>
          <w:tcPr>
            <w:tcW w:w="2268" w:type="dxa"/>
          </w:tcPr>
          <w:p>
            <w:pPr>
              <w:pStyle w:val="yTableNAm"/>
            </w:pPr>
            <w:r>
              <w:t>Any area of the State</w:t>
            </w:r>
          </w:p>
        </w:tc>
      </w:tr>
      <w:tr>
        <w:trPr>
          <w:cantSplit/>
        </w:trPr>
        <w:tc>
          <w:tcPr>
            <w:tcW w:w="2410" w:type="dxa"/>
          </w:tcPr>
          <w:p>
            <w:pPr>
              <w:pStyle w:val="yTableNAm"/>
              <w:rPr>
                <w:i/>
              </w:rPr>
            </w:pPr>
            <w:r>
              <w:rPr>
                <w:i/>
              </w:rPr>
              <w:t>Psephurus gladius</w:t>
            </w:r>
          </w:p>
        </w:tc>
        <w:tc>
          <w:tcPr>
            <w:tcW w:w="2410" w:type="dxa"/>
          </w:tcPr>
          <w:p>
            <w:pPr>
              <w:pStyle w:val="yTableNAm"/>
            </w:pPr>
            <w:r>
              <w:t>Chinese Swordfish</w:t>
            </w:r>
          </w:p>
        </w:tc>
        <w:tc>
          <w:tcPr>
            <w:tcW w:w="2268" w:type="dxa"/>
          </w:tcPr>
          <w:p>
            <w:pPr>
              <w:pStyle w:val="yTableNAm"/>
            </w:pPr>
            <w:r>
              <w:t>Any area of the State</w:t>
            </w:r>
          </w:p>
        </w:tc>
      </w:tr>
      <w:tr>
        <w:trPr>
          <w:cantSplit/>
        </w:trPr>
        <w:tc>
          <w:tcPr>
            <w:tcW w:w="2410" w:type="dxa"/>
          </w:tcPr>
          <w:p>
            <w:pPr>
              <w:pStyle w:val="yTableNAm"/>
              <w:rPr>
                <w:i/>
              </w:rPr>
            </w:pPr>
            <w:r>
              <w:rPr>
                <w:i/>
              </w:rPr>
              <w:t>Pseudodiaptomus marinus</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Pseudoplatystoma fasciatum</w:t>
            </w:r>
          </w:p>
        </w:tc>
        <w:tc>
          <w:tcPr>
            <w:tcW w:w="2410" w:type="dxa"/>
          </w:tcPr>
          <w:p>
            <w:pPr>
              <w:pStyle w:val="yTableNAm"/>
            </w:pPr>
            <w:r>
              <w:t>Tiger Catfish</w:t>
            </w:r>
          </w:p>
        </w:tc>
        <w:tc>
          <w:tcPr>
            <w:tcW w:w="2268" w:type="dxa"/>
          </w:tcPr>
          <w:p>
            <w:pPr>
              <w:pStyle w:val="yTableNAm"/>
            </w:pPr>
            <w:r>
              <w:t>Any area of the State</w:t>
            </w:r>
          </w:p>
        </w:tc>
      </w:tr>
      <w:tr>
        <w:trPr>
          <w:cantSplit/>
        </w:trPr>
        <w:tc>
          <w:tcPr>
            <w:tcW w:w="2410" w:type="dxa"/>
          </w:tcPr>
          <w:p>
            <w:pPr>
              <w:pStyle w:val="yTableNAm"/>
              <w:rPr>
                <w:i/>
              </w:rPr>
            </w:pPr>
            <w:r>
              <w:rPr>
                <w:i/>
              </w:rPr>
              <w:t>Pungitius pungitius</w:t>
            </w:r>
          </w:p>
        </w:tc>
        <w:tc>
          <w:tcPr>
            <w:tcW w:w="2410" w:type="dxa"/>
          </w:tcPr>
          <w:p>
            <w:pPr>
              <w:pStyle w:val="yTableNAm"/>
            </w:pPr>
            <w:r>
              <w:t>Ninespine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Pygocentrus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Pylodictis olivaris</w:t>
            </w:r>
          </w:p>
        </w:tc>
        <w:tc>
          <w:tcPr>
            <w:tcW w:w="2410" w:type="dxa"/>
          </w:tcPr>
          <w:p>
            <w:pPr>
              <w:pStyle w:val="yTableNAm"/>
            </w:pPr>
            <w:r>
              <w:t>Flathead Catfish</w:t>
            </w:r>
          </w:p>
        </w:tc>
        <w:tc>
          <w:tcPr>
            <w:tcW w:w="2268" w:type="dxa"/>
          </w:tcPr>
          <w:p>
            <w:pPr>
              <w:pStyle w:val="yTableNAm"/>
            </w:pPr>
            <w:r>
              <w:t>Any area of the State</w:t>
            </w:r>
          </w:p>
        </w:tc>
      </w:tr>
      <w:tr>
        <w:trPr>
          <w:cantSplit/>
        </w:trPr>
        <w:tc>
          <w:tcPr>
            <w:tcW w:w="2410" w:type="dxa"/>
          </w:tcPr>
          <w:p>
            <w:pPr>
              <w:pStyle w:val="yTableNAm"/>
              <w:rPr>
                <w:i/>
              </w:rPr>
            </w:pPr>
            <w:r>
              <w:rPr>
                <w:i/>
              </w:rPr>
              <w:t>Rapana venosa</w:t>
            </w:r>
            <w:r>
              <w:rPr>
                <w:i/>
              </w:rPr>
              <w:br/>
            </w:r>
            <w:r>
              <w:t>(syn.</w:t>
            </w:r>
            <w:r>
              <w:rPr>
                <w:i/>
              </w:rPr>
              <w:t xml:space="preserve"> R. thomasiana</w:t>
            </w:r>
            <w:r>
              <w:t>)</w:t>
            </w:r>
          </w:p>
        </w:tc>
        <w:tc>
          <w:tcPr>
            <w:tcW w:w="2410" w:type="dxa"/>
          </w:tcPr>
          <w:p>
            <w:pPr>
              <w:pStyle w:val="yTableNAm"/>
            </w:pPr>
            <w:r>
              <w:t>Asian Rapa Whelk, Veined Rapa Whelk</w:t>
            </w:r>
          </w:p>
        </w:tc>
        <w:tc>
          <w:tcPr>
            <w:tcW w:w="2268" w:type="dxa"/>
          </w:tcPr>
          <w:p>
            <w:pPr>
              <w:pStyle w:val="yTableNAm"/>
            </w:pPr>
            <w:r>
              <w:t>Any area of the State</w:t>
            </w:r>
          </w:p>
        </w:tc>
      </w:tr>
      <w:tr>
        <w:trPr>
          <w:cantSplit/>
        </w:trPr>
        <w:tc>
          <w:tcPr>
            <w:tcW w:w="2410" w:type="dxa"/>
          </w:tcPr>
          <w:p>
            <w:pPr>
              <w:pStyle w:val="yTableNAm"/>
              <w:rPr>
                <w:i/>
              </w:rPr>
            </w:pPr>
            <w:r>
              <w:rPr>
                <w:i/>
              </w:rPr>
              <w:t>Rhithropanopeus harrisii</w:t>
            </w:r>
          </w:p>
        </w:tc>
        <w:tc>
          <w:tcPr>
            <w:tcW w:w="2410" w:type="dxa"/>
          </w:tcPr>
          <w:p>
            <w:pPr>
              <w:pStyle w:val="yTableNAm"/>
            </w:pPr>
            <w:r>
              <w:t>Harris Mud Crab, White</w:t>
            </w:r>
            <w:r>
              <w:noBreakHyphen/>
              <w:t>fingered Mud Crab, Zuiderzee Crab</w:t>
            </w:r>
          </w:p>
        </w:tc>
        <w:tc>
          <w:tcPr>
            <w:tcW w:w="2268" w:type="dxa"/>
          </w:tcPr>
          <w:p>
            <w:pPr>
              <w:pStyle w:val="yTableNAm"/>
            </w:pPr>
            <w:r>
              <w:t>Any area of the State</w:t>
            </w:r>
          </w:p>
        </w:tc>
      </w:tr>
      <w:tr>
        <w:trPr>
          <w:cantSplit/>
        </w:trPr>
        <w:tc>
          <w:tcPr>
            <w:tcW w:w="2410" w:type="dxa"/>
          </w:tcPr>
          <w:p>
            <w:pPr>
              <w:pStyle w:val="yTableNAm"/>
              <w:rPr>
                <w:i/>
              </w:rPr>
            </w:pPr>
            <w:r>
              <w:rPr>
                <w:i/>
              </w:rPr>
              <w:t>Rutilus rutilus</w:t>
            </w:r>
          </w:p>
        </w:tc>
        <w:tc>
          <w:tcPr>
            <w:tcW w:w="2410" w:type="dxa"/>
          </w:tcPr>
          <w:p>
            <w:pPr>
              <w:pStyle w:val="yTableNAm"/>
            </w:pPr>
            <w:r>
              <w:t>Roach</w:t>
            </w:r>
          </w:p>
        </w:tc>
        <w:tc>
          <w:tcPr>
            <w:tcW w:w="2268" w:type="dxa"/>
          </w:tcPr>
          <w:p>
            <w:pPr>
              <w:pStyle w:val="yTableNAm"/>
            </w:pPr>
            <w:r>
              <w:t>Any area of the State</w:t>
            </w:r>
          </w:p>
        </w:tc>
      </w:tr>
      <w:tr>
        <w:trPr>
          <w:cantSplit/>
        </w:trPr>
        <w:tc>
          <w:tcPr>
            <w:tcW w:w="2410" w:type="dxa"/>
          </w:tcPr>
          <w:p>
            <w:pPr>
              <w:pStyle w:val="yTableNAm"/>
              <w:rPr>
                <w:i/>
              </w:rPr>
            </w:pPr>
            <w:r>
              <w:rPr>
                <w:i/>
              </w:rPr>
              <w:t>Sabella spallanzanii</w:t>
            </w:r>
          </w:p>
        </w:tc>
        <w:tc>
          <w:tcPr>
            <w:tcW w:w="2410" w:type="dxa"/>
          </w:tcPr>
          <w:p>
            <w:pPr>
              <w:pStyle w:val="yTableNAm"/>
            </w:pPr>
            <w:r>
              <w:t>European Fan Worm</w:t>
            </w:r>
          </w:p>
        </w:tc>
        <w:tc>
          <w:tcPr>
            <w:tcW w:w="2268" w:type="dxa"/>
          </w:tcPr>
          <w:p>
            <w:pPr>
              <w:pStyle w:val="yTableNAm"/>
            </w:pPr>
            <w:r>
              <w:t>Any area of the State except in the West Coast Region and the South Coast Region</w:t>
            </w:r>
          </w:p>
        </w:tc>
      </w:tr>
      <w:tr>
        <w:trPr>
          <w:cantSplit/>
        </w:trPr>
        <w:tc>
          <w:tcPr>
            <w:tcW w:w="2410" w:type="dxa"/>
          </w:tcPr>
          <w:p>
            <w:pPr>
              <w:pStyle w:val="yTableNAm"/>
              <w:rPr>
                <w:i/>
              </w:rPr>
            </w:pPr>
            <w:r>
              <w:rPr>
                <w:i/>
              </w:rPr>
              <w:t>Sargassum muticum</w:t>
            </w:r>
          </w:p>
        </w:tc>
        <w:tc>
          <w:tcPr>
            <w:tcW w:w="2410" w:type="dxa"/>
          </w:tcPr>
          <w:p>
            <w:pPr>
              <w:pStyle w:val="yTableNAm"/>
            </w:pPr>
            <w:r>
              <w:t>Japweed, Wireweed, Strangle Weed</w:t>
            </w:r>
          </w:p>
        </w:tc>
        <w:tc>
          <w:tcPr>
            <w:tcW w:w="2268" w:type="dxa"/>
          </w:tcPr>
          <w:p>
            <w:pPr>
              <w:pStyle w:val="yTableNAm"/>
            </w:pPr>
            <w:r>
              <w:t>Any area of the State</w:t>
            </w:r>
          </w:p>
        </w:tc>
      </w:tr>
      <w:tr>
        <w:trPr>
          <w:cantSplit/>
        </w:trPr>
        <w:tc>
          <w:tcPr>
            <w:tcW w:w="2410" w:type="dxa"/>
          </w:tcPr>
          <w:p>
            <w:pPr>
              <w:pStyle w:val="yTableNAm"/>
              <w:rPr>
                <w:i/>
              </w:rPr>
            </w:pPr>
            <w:r>
              <w:rPr>
                <w:i/>
              </w:rPr>
              <w:t xml:space="preserve">Sargochromis </w:t>
            </w:r>
            <w:r>
              <w:t>spp. (entire genus)</w:t>
            </w:r>
          </w:p>
        </w:tc>
        <w:tc>
          <w:tcPr>
            <w:tcW w:w="2410" w:type="dxa"/>
          </w:tcPr>
          <w:p>
            <w:pPr>
              <w:pStyle w:val="yTableNAm"/>
            </w:pPr>
            <w:r>
              <w:t>Pink, Slender, Greenwood’s, Mortimer’s, Cunene and Green Happy</w:t>
            </w:r>
          </w:p>
        </w:tc>
        <w:tc>
          <w:tcPr>
            <w:tcW w:w="2268" w:type="dxa"/>
          </w:tcPr>
          <w:p>
            <w:pPr>
              <w:pStyle w:val="yTableNAm"/>
            </w:pPr>
            <w:r>
              <w:t>Any area of the State</w:t>
            </w:r>
          </w:p>
        </w:tc>
      </w:tr>
      <w:tr>
        <w:trPr>
          <w:cantSplit/>
        </w:trPr>
        <w:tc>
          <w:tcPr>
            <w:tcW w:w="2410" w:type="dxa"/>
          </w:tcPr>
          <w:p>
            <w:pPr>
              <w:pStyle w:val="yTableNAm"/>
              <w:rPr>
                <w:i/>
              </w:rPr>
            </w:pPr>
            <w:r>
              <w:rPr>
                <w:i/>
              </w:rPr>
              <w:t xml:space="preserve">Sarotherodon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angolensis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banguelensis</w:t>
            </w:r>
          </w:p>
        </w:tc>
        <w:tc>
          <w:tcPr>
            <w:tcW w:w="2410" w:type="dxa"/>
            <w:vAlign w:val="bottom"/>
          </w:tcPr>
          <w:p>
            <w:pPr>
              <w:pStyle w:val="yTableNAm"/>
              <w:rPr>
                <w:szCs w:val="22"/>
              </w:rPr>
            </w:pPr>
            <w:r>
              <w:rPr>
                <w:szCs w:val="22"/>
              </w:rPr>
              <w:t xml:space="preserve">Golden Barbel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Schilbe bocagii</w:t>
            </w:r>
          </w:p>
        </w:tc>
        <w:tc>
          <w:tcPr>
            <w:tcW w:w="2410" w:type="dxa"/>
            <w:vAlign w:val="bottom"/>
          </w:tcPr>
          <w:p>
            <w:pPr>
              <w:pStyle w:val="yTableNAm"/>
              <w:rPr>
                <w:szCs w:val="22"/>
              </w:rPr>
            </w:pPr>
          </w:p>
        </w:tc>
        <w:tc>
          <w:tcPr>
            <w:tcW w:w="2268" w:type="dxa"/>
          </w:tcPr>
          <w:p>
            <w:pPr>
              <w:pStyle w:val="yTableNAm"/>
              <w:rPr>
                <w:szCs w:val="22"/>
              </w:rPr>
            </w:pPr>
            <w:r>
              <w:rPr>
                <w:szCs w:val="22"/>
              </w:rPr>
              <w:t>Any</w:t>
            </w:r>
            <w:r>
              <w:t xml:space="preserve"> </w:t>
            </w:r>
            <w:r>
              <w:rPr>
                <w:szCs w:val="22"/>
              </w:rPr>
              <w:t>area of the State</w:t>
            </w:r>
          </w:p>
        </w:tc>
      </w:tr>
      <w:tr>
        <w:trPr>
          <w:cantSplit/>
        </w:trPr>
        <w:tc>
          <w:tcPr>
            <w:tcW w:w="2410" w:type="dxa"/>
            <w:vAlign w:val="bottom"/>
          </w:tcPr>
          <w:p>
            <w:pPr>
              <w:pStyle w:val="yTableNAm"/>
              <w:rPr>
                <w:i/>
              </w:rPr>
            </w:pPr>
            <w:r>
              <w:rPr>
                <w:i/>
              </w:rPr>
              <w:t>Schilbe brevianalis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congensis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djemeri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durinii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grenfelli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Schilbe intermedius</w:t>
            </w:r>
          </w:p>
        </w:tc>
        <w:tc>
          <w:tcPr>
            <w:tcW w:w="2410" w:type="dxa"/>
          </w:tcPr>
          <w:p>
            <w:pPr>
              <w:pStyle w:val="yTableNAm"/>
            </w:pPr>
            <w:r>
              <w:t>Silver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laticeps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mandibularis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marmoratus</w:t>
            </w:r>
          </w:p>
        </w:tc>
        <w:tc>
          <w:tcPr>
            <w:tcW w:w="2410" w:type="dxa"/>
          </w:tcPr>
          <w:p>
            <w:pPr>
              <w:pStyle w:val="yTableNAm"/>
            </w:pPr>
            <w:r>
              <w:t>Shoulderspot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micropogon</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moebiusii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multitaeniatus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mystus</w:t>
            </w:r>
          </w:p>
        </w:tc>
        <w:tc>
          <w:tcPr>
            <w:tcW w:w="2410" w:type="dxa"/>
          </w:tcPr>
          <w:p>
            <w:pPr>
              <w:pStyle w:val="yTableNAm"/>
            </w:pPr>
            <w:r>
              <w:t>African Butter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nyongensis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tumbanus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uranoscopus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yangambianus</w:t>
            </w:r>
          </w:p>
        </w:tc>
        <w:tc>
          <w:tcPr>
            <w:tcW w:w="2410" w:type="dxa"/>
            <w:vAlign w:val="bottom"/>
          </w:tcPr>
          <w:p>
            <w:pPr>
              <w:pStyle w:val="yTableNAm"/>
              <w:rPr>
                <w:szCs w:val="22"/>
              </w:rPr>
            </w:pPr>
            <w:r>
              <w:rPr>
                <w:szCs w:val="22"/>
              </w:rPr>
              <w:t xml:space="preserve">Yangambi </w:t>
            </w:r>
            <w:r>
              <w:t>Butterbarbel</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zairensis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 xml:space="preserve">Serranochromis </w:t>
            </w:r>
            <w:r>
              <w:t>spp. (entire genus)</w:t>
            </w:r>
          </w:p>
        </w:tc>
        <w:tc>
          <w:tcPr>
            <w:tcW w:w="2410" w:type="dxa"/>
          </w:tcPr>
          <w:p>
            <w:pPr>
              <w:pStyle w:val="yTableNAm"/>
            </w:pPr>
            <w:r>
              <w:t>Cichlids</w:t>
            </w:r>
          </w:p>
        </w:tc>
        <w:tc>
          <w:tcPr>
            <w:tcW w:w="2268" w:type="dxa"/>
          </w:tcPr>
          <w:p>
            <w:pPr>
              <w:pStyle w:val="yTableNAm"/>
            </w:pPr>
            <w:r>
              <w:t>Any area of the State</w:t>
            </w:r>
          </w:p>
        </w:tc>
      </w:tr>
      <w:tr>
        <w:trPr>
          <w:cantSplit/>
        </w:trPr>
        <w:tc>
          <w:tcPr>
            <w:tcW w:w="2410" w:type="dxa"/>
          </w:tcPr>
          <w:p>
            <w:pPr>
              <w:pStyle w:val="yTableNAm"/>
              <w:rPr>
                <w:i/>
              </w:rPr>
            </w:pPr>
            <w:r>
              <w:rPr>
                <w:i/>
              </w:rPr>
              <w:t xml:space="preserve">Serrasalmus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Siganus luridus</w:t>
            </w:r>
          </w:p>
        </w:tc>
        <w:tc>
          <w:tcPr>
            <w:tcW w:w="2410" w:type="dxa"/>
          </w:tcPr>
          <w:p>
            <w:pPr>
              <w:pStyle w:val="yTableNAm"/>
            </w:pPr>
            <w:r>
              <w:t>Dusky Spinefoot</w:t>
            </w:r>
          </w:p>
        </w:tc>
        <w:tc>
          <w:tcPr>
            <w:tcW w:w="2268" w:type="dxa"/>
          </w:tcPr>
          <w:p>
            <w:pPr>
              <w:pStyle w:val="yTableNAm"/>
            </w:pPr>
            <w:r>
              <w:t>Any area of the State</w:t>
            </w:r>
          </w:p>
        </w:tc>
      </w:tr>
      <w:tr>
        <w:trPr>
          <w:cantSplit/>
        </w:trPr>
        <w:tc>
          <w:tcPr>
            <w:tcW w:w="2410" w:type="dxa"/>
          </w:tcPr>
          <w:p>
            <w:pPr>
              <w:pStyle w:val="yTableNAm"/>
              <w:rPr>
                <w:i/>
              </w:rPr>
            </w:pPr>
            <w:r>
              <w:rPr>
                <w:i/>
              </w:rPr>
              <w:t>Siganus rivulatus</w:t>
            </w:r>
          </w:p>
        </w:tc>
        <w:tc>
          <w:tcPr>
            <w:tcW w:w="2410" w:type="dxa"/>
          </w:tcPr>
          <w:p>
            <w:pPr>
              <w:pStyle w:val="yTableNAm"/>
            </w:pPr>
            <w:r>
              <w:t>Marbled Spinefoot, Rabbit Fish</w:t>
            </w:r>
          </w:p>
        </w:tc>
        <w:tc>
          <w:tcPr>
            <w:tcW w:w="2268" w:type="dxa"/>
          </w:tcPr>
          <w:p>
            <w:pPr>
              <w:pStyle w:val="yTableNAm"/>
            </w:pPr>
            <w:r>
              <w:t>Any area of the State</w:t>
            </w:r>
          </w:p>
        </w:tc>
      </w:tr>
      <w:tr>
        <w:trPr>
          <w:cantSplit/>
        </w:trPr>
        <w:tc>
          <w:tcPr>
            <w:tcW w:w="2410" w:type="dxa"/>
          </w:tcPr>
          <w:p>
            <w:pPr>
              <w:pStyle w:val="yTableNAm"/>
              <w:rPr>
                <w:i/>
              </w:rPr>
            </w:pPr>
            <w:r>
              <w:rPr>
                <w:i/>
              </w:rPr>
              <w:t xml:space="preserve">Silurus </w:t>
            </w:r>
            <w:r>
              <w:t xml:space="preserve">spp. </w:t>
            </w:r>
            <w:r>
              <w:br/>
              <w:t>(entire genus)</w:t>
            </w:r>
          </w:p>
        </w:tc>
        <w:tc>
          <w:tcPr>
            <w:tcW w:w="2410" w:type="dxa"/>
          </w:tcPr>
          <w:p>
            <w:pPr>
              <w:pStyle w:val="yTableNAm"/>
            </w:pPr>
            <w:r>
              <w:t>European Catfish, Wels Catfish</w:t>
            </w:r>
          </w:p>
        </w:tc>
        <w:tc>
          <w:tcPr>
            <w:tcW w:w="2268" w:type="dxa"/>
          </w:tcPr>
          <w:p>
            <w:pPr>
              <w:pStyle w:val="yTableNAm"/>
            </w:pPr>
            <w:r>
              <w:t>Any area of the State</w:t>
            </w:r>
          </w:p>
        </w:tc>
      </w:tr>
      <w:tr>
        <w:trPr>
          <w:cantSplit/>
        </w:trPr>
        <w:tc>
          <w:tcPr>
            <w:tcW w:w="2410" w:type="dxa"/>
          </w:tcPr>
          <w:p>
            <w:pPr>
              <w:pStyle w:val="yTableNAm"/>
              <w:rPr>
                <w:i/>
              </w:rPr>
            </w:pPr>
            <w:r>
              <w:rPr>
                <w:i/>
              </w:rPr>
              <w:t>Solidobalanus fallax</w:t>
            </w:r>
          </w:p>
        </w:tc>
        <w:tc>
          <w:tcPr>
            <w:tcW w:w="2410" w:type="dxa"/>
          </w:tcPr>
          <w:p>
            <w:pPr>
              <w:pStyle w:val="yTableNAm"/>
            </w:pPr>
            <w:r>
              <w:t>Warm</w:t>
            </w:r>
            <w:r>
              <w:noBreakHyphen/>
              <w:t>water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Tilapia </w:t>
            </w:r>
            <w:r>
              <w:t>spp. (all except</w:t>
            </w:r>
            <w:r>
              <w:rPr>
                <w:i/>
              </w:rPr>
              <w:t xml:space="preserve"> T. buttikoferi</w:t>
            </w:r>
            <w:r>
              <w:t>)</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Tinca tinca</w:t>
            </w:r>
          </w:p>
        </w:tc>
        <w:tc>
          <w:tcPr>
            <w:tcW w:w="2410" w:type="dxa"/>
          </w:tcPr>
          <w:p>
            <w:pPr>
              <w:pStyle w:val="yTableNAm"/>
            </w:pPr>
            <w:r>
              <w:t>Tench</w:t>
            </w:r>
          </w:p>
        </w:tc>
        <w:tc>
          <w:tcPr>
            <w:tcW w:w="2268" w:type="dxa"/>
          </w:tcPr>
          <w:p>
            <w:pPr>
              <w:pStyle w:val="yTableNAm"/>
            </w:pPr>
            <w:r>
              <w:t>Any area of the State</w:t>
            </w:r>
          </w:p>
        </w:tc>
      </w:tr>
      <w:tr>
        <w:trPr>
          <w:cantSplit/>
        </w:trPr>
        <w:tc>
          <w:tcPr>
            <w:tcW w:w="2410" w:type="dxa"/>
          </w:tcPr>
          <w:p>
            <w:pPr>
              <w:pStyle w:val="yTableNAm"/>
              <w:rPr>
                <w:i/>
              </w:rPr>
            </w:pPr>
            <w:r>
              <w:rPr>
                <w:i/>
              </w:rPr>
              <w:t>Tomeurus gracilis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Tor </w:t>
            </w:r>
            <w:r>
              <w:t>(entire genus)</w:t>
            </w:r>
          </w:p>
        </w:tc>
        <w:tc>
          <w:tcPr>
            <w:tcW w:w="2410" w:type="dxa"/>
          </w:tcPr>
          <w:p>
            <w:pPr>
              <w:pStyle w:val="yTableNAm"/>
            </w:pPr>
            <w:r>
              <w:t>River Carp, Deccan, High Backed, Jungha, Putitor, Thai Mahseer</w:t>
            </w:r>
          </w:p>
        </w:tc>
        <w:tc>
          <w:tcPr>
            <w:tcW w:w="2268" w:type="dxa"/>
          </w:tcPr>
          <w:p>
            <w:pPr>
              <w:pStyle w:val="yTableNAm"/>
            </w:pPr>
            <w:r>
              <w:t>Any area of the State</w:t>
            </w:r>
          </w:p>
        </w:tc>
      </w:tr>
      <w:tr>
        <w:trPr>
          <w:cantSplit/>
        </w:trPr>
        <w:tc>
          <w:tcPr>
            <w:tcW w:w="2410" w:type="dxa"/>
          </w:tcPr>
          <w:p>
            <w:pPr>
              <w:pStyle w:val="yTableNAm"/>
              <w:rPr>
                <w:i/>
              </w:rPr>
            </w:pPr>
            <w:r>
              <w:rPr>
                <w:i/>
              </w:rPr>
              <w:t>Tortanus (Eutortanus) dextrilobatus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Tridentiger barbatus</w:t>
            </w:r>
          </w:p>
        </w:tc>
        <w:tc>
          <w:tcPr>
            <w:tcW w:w="2410" w:type="dxa"/>
          </w:tcPr>
          <w:p>
            <w:pPr>
              <w:pStyle w:val="yTableNAm"/>
            </w:pPr>
            <w:r>
              <w:t>Shokihaze Goby</w:t>
            </w:r>
          </w:p>
        </w:tc>
        <w:tc>
          <w:tcPr>
            <w:tcW w:w="2268" w:type="dxa"/>
          </w:tcPr>
          <w:p>
            <w:pPr>
              <w:pStyle w:val="yTableNAm"/>
            </w:pPr>
            <w:r>
              <w:t>Any area of the State</w:t>
            </w:r>
          </w:p>
        </w:tc>
      </w:tr>
      <w:tr>
        <w:trPr>
          <w:cantSplit/>
        </w:trPr>
        <w:tc>
          <w:tcPr>
            <w:tcW w:w="2410" w:type="dxa"/>
          </w:tcPr>
          <w:p>
            <w:pPr>
              <w:pStyle w:val="yTableNAm"/>
              <w:rPr>
                <w:i/>
              </w:rPr>
            </w:pPr>
            <w:r>
              <w:rPr>
                <w:i/>
              </w:rPr>
              <w:t>Tridentiger bifasciatus</w:t>
            </w:r>
          </w:p>
        </w:tc>
        <w:tc>
          <w:tcPr>
            <w:tcW w:w="2410" w:type="dxa"/>
          </w:tcPr>
          <w:p>
            <w:pPr>
              <w:pStyle w:val="yTableNAm"/>
            </w:pPr>
            <w:r>
              <w:t>Shimofuri Goby</w:t>
            </w:r>
          </w:p>
        </w:tc>
        <w:tc>
          <w:tcPr>
            <w:tcW w:w="2268" w:type="dxa"/>
          </w:tcPr>
          <w:p>
            <w:pPr>
              <w:pStyle w:val="yTableNAm"/>
            </w:pPr>
            <w:r>
              <w:t>Any area of the State</w:t>
            </w:r>
          </w:p>
        </w:tc>
      </w:tr>
      <w:tr>
        <w:trPr>
          <w:cantSplit/>
        </w:trPr>
        <w:tc>
          <w:tcPr>
            <w:tcW w:w="2410" w:type="dxa"/>
          </w:tcPr>
          <w:p>
            <w:pPr>
              <w:pStyle w:val="yTableNAm"/>
              <w:rPr>
                <w:i/>
              </w:rPr>
            </w:pPr>
            <w:r>
              <w:rPr>
                <w:i/>
              </w:rPr>
              <w:t>Tridentiger trigonocephalus</w:t>
            </w:r>
          </w:p>
        </w:tc>
        <w:tc>
          <w:tcPr>
            <w:tcW w:w="2410" w:type="dxa"/>
          </w:tcPr>
          <w:p>
            <w:pPr>
              <w:pStyle w:val="yTableNAm"/>
            </w:pPr>
            <w:r>
              <w:t>Chameleon Goby, Striped Goby</w:t>
            </w:r>
          </w:p>
        </w:tc>
        <w:tc>
          <w:tcPr>
            <w:tcW w:w="2268" w:type="dxa"/>
          </w:tcPr>
          <w:p>
            <w:pPr>
              <w:pStyle w:val="yTableNAm"/>
            </w:pPr>
            <w:r>
              <w:t>Any area of the State except the Port of Bunbury, the Port of Fremantle and the Swan River</w:t>
            </w:r>
          </w:p>
        </w:tc>
      </w:tr>
      <w:tr>
        <w:trPr>
          <w:cantSplit/>
        </w:trPr>
        <w:tc>
          <w:tcPr>
            <w:tcW w:w="2410" w:type="dxa"/>
          </w:tcPr>
          <w:p>
            <w:pPr>
              <w:pStyle w:val="yTableNAm"/>
              <w:rPr>
                <w:i/>
              </w:rPr>
            </w:pPr>
            <w:r>
              <w:rPr>
                <w:i/>
              </w:rPr>
              <w:t>Undaria pinnatifida</w:t>
            </w:r>
          </w:p>
        </w:tc>
        <w:tc>
          <w:tcPr>
            <w:tcW w:w="2410" w:type="dxa"/>
          </w:tcPr>
          <w:p>
            <w:pPr>
              <w:pStyle w:val="yTableNAm"/>
            </w:pPr>
            <w:r>
              <w:t>Japanese Kelp, Wakame</w:t>
            </w:r>
          </w:p>
        </w:tc>
        <w:tc>
          <w:tcPr>
            <w:tcW w:w="2268" w:type="dxa"/>
          </w:tcPr>
          <w:p>
            <w:pPr>
              <w:pStyle w:val="yTableNAm"/>
            </w:pPr>
            <w:r>
              <w:t>Any area of the State</w:t>
            </w:r>
          </w:p>
        </w:tc>
      </w:tr>
      <w:tr>
        <w:trPr>
          <w:cantSplit/>
        </w:trPr>
        <w:tc>
          <w:tcPr>
            <w:tcW w:w="2410" w:type="dxa"/>
          </w:tcPr>
          <w:p>
            <w:pPr>
              <w:pStyle w:val="yTableNAm"/>
              <w:rPr>
                <w:i/>
              </w:rPr>
            </w:pPr>
            <w:r>
              <w:rPr>
                <w:i/>
              </w:rPr>
              <w:t>Valencia hispanica</w:t>
            </w:r>
          </w:p>
        </w:tc>
        <w:tc>
          <w:tcPr>
            <w:tcW w:w="2410" w:type="dxa"/>
          </w:tcPr>
          <w:p>
            <w:pPr>
              <w:pStyle w:val="yTableNAm"/>
            </w:pPr>
            <w:r>
              <w:t>Valencia Toothcarp</w:t>
            </w:r>
          </w:p>
        </w:tc>
        <w:tc>
          <w:tcPr>
            <w:tcW w:w="2268" w:type="dxa"/>
          </w:tcPr>
          <w:p>
            <w:pPr>
              <w:pStyle w:val="yTableNAm"/>
            </w:pPr>
            <w:r>
              <w:t>Any area of the State</w:t>
            </w:r>
          </w:p>
        </w:tc>
      </w:tr>
      <w:tr>
        <w:trPr>
          <w:cantSplit/>
        </w:trPr>
        <w:tc>
          <w:tcPr>
            <w:tcW w:w="2410" w:type="dxa"/>
          </w:tcPr>
          <w:p>
            <w:pPr>
              <w:pStyle w:val="yTableNAm"/>
              <w:rPr>
                <w:i/>
              </w:rPr>
            </w:pPr>
            <w:r>
              <w:rPr>
                <w:i/>
              </w:rPr>
              <w:t xml:space="preserve">Womersleyella setacea </w:t>
            </w:r>
            <w:r>
              <w:rPr>
                <w:i/>
              </w:rPr>
              <w:br/>
            </w:r>
            <w:r>
              <w:t>(syn.</w:t>
            </w:r>
            <w:r>
              <w:rPr>
                <w:i/>
              </w:rPr>
              <w:t xml:space="preserve"> Polysiphonia setacea</w:t>
            </w:r>
            <w:r>
              <w:t>)</w:t>
            </w:r>
          </w:p>
        </w:tc>
        <w:tc>
          <w:tcPr>
            <w:tcW w:w="2410" w:type="dxa"/>
          </w:tcPr>
          <w:p>
            <w:pPr>
              <w:pStyle w:val="yTableNAm"/>
            </w:pPr>
            <w:r>
              <w:t>Red Polysiphonous Macroalga</w:t>
            </w:r>
          </w:p>
        </w:tc>
        <w:tc>
          <w:tcPr>
            <w:tcW w:w="2268" w:type="dxa"/>
          </w:tcPr>
          <w:p>
            <w:pPr>
              <w:pStyle w:val="yTableNAm"/>
            </w:pPr>
            <w:r>
              <w:t>Any area of the State</w:t>
            </w:r>
          </w:p>
        </w:tc>
      </w:tr>
      <w:tr>
        <w:trPr>
          <w:cantSplit/>
        </w:trPr>
        <w:tc>
          <w:tcPr>
            <w:tcW w:w="2410" w:type="dxa"/>
          </w:tcPr>
          <w:p>
            <w:pPr>
              <w:pStyle w:val="yTableNAm"/>
              <w:rPr>
                <w:i/>
              </w:rPr>
            </w:pPr>
            <w:r>
              <w:rPr>
                <w:i/>
              </w:rPr>
              <w:t>Zacco platypus</w:t>
            </w:r>
          </w:p>
        </w:tc>
        <w:tc>
          <w:tcPr>
            <w:tcW w:w="2410" w:type="dxa"/>
          </w:tcPr>
          <w:p>
            <w:pPr>
              <w:pStyle w:val="yTableNAm"/>
            </w:pPr>
            <w:r>
              <w:t>Freshwater Minnow</w:t>
            </w:r>
          </w:p>
        </w:tc>
        <w:tc>
          <w:tcPr>
            <w:tcW w:w="2268" w:type="dxa"/>
          </w:tcPr>
          <w:p>
            <w:pPr>
              <w:pStyle w:val="yTableNAm"/>
            </w:pPr>
            <w:r>
              <w:t>Any area of the State</w:t>
            </w:r>
          </w:p>
        </w:tc>
      </w:tr>
    </w:tbl>
    <w:p>
      <w:pPr>
        <w:pStyle w:val="yFootnotesection"/>
      </w:pPr>
      <w:r>
        <w:tab/>
        <w:t>[Schedule 5 inserted: Gazette 22 Oct 2014 p. 4088</w:t>
      </w:r>
      <w:r>
        <w:noBreakHyphen/>
        <w:t>115; amended: Gazette 4 Oct 2019 p. 3566</w:t>
      </w:r>
      <w:r>
        <w:noBreakHyphen/>
        <w:t>87; SL 2024/263 r. 23.]</w:t>
      </w:r>
    </w:p>
    <w:p>
      <w:pPr>
        <w:pStyle w:val="yScheduleHeading"/>
      </w:pPr>
      <w:bookmarkStart w:id="1225" w:name="_Toc184372813"/>
      <w:bookmarkStart w:id="1226" w:name="_Toc184377966"/>
      <w:bookmarkStart w:id="1227" w:name="_Toc184385323"/>
      <w:bookmarkStart w:id="1228" w:name="_Toc201508720"/>
      <w:bookmarkStart w:id="1229" w:name="_Toc201754551"/>
      <w:bookmarkStart w:id="1230" w:name="_Toc201759281"/>
      <w:r>
        <w:rPr>
          <w:rStyle w:val="CharSchNo"/>
        </w:rPr>
        <w:t>Schedule 6</w:t>
      </w:r>
      <w:bookmarkEnd w:id="1225"/>
      <w:bookmarkEnd w:id="1226"/>
      <w:bookmarkEnd w:id="1227"/>
      <w:bookmarkEnd w:id="1228"/>
      <w:bookmarkEnd w:id="1229"/>
      <w:bookmarkEnd w:id="1230"/>
    </w:p>
    <w:p>
      <w:pPr>
        <w:pStyle w:val="yHeading2"/>
      </w:pPr>
      <w:bookmarkStart w:id="1231" w:name="_Toc184372814"/>
      <w:bookmarkStart w:id="1232" w:name="_Toc184377967"/>
      <w:bookmarkStart w:id="1233" w:name="_Toc184385324"/>
      <w:bookmarkStart w:id="1234" w:name="_Toc201508721"/>
      <w:bookmarkStart w:id="1235" w:name="_Toc201754552"/>
      <w:bookmarkStart w:id="1236" w:name="_Toc201759282"/>
      <w:r>
        <w:rPr>
          <w:rStyle w:val="CharSchText"/>
        </w:rPr>
        <w:t>Area of land prescribed under section 91(d) of the Act</w:t>
      </w:r>
      <w:bookmarkEnd w:id="1231"/>
      <w:bookmarkEnd w:id="1232"/>
      <w:bookmarkEnd w:id="1233"/>
      <w:bookmarkEnd w:id="1234"/>
      <w:bookmarkEnd w:id="1235"/>
      <w:bookmarkEnd w:id="1236"/>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Perth city generally south east along Albany Highway to the intersection of Albany Highway and Bannister/Marradong Road</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keepNext/>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1237" w:name="_Toc184372815"/>
      <w:bookmarkStart w:id="1238" w:name="_Toc184377968"/>
      <w:bookmarkStart w:id="1239" w:name="_Toc184385325"/>
      <w:bookmarkStart w:id="1240" w:name="_Toc201508722"/>
      <w:bookmarkStart w:id="1241" w:name="_Toc201754553"/>
      <w:bookmarkStart w:id="1242" w:name="_Toc201759283"/>
      <w:r>
        <w:rPr>
          <w:rStyle w:val="CharSchNo"/>
        </w:rPr>
        <w:t>Schedule 7</w:t>
      </w:r>
      <w:r>
        <w:t> — </w:t>
      </w:r>
      <w:r>
        <w:rPr>
          <w:rStyle w:val="CharSchText"/>
        </w:rPr>
        <w:t>List of common and scientific names</w:t>
      </w:r>
      <w:bookmarkEnd w:id="1237"/>
      <w:bookmarkEnd w:id="1238"/>
      <w:bookmarkEnd w:id="1239"/>
      <w:bookmarkEnd w:id="1240"/>
      <w:bookmarkEnd w:id="1241"/>
      <w:bookmarkEnd w:id="1242"/>
    </w:p>
    <w:p>
      <w:pPr>
        <w:pStyle w:val="yShoulderClause"/>
      </w:pPr>
      <w:r>
        <w:t>[r. 3(2)]</w:t>
      </w:r>
    </w:p>
    <w:p>
      <w:pPr>
        <w:pStyle w:val="yFootnoteheading"/>
      </w:pPr>
      <w:r>
        <w:tab/>
        <w:t>[Heading inserted: Gazette 4 Oct 2019 p. 3588.]</w:t>
      </w:r>
    </w:p>
    <w:p>
      <w:pPr>
        <w:pStyle w:val="yHeading3"/>
      </w:pPr>
      <w:bookmarkStart w:id="1243" w:name="_Toc184300132"/>
      <w:bookmarkStart w:id="1244" w:name="_Toc184300196"/>
      <w:bookmarkStart w:id="1245" w:name="_Toc184300233"/>
      <w:bookmarkStart w:id="1246" w:name="_Toc184300324"/>
      <w:bookmarkStart w:id="1247" w:name="_Toc184377969"/>
      <w:bookmarkStart w:id="1248" w:name="_Toc184385326"/>
      <w:bookmarkStart w:id="1249" w:name="_Toc201508723"/>
      <w:bookmarkStart w:id="1250" w:name="_Toc201754554"/>
      <w:bookmarkStart w:id="1251" w:name="_Toc201759284"/>
      <w:bookmarkStart w:id="1252" w:name="_Toc184372816"/>
      <w:r>
        <w:rPr>
          <w:rStyle w:val="CharSDivNo"/>
        </w:rPr>
        <w:t>Division 1</w:t>
      </w:r>
      <w:r>
        <w:rPr>
          <w:b w:val="0"/>
        </w:rPr>
        <w:t> — </w:t>
      </w:r>
      <w:r>
        <w:rPr>
          <w:rStyle w:val="CharSDivText"/>
        </w:rPr>
        <w:t>Marine or fluvio</w:t>
      </w:r>
      <w:r>
        <w:rPr>
          <w:rStyle w:val="CharSDivText"/>
        </w:rPr>
        <w:noBreakHyphen/>
        <w:t>marine fish</w:t>
      </w:r>
      <w:bookmarkEnd w:id="1243"/>
      <w:bookmarkEnd w:id="1244"/>
      <w:bookmarkEnd w:id="1245"/>
      <w:bookmarkEnd w:id="1246"/>
      <w:bookmarkEnd w:id="1247"/>
      <w:bookmarkEnd w:id="1248"/>
      <w:bookmarkEnd w:id="1249"/>
      <w:bookmarkEnd w:id="1250"/>
      <w:bookmarkEnd w:id="1251"/>
    </w:p>
    <w:p>
      <w:pPr>
        <w:pStyle w:val="yFootnoteheading"/>
        <w:spacing w:after="40"/>
      </w:pPr>
      <w:r>
        <w:tab/>
        <w:t>[Heading inserted: SL 2024/263 r. 24.]</w:t>
      </w:r>
    </w:p>
    <w:tbl>
      <w:tblPr>
        <w:tblW w:w="6975" w:type="dxa"/>
        <w:tblInd w:w="113" w:type="dxa"/>
        <w:tblLayout w:type="fixed"/>
        <w:tblCellMar>
          <w:left w:w="141" w:type="dxa"/>
          <w:right w:w="141" w:type="dxa"/>
        </w:tblCellMar>
        <w:tblLook w:val="0000" w:firstRow="0" w:lastRow="0" w:firstColumn="0" w:lastColumn="0" w:noHBand="0" w:noVBand="0"/>
      </w:tblPr>
      <w:tblGrid>
        <w:gridCol w:w="3543"/>
        <w:gridCol w:w="3432"/>
      </w:tblGrid>
      <w:tr>
        <w:trPr>
          <w:tblHeader/>
        </w:trPr>
        <w:tc>
          <w:tcPr>
            <w:tcW w:w="3543" w:type="dxa"/>
            <w:tcBorders>
              <w:top w:val="single" w:sz="8" w:space="0" w:color="auto"/>
              <w:bottom w:val="single" w:sz="8" w:space="0" w:color="auto"/>
              <w:right w:val="single" w:sz="4" w:space="0" w:color="auto"/>
            </w:tcBorders>
            <w:tcMar>
              <w:top w:w="28" w:type="dxa"/>
              <w:left w:w="85" w:type="dxa"/>
            </w:tcMar>
          </w:tcPr>
          <w:p>
            <w:pPr>
              <w:pStyle w:val="yTableNAm"/>
              <w:tabs>
                <w:tab w:val="clear" w:pos="567"/>
                <w:tab w:val="left" w:leader="dot" w:pos="3317"/>
              </w:tabs>
              <w:rPr>
                <w:b/>
                <w:bCs/>
              </w:rPr>
            </w:pPr>
            <w:r>
              <w:rPr>
                <w:b/>
                <w:bCs/>
              </w:rPr>
              <w:t>Common name</w:t>
            </w:r>
          </w:p>
        </w:tc>
        <w:tc>
          <w:tcPr>
            <w:tcW w:w="3432" w:type="dxa"/>
            <w:tcBorders>
              <w:top w:val="single" w:sz="8" w:space="0" w:color="auto"/>
              <w:left w:val="single" w:sz="4" w:space="0" w:color="auto"/>
              <w:bottom w:val="single" w:sz="8" w:space="0" w:color="auto"/>
            </w:tcBorders>
            <w:tcMar>
              <w:top w:w="28" w:type="dxa"/>
              <w:left w:w="85" w:type="dxa"/>
            </w:tcMar>
          </w:tcPr>
          <w:p>
            <w:pPr>
              <w:pStyle w:val="yTableNAm"/>
              <w:rPr>
                <w:b/>
                <w:bCs/>
              </w:rPr>
            </w:pPr>
            <w:r>
              <w:rPr>
                <w:b/>
                <w:bCs/>
              </w:rPr>
              <w:t>Scientific name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Albacore </w:t>
            </w:r>
            <w:r>
              <w:tab/>
            </w:r>
          </w:p>
        </w:tc>
        <w:tc>
          <w:tcPr>
            <w:tcW w:w="3432" w:type="dxa"/>
            <w:tcBorders>
              <w:left w:val="single" w:sz="4" w:space="0" w:color="auto"/>
            </w:tcBorders>
            <w:tcMar>
              <w:top w:w="28" w:type="dxa"/>
              <w:left w:w="85" w:type="dxa"/>
            </w:tcMar>
          </w:tcPr>
          <w:p>
            <w:pPr>
              <w:pStyle w:val="yTableNAm"/>
              <w:rPr>
                <w:i/>
              </w:rPr>
            </w:pPr>
            <w:r>
              <w:rPr>
                <w:i/>
              </w:rPr>
              <w:t>Thunnus alalunga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Amberjack </w:t>
            </w:r>
            <w:r>
              <w:tab/>
            </w:r>
          </w:p>
        </w:tc>
        <w:tc>
          <w:tcPr>
            <w:tcW w:w="3432" w:type="dxa"/>
            <w:tcBorders>
              <w:left w:val="single" w:sz="4" w:space="0" w:color="auto"/>
            </w:tcBorders>
            <w:tcMar>
              <w:top w:w="28" w:type="dxa"/>
              <w:left w:w="85" w:type="dxa"/>
            </w:tcMar>
          </w:tcPr>
          <w:p>
            <w:pPr>
              <w:pStyle w:val="yTableNAm"/>
              <w:rPr>
                <w:i/>
              </w:rPr>
            </w:pPr>
            <w:r>
              <w:rPr>
                <w:i/>
              </w:rPr>
              <w:t>Seriola dumerili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Anchovy, Australian </w:t>
            </w:r>
            <w:r>
              <w:tab/>
            </w:r>
          </w:p>
        </w:tc>
        <w:tc>
          <w:tcPr>
            <w:tcW w:w="3432" w:type="dxa"/>
            <w:tcBorders>
              <w:left w:val="single" w:sz="4" w:space="0" w:color="auto"/>
            </w:tcBorders>
            <w:tcMar>
              <w:top w:w="28" w:type="dxa"/>
              <w:left w:w="85" w:type="dxa"/>
            </w:tcMar>
          </w:tcPr>
          <w:p>
            <w:pPr>
              <w:pStyle w:val="yTableNAm"/>
              <w:rPr>
                <w:i/>
              </w:rPr>
            </w:pPr>
            <w:r>
              <w:rPr>
                <w:i/>
              </w:rPr>
              <w:t>Engraulis australis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Bait Fish </w:t>
            </w:r>
            <w:r>
              <w:tab/>
            </w:r>
          </w:p>
        </w:tc>
        <w:tc>
          <w:tcPr>
            <w:tcW w:w="3432" w:type="dxa"/>
            <w:tcBorders>
              <w:left w:val="single" w:sz="4" w:space="0" w:color="auto"/>
            </w:tcBorders>
            <w:tcMar>
              <w:top w:w="28" w:type="dxa"/>
              <w:left w:w="85" w:type="dxa"/>
            </w:tcMar>
          </w:tcPr>
          <w:p>
            <w:pPr>
              <w:pStyle w:val="yTableNAm"/>
            </w:pPr>
            <w:r>
              <w:t>Families Clupeidae and Engraulidae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Barracouta</w:t>
            </w:r>
            <w:r>
              <w:tab/>
            </w:r>
          </w:p>
        </w:tc>
        <w:tc>
          <w:tcPr>
            <w:tcW w:w="3432" w:type="dxa"/>
            <w:tcBorders>
              <w:left w:val="single" w:sz="4" w:space="0" w:color="auto"/>
            </w:tcBorders>
            <w:tcMar>
              <w:top w:w="28" w:type="dxa"/>
              <w:left w:w="85" w:type="dxa"/>
            </w:tcMar>
          </w:tcPr>
          <w:p>
            <w:pPr>
              <w:pStyle w:val="yTableNAm"/>
              <w:rPr>
                <w:i/>
              </w:rPr>
            </w:pPr>
            <w:r>
              <w:t>Family Gempylidae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Barracuda, Great </w:t>
            </w:r>
            <w:r>
              <w:tab/>
            </w:r>
          </w:p>
        </w:tc>
        <w:tc>
          <w:tcPr>
            <w:tcW w:w="3432" w:type="dxa"/>
            <w:tcBorders>
              <w:left w:val="single" w:sz="4" w:space="0" w:color="auto"/>
            </w:tcBorders>
            <w:tcMar>
              <w:top w:w="28" w:type="dxa"/>
              <w:left w:w="85" w:type="dxa"/>
            </w:tcMar>
          </w:tcPr>
          <w:p>
            <w:pPr>
              <w:pStyle w:val="yTableNAm"/>
              <w:rPr>
                <w:i/>
              </w:rPr>
            </w:pPr>
            <w:r>
              <w:rPr>
                <w:i/>
              </w:rPr>
              <w:t>Sphyraena barracuda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Barracuda, Striped </w:t>
            </w:r>
            <w:r>
              <w:tab/>
            </w:r>
          </w:p>
        </w:tc>
        <w:tc>
          <w:tcPr>
            <w:tcW w:w="3432" w:type="dxa"/>
            <w:tcBorders>
              <w:left w:val="single" w:sz="4" w:space="0" w:color="auto"/>
            </w:tcBorders>
            <w:tcMar>
              <w:top w:w="28" w:type="dxa"/>
              <w:left w:w="85" w:type="dxa"/>
            </w:tcMar>
          </w:tcPr>
          <w:p>
            <w:pPr>
              <w:pStyle w:val="yTableNAm"/>
              <w:rPr>
                <w:i/>
              </w:rPr>
            </w:pPr>
            <w:r>
              <w:rPr>
                <w:i/>
              </w:rPr>
              <w:t>Sphyraena obtusata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Barramundi </w:t>
            </w:r>
            <w:r>
              <w:tab/>
            </w:r>
          </w:p>
        </w:tc>
        <w:tc>
          <w:tcPr>
            <w:tcW w:w="3432" w:type="dxa"/>
            <w:tcBorders>
              <w:left w:val="single" w:sz="4" w:space="0" w:color="auto"/>
            </w:tcBorders>
            <w:tcMar>
              <w:top w:w="28" w:type="dxa"/>
              <w:left w:w="85" w:type="dxa"/>
            </w:tcMar>
          </w:tcPr>
          <w:p>
            <w:pPr>
              <w:pStyle w:val="yTableNAm"/>
              <w:rPr>
                <w:i/>
              </w:rPr>
            </w:pPr>
            <w:r>
              <w:rPr>
                <w:i/>
              </w:rPr>
              <w:t>Lates calcarifer</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Billfish (Marlins, Sailfish, </w:t>
            </w:r>
            <w:r>
              <w:br/>
              <w:t>Spearfish)</w:t>
            </w:r>
            <w:r>
              <w:tab/>
            </w:r>
          </w:p>
        </w:tc>
        <w:tc>
          <w:tcPr>
            <w:tcW w:w="3432" w:type="dxa"/>
            <w:tcBorders>
              <w:left w:val="single" w:sz="4" w:space="0" w:color="auto"/>
            </w:tcBorders>
            <w:tcMar>
              <w:top w:w="28" w:type="dxa"/>
              <w:left w:w="85" w:type="dxa"/>
            </w:tcMar>
            <w:vAlign w:val="bottom"/>
          </w:tcPr>
          <w:p>
            <w:pPr>
              <w:pStyle w:val="yTableNAm"/>
            </w:pPr>
            <w:r>
              <w:t>Family Istiophoridae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Boarfish </w:t>
            </w:r>
            <w:r>
              <w:tab/>
            </w:r>
          </w:p>
        </w:tc>
        <w:tc>
          <w:tcPr>
            <w:tcW w:w="3432" w:type="dxa"/>
            <w:tcBorders>
              <w:left w:val="single" w:sz="4" w:space="0" w:color="auto"/>
            </w:tcBorders>
            <w:tcMar>
              <w:top w:w="28" w:type="dxa"/>
              <w:left w:w="85" w:type="dxa"/>
            </w:tcMar>
          </w:tcPr>
          <w:p>
            <w:pPr>
              <w:pStyle w:val="yTableNAm"/>
            </w:pPr>
            <w:r>
              <w:t>Family Pentacerotidae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Bonefish </w:t>
            </w:r>
            <w:r>
              <w:tab/>
            </w:r>
          </w:p>
        </w:tc>
        <w:tc>
          <w:tcPr>
            <w:tcW w:w="3432" w:type="dxa"/>
            <w:tcBorders>
              <w:left w:val="single" w:sz="4" w:space="0" w:color="auto"/>
            </w:tcBorders>
            <w:tcMar>
              <w:top w:w="28" w:type="dxa"/>
              <w:left w:w="85" w:type="dxa"/>
            </w:tcMar>
          </w:tcPr>
          <w:p>
            <w:pPr>
              <w:pStyle w:val="yTableNAm"/>
              <w:rPr>
                <w:i/>
              </w:rPr>
            </w:pPr>
            <w:r>
              <w:rPr>
                <w:i/>
              </w:rPr>
              <w:t xml:space="preserve">Albula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Bonito, Leaping </w:t>
            </w:r>
            <w:r>
              <w:tab/>
            </w:r>
          </w:p>
        </w:tc>
        <w:tc>
          <w:tcPr>
            <w:tcW w:w="3432" w:type="dxa"/>
            <w:tcBorders>
              <w:left w:val="single" w:sz="4" w:space="0" w:color="auto"/>
            </w:tcBorders>
            <w:tcMar>
              <w:top w:w="28" w:type="dxa"/>
              <w:left w:w="85" w:type="dxa"/>
            </w:tcMar>
          </w:tcPr>
          <w:p>
            <w:pPr>
              <w:pStyle w:val="yTableNAm"/>
              <w:rPr>
                <w:i/>
              </w:rPr>
            </w:pPr>
            <w:r>
              <w:rPr>
                <w:i/>
              </w:rPr>
              <w:t>Cybiosarda elegans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Bonito, Oriental </w:t>
            </w:r>
            <w:r>
              <w:tab/>
            </w:r>
          </w:p>
        </w:tc>
        <w:tc>
          <w:tcPr>
            <w:tcW w:w="3432" w:type="dxa"/>
            <w:tcBorders>
              <w:left w:val="single" w:sz="4" w:space="0" w:color="auto"/>
            </w:tcBorders>
            <w:tcMar>
              <w:top w:w="28" w:type="dxa"/>
              <w:left w:w="85" w:type="dxa"/>
            </w:tcMar>
          </w:tcPr>
          <w:p>
            <w:pPr>
              <w:pStyle w:val="yTableNAm"/>
              <w:rPr>
                <w:i/>
              </w:rPr>
            </w:pPr>
            <w:r>
              <w:rPr>
                <w:i/>
              </w:rPr>
              <w:t>Sarda orientalis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Bream, Black </w:t>
            </w:r>
            <w:r>
              <w:tab/>
            </w:r>
          </w:p>
        </w:tc>
        <w:tc>
          <w:tcPr>
            <w:tcW w:w="3432" w:type="dxa"/>
            <w:tcBorders>
              <w:left w:val="single" w:sz="4" w:space="0" w:color="auto"/>
            </w:tcBorders>
            <w:tcMar>
              <w:top w:w="28" w:type="dxa"/>
              <w:left w:w="85" w:type="dxa"/>
            </w:tcMar>
          </w:tcPr>
          <w:p>
            <w:pPr>
              <w:pStyle w:val="yTableNAm"/>
              <w:rPr>
                <w:i/>
              </w:rPr>
            </w:pPr>
            <w:r>
              <w:rPr>
                <w:i/>
              </w:rPr>
              <w:t>Acanthopagrus butcheri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Bream, Northwest Black </w:t>
            </w:r>
            <w:r>
              <w:tab/>
            </w:r>
          </w:p>
        </w:tc>
        <w:tc>
          <w:tcPr>
            <w:tcW w:w="3432" w:type="dxa"/>
            <w:tcBorders>
              <w:left w:val="single" w:sz="4" w:space="0" w:color="auto"/>
            </w:tcBorders>
            <w:tcMar>
              <w:top w:w="28" w:type="dxa"/>
              <w:left w:w="85" w:type="dxa"/>
            </w:tcMar>
          </w:tcPr>
          <w:p>
            <w:pPr>
              <w:pStyle w:val="yTableNAm"/>
              <w:rPr>
                <w:i/>
              </w:rPr>
            </w:pPr>
            <w:r>
              <w:rPr>
                <w:i/>
              </w:rPr>
              <w:t>Acanthopagrus palmaris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Bream, Western Yellowfin </w:t>
            </w:r>
            <w:r>
              <w:tab/>
            </w:r>
          </w:p>
        </w:tc>
        <w:tc>
          <w:tcPr>
            <w:tcW w:w="3432" w:type="dxa"/>
            <w:tcBorders>
              <w:left w:val="single" w:sz="4" w:space="0" w:color="auto"/>
            </w:tcBorders>
            <w:tcMar>
              <w:top w:w="28" w:type="dxa"/>
              <w:left w:w="85" w:type="dxa"/>
            </w:tcMar>
          </w:tcPr>
          <w:p>
            <w:pPr>
              <w:pStyle w:val="yTableNAm"/>
              <w:rPr>
                <w:i/>
              </w:rPr>
            </w:pPr>
            <w:r>
              <w:rPr>
                <w:i/>
              </w:rPr>
              <w:t>Acanthopagrus morrisoni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Catfish </w:t>
            </w:r>
            <w:r>
              <w:tab/>
            </w:r>
          </w:p>
        </w:tc>
        <w:tc>
          <w:tcPr>
            <w:tcW w:w="3432" w:type="dxa"/>
            <w:tcBorders>
              <w:left w:val="single" w:sz="4" w:space="0" w:color="auto"/>
            </w:tcBorders>
            <w:tcMar>
              <w:top w:w="28" w:type="dxa"/>
              <w:left w:w="85" w:type="dxa"/>
            </w:tcMar>
          </w:tcPr>
          <w:p>
            <w:pPr>
              <w:pStyle w:val="yTableNAm"/>
            </w:pPr>
            <w:r>
              <w:t>Families Ariidae and Plotosidae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Cobbler, Estuary </w:t>
            </w:r>
            <w:r>
              <w:tab/>
            </w:r>
          </w:p>
        </w:tc>
        <w:tc>
          <w:tcPr>
            <w:tcW w:w="3432" w:type="dxa"/>
            <w:tcBorders>
              <w:left w:val="single" w:sz="4" w:space="0" w:color="auto"/>
            </w:tcBorders>
            <w:tcMar>
              <w:top w:w="28" w:type="dxa"/>
              <w:left w:w="85" w:type="dxa"/>
            </w:tcMar>
          </w:tcPr>
          <w:p>
            <w:pPr>
              <w:pStyle w:val="yTableNAm"/>
              <w:rPr>
                <w:i/>
              </w:rPr>
            </w:pPr>
            <w:r>
              <w:rPr>
                <w:i/>
              </w:rPr>
              <w:t>Cnidoglanis macrocephalus</w:t>
            </w:r>
          </w:p>
        </w:tc>
      </w:tr>
      <w:tr>
        <w:tc>
          <w:tcPr>
            <w:tcW w:w="3543" w:type="dxa"/>
            <w:tcBorders>
              <w:right w:val="single" w:sz="4" w:space="0" w:color="auto"/>
            </w:tcBorders>
            <w:tcMar>
              <w:top w:w="28" w:type="dxa"/>
              <w:left w:w="85" w:type="dxa"/>
            </w:tcMar>
          </w:tcPr>
          <w:p>
            <w:pPr>
              <w:pStyle w:val="yTableNAm"/>
              <w:tabs>
                <w:tab w:val="clear" w:pos="567"/>
                <w:tab w:val="left" w:leader="dot" w:pos="3317"/>
              </w:tabs>
              <w:rPr>
                <w:szCs w:val="22"/>
              </w:rPr>
            </w:pPr>
            <w:r>
              <w:rPr>
                <w:szCs w:val="22"/>
              </w:rPr>
              <w:t xml:space="preserve">Cobbler, Silver </w:t>
            </w:r>
            <w:r>
              <w:rPr>
                <w:szCs w:val="22"/>
              </w:rPr>
              <w:tab/>
            </w:r>
          </w:p>
        </w:tc>
        <w:tc>
          <w:tcPr>
            <w:tcW w:w="3432" w:type="dxa"/>
            <w:tcBorders>
              <w:left w:val="single" w:sz="4" w:space="0" w:color="auto"/>
            </w:tcBorders>
            <w:tcMar>
              <w:top w:w="28" w:type="dxa"/>
              <w:left w:w="85" w:type="dxa"/>
            </w:tcMar>
          </w:tcPr>
          <w:p>
            <w:pPr>
              <w:pStyle w:val="yTableNAm"/>
              <w:rPr>
                <w:i/>
                <w:szCs w:val="22"/>
              </w:rPr>
            </w:pPr>
            <w:r>
              <w:rPr>
                <w:i/>
                <w:iCs/>
                <w:szCs w:val="22"/>
              </w:rPr>
              <w:t>Neoarius midgleyi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Cobia </w:t>
            </w:r>
            <w:r>
              <w:tab/>
            </w:r>
          </w:p>
        </w:tc>
        <w:tc>
          <w:tcPr>
            <w:tcW w:w="3432" w:type="dxa"/>
            <w:tcBorders>
              <w:left w:val="single" w:sz="4" w:space="0" w:color="auto"/>
            </w:tcBorders>
            <w:tcMar>
              <w:top w:w="28" w:type="dxa"/>
              <w:left w:w="85" w:type="dxa"/>
            </w:tcMar>
          </w:tcPr>
          <w:p>
            <w:pPr>
              <w:pStyle w:val="yTableNAm"/>
              <w:rPr>
                <w:i/>
              </w:rPr>
            </w:pPr>
            <w:r>
              <w:rPr>
                <w:i/>
              </w:rPr>
              <w:t>Rachycentron canadum</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Cod, Barramundi</w:t>
            </w:r>
            <w:r>
              <w:tab/>
            </w:r>
          </w:p>
        </w:tc>
        <w:tc>
          <w:tcPr>
            <w:tcW w:w="3432" w:type="dxa"/>
            <w:tcBorders>
              <w:left w:val="single" w:sz="4" w:space="0" w:color="auto"/>
            </w:tcBorders>
            <w:tcMar>
              <w:top w:w="28" w:type="dxa"/>
              <w:left w:w="85" w:type="dxa"/>
            </w:tcMar>
          </w:tcPr>
          <w:p>
            <w:pPr>
              <w:pStyle w:val="yTableNAm"/>
              <w:rPr>
                <w:i/>
              </w:rPr>
            </w:pPr>
            <w:r>
              <w:rPr>
                <w:i/>
              </w:rPr>
              <w:t>Cromileptes altivelis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Cod, Breaksea </w:t>
            </w:r>
            <w:r>
              <w:tab/>
            </w:r>
          </w:p>
        </w:tc>
        <w:tc>
          <w:tcPr>
            <w:tcW w:w="3432" w:type="dxa"/>
            <w:tcBorders>
              <w:left w:val="single" w:sz="4" w:space="0" w:color="auto"/>
            </w:tcBorders>
            <w:tcMar>
              <w:top w:w="28" w:type="dxa"/>
              <w:left w:w="85" w:type="dxa"/>
            </w:tcMar>
          </w:tcPr>
          <w:p>
            <w:pPr>
              <w:pStyle w:val="yTableNAm"/>
              <w:rPr>
                <w:i/>
              </w:rPr>
            </w:pPr>
            <w:r>
              <w:rPr>
                <w:i/>
              </w:rPr>
              <w:t>Epinephelides armatus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Cod, Rankin </w:t>
            </w:r>
            <w:r>
              <w:tab/>
            </w:r>
          </w:p>
        </w:tc>
        <w:tc>
          <w:tcPr>
            <w:tcW w:w="3432" w:type="dxa"/>
            <w:tcBorders>
              <w:left w:val="single" w:sz="4" w:space="0" w:color="auto"/>
            </w:tcBorders>
            <w:tcMar>
              <w:top w:w="28" w:type="dxa"/>
              <w:left w:w="85" w:type="dxa"/>
            </w:tcMar>
          </w:tcPr>
          <w:p>
            <w:pPr>
              <w:pStyle w:val="yTableNAm"/>
              <w:rPr>
                <w:i/>
              </w:rPr>
            </w:pPr>
            <w:r>
              <w:rPr>
                <w:i/>
              </w:rPr>
              <w:t>Epinephelus rankini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Coral Trout </w:t>
            </w:r>
            <w:r>
              <w:tab/>
            </w:r>
          </w:p>
        </w:tc>
        <w:tc>
          <w:tcPr>
            <w:tcW w:w="3432" w:type="dxa"/>
            <w:tcBorders>
              <w:left w:val="single" w:sz="4" w:space="0" w:color="auto"/>
            </w:tcBorders>
            <w:tcMar>
              <w:top w:w="28" w:type="dxa"/>
              <w:left w:w="85" w:type="dxa"/>
            </w:tcMar>
          </w:tcPr>
          <w:p>
            <w:pPr>
              <w:pStyle w:val="yTableNAm"/>
              <w:rPr>
                <w:i/>
              </w:rPr>
            </w:pPr>
            <w:r>
              <w:rPr>
                <w:i/>
              </w:rPr>
              <w:t xml:space="preserve">Plectropomus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Coronation Trout </w:t>
            </w:r>
            <w:r>
              <w:tab/>
            </w:r>
          </w:p>
        </w:tc>
        <w:tc>
          <w:tcPr>
            <w:tcW w:w="3432" w:type="dxa"/>
            <w:tcBorders>
              <w:left w:val="single" w:sz="4" w:space="0" w:color="auto"/>
            </w:tcBorders>
            <w:tcMar>
              <w:top w:w="28" w:type="dxa"/>
              <w:left w:w="85" w:type="dxa"/>
            </w:tcMar>
          </w:tcPr>
          <w:p>
            <w:pPr>
              <w:pStyle w:val="yTableNAm"/>
              <w:rPr>
                <w:i/>
              </w:rPr>
            </w:pPr>
            <w:r>
              <w:rPr>
                <w:i/>
              </w:rPr>
              <w:t xml:space="preserve">Variola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Dart </w:t>
            </w:r>
            <w:r>
              <w:tab/>
            </w:r>
          </w:p>
        </w:tc>
        <w:tc>
          <w:tcPr>
            <w:tcW w:w="3432" w:type="dxa"/>
            <w:tcBorders>
              <w:left w:val="single" w:sz="4" w:space="0" w:color="auto"/>
            </w:tcBorders>
            <w:tcMar>
              <w:top w:w="28" w:type="dxa"/>
              <w:left w:w="85" w:type="dxa"/>
            </w:tcMar>
          </w:tcPr>
          <w:p>
            <w:pPr>
              <w:pStyle w:val="yTableNAm"/>
              <w:rPr>
                <w:i/>
              </w:rPr>
            </w:pPr>
            <w:r>
              <w:rPr>
                <w:i/>
              </w:rPr>
              <w:t xml:space="preserve">Trachinotus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Dhufish, West Australian </w:t>
            </w:r>
            <w:r>
              <w:tab/>
            </w:r>
          </w:p>
        </w:tc>
        <w:tc>
          <w:tcPr>
            <w:tcW w:w="3432" w:type="dxa"/>
            <w:tcBorders>
              <w:left w:val="single" w:sz="4" w:space="0" w:color="auto"/>
            </w:tcBorders>
            <w:tcMar>
              <w:top w:w="28" w:type="dxa"/>
              <w:left w:w="85" w:type="dxa"/>
            </w:tcMar>
          </w:tcPr>
          <w:p>
            <w:pPr>
              <w:pStyle w:val="yTableNAm"/>
              <w:rPr>
                <w:i/>
              </w:rPr>
            </w:pPr>
            <w:r>
              <w:rPr>
                <w:i/>
              </w:rPr>
              <w:t>Glaucosoma hebraicum</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Dolphinfish (Mahi Mahi) </w:t>
            </w:r>
            <w:r>
              <w:tab/>
            </w:r>
          </w:p>
        </w:tc>
        <w:tc>
          <w:tcPr>
            <w:tcW w:w="3432" w:type="dxa"/>
            <w:tcBorders>
              <w:left w:val="single" w:sz="4" w:space="0" w:color="auto"/>
            </w:tcBorders>
            <w:tcMar>
              <w:top w:w="28" w:type="dxa"/>
              <w:left w:w="85" w:type="dxa"/>
            </w:tcMar>
          </w:tcPr>
          <w:p>
            <w:pPr>
              <w:pStyle w:val="yTableNAm"/>
              <w:rPr>
                <w:i/>
              </w:rPr>
            </w:pPr>
            <w:r>
              <w:rPr>
                <w:i/>
              </w:rPr>
              <w:t xml:space="preserve">Coryphaena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Dory, John </w:t>
            </w:r>
            <w:r>
              <w:tab/>
            </w:r>
          </w:p>
        </w:tc>
        <w:tc>
          <w:tcPr>
            <w:tcW w:w="3432" w:type="dxa"/>
            <w:tcBorders>
              <w:left w:val="single" w:sz="4" w:space="0" w:color="auto"/>
            </w:tcBorders>
            <w:tcMar>
              <w:top w:w="28" w:type="dxa"/>
              <w:left w:w="85" w:type="dxa"/>
            </w:tcMar>
          </w:tcPr>
          <w:p>
            <w:pPr>
              <w:pStyle w:val="yTableNAm"/>
              <w:rPr>
                <w:i/>
              </w:rPr>
            </w:pPr>
            <w:r>
              <w:rPr>
                <w:i/>
              </w:rPr>
              <w:t>Zeus faber</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Dory, Mirror </w:t>
            </w:r>
            <w:r>
              <w:tab/>
            </w:r>
          </w:p>
        </w:tc>
        <w:tc>
          <w:tcPr>
            <w:tcW w:w="3432" w:type="dxa"/>
            <w:tcBorders>
              <w:left w:val="single" w:sz="4" w:space="0" w:color="auto"/>
            </w:tcBorders>
            <w:tcMar>
              <w:top w:w="28" w:type="dxa"/>
              <w:left w:w="85" w:type="dxa"/>
            </w:tcMar>
          </w:tcPr>
          <w:p>
            <w:pPr>
              <w:pStyle w:val="yTableNAm"/>
              <w:rPr>
                <w:i/>
              </w:rPr>
            </w:pPr>
            <w:r>
              <w:rPr>
                <w:i/>
              </w:rPr>
              <w:t>Zenopsis nebulosus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Dusky Whaler </w:t>
            </w:r>
            <w:r>
              <w:tab/>
            </w:r>
          </w:p>
        </w:tc>
        <w:tc>
          <w:tcPr>
            <w:tcW w:w="3432" w:type="dxa"/>
            <w:tcBorders>
              <w:left w:val="single" w:sz="4" w:space="0" w:color="auto"/>
            </w:tcBorders>
            <w:tcMar>
              <w:top w:w="28" w:type="dxa"/>
              <w:left w:w="85" w:type="dxa"/>
            </w:tcMar>
          </w:tcPr>
          <w:p>
            <w:pPr>
              <w:pStyle w:val="yTableNAm"/>
              <w:rPr>
                <w:i/>
              </w:rPr>
            </w:pPr>
            <w:r>
              <w:rPr>
                <w:i/>
              </w:rPr>
              <w:t>Carcharhinus obscurus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Emperor </w:t>
            </w:r>
            <w:r>
              <w:tab/>
            </w:r>
          </w:p>
        </w:tc>
        <w:tc>
          <w:tcPr>
            <w:tcW w:w="3432" w:type="dxa"/>
            <w:tcBorders>
              <w:left w:val="single" w:sz="4" w:space="0" w:color="auto"/>
            </w:tcBorders>
            <w:tcMar>
              <w:top w:w="28" w:type="dxa"/>
              <w:left w:w="85" w:type="dxa"/>
            </w:tcMar>
          </w:tcPr>
          <w:p>
            <w:pPr>
              <w:pStyle w:val="yTableNAm"/>
              <w:rPr>
                <w:i/>
              </w:rPr>
            </w:pPr>
            <w:r>
              <w:rPr>
                <w:i/>
              </w:rPr>
              <w:t xml:space="preserve">Lethrinus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Emperor, Bluespotted </w:t>
            </w:r>
            <w:r>
              <w:tab/>
            </w:r>
          </w:p>
        </w:tc>
        <w:tc>
          <w:tcPr>
            <w:tcW w:w="3432" w:type="dxa"/>
            <w:tcBorders>
              <w:left w:val="single" w:sz="4" w:space="0" w:color="auto"/>
            </w:tcBorders>
            <w:tcMar>
              <w:top w:w="28" w:type="dxa"/>
              <w:left w:w="85" w:type="dxa"/>
            </w:tcMar>
          </w:tcPr>
          <w:p>
            <w:pPr>
              <w:pStyle w:val="yTableNAm"/>
              <w:rPr>
                <w:i/>
              </w:rPr>
            </w:pPr>
            <w:r>
              <w:rPr>
                <w:i/>
              </w:rPr>
              <w:t>Lethrinus punctulatus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Emperor, Grass </w:t>
            </w:r>
            <w:r>
              <w:tab/>
            </w:r>
          </w:p>
        </w:tc>
        <w:tc>
          <w:tcPr>
            <w:tcW w:w="3432" w:type="dxa"/>
            <w:tcBorders>
              <w:left w:val="single" w:sz="4" w:space="0" w:color="auto"/>
            </w:tcBorders>
            <w:tcMar>
              <w:top w:w="28" w:type="dxa"/>
              <w:left w:w="85" w:type="dxa"/>
            </w:tcMar>
          </w:tcPr>
          <w:p>
            <w:pPr>
              <w:pStyle w:val="yTableNAm"/>
              <w:rPr>
                <w:i/>
              </w:rPr>
            </w:pPr>
            <w:r>
              <w:rPr>
                <w:i/>
              </w:rPr>
              <w:t>Lethrinus laticaudis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Emperor, Red </w:t>
            </w:r>
            <w:r>
              <w:tab/>
            </w:r>
          </w:p>
        </w:tc>
        <w:tc>
          <w:tcPr>
            <w:tcW w:w="3432" w:type="dxa"/>
            <w:tcBorders>
              <w:left w:val="single" w:sz="4" w:space="0" w:color="auto"/>
            </w:tcBorders>
            <w:tcMar>
              <w:top w:w="28" w:type="dxa"/>
              <w:left w:w="85" w:type="dxa"/>
            </w:tcMar>
          </w:tcPr>
          <w:p>
            <w:pPr>
              <w:pStyle w:val="yTableNAm"/>
              <w:rPr>
                <w:i/>
              </w:rPr>
            </w:pPr>
            <w:r>
              <w:rPr>
                <w:i/>
              </w:rPr>
              <w:t>Lutjanus sebae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Emperor, Spangled </w:t>
            </w:r>
            <w:r>
              <w:tab/>
            </w:r>
          </w:p>
        </w:tc>
        <w:tc>
          <w:tcPr>
            <w:tcW w:w="3432" w:type="dxa"/>
            <w:tcBorders>
              <w:left w:val="single" w:sz="4" w:space="0" w:color="auto"/>
            </w:tcBorders>
            <w:tcMar>
              <w:top w:w="28" w:type="dxa"/>
              <w:left w:w="85" w:type="dxa"/>
            </w:tcMar>
          </w:tcPr>
          <w:p>
            <w:pPr>
              <w:pStyle w:val="yTableNAm"/>
              <w:rPr>
                <w:i/>
              </w:rPr>
            </w:pPr>
            <w:r>
              <w:rPr>
                <w:i/>
              </w:rPr>
              <w:t>Lethrinus nebulosus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Flathead </w:t>
            </w:r>
            <w:r>
              <w:tab/>
            </w:r>
          </w:p>
        </w:tc>
        <w:tc>
          <w:tcPr>
            <w:tcW w:w="3432" w:type="dxa"/>
            <w:tcBorders>
              <w:left w:val="single" w:sz="4" w:space="0" w:color="auto"/>
            </w:tcBorders>
            <w:tcMar>
              <w:top w:w="28" w:type="dxa"/>
              <w:left w:w="85" w:type="dxa"/>
            </w:tcMar>
          </w:tcPr>
          <w:p>
            <w:pPr>
              <w:pStyle w:val="yTableNAm"/>
              <w:rPr>
                <w:i/>
              </w:rPr>
            </w:pPr>
            <w:r>
              <w:rPr>
                <w:i/>
              </w:rPr>
              <w:t xml:space="preserve">Platycephalus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Flathead, Longspine </w:t>
            </w:r>
            <w:r>
              <w:tab/>
            </w:r>
          </w:p>
        </w:tc>
        <w:tc>
          <w:tcPr>
            <w:tcW w:w="3432" w:type="dxa"/>
            <w:tcBorders>
              <w:left w:val="single" w:sz="4" w:space="0" w:color="auto"/>
            </w:tcBorders>
            <w:tcMar>
              <w:top w:w="28" w:type="dxa"/>
              <w:left w:w="85" w:type="dxa"/>
            </w:tcMar>
          </w:tcPr>
          <w:p>
            <w:pPr>
              <w:pStyle w:val="yTableNAm"/>
              <w:rPr>
                <w:i/>
              </w:rPr>
            </w:pPr>
            <w:r>
              <w:rPr>
                <w:i/>
              </w:rPr>
              <w:t>Platycephalus grandispinis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Flathead, Marbled </w:t>
            </w:r>
            <w:r>
              <w:tab/>
            </w:r>
          </w:p>
        </w:tc>
        <w:tc>
          <w:tcPr>
            <w:tcW w:w="3432" w:type="dxa"/>
            <w:tcBorders>
              <w:left w:val="single" w:sz="4" w:space="0" w:color="auto"/>
            </w:tcBorders>
            <w:tcMar>
              <w:top w:w="28" w:type="dxa"/>
              <w:left w:w="85" w:type="dxa"/>
            </w:tcMar>
          </w:tcPr>
          <w:p>
            <w:pPr>
              <w:pStyle w:val="yTableNAm"/>
              <w:rPr>
                <w:i/>
              </w:rPr>
            </w:pPr>
            <w:r>
              <w:rPr>
                <w:i/>
              </w:rPr>
              <w:t>Platycephalus marmoratus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Flathead, Southern Bluespotted </w:t>
            </w:r>
            <w:r>
              <w:tab/>
            </w:r>
          </w:p>
        </w:tc>
        <w:tc>
          <w:tcPr>
            <w:tcW w:w="3432" w:type="dxa"/>
            <w:tcBorders>
              <w:left w:val="single" w:sz="4" w:space="0" w:color="auto"/>
            </w:tcBorders>
            <w:tcMar>
              <w:top w:w="28" w:type="dxa"/>
              <w:left w:w="85" w:type="dxa"/>
            </w:tcMar>
          </w:tcPr>
          <w:p>
            <w:pPr>
              <w:pStyle w:val="yTableNAm"/>
              <w:rPr>
                <w:i/>
              </w:rPr>
            </w:pPr>
            <w:r>
              <w:rPr>
                <w:i/>
              </w:rPr>
              <w:t>Platycephalus speculator</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Flathead, Yellowtail </w:t>
            </w:r>
            <w:r>
              <w:tab/>
            </w:r>
          </w:p>
        </w:tc>
        <w:tc>
          <w:tcPr>
            <w:tcW w:w="3432" w:type="dxa"/>
            <w:tcBorders>
              <w:left w:val="single" w:sz="4" w:space="0" w:color="auto"/>
            </w:tcBorders>
            <w:tcMar>
              <w:top w:w="28" w:type="dxa"/>
              <w:left w:w="85" w:type="dxa"/>
            </w:tcMar>
          </w:tcPr>
          <w:p>
            <w:pPr>
              <w:pStyle w:val="yTableNAm"/>
              <w:rPr>
                <w:i/>
              </w:rPr>
            </w:pPr>
            <w:r>
              <w:rPr>
                <w:i/>
              </w:rPr>
              <w:t>Platycephalus westraliae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Flounder </w:t>
            </w:r>
            <w:r>
              <w:tab/>
            </w:r>
          </w:p>
        </w:tc>
        <w:tc>
          <w:tcPr>
            <w:tcW w:w="3432" w:type="dxa"/>
            <w:tcBorders>
              <w:left w:val="single" w:sz="4" w:space="0" w:color="auto"/>
            </w:tcBorders>
            <w:tcMar>
              <w:top w:w="28" w:type="dxa"/>
              <w:left w:w="85" w:type="dxa"/>
            </w:tcMar>
          </w:tcPr>
          <w:p>
            <w:pPr>
              <w:pStyle w:val="yTableNAm"/>
            </w:pPr>
            <w:r>
              <w:t>Families Pleuronectidae, Bothidae and Paralichthyidae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Foxfish </w:t>
            </w:r>
            <w:r>
              <w:tab/>
            </w:r>
          </w:p>
        </w:tc>
        <w:tc>
          <w:tcPr>
            <w:tcW w:w="3432" w:type="dxa"/>
            <w:tcBorders>
              <w:left w:val="single" w:sz="4" w:space="0" w:color="auto"/>
            </w:tcBorders>
            <w:tcMar>
              <w:top w:w="28" w:type="dxa"/>
              <w:left w:w="85" w:type="dxa"/>
            </w:tcMar>
          </w:tcPr>
          <w:p>
            <w:pPr>
              <w:pStyle w:val="yTableNAm"/>
              <w:rPr>
                <w:i/>
              </w:rPr>
            </w:pPr>
            <w:r>
              <w:rPr>
                <w:i/>
              </w:rPr>
              <w:t xml:space="preserve">Bodianus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Garfish </w:t>
            </w:r>
            <w:r>
              <w:tab/>
            </w:r>
          </w:p>
        </w:tc>
        <w:tc>
          <w:tcPr>
            <w:tcW w:w="3432" w:type="dxa"/>
            <w:tcBorders>
              <w:left w:val="single" w:sz="4" w:space="0" w:color="auto"/>
            </w:tcBorders>
            <w:tcMar>
              <w:top w:w="28" w:type="dxa"/>
              <w:left w:w="85" w:type="dxa"/>
            </w:tcMar>
          </w:tcPr>
          <w:p>
            <w:pPr>
              <w:pStyle w:val="yTableNAm"/>
            </w:pPr>
            <w:r>
              <w:t>Family Hemiramphidae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Groper, Baldchin </w:t>
            </w:r>
            <w:r>
              <w:tab/>
            </w:r>
          </w:p>
        </w:tc>
        <w:tc>
          <w:tcPr>
            <w:tcW w:w="3432" w:type="dxa"/>
            <w:tcBorders>
              <w:left w:val="single" w:sz="4" w:space="0" w:color="auto"/>
            </w:tcBorders>
            <w:tcMar>
              <w:top w:w="28" w:type="dxa"/>
              <w:left w:w="85" w:type="dxa"/>
            </w:tcMar>
          </w:tcPr>
          <w:p>
            <w:pPr>
              <w:pStyle w:val="yTableNAm"/>
              <w:rPr>
                <w:i/>
              </w:rPr>
            </w:pPr>
            <w:r>
              <w:rPr>
                <w:i/>
              </w:rPr>
              <w:t>Choerodon rubescens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Groper, Bass </w:t>
            </w:r>
            <w:r>
              <w:tab/>
            </w:r>
          </w:p>
        </w:tc>
        <w:tc>
          <w:tcPr>
            <w:tcW w:w="3432" w:type="dxa"/>
            <w:tcBorders>
              <w:left w:val="single" w:sz="4" w:space="0" w:color="auto"/>
            </w:tcBorders>
            <w:tcMar>
              <w:top w:w="28" w:type="dxa"/>
              <w:left w:w="85" w:type="dxa"/>
            </w:tcMar>
          </w:tcPr>
          <w:p>
            <w:pPr>
              <w:pStyle w:val="yTableNAm"/>
              <w:rPr>
                <w:i/>
              </w:rPr>
            </w:pPr>
            <w:r>
              <w:rPr>
                <w:i/>
              </w:rPr>
              <w:t>Polyprion americanus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Groper, Queensland </w:t>
            </w:r>
            <w:r>
              <w:tab/>
            </w:r>
          </w:p>
        </w:tc>
        <w:tc>
          <w:tcPr>
            <w:tcW w:w="3432" w:type="dxa"/>
            <w:tcBorders>
              <w:left w:val="single" w:sz="4" w:space="0" w:color="auto"/>
            </w:tcBorders>
            <w:tcMar>
              <w:top w:w="28" w:type="dxa"/>
              <w:left w:w="85" w:type="dxa"/>
            </w:tcMar>
          </w:tcPr>
          <w:p>
            <w:pPr>
              <w:pStyle w:val="yTableNAm"/>
              <w:rPr>
                <w:i/>
              </w:rPr>
            </w:pPr>
            <w:r>
              <w:rPr>
                <w:i/>
              </w:rPr>
              <w:t>Epinephelus lanceolatus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Groper, Western Blue </w:t>
            </w:r>
            <w:r>
              <w:tab/>
            </w:r>
          </w:p>
        </w:tc>
        <w:tc>
          <w:tcPr>
            <w:tcW w:w="3432" w:type="dxa"/>
            <w:tcBorders>
              <w:left w:val="single" w:sz="4" w:space="0" w:color="auto"/>
            </w:tcBorders>
            <w:tcMar>
              <w:top w:w="28" w:type="dxa"/>
              <w:left w:w="85" w:type="dxa"/>
            </w:tcMar>
          </w:tcPr>
          <w:p>
            <w:pPr>
              <w:pStyle w:val="yTableNAm"/>
              <w:rPr>
                <w:i/>
              </w:rPr>
            </w:pPr>
            <w:r>
              <w:rPr>
                <w:i/>
              </w:rPr>
              <w:t>Achoerodus gouldii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Grouper, Eightbar </w:t>
            </w:r>
            <w:r>
              <w:tab/>
            </w:r>
          </w:p>
        </w:tc>
        <w:tc>
          <w:tcPr>
            <w:tcW w:w="3432" w:type="dxa"/>
            <w:tcBorders>
              <w:left w:val="single" w:sz="4" w:space="0" w:color="auto"/>
            </w:tcBorders>
            <w:tcMar>
              <w:top w:w="28" w:type="dxa"/>
              <w:left w:w="85" w:type="dxa"/>
            </w:tcMar>
          </w:tcPr>
          <w:p>
            <w:pPr>
              <w:pStyle w:val="yTableNAm"/>
              <w:rPr>
                <w:i/>
              </w:rPr>
            </w:pPr>
            <w:r>
              <w:rPr>
                <w:i/>
              </w:rPr>
              <w:t>Hyporthodus octofasciatus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Hapuku </w:t>
            </w:r>
            <w:r>
              <w:tab/>
            </w:r>
          </w:p>
        </w:tc>
        <w:tc>
          <w:tcPr>
            <w:tcW w:w="3432" w:type="dxa"/>
            <w:tcBorders>
              <w:left w:val="single" w:sz="4" w:space="0" w:color="auto"/>
            </w:tcBorders>
            <w:tcMar>
              <w:top w:w="28" w:type="dxa"/>
              <w:left w:w="85" w:type="dxa"/>
            </w:tcMar>
          </w:tcPr>
          <w:p>
            <w:pPr>
              <w:pStyle w:val="yTableNAm"/>
              <w:rPr>
                <w:i/>
              </w:rPr>
            </w:pPr>
            <w:r>
              <w:rPr>
                <w:i/>
              </w:rPr>
              <w:t>Polyprion oxygeneios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Hardyhead </w:t>
            </w:r>
            <w:r>
              <w:tab/>
            </w:r>
          </w:p>
        </w:tc>
        <w:tc>
          <w:tcPr>
            <w:tcW w:w="3432" w:type="dxa"/>
            <w:tcBorders>
              <w:left w:val="single" w:sz="4" w:space="0" w:color="auto"/>
            </w:tcBorders>
            <w:tcMar>
              <w:top w:w="28" w:type="dxa"/>
              <w:left w:w="85" w:type="dxa"/>
            </w:tcMar>
          </w:tcPr>
          <w:p>
            <w:pPr>
              <w:pStyle w:val="yTableNAm"/>
              <w:rPr>
                <w:rStyle w:val="DraftersNotes"/>
                <w:b w:val="0"/>
                <w:i w:val="0"/>
              </w:rPr>
            </w:pPr>
            <w:r>
              <w:t>Families Atherinidae and Dentatherinidae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Herring, Australian (Herring) </w:t>
            </w:r>
            <w:r>
              <w:tab/>
            </w:r>
          </w:p>
        </w:tc>
        <w:tc>
          <w:tcPr>
            <w:tcW w:w="3432" w:type="dxa"/>
            <w:tcBorders>
              <w:left w:val="single" w:sz="4" w:space="0" w:color="auto"/>
            </w:tcBorders>
            <w:tcMar>
              <w:top w:w="28" w:type="dxa"/>
              <w:left w:w="85" w:type="dxa"/>
            </w:tcMar>
          </w:tcPr>
          <w:p>
            <w:pPr>
              <w:pStyle w:val="yTableNAm"/>
              <w:rPr>
                <w:i/>
              </w:rPr>
            </w:pPr>
            <w:r>
              <w:rPr>
                <w:i/>
              </w:rPr>
              <w:t>Arripis georgianus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Herring, Giant </w:t>
            </w:r>
            <w:r>
              <w:tab/>
            </w:r>
          </w:p>
        </w:tc>
        <w:tc>
          <w:tcPr>
            <w:tcW w:w="3432" w:type="dxa"/>
            <w:tcBorders>
              <w:left w:val="single" w:sz="4" w:space="0" w:color="auto"/>
            </w:tcBorders>
            <w:tcMar>
              <w:top w:w="28" w:type="dxa"/>
              <w:left w:w="85" w:type="dxa"/>
            </w:tcMar>
          </w:tcPr>
          <w:p>
            <w:pPr>
              <w:pStyle w:val="yTableNAm"/>
              <w:rPr>
                <w:i/>
              </w:rPr>
            </w:pPr>
            <w:r>
              <w:rPr>
                <w:i/>
              </w:rPr>
              <w:t xml:space="preserve">Elops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Herring, Perth </w:t>
            </w:r>
            <w:r>
              <w:tab/>
            </w:r>
          </w:p>
        </w:tc>
        <w:tc>
          <w:tcPr>
            <w:tcW w:w="3432" w:type="dxa"/>
            <w:tcBorders>
              <w:left w:val="single" w:sz="4" w:space="0" w:color="auto"/>
            </w:tcBorders>
            <w:tcMar>
              <w:top w:w="28" w:type="dxa"/>
              <w:left w:w="85" w:type="dxa"/>
            </w:tcMar>
          </w:tcPr>
          <w:p>
            <w:pPr>
              <w:pStyle w:val="yTableNAm"/>
              <w:rPr>
                <w:i/>
              </w:rPr>
            </w:pPr>
            <w:r>
              <w:rPr>
                <w:i/>
              </w:rPr>
              <w:t>Nematalosa vlaminghi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Javelinfish and Sweetlips </w:t>
            </w:r>
            <w:r>
              <w:tab/>
            </w:r>
          </w:p>
        </w:tc>
        <w:tc>
          <w:tcPr>
            <w:tcW w:w="3432" w:type="dxa"/>
            <w:tcBorders>
              <w:left w:val="single" w:sz="4" w:space="0" w:color="auto"/>
            </w:tcBorders>
            <w:tcMar>
              <w:top w:w="28" w:type="dxa"/>
              <w:left w:w="85" w:type="dxa"/>
            </w:tcMar>
          </w:tcPr>
          <w:p>
            <w:pPr>
              <w:pStyle w:val="yTableNAm"/>
            </w:pPr>
            <w:r>
              <w:t>Family Haemulidae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Jewfish, Black </w:t>
            </w:r>
            <w:r>
              <w:tab/>
            </w:r>
          </w:p>
        </w:tc>
        <w:tc>
          <w:tcPr>
            <w:tcW w:w="3432" w:type="dxa"/>
            <w:tcBorders>
              <w:left w:val="single" w:sz="4" w:space="0" w:color="auto"/>
            </w:tcBorders>
            <w:tcMar>
              <w:top w:w="28" w:type="dxa"/>
              <w:left w:w="85" w:type="dxa"/>
            </w:tcMar>
          </w:tcPr>
          <w:p>
            <w:pPr>
              <w:pStyle w:val="yTableNAm"/>
              <w:rPr>
                <w:i/>
              </w:rPr>
            </w:pPr>
            <w:r>
              <w:rPr>
                <w:i/>
              </w:rPr>
              <w:t>Protonibea diacanthus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Leatherjacket </w:t>
            </w:r>
            <w:r>
              <w:tab/>
            </w:r>
          </w:p>
        </w:tc>
        <w:tc>
          <w:tcPr>
            <w:tcW w:w="3432" w:type="dxa"/>
            <w:tcBorders>
              <w:left w:val="single" w:sz="4" w:space="0" w:color="auto"/>
            </w:tcBorders>
            <w:tcMar>
              <w:top w:w="28" w:type="dxa"/>
              <w:left w:w="85" w:type="dxa"/>
            </w:tcMar>
          </w:tcPr>
          <w:p>
            <w:pPr>
              <w:pStyle w:val="yTableNAm"/>
            </w:pPr>
            <w:r>
              <w:t>Family Monacanthidae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Longtom </w:t>
            </w:r>
            <w:r>
              <w:tab/>
            </w:r>
          </w:p>
        </w:tc>
        <w:tc>
          <w:tcPr>
            <w:tcW w:w="3432" w:type="dxa"/>
            <w:tcBorders>
              <w:left w:val="single" w:sz="4" w:space="0" w:color="auto"/>
            </w:tcBorders>
            <w:tcMar>
              <w:top w:w="28" w:type="dxa"/>
              <w:left w:w="85" w:type="dxa"/>
            </w:tcMar>
          </w:tcPr>
          <w:p>
            <w:pPr>
              <w:pStyle w:val="yTableNAm"/>
            </w:pPr>
            <w:r>
              <w:t>Family Belonidae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w:t>
            </w:r>
            <w:r>
              <w:tab/>
            </w:r>
          </w:p>
        </w:tc>
        <w:tc>
          <w:tcPr>
            <w:tcW w:w="3432" w:type="dxa"/>
            <w:tcBorders>
              <w:left w:val="single" w:sz="4" w:space="0" w:color="auto"/>
            </w:tcBorders>
            <w:tcMar>
              <w:top w:w="28" w:type="dxa"/>
              <w:left w:w="85" w:type="dxa"/>
            </w:tcMar>
          </w:tcPr>
          <w:p>
            <w:pPr>
              <w:pStyle w:val="yTableNAm"/>
              <w:rPr>
                <w:rStyle w:val="DraftersNotes"/>
                <w:b w:val="0"/>
                <w:i w:val="0"/>
              </w:rPr>
            </w:pPr>
            <w:r>
              <w:t>Family Scombridae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Blue </w:t>
            </w:r>
            <w:r>
              <w:tab/>
            </w:r>
          </w:p>
        </w:tc>
        <w:tc>
          <w:tcPr>
            <w:tcW w:w="3432" w:type="dxa"/>
            <w:tcBorders>
              <w:left w:val="single" w:sz="4" w:space="0" w:color="auto"/>
            </w:tcBorders>
            <w:tcMar>
              <w:top w:w="28" w:type="dxa"/>
              <w:left w:w="85" w:type="dxa"/>
            </w:tcMar>
          </w:tcPr>
          <w:p>
            <w:pPr>
              <w:pStyle w:val="yTableNAm"/>
              <w:rPr>
                <w:i/>
              </w:rPr>
            </w:pPr>
            <w:r>
              <w:rPr>
                <w:i/>
              </w:rPr>
              <w:t>Scomber australasicus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Common Jack </w:t>
            </w:r>
            <w:r>
              <w:tab/>
            </w:r>
          </w:p>
        </w:tc>
        <w:tc>
          <w:tcPr>
            <w:tcW w:w="3432" w:type="dxa"/>
            <w:tcBorders>
              <w:left w:val="single" w:sz="4" w:space="0" w:color="auto"/>
            </w:tcBorders>
            <w:tcMar>
              <w:top w:w="28" w:type="dxa"/>
              <w:left w:w="85" w:type="dxa"/>
            </w:tcMar>
          </w:tcPr>
          <w:p>
            <w:pPr>
              <w:pStyle w:val="yTableNAm"/>
              <w:rPr>
                <w:i/>
              </w:rPr>
            </w:pPr>
            <w:r>
              <w:rPr>
                <w:i/>
              </w:rPr>
              <w:t>Trachurus declivis</w:t>
            </w:r>
          </w:p>
        </w:tc>
      </w:tr>
      <w:tr>
        <w:tc>
          <w:tcPr>
            <w:tcW w:w="3543" w:type="dxa"/>
            <w:tcBorders>
              <w:right w:val="single" w:sz="4" w:space="0" w:color="auto"/>
            </w:tcBorders>
            <w:tcMar>
              <w:top w:w="28" w:type="dxa"/>
              <w:left w:w="85" w:type="dxa"/>
            </w:tcMar>
          </w:tcPr>
          <w:p>
            <w:pPr>
              <w:pStyle w:val="yTableNAm"/>
              <w:tabs>
                <w:tab w:val="clear" w:pos="567"/>
                <w:tab w:val="left" w:leader="dot" w:pos="3317"/>
              </w:tabs>
              <w:rPr>
                <w:szCs w:val="22"/>
              </w:rPr>
            </w:pPr>
            <w:r>
              <w:rPr>
                <w:szCs w:val="22"/>
              </w:rPr>
              <w:t>Mackerel, Grey (Broad</w:t>
            </w:r>
            <w:r>
              <w:rPr>
                <w:szCs w:val="22"/>
              </w:rPr>
              <w:noBreakHyphen/>
              <w:t xml:space="preserve">barred Mackerel) </w:t>
            </w:r>
            <w:r>
              <w:rPr>
                <w:szCs w:val="22"/>
              </w:rPr>
              <w:tab/>
            </w:r>
          </w:p>
        </w:tc>
        <w:tc>
          <w:tcPr>
            <w:tcW w:w="3432" w:type="dxa"/>
            <w:tcBorders>
              <w:left w:val="single" w:sz="4" w:space="0" w:color="auto"/>
            </w:tcBorders>
            <w:tcMar>
              <w:top w:w="28" w:type="dxa"/>
              <w:left w:w="85" w:type="dxa"/>
            </w:tcMar>
            <w:vAlign w:val="bottom"/>
          </w:tcPr>
          <w:p>
            <w:pPr>
              <w:pStyle w:val="yTableNAm"/>
              <w:rPr>
                <w:i/>
              </w:rPr>
            </w:pPr>
            <w:r>
              <w:rPr>
                <w:i/>
              </w:rPr>
              <w:t>Scomberomorus semifasciatus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Peruvian Jack </w:t>
            </w:r>
            <w:r>
              <w:tab/>
            </w:r>
          </w:p>
        </w:tc>
        <w:tc>
          <w:tcPr>
            <w:tcW w:w="3432" w:type="dxa"/>
            <w:tcBorders>
              <w:left w:val="single" w:sz="4" w:space="0" w:color="auto"/>
            </w:tcBorders>
            <w:tcMar>
              <w:top w:w="28" w:type="dxa"/>
              <w:left w:w="85" w:type="dxa"/>
            </w:tcMar>
          </w:tcPr>
          <w:p>
            <w:pPr>
              <w:pStyle w:val="yTableNAm"/>
              <w:rPr>
                <w:i/>
              </w:rPr>
            </w:pPr>
            <w:r>
              <w:rPr>
                <w:i/>
              </w:rPr>
              <w:t>Trachurus murphyi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Scaly </w:t>
            </w:r>
            <w:r>
              <w:tab/>
            </w:r>
          </w:p>
        </w:tc>
        <w:tc>
          <w:tcPr>
            <w:tcW w:w="3432" w:type="dxa"/>
            <w:tcBorders>
              <w:left w:val="single" w:sz="4" w:space="0" w:color="auto"/>
            </w:tcBorders>
            <w:tcMar>
              <w:top w:w="28" w:type="dxa"/>
              <w:left w:w="85" w:type="dxa"/>
            </w:tcMar>
          </w:tcPr>
          <w:p>
            <w:pPr>
              <w:pStyle w:val="yTableNAm"/>
              <w:rPr>
                <w:i/>
              </w:rPr>
            </w:pPr>
            <w:r>
              <w:rPr>
                <w:i/>
              </w:rPr>
              <w:t>Sardinella lemuru</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School </w:t>
            </w:r>
            <w:r>
              <w:tab/>
            </w:r>
          </w:p>
        </w:tc>
        <w:tc>
          <w:tcPr>
            <w:tcW w:w="3432" w:type="dxa"/>
            <w:tcBorders>
              <w:left w:val="single" w:sz="4" w:space="0" w:color="auto"/>
            </w:tcBorders>
            <w:tcMar>
              <w:top w:w="28" w:type="dxa"/>
              <w:left w:w="85" w:type="dxa"/>
            </w:tcMar>
          </w:tcPr>
          <w:p>
            <w:pPr>
              <w:pStyle w:val="yTableNAm"/>
              <w:rPr>
                <w:i/>
              </w:rPr>
            </w:pPr>
            <w:r>
              <w:rPr>
                <w:i/>
              </w:rPr>
              <w:t>Scomberomorus queenslandicus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Shark </w:t>
            </w:r>
            <w:r>
              <w:tab/>
            </w:r>
          </w:p>
        </w:tc>
        <w:tc>
          <w:tcPr>
            <w:tcW w:w="3432" w:type="dxa"/>
            <w:tcBorders>
              <w:left w:val="single" w:sz="4" w:space="0" w:color="auto"/>
            </w:tcBorders>
            <w:tcMar>
              <w:top w:w="28" w:type="dxa"/>
              <w:left w:w="85" w:type="dxa"/>
            </w:tcMar>
          </w:tcPr>
          <w:p>
            <w:pPr>
              <w:pStyle w:val="yTableNAm"/>
              <w:rPr>
                <w:i/>
              </w:rPr>
            </w:pPr>
            <w:r>
              <w:rPr>
                <w:i/>
              </w:rPr>
              <w:t>Grammatorcynus bicarinatus</w:t>
            </w:r>
          </w:p>
        </w:tc>
      </w:tr>
      <w:tr>
        <w:tc>
          <w:tcPr>
            <w:tcW w:w="3543" w:type="dxa"/>
            <w:tcBorders>
              <w:right w:val="single" w:sz="4" w:space="0" w:color="auto"/>
            </w:tcBorders>
            <w:tcMar>
              <w:top w:w="28" w:type="dxa"/>
              <w:left w:w="85" w:type="dxa"/>
            </w:tcMar>
          </w:tcPr>
          <w:p>
            <w:pPr>
              <w:pStyle w:val="yTableNAm"/>
              <w:tabs>
                <w:tab w:val="clear" w:pos="567"/>
                <w:tab w:val="left" w:leader="dot" w:pos="3317"/>
              </w:tabs>
              <w:rPr>
                <w:rStyle w:val="DraftersNotes"/>
                <w:b w:val="0"/>
                <w:i w:val="0"/>
              </w:rPr>
            </w:pPr>
            <w:r>
              <w:t xml:space="preserve">Mackerel, Spanish </w:t>
            </w:r>
            <w:r>
              <w:br/>
              <w:t>(Narrow</w:t>
            </w:r>
            <w:r>
              <w:noBreakHyphen/>
              <w:t xml:space="preserve">barred Mackerel) </w:t>
            </w:r>
            <w:r>
              <w:tab/>
            </w:r>
          </w:p>
        </w:tc>
        <w:tc>
          <w:tcPr>
            <w:tcW w:w="3432" w:type="dxa"/>
            <w:tcBorders>
              <w:left w:val="single" w:sz="4" w:space="0" w:color="auto"/>
            </w:tcBorders>
            <w:tcMar>
              <w:top w:w="28" w:type="dxa"/>
              <w:left w:w="85" w:type="dxa"/>
            </w:tcMar>
            <w:vAlign w:val="bottom"/>
          </w:tcPr>
          <w:p>
            <w:pPr>
              <w:pStyle w:val="yTableNAm"/>
              <w:rPr>
                <w:i/>
              </w:rPr>
            </w:pPr>
            <w:r>
              <w:rPr>
                <w:i/>
              </w:rPr>
              <w:t>Scomberomorus commerson</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Spotted </w:t>
            </w:r>
            <w:r>
              <w:tab/>
            </w:r>
          </w:p>
        </w:tc>
        <w:tc>
          <w:tcPr>
            <w:tcW w:w="3432" w:type="dxa"/>
            <w:tcBorders>
              <w:left w:val="single" w:sz="4" w:space="0" w:color="auto"/>
            </w:tcBorders>
            <w:tcMar>
              <w:top w:w="28" w:type="dxa"/>
              <w:left w:w="85" w:type="dxa"/>
            </w:tcMar>
          </w:tcPr>
          <w:p>
            <w:pPr>
              <w:pStyle w:val="yTableNAm"/>
              <w:rPr>
                <w:i/>
              </w:rPr>
            </w:pPr>
            <w:r>
              <w:rPr>
                <w:i/>
              </w:rPr>
              <w:t>Scomberomorus munroi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Mangrove Jack </w:t>
            </w:r>
            <w:r>
              <w:tab/>
            </w:r>
          </w:p>
        </w:tc>
        <w:tc>
          <w:tcPr>
            <w:tcW w:w="3432" w:type="dxa"/>
            <w:tcBorders>
              <w:left w:val="single" w:sz="4" w:space="0" w:color="auto"/>
            </w:tcBorders>
            <w:tcMar>
              <w:top w:w="28" w:type="dxa"/>
              <w:left w:w="85" w:type="dxa"/>
            </w:tcMar>
          </w:tcPr>
          <w:p>
            <w:pPr>
              <w:pStyle w:val="yTableNAm"/>
              <w:rPr>
                <w:i/>
              </w:rPr>
            </w:pPr>
            <w:r>
              <w:rPr>
                <w:i/>
              </w:rPr>
              <w:t>Lutjanus argentimaculatus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Maray </w:t>
            </w:r>
            <w:r>
              <w:tab/>
            </w:r>
          </w:p>
        </w:tc>
        <w:tc>
          <w:tcPr>
            <w:tcW w:w="3432" w:type="dxa"/>
            <w:tcBorders>
              <w:left w:val="single" w:sz="4" w:space="0" w:color="auto"/>
            </w:tcBorders>
            <w:tcMar>
              <w:top w:w="28" w:type="dxa"/>
              <w:left w:w="85" w:type="dxa"/>
            </w:tcMar>
          </w:tcPr>
          <w:p>
            <w:pPr>
              <w:pStyle w:val="yTableNAm"/>
              <w:rPr>
                <w:i/>
              </w:rPr>
            </w:pPr>
            <w:r>
              <w:rPr>
                <w:i/>
              </w:rPr>
              <w:t>Etrumeus jacksoniensis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Milkfish </w:t>
            </w:r>
            <w:r>
              <w:tab/>
            </w:r>
          </w:p>
        </w:tc>
        <w:tc>
          <w:tcPr>
            <w:tcW w:w="3432" w:type="dxa"/>
            <w:tcBorders>
              <w:left w:val="single" w:sz="4" w:space="0" w:color="auto"/>
            </w:tcBorders>
            <w:tcMar>
              <w:top w:w="28" w:type="dxa"/>
              <w:left w:w="85" w:type="dxa"/>
            </w:tcMar>
          </w:tcPr>
          <w:p>
            <w:pPr>
              <w:pStyle w:val="yTableNAm"/>
              <w:rPr>
                <w:i/>
              </w:rPr>
            </w:pPr>
            <w:r>
              <w:rPr>
                <w:i/>
              </w:rPr>
              <w:t>Chanos chanos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Mullet </w:t>
            </w:r>
            <w:r>
              <w:tab/>
            </w:r>
          </w:p>
        </w:tc>
        <w:tc>
          <w:tcPr>
            <w:tcW w:w="3432" w:type="dxa"/>
            <w:tcBorders>
              <w:left w:val="single" w:sz="4" w:space="0" w:color="auto"/>
            </w:tcBorders>
            <w:tcMar>
              <w:top w:w="28" w:type="dxa"/>
              <w:left w:w="85" w:type="dxa"/>
            </w:tcMar>
          </w:tcPr>
          <w:p>
            <w:pPr>
              <w:pStyle w:val="yTableNAm"/>
            </w:pPr>
            <w:r>
              <w:t>Family Mugilidae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Mullet, Red (Goatfish) </w:t>
            </w:r>
            <w:r>
              <w:tab/>
            </w:r>
          </w:p>
        </w:tc>
        <w:tc>
          <w:tcPr>
            <w:tcW w:w="3432" w:type="dxa"/>
            <w:tcBorders>
              <w:left w:val="single" w:sz="4" w:space="0" w:color="auto"/>
            </w:tcBorders>
            <w:tcMar>
              <w:top w:w="28" w:type="dxa"/>
              <w:left w:w="85" w:type="dxa"/>
            </w:tcMar>
          </w:tcPr>
          <w:p>
            <w:pPr>
              <w:pStyle w:val="yTableNAm"/>
            </w:pPr>
            <w:r>
              <w:t>Family Mullidae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Mullet, Sea </w:t>
            </w:r>
            <w:r>
              <w:tab/>
            </w:r>
          </w:p>
        </w:tc>
        <w:tc>
          <w:tcPr>
            <w:tcW w:w="3432" w:type="dxa"/>
            <w:tcBorders>
              <w:left w:val="single" w:sz="4" w:space="0" w:color="auto"/>
            </w:tcBorders>
            <w:tcMar>
              <w:top w:w="28" w:type="dxa"/>
              <w:left w:w="85" w:type="dxa"/>
            </w:tcMar>
          </w:tcPr>
          <w:p>
            <w:pPr>
              <w:pStyle w:val="yTableNAm"/>
              <w:rPr>
                <w:i/>
              </w:rPr>
            </w:pPr>
            <w:r>
              <w:rPr>
                <w:i/>
              </w:rPr>
              <w:t>Mugil cephalus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Mullet, Yelloweye </w:t>
            </w:r>
            <w:r>
              <w:tab/>
            </w:r>
          </w:p>
        </w:tc>
        <w:tc>
          <w:tcPr>
            <w:tcW w:w="3432" w:type="dxa"/>
            <w:tcBorders>
              <w:left w:val="single" w:sz="4" w:space="0" w:color="auto"/>
            </w:tcBorders>
            <w:tcMar>
              <w:top w:w="28" w:type="dxa"/>
              <w:left w:w="85" w:type="dxa"/>
            </w:tcMar>
          </w:tcPr>
          <w:p>
            <w:pPr>
              <w:pStyle w:val="yTableNAm"/>
              <w:rPr>
                <w:i/>
              </w:rPr>
            </w:pPr>
            <w:r>
              <w:rPr>
                <w:i/>
              </w:rPr>
              <w:t>Aldrichetta forsteri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Mulloway </w:t>
            </w:r>
            <w:r>
              <w:tab/>
            </w:r>
          </w:p>
        </w:tc>
        <w:tc>
          <w:tcPr>
            <w:tcW w:w="3432" w:type="dxa"/>
            <w:tcBorders>
              <w:left w:val="single" w:sz="4" w:space="0" w:color="auto"/>
            </w:tcBorders>
            <w:tcMar>
              <w:top w:w="28" w:type="dxa"/>
              <w:left w:w="85" w:type="dxa"/>
            </w:tcMar>
          </w:tcPr>
          <w:p>
            <w:pPr>
              <w:pStyle w:val="yTableNAm"/>
              <w:rPr>
                <w:i/>
              </w:rPr>
            </w:pPr>
            <w:r>
              <w:rPr>
                <w:i/>
              </w:rPr>
              <w:t>Argyrosomus japonicus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Parrotfish </w:t>
            </w:r>
            <w:r>
              <w:tab/>
            </w:r>
          </w:p>
        </w:tc>
        <w:tc>
          <w:tcPr>
            <w:tcW w:w="3432" w:type="dxa"/>
            <w:tcBorders>
              <w:left w:val="single" w:sz="4" w:space="0" w:color="auto"/>
            </w:tcBorders>
            <w:tcMar>
              <w:top w:w="28" w:type="dxa"/>
              <w:left w:w="85" w:type="dxa"/>
            </w:tcMar>
          </w:tcPr>
          <w:p>
            <w:pPr>
              <w:pStyle w:val="yTableNAm"/>
            </w:pPr>
            <w:r>
              <w:t>Subfamily Scarinae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Pearl Perch </w:t>
            </w:r>
            <w:r>
              <w:tab/>
            </w:r>
          </w:p>
        </w:tc>
        <w:tc>
          <w:tcPr>
            <w:tcW w:w="3432" w:type="dxa"/>
            <w:tcBorders>
              <w:left w:val="single" w:sz="4" w:space="0" w:color="auto"/>
            </w:tcBorders>
            <w:tcMar>
              <w:top w:w="28" w:type="dxa"/>
              <w:left w:w="85" w:type="dxa"/>
            </w:tcMar>
          </w:tcPr>
          <w:p>
            <w:pPr>
              <w:pStyle w:val="yTableNAm"/>
              <w:rPr>
                <w:i/>
              </w:rPr>
            </w:pPr>
            <w:r>
              <w:rPr>
                <w:i/>
              </w:rPr>
              <w:t xml:space="preserve">Glaucosoma </w:t>
            </w:r>
            <w:r>
              <w:t>spp., excluding</w:t>
            </w:r>
            <w:r>
              <w:rPr>
                <w:i/>
              </w:rPr>
              <w:t xml:space="preserve"> G. hebraicum</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Pike, Longfin </w:t>
            </w:r>
            <w:r>
              <w:tab/>
            </w:r>
          </w:p>
        </w:tc>
        <w:tc>
          <w:tcPr>
            <w:tcW w:w="3432" w:type="dxa"/>
            <w:tcBorders>
              <w:left w:val="single" w:sz="4" w:space="0" w:color="auto"/>
            </w:tcBorders>
            <w:tcMar>
              <w:top w:w="28" w:type="dxa"/>
              <w:left w:w="85" w:type="dxa"/>
            </w:tcMar>
          </w:tcPr>
          <w:p>
            <w:pPr>
              <w:pStyle w:val="yTableNAm"/>
              <w:rPr>
                <w:i/>
              </w:rPr>
            </w:pPr>
            <w:r>
              <w:rPr>
                <w:i/>
              </w:rPr>
              <w:t>Dinolestes lewini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Queenfish </w:t>
            </w:r>
            <w:r>
              <w:tab/>
            </w:r>
          </w:p>
        </w:tc>
        <w:tc>
          <w:tcPr>
            <w:tcW w:w="3432" w:type="dxa"/>
            <w:tcBorders>
              <w:left w:val="single" w:sz="4" w:space="0" w:color="auto"/>
            </w:tcBorders>
            <w:tcMar>
              <w:top w:w="28" w:type="dxa"/>
              <w:left w:w="85" w:type="dxa"/>
            </w:tcMar>
          </w:tcPr>
          <w:p>
            <w:pPr>
              <w:pStyle w:val="yTableNAm"/>
              <w:rPr>
                <w:i/>
              </w:rPr>
            </w:pPr>
            <w:r>
              <w:rPr>
                <w:i/>
              </w:rPr>
              <w:t xml:space="preserve">Scomberoides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Queenfish, Needleskin</w:t>
            </w:r>
            <w:r>
              <w:tab/>
            </w:r>
          </w:p>
        </w:tc>
        <w:tc>
          <w:tcPr>
            <w:tcW w:w="3432" w:type="dxa"/>
            <w:tcBorders>
              <w:left w:val="single" w:sz="4" w:space="0" w:color="auto"/>
            </w:tcBorders>
            <w:tcMar>
              <w:top w:w="28" w:type="dxa"/>
              <w:left w:w="85" w:type="dxa"/>
            </w:tcMar>
          </w:tcPr>
          <w:p>
            <w:pPr>
              <w:pStyle w:val="yTableNAm"/>
              <w:rPr>
                <w:i/>
              </w:rPr>
            </w:pPr>
            <w:r>
              <w:rPr>
                <w:i/>
              </w:rPr>
              <w:t>Scomberoides tol</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Rays </w:t>
            </w:r>
            <w:r>
              <w:tab/>
            </w:r>
          </w:p>
        </w:tc>
        <w:tc>
          <w:tcPr>
            <w:tcW w:w="3432" w:type="dxa"/>
            <w:tcBorders>
              <w:left w:val="single" w:sz="4" w:space="0" w:color="auto"/>
            </w:tcBorders>
            <w:tcMar>
              <w:top w:w="28" w:type="dxa"/>
              <w:left w:w="85" w:type="dxa"/>
            </w:tcMar>
          </w:tcPr>
          <w:p>
            <w:pPr>
              <w:pStyle w:val="yTableNAm"/>
              <w:rPr>
                <w:u w:val="single"/>
              </w:rPr>
            </w:pPr>
            <w:r>
              <w:t>Superorder Batoidea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Rays, Eagle </w:t>
            </w:r>
            <w:r>
              <w:tab/>
            </w:r>
          </w:p>
        </w:tc>
        <w:tc>
          <w:tcPr>
            <w:tcW w:w="3432" w:type="dxa"/>
            <w:tcBorders>
              <w:left w:val="single" w:sz="4" w:space="0" w:color="auto"/>
            </w:tcBorders>
            <w:tcMar>
              <w:top w:w="28" w:type="dxa"/>
              <w:left w:w="85" w:type="dxa"/>
            </w:tcMar>
          </w:tcPr>
          <w:p>
            <w:pPr>
              <w:pStyle w:val="yTableNAm"/>
            </w:pPr>
            <w:r>
              <w:t>Family Myliobatidae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Ray, Manta </w:t>
            </w:r>
            <w:r>
              <w:tab/>
            </w:r>
          </w:p>
        </w:tc>
        <w:tc>
          <w:tcPr>
            <w:tcW w:w="3432" w:type="dxa"/>
            <w:tcBorders>
              <w:left w:val="single" w:sz="4" w:space="0" w:color="auto"/>
            </w:tcBorders>
            <w:tcMar>
              <w:top w:w="28" w:type="dxa"/>
              <w:left w:w="85" w:type="dxa"/>
            </w:tcMar>
          </w:tcPr>
          <w:p>
            <w:pPr>
              <w:pStyle w:val="yTableNAm"/>
              <w:rPr>
                <w:i/>
              </w:rPr>
            </w:pPr>
            <w:r>
              <w:rPr>
                <w:i/>
              </w:rPr>
              <w:t>Manta birostris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Redbait </w:t>
            </w:r>
            <w:r>
              <w:tab/>
            </w:r>
          </w:p>
        </w:tc>
        <w:tc>
          <w:tcPr>
            <w:tcW w:w="3432" w:type="dxa"/>
            <w:tcBorders>
              <w:left w:val="single" w:sz="4" w:space="0" w:color="auto"/>
            </w:tcBorders>
            <w:tcMar>
              <w:top w:w="28" w:type="dxa"/>
              <w:left w:w="85" w:type="dxa"/>
            </w:tcMar>
          </w:tcPr>
          <w:p>
            <w:pPr>
              <w:pStyle w:val="yTableNAm"/>
              <w:rPr>
                <w:i/>
              </w:rPr>
            </w:pPr>
            <w:r>
              <w:rPr>
                <w:i/>
              </w:rPr>
              <w:t>Emmelichthys nitidus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Redfish, Bight (Nannygai, Red Snapper) </w:t>
            </w:r>
            <w:r>
              <w:tab/>
            </w:r>
          </w:p>
        </w:tc>
        <w:tc>
          <w:tcPr>
            <w:tcW w:w="3432" w:type="dxa"/>
            <w:tcBorders>
              <w:left w:val="single" w:sz="4" w:space="0" w:color="auto"/>
            </w:tcBorders>
            <w:tcMar>
              <w:top w:w="28" w:type="dxa"/>
              <w:left w:w="85" w:type="dxa"/>
            </w:tcMar>
            <w:vAlign w:val="bottom"/>
          </w:tcPr>
          <w:p>
            <w:pPr>
              <w:pStyle w:val="yTableNAm"/>
              <w:rPr>
                <w:i/>
              </w:rPr>
            </w:pPr>
            <w:r>
              <w:rPr>
                <w:i/>
              </w:rPr>
              <w:t>Centroberyx gerrardi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Redfish, Yelloweye </w:t>
            </w:r>
            <w:r>
              <w:tab/>
            </w:r>
          </w:p>
        </w:tc>
        <w:tc>
          <w:tcPr>
            <w:tcW w:w="3432" w:type="dxa"/>
            <w:tcBorders>
              <w:left w:val="single" w:sz="4" w:space="0" w:color="auto"/>
            </w:tcBorders>
            <w:tcMar>
              <w:top w:w="28" w:type="dxa"/>
              <w:left w:w="85" w:type="dxa"/>
            </w:tcMar>
          </w:tcPr>
          <w:p>
            <w:pPr>
              <w:pStyle w:val="yTableNAm"/>
              <w:rPr>
                <w:i/>
              </w:rPr>
            </w:pPr>
            <w:r>
              <w:rPr>
                <w:i/>
              </w:rPr>
              <w:t>Centroberyx australis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Rockcod </w:t>
            </w:r>
            <w:r>
              <w:tab/>
            </w:r>
          </w:p>
        </w:tc>
        <w:tc>
          <w:tcPr>
            <w:tcW w:w="3432" w:type="dxa"/>
            <w:tcBorders>
              <w:left w:val="single" w:sz="4" w:space="0" w:color="auto"/>
            </w:tcBorders>
            <w:tcMar>
              <w:top w:w="28" w:type="dxa"/>
              <w:left w:w="85" w:type="dxa"/>
            </w:tcMar>
          </w:tcPr>
          <w:p>
            <w:pPr>
              <w:pStyle w:val="yTableNAm"/>
            </w:pPr>
            <w:r>
              <w:t>Families Epinephelidae and Serranidae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Rockcod, Blackspotted </w:t>
            </w:r>
            <w:r>
              <w:tab/>
            </w:r>
          </w:p>
        </w:tc>
        <w:tc>
          <w:tcPr>
            <w:tcW w:w="3432" w:type="dxa"/>
            <w:tcBorders>
              <w:left w:val="single" w:sz="4" w:space="0" w:color="auto"/>
            </w:tcBorders>
            <w:tcMar>
              <w:top w:w="28" w:type="dxa"/>
              <w:left w:w="85" w:type="dxa"/>
            </w:tcMar>
          </w:tcPr>
          <w:p>
            <w:pPr>
              <w:pStyle w:val="yTableNAm"/>
              <w:rPr>
                <w:i/>
              </w:rPr>
            </w:pPr>
            <w:r>
              <w:rPr>
                <w:i/>
              </w:rPr>
              <w:t>Epinephelus malabaricus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Rockcod, Chinaman (Charlie Court) </w:t>
            </w:r>
          </w:p>
        </w:tc>
        <w:tc>
          <w:tcPr>
            <w:tcW w:w="3432" w:type="dxa"/>
            <w:tcBorders>
              <w:left w:val="single" w:sz="4" w:space="0" w:color="auto"/>
            </w:tcBorders>
            <w:tcMar>
              <w:top w:w="28" w:type="dxa"/>
              <w:left w:w="85" w:type="dxa"/>
            </w:tcMar>
          </w:tcPr>
          <w:p>
            <w:pPr>
              <w:pStyle w:val="yTableNAm"/>
              <w:rPr>
                <w:i/>
              </w:rPr>
            </w:pPr>
            <w:r>
              <w:rPr>
                <w:i/>
              </w:rPr>
              <w:t>Epinephelus rivulatus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Rockcod, Goldspotted (Estuary </w:t>
            </w:r>
            <w:r>
              <w:br/>
              <w:t xml:space="preserve">Cod) </w:t>
            </w:r>
            <w:r>
              <w:tab/>
            </w:r>
          </w:p>
        </w:tc>
        <w:tc>
          <w:tcPr>
            <w:tcW w:w="3432" w:type="dxa"/>
            <w:tcBorders>
              <w:left w:val="single" w:sz="4" w:space="0" w:color="auto"/>
            </w:tcBorders>
            <w:tcMar>
              <w:top w:w="28" w:type="dxa"/>
              <w:left w:w="85" w:type="dxa"/>
            </w:tcMar>
            <w:vAlign w:val="bottom"/>
          </w:tcPr>
          <w:p>
            <w:pPr>
              <w:pStyle w:val="yTableNAm"/>
              <w:rPr>
                <w:i/>
              </w:rPr>
            </w:pPr>
            <w:r>
              <w:rPr>
                <w:i/>
              </w:rPr>
              <w:t>Epinephelus coioides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Rockcod, Potato </w:t>
            </w:r>
            <w:r>
              <w:tab/>
            </w:r>
          </w:p>
        </w:tc>
        <w:tc>
          <w:tcPr>
            <w:tcW w:w="3432" w:type="dxa"/>
            <w:tcBorders>
              <w:left w:val="single" w:sz="4" w:space="0" w:color="auto"/>
            </w:tcBorders>
            <w:tcMar>
              <w:top w:w="28" w:type="dxa"/>
              <w:left w:w="85" w:type="dxa"/>
            </w:tcMar>
          </w:tcPr>
          <w:p>
            <w:pPr>
              <w:pStyle w:val="yTableNAm"/>
              <w:rPr>
                <w:i/>
              </w:rPr>
            </w:pPr>
            <w:r>
              <w:rPr>
                <w:i/>
              </w:rPr>
              <w:t>Epinephelus tukula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Salmon, Atlantic </w:t>
            </w:r>
            <w:r>
              <w:tab/>
            </w:r>
          </w:p>
        </w:tc>
        <w:tc>
          <w:tcPr>
            <w:tcW w:w="3432" w:type="dxa"/>
            <w:tcBorders>
              <w:left w:val="single" w:sz="4" w:space="0" w:color="auto"/>
            </w:tcBorders>
            <w:tcMar>
              <w:top w:w="28" w:type="dxa"/>
              <w:left w:w="85" w:type="dxa"/>
            </w:tcMar>
          </w:tcPr>
          <w:p>
            <w:pPr>
              <w:pStyle w:val="yTableNAm"/>
              <w:rPr>
                <w:i/>
              </w:rPr>
            </w:pPr>
            <w:r>
              <w:rPr>
                <w:i/>
              </w:rPr>
              <w:t>Salmo salar</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Salmon, Western Australian (Salmon)</w:t>
            </w:r>
            <w:r>
              <w:tab/>
            </w:r>
          </w:p>
        </w:tc>
        <w:tc>
          <w:tcPr>
            <w:tcW w:w="3432" w:type="dxa"/>
            <w:tcBorders>
              <w:left w:val="single" w:sz="4" w:space="0" w:color="auto"/>
            </w:tcBorders>
            <w:tcMar>
              <w:top w:w="28" w:type="dxa"/>
              <w:left w:w="85" w:type="dxa"/>
            </w:tcMar>
            <w:vAlign w:val="bottom"/>
          </w:tcPr>
          <w:p>
            <w:pPr>
              <w:pStyle w:val="yTableNAm"/>
              <w:rPr>
                <w:i/>
              </w:rPr>
            </w:pPr>
            <w:r>
              <w:rPr>
                <w:i/>
              </w:rPr>
              <w:t>Arripis truttaceus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Samsonfish </w:t>
            </w:r>
            <w:r>
              <w:tab/>
            </w:r>
          </w:p>
        </w:tc>
        <w:tc>
          <w:tcPr>
            <w:tcW w:w="3432" w:type="dxa"/>
            <w:tcBorders>
              <w:left w:val="single" w:sz="4" w:space="0" w:color="auto"/>
            </w:tcBorders>
            <w:tcMar>
              <w:top w:w="28" w:type="dxa"/>
              <w:left w:w="85" w:type="dxa"/>
            </w:tcMar>
          </w:tcPr>
          <w:p>
            <w:pPr>
              <w:pStyle w:val="yTableNAm"/>
              <w:rPr>
                <w:i/>
              </w:rPr>
            </w:pPr>
            <w:r>
              <w:rPr>
                <w:i/>
              </w:rPr>
              <w:t>Seriola hippos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Sardine, Australian (Pilchard) </w:t>
            </w:r>
            <w:r>
              <w:tab/>
            </w:r>
          </w:p>
        </w:tc>
        <w:tc>
          <w:tcPr>
            <w:tcW w:w="3432" w:type="dxa"/>
            <w:tcBorders>
              <w:left w:val="single" w:sz="4" w:space="0" w:color="auto"/>
            </w:tcBorders>
            <w:tcMar>
              <w:top w:w="28" w:type="dxa"/>
              <w:left w:w="85" w:type="dxa"/>
            </w:tcMar>
          </w:tcPr>
          <w:p>
            <w:pPr>
              <w:pStyle w:val="yTableNAm"/>
              <w:rPr>
                <w:i/>
              </w:rPr>
            </w:pPr>
            <w:r>
              <w:rPr>
                <w:i/>
              </w:rPr>
              <w:t>Sardinops sagax</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Sawfish </w:t>
            </w:r>
            <w:r>
              <w:tab/>
            </w:r>
          </w:p>
        </w:tc>
        <w:tc>
          <w:tcPr>
            <w:tcW w:w="3432" w:type="dxa"/>
            <w:tcBorders>
              <w:left w:val="single" w:sz="4" w:space="0" w:color="auto"/>
            </w:tcBorders>
            <w:tcMar>
              <w:top w:w="28" w:type="dxa"/>
              <w:left w:w="85" w:type="dxa"/>
            </w:tcMar>
          </w:tcPr>
          <w:p>
            <w:pPr>
              <w:pStyle w:val="yTableNAm"/>
            </w:pPr>
            <w:r>
              <w:t>Family Pristidae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Scad, Yellowtail </w:t>
            </w:r>
            <w:r>
              <w:tab/>
            </w:r>
          </w:p>
        </w:tc>
        <w:tc>
          <w:tcPr>
            <w:tcW w:w="3432" w:type="dxa"/>
            <w:tcBorders>
              <w:left w:val="single" w:sz="4" w:space="0" w:color="auto"/>
            </w:tcBorders>
            <w:tcMar>
              <w:top w:w="28" w:type="dxa"/>
              <w:left w:w="85" w:type="dxa"/>
            </w:tcMar>
          </w:tcPr>
          <w:p>
            <w:pPr>
              <w:pStyle w:val="yTableNAm"/>
              <w:rPr>
                <w:i/>
              </w:rPr>
            </w:pPr>
            <w:r>
              <w:rPr>
                <w:i/>
              </w:rPr>
              <w:t>Trachurus novaezelandiae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Seabream </w:t>
            </w:r>
            <w:r>
              <w:tab/>
            </w:r>
          </w:p>
        </w:tc>
        <w:tc>
          <w:tcPr>
            <w:tcW w:w="3432" w:type="dxa"/>
            <w:tcBorders>
              <w:left w:val="single" w:sz="4" w:space="0" w:color="auto"/>
            </w:tcBorders>
            <w:tcMar>
              <w:top w:w="28" w:type="dxa"/>
              <w:left w:w="85" w:type="dxa"/>
            </w:tcMar>
          </w:tcPr>
          <w:p>
            <w:pPr>
              <w:pStyle w:val="yTableNAm"/>
            </w:pPr>
            <w:r>
              <w:rPr>
                <w:i/>
              </w:rPr>
              <w:t xml:space="preserve">Gymnocranius </w:t>
            </w:r>
            <w:r>
              <w:t xml:space="preserve">spp. and </w:t>
            </w:r>
            <w:r>
              <w:rPr>
                <w:i/>
              </w:rPr>
              <w:t>Monotaxis</w:t>
            </w:r>
            <w:r>
              <w:t> 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Seadragon, Common </w:t>
            </w:r>
            <w:r>
              <w:tab/>
            </w:r>
          </w:p>
        </w:tc>
        <w:tc>
          <w:tcPr>
            <w:tcW w:w="3432" w:type="dxa"/>
            <w:tcBorders>
              <w:left w:val="single" w:sz="4" w:space="0" w:color="auto"/>
            </w:tcBorders>
            <w:tcMar>
              <w:top w:w="28" w:type="dxa"/>
              <w:left w:w="85" w:type="dxa"/>
            </w:tcMar>
          </w:tcPr>
          <w:p>
            <w:pPr>
              <w:pStyle w:val="yTableNAm"/>
              <w:rPr>
                <w:i/>
              </w:rPr>
            </w:pPr>
            <w:r>
              <w:rPr>
                <w:i/>
              </w:rPr>
              <w:t>Phyllopteryx taeniolatus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Seadragon, Leafy </w:t>
            </w:r>
            <w:r>
              <w:tab/>
            </w:r>
          </w:p>
        </w:tc>
        <w:tc>
          <w:tcPr>
            <w:tcW w:w="3432" w:type="dxa"/>
            <w:tcBorders>
              <w:left w:val="single" w:sz="4" w:space="0" w:color="auto"/>
            </w:tcBorders>
            <w:tcMar>
              <w:top w:w="28" w:type="dxa"/>
              <w:left w:w="85" w:type="dxa"/>
            </w:tcMar>
          </w:tcPr>
          <w:p>
            <w:pPr>
              <w:pStyle w:val="yTableNAm"/>
              <w:rPr>
                <w:i/>
              </w:rPr>
            </w:pPr>
            <w:r>
              <w:rPr>
                <w:i/>
              </w:rPr>
              <w:t>Phycodurus eques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Shark, Northern River </w:t>
            </w:r>
            <w:r>
              <w:tab/>
            </w:r>
          </w:p>
        </w:tc>
        <w:tc>
          <w:tcPr>
            <w:tcW w:w="3432" w:type="dxa"/>
            <w:tcBorders>
              <w:left w:val="single" w:sz="4" w:space="0" w:color="auto"/>
            </w:tcBorders>
            <w:tcMar>
              <w:top w:w="28" w:type="dxa"/>
              <w:left w:w="85" w:type="dxa"/>
            </w:tcMar>
          </w:tcPr>
          <w:p>
            <w:pPr>
              <w:pStyle w:val="yTableNAm"/>
              <w:rPr>
                <w:i/>
              </w:rPr>
            </w:pPr>
            <w:r>
              <w:rPr>
                <w:i/>
              </w:rPr>
              <w:t>Glyphis garricki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Shark, Speartooth </w:t>
            </w:r>
            <w:r>
              <w:tab/>
            </w:r>
          </w:p>
        </w:tc>
        <w:tc>
          <w:tcPr>
            <w:tcW w:w="3432" w:type="dxa"/>
            <w:tcBorders>
              <w:left w:val="single" w:sz="4" w:space="0" w:color="auto"/>
            </w:tcBorders>
            <w:tcMar>
              <w:top w:w="28" w:type="dxa"/>
              <w:left w:w="85" w:type="dxa"/>
            </w:tcMar>
          </w:tcPr>
          <w:p>
            <w:pPr>
              <w:pStyle w:val="yTableNAm"/>
              <w:rPr>
                <w:i/>
              </w:rPr>
            </w:pPr>
            <w:r>
              <w:rPr>
                <w:i/>
              </w:rPr>
              <w:t>Glyphis glyphis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Shark, Whale </w:t>
            </w:r>
            <w:r>
              <w:tab/>
            </w:r>
          </w:p>
        </w:tc>
        <w:tc>
          <w:tcPr>
            <w:tcW w:w="3432" w:type="dxa"/>
            <w:tcBorders>
              <w:left w:val="single" w:sz="4" w:space="0" w:color="auto"/>
            </w:tcBorders>
            <w:tcMar>
              <w:top w:w="28" w:type="dxa"/>
              <w:left w:w="85" w:type="dxa"/>
            </w:tcMar>
          </w:tcPr>
          <w:p>
            <w:pPr>
              <w:pStyle w:val="yTableNAm"/>
              <w:rPr>
                <w:i/>
              </w:rPr>
            </w:pPr>
            <w:r>
              <w:rPr>
                <w:i/>
              </w:rPr>
              <w:t>Rhincodon typus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Shark, White </w:t>
            </w:r>
            <w:r>
              <w:tab/>
            </w:r>
          </w:p>
        </w:tc>
        <w:tc>
          <w:tcPr>
            <w:tcW w:w="3432" w:type="dxa"/>
            <w:tcBorders>
              <w:left w:val="single" w:sz="4" w:space="0" w:color="auto"/>
            </w:tcBorders>
            <w:tcMar>
              <w:top w:w="28" w:type="dxa"/>
              <w:left w:w="85" w:type="dxa"/>
            </w:tcMar>
          </w:tcPr>
          <w:p>
            <w:pPr>
              <w:pStyle w:val="yTableNAm"/>
              <w:rPr>
                <w:i/>
              </w:rPr>
            </w:pPr>
            <w:r>
              <w:rPr>
                <w:i/>
              </w:rPr>
              <w:t>Carcharodon carcharias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Sharks </w:t>
            </w:r>
            <w:r>
              <w:tab/>
            </w:r>
          </w:p>
        </w:tc>
        <w:tc>
          <w:tcPr>
            <w:tcW w:w="3432" w:type="dxa"/>
            <w:tcBorders>
              <w:left w:val="single" w:sz="4" w:space="0" w:color="auto"/>
            </w:tcBorders>
            <w:tcMar>
              <w:top w:w="28" w:type="dxa"/>
              <w:left w:w="85" w:type="dxa"/>
            </w:tcMar>
          </w:tcPr>
          <w:p>
            <w:pPr>
              <w:pStyle w:val="yTableNAm"/>
            </w:pPr>
            <w:r>
              <w:t>Orders Squatiniformes, Pristiophoriformes, Squaliformes, Hexanchiformes, Carcharhiniformes, Lamniformes, Orectolobiformes and Heterodontiformes</w:t>
            </w:r>
          </w:p>
        </w:tc>
      </w:tr>
      <w:tr>
        <w:tc>
          <w:tcPr>
            <w:tcW w:w="3543" w:type="dxa"/>
            <w:tcBorders>
              <w:right w:val="single" w:sz="4" w:space="0" w:color="auto"/>
            </w:tcBorders>
            <w:tcMar>
              <w:top w:w="28" w:type="dxa"/>
              <w:left w:w="85" w:type="dxa"/>
            </w:tcMar>
          </w:tcPr>
          <w:p>
            <w:pPr>
              <w:pStyle w:val="yTableNAm"/>
              <w:tabs>
                <w:tab w:val="clear" w:pos="567"/>
                <w:tab w:val="left" w:leader="dot" w:pos="3317"/>
              </w:tabs>
              <w:rPr>
                <w:rStyle w:val="DraftersNotes"/>
                <w:b w:val="0"/>
                <w:i w:val="0"/>
              </w:rPr>
            </w:pPr>
            <w:r>
              <w:t xml:space="preserve">Sharks, Whaler </w:t>
            </w:r>
            <w:r>
              <w:tab/>
            </w:r>
          </w:p>
        </w:tc>
        <w:tc>
          <w:tcPr>
            <w:tcW w:w="3432" w:type="dxa"/>
            <w:tcBorders>
              <w:left w:val="single" w:sz="4" w:space="0" w:color="auto"/>
            </w:tcBorders>
            <w:tcMar>
              <w:top w:w="28" w:type="dxa"/>
              <w:left w:w="85" w:type="dxa"/>
            </w:tcMar>
          </w:tcPr>
          <w:p>
            <w:pPr>
              <w:pStyle w:val="yTableNAm"/>
              <w:rPr>
                <w:i/>
              </w:rPr>
            </w:pPr>
            <w:r>
              <w:rPr>
                <w:i/>
              </w:rPr>
              <w:t xml:space="preserve">Carcharhinus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Crimson </w:t>
            </w:r>
            <w:r>
              <w:tab/>
            </w:r>
          </w:p>
        </w:tc>
        <w:tc>
          <w:tcPr>
            <w:tcW w:w="3432" w:type="dxa"/>
            <w:tcBorders>
              <w:left w:val="single" w:sz="4" w:space="0" w:color="auto"/>
            </w:tcBorders>
            <w:tcMar>
              <w:top w:w="28" w:type="dxa"/>
              <w:left w:w="85" w:type="dxa"/>
            </w:tcMar>
          </w:tcPr>
          <w:p>
            <w:pPr>
              <w:pStyle w:val="yTableNAm"/>
              <w:rPr>
                <w:i/>
              </w:rPr>
            </w:pPr>
            <w:r>
              <w:rPr>
                <w:i/>
              </w:rPr>
              <w:t>Lutjanus erythropterus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Snapper, Deep Water</w:t>
            </w:r>
            <w:r>
              <w:tab/>
            </w:r>
          </w:p>
        </w:tc>
        <w:tc>
          <w:tcPr>
            <w:tcW w:w="3432" w:type="dxa"/>
            <w:tcBorders>
              <w:left w:val="single" w:sz="4" w:space="0" w:color="auto"/>
            </w:tcBorders>
            <w:tcMar>
              <w:top w:w="28" w:type="dxa"/>
              <w:left w:w="85" w:type="dxa"/>
            </w:tcMar>
          </w:tcPr>
          <w:p>
            <w:pPr>
              <w:pStyle w:val="yTableNAm"/>
              <w:rPr>
                <w:i/>
              </w:rPr>
            </w:pPr>
            <w:r>
              <w:rPr>
                <w:i/>
              </w:rPr>
              <w:t xml:space="preserve">Pristipomoides </w:t>
            </w:r>
            <w:r>
              <w:t>spp. and</w:t>
            </w:r>
            <w:r>
              <w:rPr>
                <w:i/>
              </w:rPr>
              <w:t xml:space="preserve"> Etelis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Snapper, Goldband</w:t>
            </w:r>
            <w:r>
              <w:tab/>
            </w:r>
          </w:p>
        </w:tc>
        <w:tc>
          <w:tcPr>
            <w:tcW w:w="3432" w:type="dxa"/>
            <w:tcBorders>
              <w:left w:val="single" w:sz="4" w:space="0" w:color="auto"/>
            </w:tcBorders>
            <w:tcMar>
              <w:top w:w="28" w:type="dxa"/>
              <w:left w:w="85" w:type="dxa"/>
            </w:tcMar>
          </w:tcPr>
          <w:p>
            <w:pPr>
              <w:pStyle w:val="yTableNAm"/>
              <w:rPr>
                <w:i/>
              </w:rPr>
            </w:pPr>
            <w:r>
              <w:rPr>
                <w:i/>
              </w:rPr>
              <w:t>Pristipomoides multidens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Golden (Fingermark) </w:t>
            </w:r>
            <w:r>
              <w:tab/>
            </w:r>
          </w:p>
        </w:tc>
        <w:tc>
          <w:tcPr>
            <w:tcW w:w="3432" w:type="dxa"/>
            <w:tcBorders>
              <w:left w:val="single" w:sz="4" w:space="0" w:color="auto"/>
            </w:tcBorders>
            <w:tcMar>
              <w:top w:w="28" w:type="dxa"/>
              <w:left w:w="85" w:type="dxa"/>
            </w:tcMar>
          </w:tcPr>
          <w:p>
            <w:pPr>
              <w:pStyle w:val="yTableNAm"/>
              <w:rPr>
                <w:i/>
              </w:rPr>
            </w:pPr>
            <w:r>
              <w:rPr>
                <w:i/>
              </w:rPr>
              <w:t>Lutjanus johnii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(Pink Snapper) </w:t>
            </w:r>
            <w:r>
              <w:tab/>
            </w:r>
          </w:p>
        </w:tc>
        <w:tc>
          <w:tcPr>
            <w:tcW w:w="3432" w:type="dxa"/>
            <w:tcBorders>
              <w:left w:val="single" w:sz="4" w:space="0" w:color="auto"/>
            </w:tcBorders>
            <w:tcMar>
              <w:top w:w="28" w:type="dxa"/>
              <w:left w:w="85" w:type="dxa"/>
            </w:tcMar>
          </w:tcPr>
          <w:p>
            <w:pPr>
              <w:pStyle w:val="yTableNAm"/>
              <w:rPr>
                <w:i/>
              </w:rPr>
            </w:pPr>
            <w:r>
              <w:rPr>
                <w:i/>
              </w:rPr>
              <w:t>Chrysophrys auratus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Queen (Blue Morwong) </w:t>
            </w:r>
            <w:r>
              <w:tab/>
            </w:r>
          </w:p>
        </w:tc>
        <w:tc>
          <w:tcPr>
            <w:tcW w:w="3432" w:type="dxa"/>
            <w:tcBorders>
              <w:left w:val="single" w:sz="4" w:space="0" w:color="auto"/>
            </w:tcBorders>
            <w:tcMar>
              <w:top w:w="28" w:type="dxa"/>
              <w:left w:w="85" w:type="dxa"/>
            </w:tcMar>
          </w:tcPr>
          <w:p>
            <w:pPr>
              <w:pStyle w:val="yTableNAm"/>
              <w:rPr>
                <w:i/>
              </w:rPr>
            </w:pPr>
            <w:r>
              <w:rPr>
                <w:i/>
              </w:rPr>
              <w:t>Nemadactylus valenciennesi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Saddletail </w:t>
            </w:r>
            <w:r>
              <w:tab/>
            </w:r>
          </w:p>
        </w:tc>
        <w:tc>
          <w:tcPr>
            <w:tcW w:w="3432" w:type="dxa"/>
            <w:tcBorders>
              <w:left w:val="single" w:sz="4" w:space="0" w:color="auto"/>
            </w:tcBorders>
            <w:tcMar>
              <w:top w:w="28" w:type="dxa"/>
              <w:left w:w="85" w:type="dxa"/>
            </w:tcMar>
          </w:tcPr>
          <w:p>
            <w:pPr>
              <w:pStyle w:val="yTableNAm"/>
              <w:rPr>
                <w:i/>
              </w:rPr>
            </w:pPr>
            <w:r>
              <w:rPr>
                <w:i/>
              </w:rPr>
              <w:t>Lutjanus malabaricus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Stripey </w:t>
            </w:r>
            <w:r>
              <w:tab/>
            </w:r>
          </w:p>
        </w:tc>
        <w:tc>
          <w:tcPr>
            <w:tcW w:w="3432" w:type="dxa"/>
            <w:tcBorders>
              <w:left w:val="single" w:sz="4" w:space="0" w:color="auto"/>
            </w:tcBorders>
            <w:tcMar>
              <w:top w:w="28" w:type="dxa"/>
              <w:left w:w="85" w:type="dxa"/>
            </w:tcMar>
          </w:tcPr>
          <w:p>
            <w:pPr>
              <w:pStyle w:val="yTableNAm"/>
              <w:rPr>
                <w:i/>
              </w:rPr>
            </w:pPr>
            <w:r>
              <w:rPr>
                <w:i/>
              </w:rPr>
              <w:t>Lutjanus carponotatus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Tropical </w:t>
            </w:r>
            <w:r>
              <w:tab/>
            </w:r>
          </w:p>
        </w:tc>
        <w:tc>
          <w:tcPr>
            <w:tcW w:w="3432" w:type="dxa"/>
            <w:tcBorders>
              <w:left w:val="single" w:sz="4" w:space="0" w:color="auto"/>
            </w:tcBorders>
            <w:tcMar>
              <w:top w:w="28" w:type="dxa"/>
              <w:left w:w="85" w:type="dxa"/>
            </w:tcMar>
          </w:tcPr>
          <w:p>
            <w:pPr>
              <w:pStyle w:val="yTableNAm"/>
            </w:pPr>
            <w:r>
              <w:t>Family Lutjanidae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Snook </w:t>
            </w:r>
            <w:r>
              <w:tab/>
            </w:r>
          </w:p>
        </w:tc>
        <w:tc>
          <w:tcPr>
            <w:tcW w:w="3432" w:type="dxa"/>
            <w:tcBorders>
              <w:left w:val="single" w:sz="4" w:space="0" w:color="auto"/>
            </w:tcBorders>
            <w:tcMar>
              <w:top w:w="28" w:type="dxa"/>
              <w:left w:w="85" w:type="dxa"/>
            </w:tcMar>
          </w:tcPr>
          <w:p>
            <w:pPr>
              <w:pStyle w:val="yTableNAm"/>
              <w:rPr>
                <w:i/>
              </w:rPr>
            </w:pPr>
            <w:r>
              <w:rPr>
                <w:i/>
              </w:rPr>
              <w:t>Sphyraena novaehollandiae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Sole </w:t>
            </w:r>
            <w:r>
              <w:tab/>
            </w:r>
          </w:p>
        </w:tc>
        <w:tc>
          <w:tcPr>
            <w:tcW w:w="3432" w:type="dxa"/>
            <w:tcBorders>
              <w:left w:val="single" w:sz="4" w:space="0" w:color="auto"/>
            </w:tcBorders>
            <w:tcMar>
              <w:top w:w="28" w:type="dxa"/>
              <w:left w:w="85" w:type="dxa"/>
            </w:tcMar>
          </w:tcPr>
          <w:p>
            <w:pPr>
              <w:pStyle w:val="yTableNAm"/>
            </w:pPr>
            <w:r>
              <w:t>Family Soleidae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Sprat, Blue </w:t>
            </w:r>
            <w:r>
              <w:tab/>
            </w:r>
          </w:p>
        </w:tc>
        <w:tc>
          <w:tcPr>
            <w:tcW w:w="3432" w:type="dxa"/>
            <w:tcBorders>
              <w:left w:val="single" w:sz="4" w:space="0" w:color="auto"/>
            </w:tcBorders>
            <w:tcMar>
              <w:top w:w="28" w:type="dxa"/>
              <w:left w:w="85" w:type="dxa"/>
            </w:tcMar>
          </w:tcPr>
          <w:p>
            <w:pPr>
              <w:pStyle w:val="yTableNAm"/>
              <w:rPr>
                <w:i/>
              </w:rPr>
            </w:pPr>
            <w:r>
              <w:rPr>
                <w:i/>
              </w:rPr>
              <w:t>Spratelloides robustus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Sprat, Sandy (Whitebait) </w:t>
            </w:r>
            <w:r>
              <w:tab/>
            </w:r>
          </w:p>
        </w:tc>
        <w:tc>
          <w:tcPr>
            <w:tcW w:w="3432" w:type="dxa"/>
            <w:tcBorders>
              <w:left w:val="single" w:sz="4" w:space="0" w:color="auto"/>
            </w:tcBorders>
            <w:tcMar>
              <w:top w:w="28" w:type="dxa"/>
              <w:left w:w="85" w:type="dxa"/>
            </w:tcMar>
          </w:tcPr>
          <w:p>
            <w:pPr>
              <w:pStyle w:val="yTableNAm"/>
              <w:rPr>
                <w:i/>
              </w:rPr>
            </w:pPr>
            <w:r>
              <w:rPr>
                <w:i/>
              </w:rPr>
              <w:t>Hyperlophus vittatus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Stingray, Black </w:t>
            </w:r>
            <w:r>
              <w:tab/>
            </w:r>
          </w:p>
        </w:tc>
        <w:tc>
          <w:tcPr>
            <w:tcW w:w="3432" w:type="dxa"/>
            <w:tcBorders>
              <w:left w:val="single" w:sz="4" w:space="0" w:color="auto"/>
            </w:tcBorders>
            <w:tcMar>
              <w:top w:w="28" w:type="dxa"/>
              <w:left w:w="85" w:type="dxa"/>
            </w:tcMar>
          </w:tcPr>
          <w:p>
            <w:pPr>
              <w:pStyle w:val="yTableNAm"/>
              <w:rPr>
                <w:i/>
              </w:rPr>
            </w:pPr>
            <w:r>
              <w:rPr>
                <w:i/>
              </w:rPr>
              <w:t>Bathytoshia lata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Stingray, Smooth </w:t>
            </w:r>
            <w:r>
              <w:tab/>
            </w:r>
          </w:p>
        </w:tc>
        <w:tc>
          <w:tcPr>
            <w:tcW w:w="3432" w:type="dxa"/>
            <w:tcBorders>
              <w:left w:val="single" w:sz="4" w:space="0" w:color="auto"/>
            </w:tcBorders>
            <w:tcMar>
              <w:top w:w="28" w:type="dxa"/>
              <w:left w:w="85" w:type="dxa"/>
            </w:tcMar>
          </w:tcPr>
          <w:p>
            <w:pPr>
              <w:pStyle w:val="yTableNAm"/>
              <w:rPr>
                <w:i/>
              </w:rPr>
            </w:pPr>
            <w:r>
              <w:rPr>
                <w:i/>
              </w:rPr>
              <w:t>Bathytoshia brevicaudata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Swallowtail </w:t>
            </w:r>
            <w:r>
              <w:tab/>
            </w:r>
          </w:p>
        </w:tc>
        <w:tc>
          <w:tcPr>
            <w:tcW w:w="3432" w:type="dxa"/>
            <w:tcBorders>
              <w:left w:val="single" w:sz="4" w:space="0" w:color="auto"/>
            </w:tcBorders>
            <w:tcMar>
              <w:top w:w="28" w:type="dxa"/>
              <w:left w:w="85" w:type="dxa"/>
            </w:tcMar>
          </w:tcPr>
          <w:p>
            <w:pPr>
              <w:pStyle w:val="yTableNAm"/>
              <w:rPr>
                <w:i/>
              </w:rPr>
            </w:pPr>
            <w:r>
              <w:rPr>
                <w:i/>
              </w:rPr>
              <w:t>Centroberyx lineatus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Sweep, Banded </w:t>
            </w:r>
            <w:r>
              <w:tab/>
            </w:r>
          </w:p>
        </w:tc>
        <w:tc>
          <w:tcPr>
            <w:tcW w:w="3432" w:type="dxa"/>
            <w:tcBorders>
              <w:left w:val="single" w:sz="4" w:space="0" w:color="auto"/>
            </w:tcBorders>
            <w:tcMar>
              <w:top w:w="28" w:type="dxa"/>
              <w:left w:w="85" w:type="dxa"/>
            </w:tcMar>
          </w:tcPr>
          <w:p>
            <w:pPr>
              <w:pStyle w:val="yTableNAm"/>
              <w:rPr>
                <w:i/>
              </w:rPr>
            </w:pPr>
            <w:r>
              <w:rPr>
                <w:i/>
              </w:rPr>
              <w:t>Scorpis georgiana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Sweep, Sea </w:t>
            </w:r>
            <w:r>
              <w:tab/>
            </w:r>
          </w:p>
        </w:tc>
        <w:tc>
          <w:tcPr>
            <w:tcW w:w="3432" w:type="dxa"/>
            <w:tcBorders>
              <w:left w:val="single" w:sz="4" w:space="0" w:color="auto"/>
            </w:tcBorders>
            <w:tcMar>
              <w:top w:w="28" w:type="dxa"/>
              <w:left w:w="85" w:type="dxa"/>
            </w:tcMar>
          </w:tcPr>
          <w:p>
            <w:pPr>
              <w:pStyle w:val="yTableNAm"/>
              <w:rPr>
                <w:i/>
              </w:rPr>
            </w:pPr>
            <w:r>
              <w:rPr>
                <w:i/>
              </w:rPr>
              <w:t>Scorpis aequipinnis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Swordfish </w:t>
            </w:r>
            <w:r>
              <w:tab/>
            </w:r>
          </w:p>
        </w:tc>
        <w:tc>
          <w:tcPr>
            <w:tcW w:w="3432" w:type="dxa"/>
            <w:tcBorders>
              <w:left w:val="single" w:sz="4" w:space="0" w:color="auto"/>
            </w:tcBorders>
            <w:tcMar>
              <w:top w:w="28" w:type="dxa"/>
              <w:left w:w="85" w:type="dxa"/>
            </w:tcMar>
          </w:tcPr>
          <w:p>
            <w:pPr>
              <w:pStyle w:val="yTableNAm"/>
              <w:rPr>
                <w:i/>
              </w:rPr>
            </w:pPr>
            <w:r>
              <w:rPr>
                <w:i/>
              </w:rPr>
              <w:t>Xiphias gladius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Tailor </w:t>
            </w:r>
            <w:r>
              <w:tab/>
            </w:r>
          </w:p>
        </w:tc>
        <w:tc>
          <w:tcPr>
            <w:tcW w:w="3432" w:type="dxa"/>
            <w:tcBorders>
              <w:left w:val="single" w:sz="4" w:space="0" w:color="auto"/>
            </w:tcBorders>
            <w:tcMar>
              <w:top w:w="28" w:type="dxa"/>
              <w:left w:w="85" w:type="dxa"/>
            </w:tcMar>
          </w:tcPr>
          <w:p>
            <w:pPr>
              <w:pStyle w:val="yTableNAm"/>
              <w:rPr>
                <w:i/>
              </w:rPr>
            </w:pPr>
            <w:r>
              <w:rPr>
                <w:i/>
              </w:rPr>
              <w:t>Pomatomus saltatrix</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Tarwhine </w:t>
            </w:r>
            <w:r>
              <w:tab/>
            </w:r>
          </w:p>
        </w:tc>
        <w:tc>
          <w:tcPr>
            <w:tcW w:w="3432" w:type="dxa"/>
            <w:tcBorders>
              <w:left w:val="single" w:sz="4" w:space="0" w:color="auto"/>
            </w:tcBorders>
            <w:tcMar>
              <w:top w:w="28" w:type="dxa"/>
              <w:left w:w="85" w:type="dxa"/>
            </w:tcMar>
          </w:tcPr>
          <w:p>
            <w:pPr>
              <w:pStyle w:val="yTableNAm"/>
              <w:rPr>
                <w:i/>
              </w:rPr>
            </w:pPr>
            <w:r>
              <w:rPr>
                <w:i/>
              </w:rPr>
              <w:t>Rhabdosargus sarba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Threadfin </w:t>
            </w:r>
            <w:r>
              <w:tab/>
            </w:r>
          </w:p>
        </w:tc>
        <w:tc>
          <w:tcPr>
            <w:tcW w:w="3432" w:type="dxa"/>
            <w:tcBorders>
              <w:left w:val="single" w:sz="4" w:space="0" w:color="auto"/>
            </w:tcBorders>
            <w:tcMar>
              <w:top w:w="28" w:type="dxa"/>
              <w:left w:w="85" w:type="dxa"/>
            </w:tcMar>
          </w:tcPr>
          <w:p>
            <w:pPr>
              <w:pStyle w:val="yTableNAm"/>
            </w:pPr>
            <w:r>
              <w:t>Family Polynemidae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Threadfin, Blue </w:t>
            </w:r>
            <w:r>
              <w:tab/>
            </w:r>
          </w:p>
        </w:tc>
        <w:tc>
          <w:tcPr>
            <w:tcW w:w="3432" w:type="dxa"/>
            <w:tcBorders>
              <w:left w:val="single" w:sz="4" w:space="0" w:color="auto"/>
            </w:tcBorders>
            <w:tcMar>
              <w:top w:w="28" w:type="dxa"/>
              <w:left w:w="85" w:type="dxa"/>
            </w:tcMar>
          </w:tcPr>
          <w:p>
            <w:pPr>
              <w:pStyle w:val="yTableNAm"/>
              <w:rPr>
                <w:i/>
              </w:rPr>
            </w:pPr>
            <w:r>
              <w:rPr>
                <w:i/>
              </w:rPr>
              <w:t xml:space="preserve">Eleutheronema tetradactylum </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Threadfin, King </w:t>
            </w:r>
            <w:r>
              <w:tab/>
            </w:r>
          </w:p>
        </w:tc>
        <w:tc>
          <w:tcPr>
            <w:tcW w:w="3432" w:type="dxa"/>
            <w:tcBorders>
              <w:left w:val="single" w:sz="4" w:space="0" w:color="auto"/>
            </w:tcBorders>
            <w:tcMar>
              <w:top w:w="28" w:type="dxa"/>
              <w:left w:w="85" w:type="dxa"/>
            </w:tcMar>
          </w:tcPr>
          <w:p>
            <w:pPr>
              <w:pStyle w:val="yTableNAm"/>
              <w:rPr>
                <w:i/>
              </w:rPr>
            </w:pPr>
            <w:r>
              <w:rPr>
                <w:i/>
              </w:rPr>
              <w:t>Polydactylus macrochir</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Trevalla(s), Blue</w:t>
            </w:r>
            <w:r>
              <w:noBreakHyphen/>
              <w:t xml:space="preserve">Eye </w:t>
            </w:r>
            <w:r>
              <w:tab/>
            </w:r>
          </w:p>
        </w:tc>
        <w:tc>
          <w:tcPr>
            <w:tcW w:w="3432" w:type="dxa"/>
            <w:tcBorders>
              <w:left w:val="single" w:sz="4" w:space="0" w:color="auto"/>
            </w:tcBorders>
            <w:tcMar>
              <w:top w:w="28" w:type="dxa"/>
              <w:left w:w="85" w:type="dxa"/>
            </w:tcMar>
          </w:tcPr>
          <w:p>
            <w:pPr>
              <w:pStyle w:val="yTableNAm"/>
            </w:pPr>
            <w:r>
              <w:t>Family Centrolophidae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Trevally </w:t>
            </w:r>
            <w:r>
              <w:tab/>
            </w:r>
          </w:p>
        </w:tc>
        <w:tc>
          <w:tcPr>
            <w:tcW w:w="3432" w:type="dxa"/>
            <w:tcBorders>
              <w:left w:val="single" w:sz="4" w:space="0" w:color="auto"/>
            </w:tcBorders>
            <w:tcMar>
              <w:top w:w="28" w:type="dxa"/>
              <w:left w:w="85" w:type="dxa"/>
            </w:tcMar>
          </w:tcPr>
          <w:p>
            <w:pPr>
              <w:pStyle w:val="yTableNAm"/>
            </w:pPr>
            <w:r>
              <w:t>Family Carangidae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Trevally, Diamond </w:t>
            </w:r>
            <w:r>
              <w:tab/>
            </w:r>
          </w:p>
        </w:tc>
        <w:tc>
          <w:tcPr>
            <w:tcW w:w="3432" w:type="dxa"/>
            <w:tcBorders>
              <w:left w:val="single" w:sz="4" w:space="0" w:color="auto"/>
            </w:tcBorders>
            <w:tcMar>
              <w:top w:w="28" w:type="dxa"/>
              <w:left w:w="85" w:type="dxa"/>
            </w:tcMar>
          </w:tcPr>
          <w:p>
            <w:pPr>
              <w:pStyle w:val="yTableNAm"/>
              <w:rPr>
                <w:i/>
              </w:rPr>
            </w:pPr>
            <w:r>
              <w:rPr>
                <w:i/>
              </w:rPr>
              <w:t>Alectis indica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Trevally, Giant </w:t>
            </w:r>
            <w:r>
              <w:tab/>
            </w:r>
          </w:p>
        </w:tc>
        <w:tc>
          <w:tcPr>
            <w:tcW w:w="3432" w:type="dxa"/>
            <w:tcBorders>
              <w:left w:val="single" w:sz="4" w:space="0" w:color="auto"/>
            </w:tcBorders>
            <w:tcMar>
              <w:top w:w="28" w:type="dxa"/>
              <w:left w:w="85" w:type="dxa"/>
            </w:tcMar>
          </w:tcPr>
          <w:p>
            <w:pPr>
              <w:pStyle w:val="yTableNAm"/>
              <w:rPr>
                <w:i/>
              </w:rPr>
            </w:pPr>
            <w:r>
              <w:rPr>
                <w:i/>
              </w:rPr>
              <w:t>Caranx ignobilis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Trevally, Golden </w:t>
            </w:r>
            <w:r>
              <w:tab/>
            </w:r>
          </w:p>
        </w:tc>
        <w:tc>
          <w:tcPr>
            <w:tcW w:w="3432" w:type="dxa"/>
            <w:tcBorders>
              <w:left w:val="single" w:sz="4" w:space="0" w:color="auto"/>
            </w:tcBorders>
            <w:tcMar>
              <w:top w:w="28" w:type="dxa"/>
              <w:left w:w="85" w:type="dxa"/>
            </w:tcMar>
          </w:tcPr>
          <w:p>
            <w:pPr>
              <w:pStyle w:val="yTableNAm"/>
              <w:rPr>
                <w:i/>
              </w:rPr>
            </w:pPr>
            <w:r>
              <w:rPr>
                <w:i/>
              </w:rPr>
              <w:t>Gnathanodon speciosus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Trevally, Silver (Skipjack) </w:t>
            </w:r>
            <w:r>
              <w:tab/>
            </w:r>
          </w:p>
        </w:tc>
        <w:tc>
          <w:tcPr>
            <w:tcW w:w="3432" w:type="dxa"/>
            <w:tcBorders>
              <w:left w:val="single" w:sz="4" w:space="0" w:color="auto"/>
            </w:tcBorders>
            <w:tcMar>
              <w:top w:w="28" w:type="dxa"/>
              <w:left w:w="85" w:type="dxa"/>
            </w:tcMar>
          </w:tcPr>
          <w:p>
            <w:pPr>
              <w:pStyle w:val="yTableNAm"/>
              <w:rPr>
                <w:rStyle w:val="DraftersNotes"/>
                <w:b w:val="0"/>
                <w:iCs/>
              </w:rPr>
            </w:pPr>
            <w:r>
              <w:rPr>
                <w:i/>
              </w:rPr>
              <w:t xml:space="preserve">Pseudocaranx </w:t>
            </w:r>
            <w:r>
              <w:t>spp. complex</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Tripletail </w:t>
            </w:r>
            <w:r>
              <w:tab/>
            </w:r>
          </w:p>
        </w:tc>
        <w:tc>
          <w:tcPr>
            <w:tcW w:w="3432" w:type="dxa"/>
            <w:tcBorders>
              <w:left w:val="single" w:sz="4" w:space="0" w:color="auto"/>
            </w:tcBorders>
            <w:tcMar>
              <w:top w:w="28" w:type="dxa"/>
              <w:left w:w="85" w:type="dxa"/>
            </w:tcMar>
          </w:tcPr>
          <w:p>
            <w:pPr>
              <w:pStyle w:val="yTableNAm"/>
              <w:rPr>
                <w:i/>
              </w:rPr>
            </w:pPr>
            <w:r>
              <w:rPr>
                <w:i/>
              </w:rPr>
              <w:t>Lobotes surinamensis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Tuna, Bigeye </w:t>
            </w:r>
            <w:r>
              <w:tab/>
            </w:r>
          </w:p>
        </w:tc>
        <w:tc>
          <w:tcPr>
            <w:tcW w:w="3432" w:type="dxa"/>
            <w:tcBorders>
              <w:left w:val="single" w:sz="4" w:space="0" w:color="auto"/>
            </w:tcBorders>
            <w:tcMar>
              <w:top w:w="28" w:type="dxa"/>
              <w:left w:w="85" w:type="dxa"/>
            </w:tcMar>
          </w:tcPr>
          <w:p>
            <w:pPr>
              <w:pStyle w:val="yTableNAm"/>
              <w:rPr>
                <w:i/>
              </w:rPr>
            </w:pPr>
            <w:r>
              <w:rPr>
                <w:i/>
              </w:rPr>
              <w:t>Thunnus obesus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Tuna, Dogtooth </w:t>
            </w:r>
            <w:r>
              <w:tab/>
            </w:r>
          </w:p>
        </w:tc>
        <w:tc>
          <w:tcPr>
            <w:tcW w:w="3432" w:type="dxa"/>
            <w:tcBorders>
              <w:left w:val="single" w:sz="4" w:space="0" w:color="auto"/>
            </w:tcBorders>
            <w:tcMar>
              <w:top w:w="28" w:type="dxa"/>
              <w:left w:w="85" w:type="dxa"/>
            </w:tcMar>
          </w:tcPr>
          <w:p>
            <w:pPr>
              <w:pStyle w:val="yTableNAm"/>
              <w:rPr>
                <w:i/>
              </w:rPr>
            </w:pPr>
            <w:r>
              <w:rPr>
                <w:i/>
              </w:rPr>
              <w:t>Gymnosarda unicolor</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Tuna, Longtail</w:t>
            </w:r>
            <w:r>
              <w:tab/>
            </w:r>
          </w:p>
        </w:tc>
        <w:tc>
          <w:tcPr>
            <w:tcW w:w="3432" w:type="dxa"/>
            <w:tcBorders>
              <w:left w:val="single" w:sz="4" w:space="0" w:color="auto"/>
            </w:tcBorders>
            <w:tcMar>
              <w:top w:w="28" w:type="dxa"/>
              <w:left w:w="85" w:type="dxa"/>
            </w:tcMar>
          </w:tcPr>
          <w:p>
            <w:pPr>
              <w:pStyle w:val="yTableNAm"/>
              <w:rPr>
                <w:i/>
              </w:rPr>
            </w:pPr>
            <w:r>
              <w:rPr>
                <w:i/>
              </w:rPr>
              <w:t>Thunnus tonggol</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Tuna, Mackerel</w:t>
            </w:r>
            <w:r>
              <w:tab/>
            </w:r>
          </w:p>
        </w:tc>
        <w:tc>
          <w:tcPr>
            <w:tcW w:w="3432" w:type="dxa"/>
            <w:tcBorders>
              <w:left w:val="single" w:sz="4" w:space="0" w:color="auto"/>
            </w:tcBorders>
            <w:tcMar>
              <w:top w:w="28" w:type="dxa"/>
              <w:left w:w="85" w:type="dxa"/>
            </w:tcMar>
          </w:tcPr>
          <w:p>
            <w:pPr>
              <w:pStyle w:val="yTableNAm"/>
              <w:rPr>
                <w:i/>
              </w:rPr>
            </w:pPr>
            <w:r>
              <w:rPr>
                <w:i/>
              </w:rPr>
              <w:t>Euthynnus affinis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Tuna, Skipjack </w:t>
            </w:r>
            <w:r>
              <w:tab/>
            </w:r>
          </w:p>
        </w:tc>
        <w:tc>
          <w:tcPr>
            <w:tcW w:w="3432" w:type="dxa"/>
            <w:tcBorders>
              <w:left w:val="single" w:sz="4" w:space="0" w:color="auto"/>
            </w:tcBorders>
            <w:tcMar>
              <w:top w:w="28" w:type="dxa"/>
              <w:left w:w="85" w:type="dxa"/>
            </w:tcMar>
          </w:tcPr>
          <w:p>
            <w:pPr>
              <w:pStyle w:val="yTableNAm"/>
              <w:rPr>
                <w:i/>
              </w:rPr>
            </w:pPr>
            <w:r>
              <w:rPr>
                <w:i/>
              </w:rPr>
              <w:t>Katsuwonus pelamis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Tuna, Southern Bluefin </w:t>
            </w:r>
            <w:r>
              <w:tab/>
            </w:r>
          </w:p>
        </w:tc>
        <w:tc>
          <w:tcPr>
            <w:tcW w:w="3432" w:type="dxa"/>
            <w:tcBorders>
              <w:left w:val="single" w:sz="4" w:space="0" w:color="auto"/>
            </w:tcBorders>
            <w:tcMar>
              <w:top w:w="28" w:type="dxa"/>
              <w:left w:w="85" w:type="dxa"/>
            </w:tcMar>
          </w:tcPr>
          <w:p>
            <w:pPr>
              <w:pStyle w:val="yTableNAm"/>
              <w:rPr>
                <w:i/>
              </w:rPr>
            </w:pPr>
            <w:r>
              <w:rPr>
                <w:i/>
              </w:rPr>
              <w:t>Thunnus maccoyii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Tuna, Yellowfin </w:t>
            </w:r>
            <w:r>
              <w:tab/>
            </w:r>
          </w:p>
        </w:tc>
        <w:tc>
          <w:tcPr>
            <w:tcW w:w="3432" w:type="dxa"/>
            <w:tcBorders>
              <w:left w:val="single" w:sz="4" w:space="0" w:color="auto"/>
            </w:tcBorders>
            <w:tcMar>
              <w:top w:w="28" w:type="dxa"/>
              <w:left w:w="85" w:type="dxa"/>
            </w:tcMar>
          </w:tcPr>
          <w:p>
            <w:pPr>
              <w:pStyle w:val="yTableNAm"/>
              <w:rPr>
                <w:i/>
              </w:rPr>
            </w:pPr>
            <w:r>
              <w:rPr>
                <w:i/>
              </w:rPr>
              <w:t>Thunnus albacares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Tuskfish </w:t>
            </w:r>
            <w:r>
              <w:tab/>
            </w:r>
          </w:p>
        </w:tc>
        <w:tc>
          <w:tcPr>
            <w:tcW w:w="3432" w:type="dxa"/>
            <w:tcBorders>
              <w:left w:val="single" w:sz="4" w:space="0" w:color="auto"/>
            </w:tcBorders>
            <w:tcMar>
              <w:top w:w="28" w:type="dxa"/>
              <w:left w:w="85" w:type="dxa"/>
            </w:tcMar>
          </w:tcPr>
          <w:p>
            <w:pPr>
              <w:pStyle w:val="yTableNAm"/>
              <w:rPr>
                <w:rStyle w:val="DraftersNotes"/>
                <w:b w:val="0"/>
              </w:rPr>
            </w:pPr>
            <w:r>
              <w:rPr>
                <w:i/>
              </w:rPr>
              <w:t xml:space="preserve">Choerodon </w:t>
            </w:r>
            <w:r>
              <w:t>spp.</w:t>
            </w:r>
            <w:r>
              <w:rPr>
                <w:i/>
              </w:rPr>
              <w:t xml:space="preserve"> </w:t>
            </w:r>
            <w:r>
              <w:rPr>
                <w:iCs/>
              </w:rPr>
              <w:t>excluding</w:t>
            </w:r>
            <w:r>
              <w:rPr>
                <w:i/>
              </w:rPr>
              <w:t xml:space="preserve"> C. rubescens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Tuskfish, Blackspot </w:t>
            </w:r>
            <w:r>
              <w:tab/>
            </w:r>
          </w:p>
        </w:tc>
        <w:tc>
          <w:tcPr>
            <w:tcW w:w="3432" w:type="dxa"/>
            <w:tcBorders>
              <w:left w:val="single" w:sz="4" w:space="0" w:color="auto"/>
            </w:tcBorders>
            <w:tcMar>
              <w:top w:w="28" w:type="dxa"/>
              <w:left w:w="85" w:type="dxa"/>
            </w:tcMar>
          </w:tcPr>
          <w:p>
            <w:pPr>
              <w:pStyle w:val="yTableNAm"/>
              <w:rPr>
                <w:i/>
              </w:rPr>
            </w:pPr>
            <w:r>
              <w:rPr>
                <w:i/>
              </w:rPr>
              <w:t>Choerodon schoenleinii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Tuskfish, Blue </w:t>
            </w:r>
            <w:r>
              <w:tab/>
            </w:r>
          </w:p>
        </w:tc>
        <w:tc>
          <w:tcPr>
            <w:tcW w:w="3432" w:type="dxa"/>
            <w:tcBorders>
              <w:left w:val="single" w:sz="4" w:space="0" w:color="auto"/>
            </w:tcBorders>
            <w:tcMar>
              <w:top w:w="28" w:type="dxa"/>
              <w:left w:w="85" w:type="dxa"/>
            </w:tcMar>
          </w:tcPr>
          <w:p>
            <w:pPr>
              <w:pStyle w:val="yTableNAm"/>
              <w:rPr>
                <w:i/>
              </w:rPr>
            </w:pPr>
            <w:r>
              <w:rPr>
                <w:i/>
              </w:rPr>
              <w:t>Choerodon cyanodus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Wahoo </w:t>
            </w:r>
            <w:r>
              <w:tab/>
            </w:r>
          </w:p>
        </w:tc>
        <w:tc>
          <w:tcPr>
            <w:tcW w:w="3432" w:type="dxa"/>
            <w:tcBorders>
              <w:left w:val="single" w:sz="4" w:space="0" w:color="auto"/>
            </w:tcBorders>
            <w:tcMar>
              <w:top w:w="28" w:type="dxa"/>
              <w:left w:w="85" w:type="dxa"/>
            </w:tcMar>
          </w:tcPr>
          <w:p>
            <w:pPr>
              <w:pStyle w:val="yTableNAm"/>
              <w:rPr>
                <w:i/>
              </w:rPr>
            </w:pPr>
            <w:r>
              <w:rPr>
                <w:i/>
              </w:rPr>
              <w:t>Acanthocybium solandri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Whiting </w:t>
            </w:r>
            <w:r>
              <w:tab/>
            </w:r>
          </w:p>
        </w:tc>
        <w:tc>
          <w:tcPr>
            <w:tcW w:w="3432" w:type="dxa"/>
            <w:tcBorders>
              <w:left w:val="single" w:sz="4" w:space="0" w:color="auto"/>
            </w:tcBorders>
            <w:tcMar>
              <w:top w:w="28" w:type="dxa"/>
              <w:left w:w="85" w:type="dxa"/>
            </w:tcMar>
          </w:tcPr>
          <w:p>
            <w:pPr>
              <w:pStyle w:val="yTableNAm"/>
              <w:rPr>
                <w:i/>
              </w:rPr>
            </w:pPr>
            <w:r>
              <w:rPr>
                <w:i/>
              </w:rPr>
              <w:t xml:space="preserve">Sillago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Whiting, Goldenline </w:t>
            </w:r>
            <w:r>
              <w:tab/>
            </w:r>
          </w:p>
        </w:tc>
        <w:tc>
          <w:tcPr>
            <w:tcW w:w="3432" w:type="dxa"/>
            <w:tcBorders>
              <w:left w:val="single" w:sz="4" w:space="0" w:color="auto"/>
            </w:tcBorders>
            <w:tcMar>
              <w:top w:w="28" w:type="dxa"/>
              <w:left w:w="85" w:type="dxa"/>
            </w:tcMar>
          </w:tcPr>
          <w:p>
            <w:pPr>
              <w:pStyle w:val="yTableNAm"/>
              <w:rPr>
                <w:i/>
              </w:rPr>
            </w:pPr>
            <w:r>
              <w:rPr>
                <w:i/>
              </w:rPr>
              <w:t>Sillago analis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Whiting, King George </w:t>
            </w:r>
            <w:r>
              <w:tab/>
            </w:r>
          </w:p>
        </w:tc>
        <w:tc>
          <w:tcPr>
            <w:tcW w:w="3432" w:type="dxa"/>
            <w:tcBorders>
              <w:left w:val="single" w:sz="4" w:space="0" w:color="auto"/>
            </w:tcBorders>
            <w:tcMar>
              <w:top w:w="28" w:type="dxa"/>
              <w:left w:w="85" w:type="dxa"/>
            </w:tcMar>
          </w:tcPr>
          <w:p>
            <w:pPr>
              <w:pStyle w:val="yTableNAm"/>
              <w:rPr>
                <w:i/>
              </w:rPr>
            </w:pPr>
            <w:r>
              <w:rPr>
                <w:i/>
              </w:rPr>
              <w:t>Sillaginodes punctatus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Whiting, Southern School </w:t>
            </w:r>
            <w:r>
              <w:tab/>
            </w:r>
          </w:p>
        </w:tc>
        <w:tc>
          <w:tcPr>
            <w:tcW w:w="3432" w:type="dxa"/>
            <w:tcBorders>
              <w:left w:val="single" w:sz="4" w:space="0" w:color="auto"/>
            </w:tcBorders>
            <w:tcMar>
              <w:top w:w="28" w:type="dxa"/>
              <w:left w:w="85" w:type="dxa"/>
            </w:tcMar>
          </w:tcPr>
          <w:p>
            <w:pPr>
              <w:pStyle w:val="yTableNAm"/>
              <w:rPr>
                <w:i/>
              </w:rPr>
            </w:pPr>
            <w:r>
              <w:rPr>
                <w:i/>
              </w:rPr>
              <w:t>Sillago bassensis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Whiting, Yellowfin </w:t>
            </w:r>
            <w:r>
              <w:tab/>
            </w:r>
          </w:p>
        </w:tc>
        <w:tc>
          <w:tcPr>
            <w:tcW w:w="3432" w:type="dxa"/>
            <w:tcBorders>
              <w:left w:val="single" w:sz="4" w:space="0" w:color="auto"/>
            </w:tcBorders>
            <w:tcMar>
              <w:top w:w="28" w:type="dxa"/>
              <w:left w:w="85" w:type="dxa"/>
            </w:tcMar>
          </w:tcPr>
          <w:p>
            <w:pPr>
              <w:pStyle w:val="yTableNAm"/>
              <w:rPr>
                <w:i/>
              </w:rPr>
            </w:pPr>
            <w:r>
              <w:rPr>
                <w:i/>
              </w:rPr>
              <w:t>Sillago schomburgkii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Wrasse </w:t>
            </w:r>
            <w:r>
              <w:tab/>
            </w:r>
          </w:p>
        </w:tc>
        <w:tc>
          <w:tcPr>
            <w:tcW w:w="3432" w:type="dxa"/>
            <w:tcBorders>
              <w:left w:val="single" w:sz="4" w:space="0" w:color="auto"/>
            </w:tcBorders>
            <w:tcMar>
              <w:top w:w="28" w:type="dxa"/>
              <w:left w:w="85" w:type="dxa"/>
            </w:tcMar>
          </w:tcPr>
          <w:p>
            <w:pPr>
              <w:pStyle w:val="yTableNAm"/>
              <w:rPr>
                <w:u w:val="single"/>
              </w:rPr>
            </w:pPr>
            <w:r>
              <w:t>Subfamily Labrinae</w:t>
            </w:r>
          </w:p>
        </w:tc>
      </w:tr>
      <w:tr>
        <w:tc>
          <w:tcPr>
            <w:tcW w:w="3543" w:type="dxa"/>
            <w:tcBorders>
              <w:right w:val="single" w:sz="4" w:space="0" w:color="auto"/>
            </w:tcBorders>
            <w:tcMar>
              <w:top w:w="28" w:type="dxa"/>
              <w:left w:w="85" w:type="dxa"/>
            </w:tcMar>
          </w:tcPr>
          <w:p>
            <w:pPr>
              <w:pStyle w:val="yTableNAm"/>
              <w:keepNext/>
              <w:tabs>
                <w:tab w:val="clear" w:pos="567"/>
                <w:tab w:val="left" w:leader="dot" w:pos="3317"/>
              </w:tabs>
            </w:pPr>
            <w:r>
              <w:t xml:space="preserve">Wrasse, Humphead Maori </w:t>
            </w:r>
            <w:r>
              <w:tab/>
            </w:r>
          </w:p>
        </w:tc>
        <w:tc>
          <w:tcPr>
            <w:tcW w:w="3432" w:type="dxa"/>
            <w:tcBorders>
              <w:left w:val="single" w:sz="4" w:space="0" w:color="auto"/>
            </w:tcBorders>
            <w:tcMar>
              <w:top w:w="28" w:type="dxa"/>
              <w:left w:w="85" w:type="dxa"/>
            </w:tcMar>
          </w:tcPr>
          <w:p>
            <w:pPr>
              <w:pStyle w:val="yTableNAm"/>
              <w:keepNext/>
              <w:rPr>
                <w:i/>
              </w:rPr>
            </w:pPr>
            <w:r>
              <w:rPr>
                <w:i/>
              </w:rPr>
              <w:t>Cheilinus undulatus</w:t>
            </w:r>
          </w:p>
        </w:tc>
      </w:tr>
      <w:tr>
        <w:tc>
          <w:tcPr>
            <w:tcW w:w="3543" w:type="dxa"/>
            <w:tcBorders>
              <w:bottom w:val="single" w:sz="8" w:space="0" w:color="auto"/>
              <w:right w:val="single" w:sz="4" w:space="0" w:color="auto"/>
            </w:tcBorders>
            <w:tcMar>
              <w:top w:w="28" w:type="dxa"/>
              <w:left w:w="85" w:type="dxa"/>
            </w:tcMar>
          </w:tcPr>
          <w:p>
            <w:pPr>
              <w:pStyle w:val="yTableNAm"/>
              <w:keepNext/>
              <w:tabs>
                <w:tab w:val="clear" w:pos="567"/>
                <w:tab w:val="left" w:leader="dot" w:pos="3317"/>
              </w:tabs>
            </w:pPr>
            <w:r>
              <w:t>Yellowtail Kingfish</w:t>
            </w:r>
            <w:r>
              <w:tab/>
            </w:r>
          </w:p>
        </w:tc>
        <w:tc>
          <w:tcPr>
            <w:tcW w:w="3432" w:type="dxa"/>
            <w:tcBorders>
              <w:left w:val="single" w:sz="4" w:space="0" w:color="auto"/>
              <w:bottom w:val="single" w:sz="8" w:space="0" w:color="auto"/>
            </w:tcBorders>
            <w:tcMar>
              <w:top w:w="28" w:type="dxa"/>
              <w:left w:w="85" w:type="dxa"/>
            </w:tcMar>
          </w:tcPr>
          <w:p>
            <w:pPr>
              <w:pStyle w:val="yTableNAm"/>
              <w:keepNext/>
              <w:rPr>
                <w:i/>
              </w:rPr>
            </w:pPr>
            <w:r>
              <w:rPr>
                <w:i/>
              </w:rPr>
              <w:t>Seriola lalandi</w:t>
            </w:r>
          </w:p>
        </w:tc>
      </w:tr>
    </w:tbl>
    <w:p>
      <w:pPr>
        <w:pStyle w:val="yFootnotesection"/>
      </w:pPr>
      <w:r>
        <w:tab/>
        <w:t>[Division 1 inserted: SL 2024/263 r. 24.]</w:t>
      </w:r>
    </w:p>
    <w:p>
      <w:pPr>
        <w:pStyle w:val="yHeading3"/>
      </w:pPr>
      <w:bookmarkStart w:id="1253" w:name="_Toc184372817"/>
      <w:bookmarkStart w:id="1254" w:name="_Toc184377970"/>
      <w:bookmarkStart w:id="1255" w:name="_Toc184385327"/>
      <w:bookmarkStart w:id="1256" w:name="_Toc201508724"/>
      <w:bookmarkStart w:id="1257" w:name="_Toc201754555"/>
      <w:bookmarkStart w:id="1258" w:name="_Toc201759285"/>
      <w:bookmarkEnd w:id="1252"/>
      <w:r>
        <w:rPr>
          <w:rStyle w:val="CharSDivNo"/>
        </w:rPr>
        <w:t>Division 2</w:t>
      </w:r>
      <w:r>
        <w:rPr>
          <w:b w:val="0"/>
        </w:rPr>
        <w:t> — </w:t>
      </w:r>
      <w:r>
        <w:rPr>
          <w:rStyle w:val="CharSDivText"/>
        </w:rPr>
        <w:t>Freshwater fish</w:t>
      </w:r>
      <w:bookmarkEnd w:id="1253"/>
      <w:bookmarkEnd w:id="1254"/>
      <w:bookmarkEnd w:id="1255"/>
      <w:bookmarkEnd w:id="1256"/>
      <w:bookmarkEnd w:id="1257"/>
      <w:bookmarkEnd w:id="1258"/>
    </w:p>
    <w:p>
      <w:pPr>
        <w:pStyle w:val="yFootnoteheading"/>
        <w:keepNext/>
      </w:pPr>
      <w:r>
        <w:tab/>
        <w:t>[Heading inserted: Gazette 4 Oct 2019 p. 3595.]</w:t>
      </w:r>
    </w:p>
    <w:tbl>
      <w:tblPr>
        <w:tblW w:w="7085"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pPr>
              <w:pStyle w:val="yTableNAm"/>
              <w:rPr>
                <w:i/>
                <w:iCs/>
              </w:rPr>
            </w:pPr>
            <w:r>
              <w:rPr>
                <w:i/>
                <w:iCs/>
              </w:rPr>
              <w:t xml:space="preserve">Cyprinus </w:t>
            </w:r>
            <w:r>
              <w:rPr>
                <w:i/>
              </w:rPr>
              <w:t>carpio</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pPr>
              <w:pStyle w:val="yTableNAm"/>
              <w:rPr>
                <w:i/>
                <w:iCs/>
              </w:rPr>
            </w:pPr>
            <w:r>
              <w:rPr>
                <w:i/>
                <w:iCs/>
              </w:rPr>
              <w:t xml:space="preserve">Tandanus </w:t>
            </w:r>
            <w:r>
              <w:rPr>
                <w:i/>
              </w:rPr>
              <w:t>bostocki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Cod, Murray </w:t>
            </w:r>
            <w:r>
              <w:tab/>
            </w:r>
          </w:p>
        </w:tc>
        <w:tc>
          <w:tcPr>
            <w:tcW w:w="3544" w:type="dxa"/>
            <w:tcBorders>
              <w:left w:val="single" w:sz="4" w:space="0" w:color="auto"/>
            </w:tcBorders>
            <w:tcMar>
              <w:top w:w="28" w:type="dxa"/>
              <w:left w:w="85" w:type="dxa"/>
            </w:tcMar>
          </w:tcPr>
          <w:p>
            <w:pPr>
              <w:pStyle w:val="yTableNAm"/>
              <w:rPr>
                <w:i/>
                <w:iCs/>
              </w:rPr>
            </w:pPr>
            <w:r>
              <w:rPr>
                <w:i/>
              </w:rPr>
              <w:t>Maccullochella</w:t>
            </w:r>
            <w:r>
              <w:rPr>
                <w:i/>
                <w:iCs/>
              </w:rPr>
              <w:t xml:space="preserve"> peeli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pPr>
              <w:pStyle w:val="yTableNAm"/>
              <w:rPr>
                <w:i/>
                <w:iCs/>
              </w:rPr>
            </w:pPr>
            <w:r>
              <w:rPr>
                <w:i/>
                <w:iCs/>
              </w:rPr>
              <w:t xml:space="preserve">Anguilla </w:t>
            </w:r>
            <w:r>
              <w:rPr>
                <w:i/>
              </w:rPr>
              <w:t>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pPr>
              <w:pStyle w:val="yTableNAm"/>
              <w:rPr>
                <w:i/>
                <w:iCs/>
              </w:rPr>
            </w:pPr>
            <w:r>
              <w:rPr>
                <w:i/>
                <w:iCs/>
              </w:rPr>
              <w:t xml:space="preserve">Carassius </w:t>
            </w:r>
            <w:r>
              <w:rPr>
                <w:i/>
              </w:rPr>
              <w:t>auratus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pPr>
              <w:pStyle w:val="yTableNAm"/>
              <w:rPr>
                <w:i/>
                <w:iCs/>
              </w:rPr>
            </w:pPr>
            <w:r>
              <w:rPr>
                <w:i/>
                <w:iCs/>
              </w:rPr>
              <w:t>Hephaestus fuliginosus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pPr>
              <w:pStyle w:val="yTableNAm"/>
              <w:rPr>
                <w:i/>
                <w:iCs/>
              </w:rPr>
            </w:pPr>
            <w:r>
              <w:rPr>
                <w:i/>
              </w:rPr>
              <w:t>Geotria 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pPr>
              <w:pStyle w:val="yTableNAm"/>
              <w:rPr>
                <w:i/>
                <w:iCs/>
              </w:rPr>
            </w:pPr>
            <w:r>
              <w:rPr>
                <w:i/>
                <w:iCs/>
              </w:rPr>
              <w:t>Galaxiella nigrostriata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pPr>
              <w:pStyle w:val="yTableNAm"/>
              <w:rPr>
                <w:i/>
                <w:iCs/>
              </w:rPr>
            </w:pPr>
            <w:r>
              <w:rPr>
                <w:i/>
                <w:iCs/>
              </w:rPr>
              <w:t>Galaxiella munda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pPr>
              <w:pStyle w:val="yTableNAm"/>
              <w:rPr>
                <w:i/>
                <w:iCs/>
              </w:rPr>
            </w:pPr>
            <w:r>
              <w:rPr>
                <w:i/>
                <w:iCs/>
              </w:rPr>
              <w:t>Galaxias truttaceus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pPr>
              <w:pStyle w:val="yTableNAm"/>
              <w:rPr>
                <w:i/>
                <w:iCs/>
              </w:rPr>
            </w:pPr>
            <w:r>
              <w:rPr>
                <w:i/>
              </w:rPr>
              <w:t>Nannatherina</w:t>
            </w:r>
            <w:r>
              <w:rPr>
                <w:i/>
                <w:iCs/>
              </w:rPr>
              <w:t xml:space="preserve"> balstoni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pPr>
              <w:pStyle w:val="yTableNAm"/>
              <w:rPr>
                <w:i/>
                <w:iCs/>
              </w:rPr>
            </w:pPr>
            <w:r>
              <w:rPr>
                <w:i/>
              </w:rPr>
              <w:t>Macquaria</w:t>
            </w:r>
            <w:r>
              <w:rPr>
                <w:i/>
                <w:iCs/>
              </w:rPr>
              <w:t xml:space="preserve"> ambigua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Little Pygmy </w:t>
            </w:r>
            <w:r>
              <w:tab/>
            </w:r>
          </w:p>
        </w:tc>
        <w:tc>
          <w:tcPr>
            <w:tcW w:w="3544" w:type="dxa"/>
            <w:tcBorders>
              <w:left w:val="single" w:sz="4" w:space="0" w:color="auto"/>
            </w:tcBorders>
            <w:tcMar>
              <w:top w:w="28" w:type="dxa"/>
              <w:left w:w="85" w:type="dxa"/>
            </w:tcMar>
          </w:tcPr>
          <w:p>
            <w:pPr>
              <w:pStyle w:val="yTableNAm"/>
              <w:rPr>
                <w:i/>
                <w:iCs/>
              </w:rPr>
            </w:pPr>
            <w:r>
              <w:rPr>
                <w:i/>
              </w:rPr>
              <w:t>Nannoperca</w:t>
            </w:r>
            <w:r>
              <w:rPr>
                <w:i/>
                <w:iCs/>
              </w:rPr>
              <w:t xml:space="preserve"> pygmaea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pPr>
              <w:pStyle w:val="yTableNAm"/>
              <w:rPr>
                <w:i/>
                <w:iCs/>
              </w:rPr>
            </w:pPr>
            <w:r>
              <w:rPr>
                <w:i/>
                <w:iCs/>
              </w:rPr>
              <w:t>Bidyanus bidyanus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Perch, Striped</w:t>
            </w:r>
            <w:r>
              <w:tab/>
            </w:r>
          </w:p>
        </w:tc>
        <w:tc>
          <w:tcPr>
            <w:tcW w:w="3544" w:type="dxa"/>
            <w:tcBorders>
              <w:left w:val="single" w:sz="4" w:space="0" w:color="auto"/>
            </w:tcBorders>
            <w:tcMar>
              <w:top w:w="28" w:type="dxa"/>
              <w:left w:w="85" w:type="dxa"/>
            </w:tcMar>
          </w:tcPr>
          <w:p>
            <w:pPr>
              <w:pStyle w:val="yTableNAm"/>
              <w:rPr>
                <w:i/>
                <w:iCs/>
              </w:rPr>
            </w:pPr>
            <w:r>
              <w:t>Family Terapontidae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pPr>
              <w:pStyle w:val="yTableNAm"/>
              <w:rPr>
                <w:i/>
                <w:iCs/>
              </w:rPr>
            </w:pPr>
            <w:r>
              <w:rPr>
                <w:i/>
                <w:iCs/>
              </w:rPr>
              <w:t xml:space="preserve">Perca </w:t>
            </w:r>
            <w:r>
              <w:rPr>
                <w:i/>
              </w:rPr>
              <w:t>fluviatilis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pPr>
              <w:pStyle w:val="yTableNAm"/>
              <w:rPr>
                <w:i/>
                <w:iCs/>
              </w:rPr>
            </w:pPr>
            <w:r>
              <w:rPr>
                <w:i/>
              </w:rPr>
              <w:t>Lepidogalaxias</w:t>
            </w:r>
            <w:r>
              <w:rPr>
                <w:i/>
                <w:iCs/>
              </w:rPr>
              <w:t xml:space="preserve"> salamandroides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pPr>
              <w:pStyle w:val="yTableNAm"/>
              <w:rPr>
                <w:i/>
                <w:iCs/>
              </w:rPr>
            </w:pPr>
            <w:r>
              <w:rPr>
                <w:i/>
                <w:iCs/>
              </w:rPr>
              <w:t xml:space="preserve">Salmo </w:t>
            </w:r>
            <w:r>
              <w:rPr>
                <w:i/>
              </w:rPr>
              <w:t>trutta</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pPr>
              <w:pStyle w:val="yTableNAm"/>
              <w:rPr>
                <w:i/>
                <w:iCs/>
              </w:rPr>
            </w:pPr>
            <w:r>
              <w:rPr>
                <w:i/>
              </w:rPr>
              <w:t>Oncorhynchus</w:t>
            </w:r>
            <w:r>
              <w:rPr>
                <w:i/>
                <w:iCs/>
              </w:rPr>
              <w:t xml:space="preserve"> mykiss</w:t>
            </w:r>
          </w:p>
        </w:tc>
      </w:tr>
    </w:tbl>
    <w:p>
      <w:pPr>
        <w:pStyle w:val="yFootnotesection"/>
      </w:pPr>
      <w:r>
        <w:tab/>
        <w:t>[Division 2 inserted: Gazette 4 Oct 2019 p. 3595-6; SL 2024/263 r. 25.]</w:t>
      </w:r>
    </w:p>
    <w:p>
      <w:pPr>
        <w:pStyle w:val="yHeading3"/>
      </w:pPr>
      <w:bookmarkStart w:id="1259" w:name="_Toc184300135"/>
      <w:bookmarkStart w:id="1260" w:name="_Toc184300199"/>
      <w:bookmarkStart w:id="1261" w:name="_Toc184300236"/>
      <w:bookmarkStart w:id="1262" w:name="_Toc184300327"/>
      <w:bookmarkStart w:id="1263" w:name="_Toc184377971"/>
      <w:bookmarkStart w:id="1264" w:name="_Toc184385328"/>
      <w:bookmarkStart w:id="1265" w:name="_Toc201508725"/>
      <w:bookmarkStart w:id="1266" w:name="_Toc201754556"/>
      <w:bookmarkStart w:id="1267" w:name="_Toc201759286"/>
      <w:bookmarkStart w:id="1268" w:name="_Toc184372818"/>
      <w:r>
        <w:rPr>
          <w:rStyle w:val="CharSDivNo"/>
        </w:rPr>
        <w:t>Division 3</w:t>
      </w:r>
      <w:r>
        <w:rPr>
          <w:b w:val="0"/>
        </w:rPr>
        <w:t> — </w:t>
      </w:r>
      <w:r>
        <w:rPr>
          <w:rStyle w:val="CharSDivText"/>
        </w:rPr>
        <w:t>Crustaceans</w:t>
      </w:r>
      <w:bookmarkEnd w:id="1259"/>
      <w:bookmarkEnd w:id="1260"/>
      <w:bookmarkEnd w:id="1261"/>
      <w:bookmarkEnd w:id="1262"/>
      <w:bookmarkEnd w:id="1263"/>
      <w:bookmarkEnd w:id="1264"/>
      <w:bookmarkEnd w:id="1265"/>
      <w:bookmarkEnd w:id="1266"/>
      <w:bookmarkEnd w:id="1267"/>
    </w:p>
    <w:p>
      <w:pPr>
        <w:pStyle w:val="yFootnoteheading"/>
        <w:spacing w:after="40"/>
      </w:pPr>
      <w:r>
        <w:tab/>
        <w:t>[Heading inserted: SL 2024/263 r. 26.]</w:t>
      </w:r>
    </w:p>
    <w:tbl>
      <w:tblPr>
        <w:tblW w:w="6975" w:type="dxa"/>
        <w:tblInd w:w="113" w:type="dxa"/>
        <w:tblLayout w:type="fixed"/>
        <w:tblCellMar>
          <w:left w:w="141" w:type="dxa"/>
          <w:right w:w="141" w:type="dxa"/>
        </w:tblCellMar>
        <w:tblLook w:val="0000" w:firstRow="0" w:lastRow="0" w:firstColumn="0" w:lastColumn="0" w:noHBand="0" w:noVBand="0"/>
      </w:tblPr>
      <w:tblGrid>
        <w:gridCol w:w="3541"/>
        <w:gridCol w:w="343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tabs>
                <w:tab w:val="right" w:leader="dot" w:pos="3315"/>
              </w:tabs>
              <w:rPr>
                <w:b/>
                <w:bCs/>
              </w:rPr>
            </w:pPr>
            <w:r>
              <w:rPr>
                <w:b/>
                <w:bCs/>
              </w:rPr>
              <w:t>Common name</w:t>
            </w:r>
          </w:p>
        </w:tc>
        <w:tc>
          <w:tcPr>
            <w:tcW w:w="3434" w:type="dxa"/>
            <w:tcBorders>
              <w:top w:val="single" w:sz="8" w:space="0" w:color="auto"/>
              <w:left w:val="single" w:sz="4" w:space="0" w:color="auto"/>
              <w:bottom w:val="single" w:sz="8" w:space="0" w:color="auto"/>
            </w:tcBorders>
            <w:tcMar>
              <w:top w:w="28" w:type="dxa"/>
              <w:left w:w="85" w:type="dxa"/>
            </w:tcMar>
          </w:tcPr>
          <w:p>
            <w:pPr>
              <w:pStyle w:val="yTableNAm"/>
              <w:rPr>
                <w:b/>
                <w:bCs/>
              </w:rPr>
            </w:pPr>
            <w:r>
              <w:rPr>
                <w:b/>
                <w:bCs/>
              </w:rPr>
              <w:t>Scientific name</w:t>
            </w:r>
          </w:p>
        </w:tc>
      </w:tr>
      <w:tr>
        <w:tc>
          <w:tcPr>
            <w:tcW w:w="3541" w:type="dxa"/>
            <w:tcBorders>
              <w:right w:val="single" w:sz="4" w:space="0" w:color="auto"/>
            </w:tcBorders>
            <w:tcMar>
              <w:top w:w="28" w:type="dxa"/>
              <w:left w:w="85" w:type="dxa"/>
            </w:tcMar>
          </w:tcPr>
          <w:p>
            <w:pPr>
              <w:pStyle w:val="yTableNAm"/>
              <w:tabs>
                <w:tab w:val="clear" w:pos="567"/>
                <w:tab w:val="right" w:leader="dot" w:pos="3315"/>
              </w:tabs>
            </w:pPr>
            <w:r>
              <w:t xml:space="preserve">Crab </w:t>
            </w:r>
            <w:r>
              <w:tab/>
            </w:r>
          </w:p>
        </w:tc>
        <w:tc>
          <w:tcPr>
            <w:tcW w:w="3434" w:type="dxa"/>
            <w:tcBorders>
              <w:left w:val="single" w:sz="4" w:space="0" w:color="auto"/>
            </w:tcBorders>
            <w:tcMar>
              <w:top w:w="28" w:type="dxa"/>
              <w:left w:w="85" w:type="dxa"/>
            </w:tcMar>
          </w:tcPr>
          <w:p>
            <w:pPr>
              <w:pStyle w:val="yTableNAm"/>
              <w:rPr>
                <w:i/>
                <w:iCs/>
              </w:rPr>
            </w:pPr>
            <w:r>
              <w:rPr>
                <w:i/>
                <w:iCs/>
              </w:rPr>
              <w:t xml:space="preserve">Chaceon, Hypothalassia, Ovalipes, Portunus, Pseudocarcinus </w:t>
            </w:r>
            <w:r>
              <w:t>and</w:t>
            </w:r>
            <w:r>
              <w:rPr>
                <w:i/>
                <w:iCs/>
              </w:rPr>
              <w:t xml:space="preserve"> Scylla </w:t>
            </w:r>
            <w:r>
              <w:t>spp.</w:t>
            </w:r>
          </w:p>
        </w:tc>
      </w:tr>
      <w:tr>
        <w:tc>
          <w:tcPr>
            <w:tcW w:w="3541" w:type="dxa"/>
            <w:tcBorders>
              <w:right w:val="single" w:sz="4" w:space="0" w:color="auto"/>
            </w:tcBorders>
            <w:tcMar>
              <w:top w:w="28" w:type="dxa"/>
              <w:left w:w="85" w:type="dxa"/>
            </w:tcMar>
          </w:tcPr>
          <w:p>
            <w:pPr>
              <w:pStyle w:val="yTableNAm"/>
              <w:tabs>
                <w:tab w:val="right" w:leader="dot" w:pos="3315"/>
              </w:tabs>
            </w:pPr>
            <w:r>
              <w:t>Crab, Blue Swimmer (Blue</w:t>
            </w:r>
            <w:r>
              <w:br/>
              <w:t xml:space="preserve">Manna) </w:t>
            </w:r>
            <w:r>
              <w:tab/>
            </w:r>
          </w:p>
        </w:tc>
        <w:tc>
          <w:tcPr>
            <w:tcW w:w="3434" w:type="dxa"/>
            <w:tcBorders>
              <w:left w:val="single" w:sz="4" w:space="0" w:color="auto"/>
            </w:tcBorders>
            <w:tcMar>
              <w:top w:w="28" w:type="dxa"/>
              <w:left w:w="85" w:type="dxa"/>
            </w:tcMar>
            <w:vAlign w:val="bottom"/>
          </w:tcPr>
          <w:p>
            <w:pPr>
              <w:pStyle w:val="yTableNAm"/>
              <w:rPr>
                <w:i/>
                <w:iCs/>
              </w:rPr>
            </w:pPr>
            <w:r>
              <w:rPr>
                <w:i/>
                <w:iCs/>
              </w:rPr>
              <w:t xml:space="preserve">Portunus </w:t>
            </w:r>
            <w:r>
              <w:rPr>
                <w:i/>
                <w:szCs w:val="22"/>
              </w:rPr>
              <w:t>armatus</w:t>
            </w:r>
            <w:r>
              <w:rPr>
                <w:i/>
                <w:iCs/>
              </w:rPr>
              <w:t xml:space="preserve"> </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Brown Mud </w:t>
            </w:r>
            <w:r>
              <w:tab/>
            </w:r>
          </w:p>
        </w:tc>
        <w:tc>
          <w:tcPr>
            <w:tcW w:w="3434" w:type="dxa"/>
            <w:tcBorders>
              <w:left w:val="single" w:sz="4" w:space="0" w:color="auto"/>
            </w:tcBorders>
            <w:tcMar>
              <w:top w:w="28" w:type="dxa"/>
              <w:left w:w="85" w:type="dxa"/>
            </w:tcMar>
          </w:tcPr>
          <w:p>
            <w:pPr>
              <w:pStyle w:val="yTableNAm"/>
              <w:rPr>
                <w:i/>
                <w:iCs/>
              </w:rPr>
            </w:pPr>
            <w:r>
              <w:rPr>
                <w:i/>
              </w:rPr>
              <w:t xml:space="preserve">Scylla </w:t>
            </w:r>
            <w:r>
              <w:rPr>
                <w:i/>
                <w:iCs/>
              </w:rPr>
              <w:t>olivacea</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Champagne </w:t>
            </w:r>
            <w:r>
              <w:tab/>
            </w:r>
          </w:p>
        </w:tc>
        <w:tc>
          <w:tcPr>
            <w:tcW w:w="3434" w:type="dxa"/>
            <w:tcBorders>
              <w:left w:val="single" w:sz="4" w:space="0" w:color="auto"/>
            </w:tcBorders>
            <w:tcMar>
              <w:top w:w="28" w:type="dxa"/>
              <w:left w:w="85" w:type="dxa"/>
            </w:tcMar>
          </w:tcPr>
          <w:p>
            <w:pPr>
              <w:pStyle w:val="yTableNAm"/>
              <w:rPr>
                <w:i/>
                <w:iCs/>
              </w:rPr>
            </w:pPr>
            <w:r>
              <w:rPr>
                <w:i/>
                <w:iCs/>
              </w:rPr>
              <w:t>Hypothalassia acerba</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Coral </w:t>
            </w:r>
            <w:r>
              <w:tab/>
            </w:r>
          </w:p>
        </w:tc>
        <w:tc>
          <w:tcPr>
            <w:tcW w:w="3434" w:type="dxa"/>
            <w:tcBorders>
              <w:left w:val="single" w:sz="4" w:space="0" w:color="auto"/>
            </w:tcBorders>
            <w:tcMar>
              <w:top w:w="28" w:type="dxa"/>
              <w:left w:w="85" w:type="dxa"/>
            </w:tcMar>
          </w:tcPr>
          <w:p>
            <w:pPr>
              <w:pStyle w:val="yTableNAm"/>
              <w:rPr>
                <w:i/>
                <w:iCs/>
              </w:rPr>
            </w:pPr>
            <w:r>
              <w:rPr>
                <w:i/>
                <w:iCs/>
              </w:rPr>
              <w:t>Charybdis feriata</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Crystal </w:t>
            </w:r>
            <w:r>
              <w:tab/>
            </w:r>
          </w:p>
        </w:tc>
        <w:tc>
          <w:tcPr>
            <w:tcW w:w="3434" w:type="dxa"/>
            <w:tcBorders>
              <w:left w:val="single" w:sz="4" w:space="0" w:color="auto"/>
            </w:tcBorders>
            <w:tcMar>
              <w:top w:w="28" w:type="dxa"/>
              <w:left w:w="85" w:type="dxa"/>
            </w:tcMar>
          </w:tcPr>
          <w:p>
            <w:pPr>
              <w:pStyle w:val="yTableNAm"/>
              <w:rPr>
                <w:i/>
                <w:iCs/>
              </w:rPr>
            </w:pPr>
            <w:r>
              <w:rPr>
                <w:i/>
                <w:iCs/>
              </w:rPr>
              <w:t>Chaceon</w:t>
            </w:r>
            <w:r>
              <w:t xml:space="preserve"> </w:t>
            </w:r>
            <w:r>
              <w:rPr>
                <w:i/>
              </w:rPr>
              <w:t>albus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Giant </w:t>
            </w:r>
            <w:r>
              <w:tab/>
            </w:r>
          </w:p>
        </w:tc>
        <w:tc>
          <w:tcPr>
            <w:tcW w:w="3434" w:type="dxa"/>
            <w:tcBorders>
              <w:left w:val="single" w:sz="4" w:space="0" w:color="auto"/>
            </w:tcBorders>
            <w:tcMar>
              <w:top w:w="28" w:type="dxa"/>
              <w:left w:w="85" w:type="dxa"/>
            </w:tcMar>
          </w:tcPr>
          <w:p>
            <w:pPr>
              <w:pStyle w:val="yTableNAm"/>
              <w:rPr>
                <w:i/>
                <w:iCs/>
              </w:rPr>
            </w:pPr>
            <w:r>
              <w:rPr>
                <w:i/>
                <w:iCs/>
              </w:rPr>
              <w:t>Pseudocarcinus gigas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Green Mud </w:t>
            </w:r>
            <w:r>
              <w:tab/>
            </w:r>
          </w:p>
        </w:tc>
        <w:tc>
          <w:tcPr>
            <w:tcW w:w="3434" w:type="dxa"/>
            <w:tcBorders>
              <w:left w:val="single" w:sz="4" w:space="0" w:color="auto"/>
            </w:tcBorders>
            <w:tcMar>
              <w:top w:w="28" w:type="dxa"/>
              <w:left w:w="85" w:type="dxa"/>
            </w:tcMar>
          </w:tcPr>
          <w:p>
            <w:pPr>
              <w:pStyle w:val="yTableNAm"/>
              <w:rPr>
                <w:i/>
              </w:rPr>
            </w:pPr>
            <w:r>
              <w:rPr>
                <w:i/>
              </w:rPr>
              <w:t>Scylla serrata</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Sand </w:t>
            </w:r>
            <w:r>
              <w:tab/>
            </w:r>
          </w:p>
        </w:tc>
        <w:tc>
          <w:tcPr>
            <w:tcW w:w="3434" w:type="dxa"/>
            <w:tcBorders>
              <w:left w:val="single" w:sz="4" w:space="0" w:color="auto"/>
            </w:tcBorders>
            <w:tcMar>
              <w:top w:w="28" w:type="dxa"/>
              <w:left w:w="85" w:type="dxa"/>
            </w:tcMar>
          </w:tcPr>
          <w:p>
            <w:pPr>
              <w:pStyle w:val="yTableNAm"/>
              <w:rPr>
                <w:i/>
                <w:iCs/>
              </w:rPr>
            </w:pPr>
            <w:r>
              <w:rPr>
                <w:i/>
                <w:iCs/>
              </w:rPr>
              <w:t>Ovalipes australiensis</w:t>
            </w:r>
            <w:r>
              <w:rPr>
                <w:iCs/>
              </w:rPr>
              <w:t xml:space="preserve"> and </w:t>
            </w:r>
            <w:r>
              <w:rPr>
                <w:i/>
                <w:iCs/>
              </w:rPr>
              <w:t>Portunus sanguinolentus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Freshwater Crayfish </w:t>
            </w:r>
            <w:r>
              <w:tab/>
            </w:r>
          </w:p>
        </w:tc>
        <w:tc>
          <w:tcPr>
            <w:tcW w:w="3434" w:type="dxa"/>
            <w:tcBorders>
              <w:left w:val="single" w:sz="4" w:space="0" w:color="auto"/>
            </w:tcBorders>
            <w:tcMar>
              <w:top w:w="28" w:type="dxa"/>
              <w:left w:w="85" w:type="dxa"/>
            </w:tcMar>
          </w:tcPr>
          <w:p>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right" w:leader="dot" w:pos="3315"/>
              </w:tabs>
            </w:pPr>
            <w:r>
              <w:t xml:space="preserve">Gilgie </w:t>
            </w:r>
            <w:r>
              <w:tab/>
            </w:r>
          </w:p>
        </w:tc>
        <w:tc>
          <w:tcPr>
            <w:tcW w:w="3434" w:type="dxa"/>
            <w:tcBorders>
              <w:left w:val="single" w:sz="4" w:space="0" w:color="auto"/>
            </w:tcBorders>
            <w:tcMar>
              <w:top w:w="28" w:type="dxa"/>
              <w:left w:w="85" w:type="dxa"/>
            </w:tcMar>
          </w:tcPr>
          <w:p>
            <w:pPr>
              <w:pStyle w:val="yTableNAm"/>
              <w:rPr>
                <w:i/>
                <w:iCs/>
              </w:rPr>
            </w:pPr>
            <w:r>
              <w:rPr>
                <w:i/>
                <w:iCs/>
              </w:rPr>
              <w:t xml:space="preserve">Cherax quinquecarinatus </w:t>
            </w:r>
            <w:r>
              <w:t xml:space="preserve">and </w:t>
            </w:r>
            <w:r>
              <w:rPr>
                <w:i/>
                <w:iCs/>
              </w:rPr>
              <w:t>C.</w:t>
            </w:r>
            <w:r>
              <w:t> </w:t>
            </w:r>
            <w:r>
              <w:rPr>
                <w:i/>
                <w:iCs/>
              </w:rPr>
              <w:t>crassimanus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Koonac </w:t>
            </w:r>
            <w:r>
              <w:tab/>
            </w:r>
          </w:p>
        </w:tc>
        <w:tc>
          <w:tcPr>
            <w:tcW w:w="3434" w:type="dxa"/>
            <w:tcBorders>
              <w:left w:val="single" w:sz="4" w:space="0" w:color="auto"/>
            </w:tcBorders>
            <w:tcMar>
              <w:top w:w="28" w:type="dxa"/>
              <w:left w:w="85" w:type="dxa"/>
            </w:tcMar>
          </w:tcPr>
          <w:p>
            <w:pPr>
              <w:pStyle w:val="yTableNAm"/>
              <w:rPr>
                <w:i/>
                <w:iCs/>
              </w:rPr>
            </w:pPr>
            <w:r>
              <w:rPr>
                <w:i/>
                <w:iCs/>
              </w:rPr>
              <w:t xml:space="preserve">Cherax plebejus </w:t>
            </w:r>
            <w:r>
              <w:t xml:space="preserve">and </w:t>
            </w:r>
            <w:r>
              <w:rPr>
                <w:i/>
                <w:iCs/>
              </w:rPr>
              <w:t>C. glaber</w:t>
            </w:r>
          </w:p>
        </w:tc>
      </w:tr>
      <w:tr>
        <w:tc>
          <w:tcPr>
            <w:tcW w:w="3541" w:type="dxa"/>
            <w:tcBorders>
              <w:right w:val="single" w:sz="4" w:space="0" w:color="auto"/>
            </w:tcBorders>
            <w:tcMar>
              <w:top w:w="28" w:type="dxa"/>
              <w:left w:w="85" w:type="dxa"/>
            </w:tcMar>
          </w:tcPr>
          <w:p>
            <w:pPr>
              <w:pStyle w:val="yTableNAm"/>
              <w:tabs>
                <w:tab w:val="right" w:leader="dot" w:pos="3315"/>
              </w:tabs>
            </w:pPr>
            <w:r>
              <w:t xml:space="preserve">Marron </w:t>
            </w:r>
            <w:r>
              <w:tab/>
            </w:r>
          </w:p>
        </w:tc>
        <w:tc>
          <w:tcPr>
            <w:tcW w:w="3434" w:type="dxa"/>
            <w:tcBorders>
              <w:left w:val="single" w:sz="4" w:space="0" w:color="auto"/>
            </w:tcBorders>
            <w:tcMar>
              <w:top w:w="28" w:type="dxa"/>
              <w:left w:w="85" w:type="dxa"/>
            </w:tcMar>
          </w:tcPr>
          <w:p>
            <w:pPr>
              <w:pStyle w:val="yTableNAm"/>
              <w:rPr>
                <w:i/>
                <w:iCs/>
              </w:rPr>
            </w:pPr>
            <w:r>
              <w:rPr>
                <w:i/>
                <w:iCs/>
              </w:rPr>
              <w:t xml:space="preserve">Cherax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right" w:leader="dot" w:pos="3315"/>
              </w:tabs>
            </w:pPr>
            <w:r>
              <w:t xml:space="preserve">Prawn </w:t>
            </w:r>
            <w:r>
              <w:tab/>
            </w:r>
          </w:p>
        </w:tc>
        <w:tc>
          <w:tcPr>
            <w:tcW w:w="3434" w:type="dxa"/>
            <w:tcBorders>
              <w:left w:val="single" w:sz="4" w:space="0" w:color="auto"/>
            </w:tcBorders>
            <w:tcMar>
              <w:top w:w="28" w:type="dxa"/>
              <w:left w:w="85" w:type="dxa"/>
            </w:tcMar>
          </w:tcPr>
          <w:p>
            <w:pPr>
              <w:pStyle w:val="yTableNAm"/>
              <w:rPr>
                <w:rStyle w:val="DraftersNotes"/>
                <w:b w:val="0"/>
                <w:i w:val="0"/>
                <w:iCs/>
              </w:rPr>
            </w:pPr>
            <w:r>
              <w:rPr>
                <w:iCs/>
              </w:rPr>
              <w:t>Superfamilies Penaeoidea and Caridea</w:t>
            </w:r>
          </w:p>
        </w:tc>
      </w:tr>
      <w:tr>
        <w:tc>
          <w:tcPr>
            <w:tcW w:w="3541" w:type="dxa"/>
            <w:tcBorders>
              <w:right w:val="single" w:sz="4" w:space="0" w:color="auto"/>
            </w:tcBorders>
            <w:tcMar>
              <w:top w:w="28" w:type="dxa"/>
              <w:left w:w="85" w:type="dxa"/>
            </w:tcMar>
          </w:tcPr>
          <w:p>
            <w:pPr>
              <w:pStyle w:val="yTableNAm"/>
              <w:tabs>
                <w:tab w:val="right" w:leader="dot" w:pos="3315"/>
              </w:tabs>
            </w:pPr>
            <w:r>
              <w:t xml:space="preserve">Prawn, Banana </w:t>
            </w:r>
            <w:r>
              <w:tab/>
            </w:r>
          </w:p>
        </w:tc>
        <w:tc>
          <w:tcPr>
            <w:tcW w:w="3434" w:type="dxa"/>
            <w:tcBorders>
              <w:left w:val="single" w:sz="4" w:space="0" w:color="auto"/>
            </w:tcBorders>
            <w:tcMar>
              <w:top w:w="28" w:type="dxa"/>
              <w:left w:w="85" w:type="dxa"/>
            </w:tcMar>
          </w:tcPr>
          <w:p>
            <w:pPr>
              <w:pStyle w:val="yTableNAm"/>
              <w:rPr>
                <w:i/>
                <w:iCs/>
              </w:rPr>
            </w:pPr>
            <w:r>
              <w:rPr>
                <w:i/>
                <w:iCs/>
              </w:rPr>
              <w:t xml:space="preserve">Penaeus indicus </w:t>
            </w:r>
            <w:r>
              <w:rPr>
                <w:iCs/>
              </w:rPr>
              <w:t xml:space="preserve">and </w:t>
            </w:r>
            <w:r>
              <w:rPr>
                <w:i/>
                <w:iCs/>
              </w:rPr>
              <w:t>Penaeus merguiensis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Prawn, Brown Tiger </w:t>
            </w:r>
            <w:r>
              <w:tab/>
            </w:r>
          </w:p>
        </w:tc>
        <w:tc>
          <w:tcPr>
            <w:tcW w:w="3434" w:type="dxa"/>
            <w:tcBorders>
              <w:left w:val="single" w:sz="4" w:space="0" w:color="auto"/>
            </w:tcBorders>
            <w:tcMar>
              <w:top w:w="28" w:type="dxa"/>
              <w:left w:w="85" w:type="dxa"/>
            </w:tcMar>
          </w:tcPr>
          <w:p>
            <w:pPr>
              <w:pStyle w:val="yTableNAm"/>
              <w:rPr>
                <w:i/>
                <w:iCs/>
              </w:rPr>
            </w:pPr>
            <w:r>
              <w:rPr>
                <w:i/>
                <w:iCs/>
              </w:rPr>
              <w:t>Penaeus esculentus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Prawn, Freshwater (Cherabin) </w:t>
            </w:r>
            <w:r>
              <w:tab/>
            </w:r>
          </w:p>
        </w:tc>
        <w:tc>
          <w:tcPr>
            <w:tcW w:w="3434" w:type="dxa"/>
            <w:tcBorders>
              <w:left w:val="single" w:sz="4" w:space="0" w:color="auto"/>
            </w:tcBorders>
            <w:tcMar>
              <w:top w:w="28" w:type="dxa"/>
              <w:left w:w="85" w:type="dxa"/>
            </w:tcMar>
          </w:tcPr>
          <w:p>
            <w:pPr>
              <w:pStyle w:val="yTableNAm"/>
              <w:rPr>
                <w:i/>
                <w:iCs/>
              </w:rPr>
            </w:pPr>
            <w:r>
              <w:rPr>
                <w:i/>
                <w:iCs/>
              </w:rPr>
              <w:t xml:space="preserve">Macrobrachium </w:t>
            </w:r>
            <w:r>
              <w:t>spp</w:t>
            </w:r>
            <w:r>
              <w:rPr>
                <w:iCs/>
              </w:rPr>
              <w:t>.</w:t>
            </w:r>
          </w:p>
        </w:tc>
      </w:tr>
      <w:tr>
        <w:tc>
          <w:tcPr>
            <w:tcW w:w="3541" w:type="dxa"/>
            <w:tcBorders>
              <w:right w:val="single" w:sz="4" w:space="0" w:color="auto"/>
            </w:tcBorders>
            <w:tcMar>
              <w:top w:w="28" w:type="dxa"/>
              <w:left w:w="85" w:type="dxa"/>
            </w:tcMar>
          </w:tcPr>
          <w:p>
            <w:pPr>
              <w:pStyle w:val="yTableNAm"/>
              <w:tabs>
                <w:tab w:val="right" w:leader="dot" w:pos="3315"/>
              </w:tabs>
            </w:pPr>
            <w:r>
              <w:t xml:space="preserve">Prawn, Western King </w:t>
            </w:r>
            <w:r>
              <w:tab/>
            </w:r>
          </w:p>
        </w:tc>
        <w:tc>
          <w:tcPr>
            <w:tcW w:w="3434" w:type="dxa"/>
            <w:tcBorders>
              <w:left w:val="single" w:sz="4" w:space="0" w:color="auto"/>
            </w:tcBorders>
            <w:tcMar>
              <w:top w:w="28" w:type="dxa"/>
              <w:left w:w="85" w:type="dxa"/>
            </w:tcMar>
          </w:tcPr>
          <w:p>
            <w:pPr>
              <w:pStyle w:val="yTableNAm"/>
              <w:rPr>
                <w:i/>
                <w:iCs/>
              </w:rPr>
            </w:pPr>
            <w:r>
              <w:rPr>
                <w:i/>
                <w:iCs/>
              </w:rPr>
              <w:t>Melicertus latisulcatus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Prawn, Western School </w:t>
            </w:r>
            <w:r>
              <w:tab/>
            </w:r>
          </w:p>
        </w:tc>
        <w:tc>
          <w:tcPr>
            <w:tcW w:w="3434" w:type="dxa"/>
            <w:tcBorders>
              <w:left w:val="single" w:sz="4" w:space="0" w:color="auto"/>
            </w:tcBorders>
            <w:tcMar>
              <w:top w:w="28" w:type="dxa"/>
              <w:left w:w="85" w:type="dxa"/>
            </w:tcMar>
          </w:tcPr>
          <w:p>
            <w:pPr>
              <w:pStyle w:val="yTableNAm"/>
              <w:rPr>
                <w:i/>
                <w:iCs/>
              </w:rPr>
            </w:pPr>
            <w:r>
              <w:rPr>
                <w:i/>
                <w:iCs/>
              </w:rPr>
              <w:t>Metapenaeus dalli</w:t>
            </w:r>
          </w:p>
        </w:tc>
      </w:tr>
      <w:tr>
        <w:tc>
          <w:tcPr>
            <w:tcW w:w="3541" w:type="dxa"/>
            <w:tcBorders>
              <w:right w:val="single" w:sz="4" w:space="0" w:color="auto"/>
            </w:tcBorders>
            <w:tcMar>
              <w:top w:w="28" w:type="dxa"/>
              <w:left w:w="85" w:type="dxa"/>
            </w:tcMar>
          </w:tcPr>
          <w:p>
            <w:pPr>
              <w:pStyle w:val="yTableNAm"/>
              <w:tabs>
                <w:tab w:val="right" w:leader="dot" w:pos="3315"/>
              </w:tabs>
            </w:pPr>
            <w:r>
              <w:t>Redclaw Crayfish</w:t>
            </w:r>
            <w:r>
              <w:tab/>
            </w:r>
          </w:p>
        </w:tc>
        <w:tc>
          <w:tcPr>
            <w:tcW w:w="3434" w:type="dxa"/>
            <w:tcBorders>
              <w:left w:val="single" w:sz="4" w:space="0" w:color="auto"/>
            </w:tcBorders>
            <w:tcMar>
              <w:top w:w="28" w:type="dxa"/>
              <w:left w:w="85" w:type="dxa"/>
            </w:tcMar>
          </w:tcPr>
          <w:p>
            <w:pPr>
              <w:pStyle w:val="yTableNAm"/>
              <w:rPr>
                <w:i/>
                <w:iCs/>
              </w:rPr>
            </w:pPr>
            <w:r>
              <w:rPr>
                <w:i/>
                <w:iCs/>
              </w:rPr>
              <w:t>Cherax quadricarinatus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Rock Lobster </w:t>
            </w:r>
            <w:r>
              <w:tab/>
            </w:r>
          </w:p>
        </w:tc>
        <w:tc>
          <w:tcPr>
            <w:tcW w:w="3434" w:type="dxa"/>
            <w:tcBorders>
              <w:left w:val="single" w:sz="4" w:space="0" w:color="auto"/>
            </w:tcBorders>
            <w:tcMar>
              <w:top w:w="28" w:type="dxa"/>
              <w:left w:w="85" w:type="dxa"/>
            </w:tcMar>
          </w:tcPr>
          <w:p>
            <w:pPr>
              <w:pStyle w:val="yTableNAm"/>
              <w:rPr>
                <w:i/>
                <w:iCs/>
              </w:rPr>
            </w:pPr>
            <w:r>
              <w:rPr>
                <w:i/>
                <w:iCs/>
              </w:rPr>
              <w:t xml:space="preserve">Jasus </w:t>
            </w:r>
            <w:r>
              <w:t xml:space="preserve">and </w:t>
            </w:r>
            <w:r>
              <w:rPr>
                <w:i/>
                <w:iCs/>
              </w:rPr>
              <w:t xml:space="preserve">Panulirus </w:t>
            </w:r>
            <w:r>
              <w:t>spp.</w:t>
            </w:r>
          </w:p>
        </w:tc>
      </w:tr>
      <w:tr>
        <w:tc>
          <w:tcPr>
            <w:tcW w:w="3541" w:type="dxa"/>
            <w:tcBorders>
              <w:right w:val="single" w:sz="4" w:space="0" w:color="auto"/>
            </w:tcBorders>
            <w:tcMar>
              <w:top w:w="28" w:type="dxa"/>
              <w:left w:w="85" w:type="dxa"/>
            </w:tcMar>
          </w:tcPr>
          <w:p>
            <w:pPr>
              <w:pStyle w:val="yTableNAm"/>
              <w:tabs>
                <w:tab w:val="right" w:leader="dot" w:pos="3315"/>
              </w:tabs>
            </w:pPr>
            <w:r>
              <w:t xml:space="preserve">Rock Lobster, Southern </w:t>
            </w:r>
            <w:r>
              <w:tab/>
            </w:r>
          </w:p>
        </w:tc>
        <w:tc>
          <w:tcPr>
            <w:tcW w:w="3434" w:type="dxa"/>
            <w:tcBorders>
              <w:left w:val="single" w:sz="4" w:space="0" w:color="auto"/>
            </w:tcBorders>
            <w:tcMar>
              <w:top w:w="28" w:type="dxa"/>
              <w:left w:w="85" w:type="dxa"/>
            </w:tcMar>
          </w:tcPr>
          <w:p>
            <w:pPr>
              <w:pStyle w:val="yTableNAm"/>
              <w:rPr>
                <w:i/>
                <w:iCs/>
              </w:rPr>
            </w:pPr>
            <w:r>
              <w:rPr>
                <w:i/>
                <w:iCs/>
              </w:rPr>
              <w:t>Jasus edwardsii</w:t>
            </w:r>
          </w:p>
        </w:tc>
      </w:tr>
      <w:tr>
        <w:tc>
          <w:tcPr>
            <w:tcW w:w="3541" w:type="dxa"/>
            <w:tcBorders>
              <w:right w:val="single" w:sz="4" w:space="0" w:color="auto"/>
            </w:tcBorders>
            <w:tcMar>
              <w:top w:w="28" w:type="dxa"/>
              <w:left w:w="85" w:type="dxa"/>
            </w:tcMar>
          </w:tcPr>
          <w:p>
            <w:pPr>
              <w:pStyle w:val="yTableNAm"/>
              <w:tabs>
                <w:tab w:val="right" w:leader="dot" w:pos="3315"/>
              </w:tabs>
            </w:pPr>
            <w:r>
              <w:t xml:space="preserve">Rock Lobster, Tropical </w:t>
            </w:r>
            <w:r>
              <w:tab/>
            </w:r>
          </w:p>
        </w:tc>
        <w:tc>
          <w:tcPr>
            <w:tcW w:w="3434" w:type="dxa"/>
            <w:tcBorders>
              <w:left w:val="single" w:sz="4" w:space="0" w:color="auto"/>
            </w:tcBorders>
            <w:tcMar>
              <w:top w:w="28" w:type="dxa"/>
              <w:left w:w="85" w:type="dxa"/>
            </w:tcMar>
          </w:tcPr>
          <w:p>
            <w:pPr>
              <w:pStyle w:val="yTableNAm"/>
              <w:rPr>
                <w:i/>
                <w:iCs/>
              </w:rPr>
            </w:pPr>
            <w:r>
              <w:rPr>
                <w:i/>
                <w:iCs/>
              </w:rPr>
              <w:t xml:space="preserve">Panulirus </w:t>
            </w:r>
            <w:r>
              <w:t xml:space="preserve">spp. excluding </w:t>
            </w:r>
            <w:r>
              <w:rPr>
                <w:i/>
                <w:iCs/>
              </w:rPr>
              <w:t>P. cygnus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Rock Lobster, Western </w:t>
            </w:r>
            <w:r>
              <w:tab/>
            </w:r>
          </w:p>
        </w:tc>
        <w:tc>
          <w:tcPr>
            <w:tcW w:w="3434" w:type="dxa"/>
            <w:tcBorders>
              <w:left w:val="single" w:sz="4" w:space="0" w:color="auto"/>
            </w:tcBorders>
            <w:tcMar>
              <w:top w:w="28" w:type="dxa"/>
              <w:left w:w="85" w:type="dxa"/>
            </w:tcMar>
          </w:tcPr>
          <w:p>
            <w:pPr>
              <w:pStyle w:val="yTableNAm"/>
              <w:rPr>
                <w:i/>
                <w:iCs/>
              </w:rPr>
            </w:pPr>
            <w:r>
              <w:rPr>
                <w:i/>
                <w:iCs/>
              </w:rPr>
              <w:t>Panulirus cygnus</w:t>
            </w:r>
          </w:p>
        </w:tc>
      </w:tr>
      <w:tr>
        <w:tc>
          <w:tcPr>
            <w:tcW w:w="3541" w:type="dxa"/>
            <w:tcBorders>
              <w:bottom w:val="single" w:sz="4" w:space="0" w:color="auto"/>
              <w:right w:val="single" w:sz="4" w:space="0" w:color="auto"/>
            </w:tcBorders>
            <w:tcMar>
              <w:top w:w="28" w:type="dxa"/>
              <w:left w:w="85" w:type="dxa"/>
            </w:tcMar>
          </w:tcPr>
          <w:p>
            <w:pPr>
              <w:pStyle w:val="yTableNAm"/>
              <w:tabs>
                <w:tab w:val="right" w:leader="dot" w:pos="3315"/>
              </w:tabs>
            </w:pPr>
            <w:r>
              <w:t xml:space="preserve">Yabbie </w:t>
            </w:r>
            <w:r>
              <w:tab/>
            </w:r>
          </w:p>
        </w:tc>
        <w:tc>
          <w:tcPr>
            <w:tcW w:w="3434" w:type="dxa"/>
            <w:tcBorders>
              <w:left w:val="single" w:sz="4" w:space="0" w:color="auto"/>
              <w:bottom w:val="single" w:sz="4" w:space="0" w:color="auto"/>
            </w:tcBorders>
            <w:tcMar>
              <w:top w:w="28" w:type="dxa"/>
              <w:left w:w="85" w:type="dxa"/>
            </w:tcMar>
          </w:tcPr>
          <w:p>
            <w:pPr>
              <w:pStyle w:val="yTableNAm"/>
              <w:rPr>
                <w:iCs/>
              </w:rPr>
            </w:pPr>
            <w:r>
              <w:rPr>
                <w:i/>
                <w:iCs/>
              </w:rPr>
              <w:t>Cherax destructor</w:t>
            </w:r>
          </w:p>
        </w:tc>
      </w:tr>
    </w:tbl>
    <w:p>
      <w:pPr>
        <w:pStyle w:val="yFootnotesection"/>
      </w:pPr>
      <w:bookmarkStart w:id="1269" w:name="_Toc184300136"/>
      <w:bookmarkStart w:id="1270" w:name="_Toc184300200"/>
      <w:bookmarkStart w:id="1271" w:name="_Toc184300237"/>
      <w:bookmarkStart w:id="1272" w:name="_Toc184300328"/>
      <w:r>
        <w:tab/>
        <w:t>[Division 3 inserted: SL 2024/263 r. 26.]</w:t>
      </w:r>
    </w:p>
    <w:p>
      <w:pPr>
        <w:pStyle w:val="yHeading3"/>
      </w:pPr>
      <w:bookmarkStart w:id="1273" w:name="_Toc184377972"/>
      <w:bookmarkStart w:id="1274" w:name="_Toc184385329"/>
      <w:bookmarkStart w:id="1275" w:name="_Toc201508726"/>
      <w:bookmarkStart w:id="1276" w:name="_Toc201754557"/>
      <w:bookmarkStart w:id="1277" w:name="_Toc201759287"/>
      <w:r>
        <w:rPr>
          <w:rStyle w:val="CharSDivNo"/>
        </w:rPr>
        <w:t>Division 4</w:t>
      </w:r>
      <w:r>
        <w:t> — </w:t>
      </w:r>
      <w:r>
        <w:rPr>
          <w:rStyle w:val="CharSDivText"/>
        </w:rPr>
        <w:t>Molluscs</w:t>
      </w:r>
      <w:bookmarkEnd w:id="1269"/>
      <w:bookmarkEnd w:id="1270"/>
      <w:bookmarkEnd w:id="1271"/>
      <w:bookmarkEnd w:id="1272"/>
      <w:bookmarkEnd w:id="1273"/>
      <w:bookmarkEnd w:id="1274"/>
      <w:bookmarkEnd w:id="1275"/>
      <w:bookmarkEnd w:id="1276"/>
      <w:bookmarkEnd w:id="1277"/>
    </w:p>
    <w:p>
      <w:pPr>
        <w:pStyle w:val="yFootnoteheading"/>
        <w:keepNext/>
        <w:keepLines/>
        <w:spacing w:after="40"/>
      </w:pPr>
      <w:r>
        <w:tab/>
        <w:t>[Heading inserted: SL 2024/263 r. 26.]</w:t>
      </w:r>
    </w:p>
    <w:tbl>
      <w:tblPr>
        <w:tblW w:w="6975" w:type="dxa"/>
        <w:tblInd w:w="113" w:type="dxa"/>
        <w:tblLayout w:type="fixed"/>
        <w:tblCellMar>
          <w:left w:w="141" w:type="dxa"/>
          <w:right w:w="141" w:type="dxa"/>
        </w:tblCellMar>
        <w:tblLook w:val="0000" w:firstRow="0" w:lastRow="0" w:firstColumn="0" w:lastColumn="0" w:noHBand="0" w:noVBand="0"/>
      </w:tblPr>
      <w:tblGrid>
        <w:gridCol w:w="3360"/>
        <w:gridCol w:w="3615"/>
      </w:tblGrid>
      <w:tr>
        <w:trPr>
          <w:tblHeader/>
        </w:trPr>
        <w:tc>
          <w:tcPr>
            <w:tcW w:w="3360" w:type="dxa"/>
            <w:tcBorders>
              <w:top w:val="single" w:sz="8" w:space="0" w:color="auto"/>
              <w:bottom w:val="single" w:sz="8" w:space="0" w:color="auto"/>
              <w:right w:val="single" w:sz="4" w:space="0" w:color="auto"/>
            </w:tcBorders>
            <w:tcMar>
              <w:top w:w="28" w:type="dxa"/>
              <w:left w:w="85" w:type="dxa"/>
            </w:tcMar>
          </w:tcPr>
          <w:p>
            <w:pPr>
              <w:pStyle w:val="yTableNAm"/>
              <w:keepNext/>
              <w:keepLines/>
              <w:rPr>
                <w:b/>
                <w:bCs/>
              </w:rPr>
            </w:pPr>
            <w:r>
              <w:rPr>
                <w:b/>
                <w:bCs/>
              </w:rPr>
              <w:t>Common name</w:t>
            </w:r>
          </w:p>
        </w:tc>
        <w:tc>
          <w:tcPr>
            <w:tcW w:w="3615" w:type="dxa"/>
            <w:tcBorders>
              <w:top w:val="single" w:sz="8" w:space="0" w:color="auto"/>
              <w:left w:val="single" w:sz="4" w:space="0" w:color="auto"/>
              <w:bottom w:val="single" w:sz="8" w:space="0" w:color="auto"/>
            </w:tcBorders>
            <w:tcMar>
              <w:top w:w="28" w:type="dxa"/>
              <w:left w:w="85" w:type="dxa"/>
            </w:tcMar>
          </w:tcPr>
          <w:p>
            <w:pPr>
              <w:pStyle w:val="yTableNAm"/>
              <w:keepNext/>
              <w:keepLines/>
              <w:rPr>
                <w:b/>
                <w:bCs/>
              </w:rPr>
            </w:pPr>
            <w:r>
              <w:rPr>
                <w:b/>
                <w:bCs/>
              </w:rPr>
              <w:t>Scientific name</w:t>
            </w:r>
          </w:p>
        </w:tc>
      </w:tr>
      <w:tr>
        <w:tc>
          <w:tcPr>
            <w:tcW w:w="3360" w:type="dxa"/>
            <w:tcBorders>
              <w:right w:val="single" w:sz="4" w:space="0" w:color="auto"/>
            </w:tcBorders>
            <w:tcMar>
              <w:top w:w="28" w:type="dxa"/>
              <w:left w:w="85" w:type="dxa"/>
            </w:tcMar>
          </w:tcPr>
          <w:p>
            <w:pPr>
              <w:pStyle w:val="yTableNAm"/>
              <w:keepNext/>
              <w:keepLines/>
            </w:pPr>
            <w:r>
              <w:t>BIVALVES</w:t>
            </w:r>
          </w:p>
        </w:tc>
        <w:tc>
          <w:tcPr>
            <w:tcW w:w="3615" w:type="dxa"/>
            <w:tcBorders>
              <w:left w:val="single" w:sz="4" w:space="0" w:color="auto"/>
            </w:tcBorders>
            <w:tcMar>
              <w:top w:w="28" w:type="dxa"/>
              <w:left w:w="85" w:type="dxa"/>
            </w:tcMar>
          </w:tcPr>
          <w:p>
            <w:pPr>
              <w:pStyle w:val="yTableNAm"/>
              <w:keepNext/>
              <w:keepLines/>
            </w:pP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Ark Shell </w:t>
            </w:r>
            <w:r>
              <w:tab/>
            </w:r>
          </w:p>
        </w:tc>
        <w:tc>
          <w:tcPr>
            <w:tcW w:w="3615" w:type="dxa"/>
            <w:tcBorders>
              <w:left w:val="single" w:sz="4" w:space="0" w:color="auto"/>
            </w:tcBorders>
            <w:tcMar>
              <w:top w:w="28" w:type="dxa"/>
              <w:left w:w="85" w:type="dxa"/>
            </w:tcMar>
          </w:tcPr>
          <w:p>
            <w:pPr>
              <w:pStyle w:val="yTableNAm"/>
            </w:pPr>
            <w:r>
              <w:t xml:space="preserve">Family </w:t>
            </w:r>
            <w:r>
              <w:rPr>
                <w:iCs/>
              </w:rPr>
              <w:t>Arcidae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Clam, Giant</w:t>
            </w:r>
            <w:r>
              <w:tab/>
            </w:r>
          </w:p>
        </w:tc>
        <w:tc>
          <w:tcPr>
            <w:tcW w:w="3615" w:type="dxa"/>
            <w:tcBorders>
              <w:left w:val="single" w:sz="4" w:space="0" w:color="auto"/>
            </w:tcBorders>
            <w:tcMar>
              <w:top w:w="28" w:type="dxa"/>
              <w:left w:w="85" w:type="dxa"/>
            </w:tcMar>
          </w:tcPr>
          <w:p>
            <w:pPr>
              <w:pStyle w:val="yTableNAm"/>
            </w:pPr>
            <w:r>
              <w:rPr>
                <w:i/>
              </w:rPr>
              <w:t>Tridacna gigas</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Clam, Venus </w:t>
            </w:r>
            <w:r>
              <w:tab/>
            </w:r>
          </w:p>
        </w:tc>
        <w:tc>
          <w:tcPr>
            <w:tcW w:w="3615" w:type="dxa"/>
            <w:tcBorders>
              <w:left w:val="single" w:sz="4" w:space="0" w:color="auto"/>
            </w:tcBorders>
            <w:tcMar>
              <w:top w:w="28" w:type="dxa"/>
              <w:left w:w="85" w:type="dxa"/>
            </w:tcMar>
          </w:tcPr>
          <w:p>
            <w:pPr>
              <w:pStyle w:val="yTableNAm"/>
            </w:pPr>
            <w:r>
              <w:t xml:space="preserve">Family </w:t>
            </w:r>
            <w:r>
              <w:rPr>
                <w:i/>
                <w:iCs/>
              </w:rPr>
              <w:t>Veneridae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Cockle </w:t>
            </w:r>
            <w:r>
              <w:tab/>
            </w:r>
          </w:p>
        </w:tc>
        <w:tc>
          <w:tcPr>
            <w:tcW w:w="3615" w:type="dxa"/>
            <w:tcBorders>
              <w:left w:val="single" w:sz="4" w:space="0" w:color="auto"/>
            </w:tcBorders>
            <w:tcMar>
              <w:top w:w="28" w:type="dxa"/>
              <w:left w:w="85" w:type="dxa"/>
            </w:tcMar>
          </w:tcPr>
          <w:p>
            <w:pPr>
              <w:pStyle w:val="yTableNAm"/>
            </w:pPr>
            <w:r>
              <w:rPr>
                <w:i/>
                <w:iCs/>
              </w:rPr>
              <w:t>Anadara</w:t>
            </w:r>
            <w:r>
              <w:t xml:space="preserve"> spp.</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Mussel </w:t>
            </w:r>
            <w:r>
              <w:tab/>
            </w:r>
          </w:p>
        </w:tc>
        <w:tc>
          <w:tcPr>
            <w:tcW w:w="3615" w:type="dxa"/>
            <w:tcBorders>
              <w:left w:val="single" w:sz="4" w:space="0" w:color="auto"/>
            </w:tcBorders>
            <w:tcMar>
              <w:top w:w="28" w:type="dxa"/>
              <w:left w:w="85" w:type="dxa"/>
            </w:tcMar>
          </w:tcPr>
          <w:p>
            <w:pPr>
              <w:pStyle w:val="yTableNAm"/>
            </w:pPr>
            <w:r>
              <w:t xml:space="preserve">Family </w:t>
            </w:r>
            <w:r>
              <w:rPr>
                <w:iCs/>
              </w:rPr>
              <w:t>Mytilidae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Mussel, Blue </w:t>
            </w:r>
            <w:r>
              <w:tab/>
            </w:r>
          </w:p>
        </w:tc>
        <w:tc>
          <w:tcPr>
            <w:tcW w:w="3615" w:type="dxa"/>
            <w:tcBorders>
              <w:left w:val="single" w:sz="4" w:space="0" w:color="auto"/>
            </w:tcBorders>
            <w:tcMar>
              <w:top w:w="28" w:type="dxa"/>
              <w:left w:w="85" w:type="dxa"/>
            </w:tcMar>
          </w:tcPr>
          <w:p>
            <w:pPr>
              <w:pStyle w:val="yTableNAm"/>
            </w:pPr>
            <w:r>
              <w:rPr>
                <w:i/>
                <w:iCs/>
              </w:rPr>
              <w:t>Mytilus</w:t>
            </w:r>
            <w:r>
              <w:rPr>
                <w:i/>
              </w:rPr>
              <w:t xml:space="preserve"> </w:t>
            </w:r>
            <w:r>
              <w:rPr>
                <w:i/>
                <w:iCs/>
              </w:rPr>
              <w:t>galloprovincialis</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Oyster </w:t>
            </w:r>
            <w:r>
              <w:tab/>
            </w:r>
          </w:p>
        </w:tc>
        <w:tc>
          <w:tcPr>
            <w:tcW w:w="3615" w:type="dxa"/>
            <w:tcBorders>
              <w:left w:val="single" w:sz="4" w:space="0" w:color="auto"/>
            </w:tcBorders>
            <w:tcMar>
              <w:top w:w="28" w:type="dxa"/>
              <w:left w:w="85" w:type="dxa"/>
            </w:tcMar>
          </w:tcPr>
          <w:p>
            <w:pPr>
              <w:pStyle w:val="yTableNAm"/>
            </w:pPr>
            <w:r>
              <w:t xml:space="preserve">Family </w:t>
            </w:r>
            <w:r>
              <w:rPr>
                <w:iCs/>
              </w:rPr>
              <w:t>Ostreidae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Pipis </w:t>
            </w:r>
            <w:r>
              <w:tab/>
            </w:r>
          </w:p>
        </w:tc>
        <w:tc>
          <w:tcPr>
            <w:tcW w:w="3615" w:type="dxa"/>
            <w:tcBorders>
              <w:left w:val="single" w:sz="4" w:space="0" w:color="auto"/>
            </w:tcBorders>
            <w:tcMar>
              <w:top w:w="28" w:type="dxa"/>
              <w:left w:w="85" w:type="dxa"/>
            </w:tcMar>
          </w:tcPr>
          <w:p>
            <w:pPr>
              <w:pStyle w:val="yTableNAm"/>
            </w:pPr>
            <w:r>
              <w:t xml:space="preserve">Family </w:t>
            </w:r>
            <w:r>
              <w:rPr>
                <w:iCs/>
              </w:rPr>
              <w:t>Donacidae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Razor Shell</w:t>
            </w:r>
            <w:r>
              <w:tab/>
            </w:r>
          </w:p>
        </w:tc>
        <w:tc>
          <w:tcPr>
            <w:tcW w:w="3615" w:type="dxa"/>
            <w:tcBorders>
              <w:left w:val="single" w:sz="4" w:space="0" w:color="auto"/>
            </w:tcBorders>
            <w:tcMar>
              <w:top w:w="28" w:type="dxa"/>
              <w:left w:w="85" w:type="dxa"/>
            </w:tcMar>
          </w:tcPr>
          <w:p>
            <w:pPr>
              <w:pStyle w:val="yTableNAm"/>
            </w:pPr>
            <w:r>
              <w:t>Family</w:t>
            </w:r>
            <w:r>
              <w:rPr>
                <w:iCs/>
              </w:rPr>
              <w:t xml:space="preserve"> Pinnidae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Scallop </w:t>
            </w:r>
            <w:r>
              <w:tab/>
            </w:r>
          </w:p>
        </w:tc>
        <w:tc>
          <w:tcPr>
            <w:tcW w:w="3615" w:type="dxa"/>
            <w:tcBorders>
              <w:left w:val="single" w:sz="4" w:space="0" w:color="auto"/>
            </w:tcBorders>
            <w:tcMar>
              <w:top w:w="28" w:type="dxa"/>
              <w:left w:w="85" w:type="dxa"/>
            </w:tcMar>
          </w:tcPr>
          <w:p>
            <w:pPr>
              <w:pStyle w:val="yTableNAm"/>
            </w:pPr>
            <w:r>
              <w:t xml:space="preserve">Family </w:t>
            </w:r>
            <w:r>
              <w:rPr>
                <w:iCs/>
              </w:rPr>
              <w:t>Pectinidae</w:t>
            </w:r>
          </w:p>
        </w:tc>
      </w:tr>
      <w:tr>
        <w:tc>
          <w:tcPr>
            <w:tcW w:w="3360" w:type="dxa"/>
            <w:tcBorders>
              <w:right w:val="single" w:sz="4" w:space="0" w:color="auto"/>
            </w:tcBorders>
            <w:tcMar>
              <w:top w:w="28" w:type="dxa"/>
              <w:left w:w="85" w:type="dxa"/>
            </w:tcMar>
          </w:tcPr>
          <w:p>
            <w:pPr>
              <w:pStyle w:val="yTableNAm"/>
            </w:pPr>
          </w:p>
        </w:tc>
        <w:tc>
          <w:tcPr>
            <w:tcW w:w="361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pPr>
            <w:r>
              <w:t>CEPHALOPODS</w:t>
            </w:r>
          </w:p>
        </w:tc>
        <w:tc>
          <w:tcPr>
            <w:tcW w:w="361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Cuttlefish </w:t>
            </w:r>
            <w:r>
              <w:tab/>
            </w:r>
          </w:p>
        </w:tc>
        <w:tc>
          <w:tcPr>
            <w:tcW w:w="3615" w:type="dxa"/>
            <w:tcBorders>
              <w:left w:val="single" w:sz="4" w:space="0" w:color="auto"/>
            </w:tcBorders>
            <w:tcMar>
              <w:top w:w="28" w:type="dxa"/>
              <w:left w:w="85" w:type="dxa"/>
            </w:tcMar>
          </w:tcPr>
          <w:p>
            <w:pPr>
              <w:pStyle w:val="yTableNAm"/>
            </w:pPr>
            <w:r>
              <w:rPr>
                <w:i/>
                <w:iCs/>
              </w:rPr>
              <w:t>Sepia</w:t>
            </w:r>
            <w:r>
              <w:t xml:space="preserve"> spp.</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Octopus </w:t>
            </w:r>
            <w:r>
              <w:tab/>
            </w:r>
          </w:p>
        </w:tc>
        <w:tc>
          <w:tcPr>
            <w:tcW w:w="3615" w:type="dxa"/>
            <w:tcBorders>
              <w:left w:val="single" w:sz="4" w:space="0" w:color="auto"/>
            </w:tcBorders>
            <w:tcMar>
              <w:top w:w="28" w:type="dxa"/>
              <w:left w:w="85" w:type="dxa"/>
            </w:tcMar>
          </w:tcPr>
          <w:p>
            <w:pPr>
              <w:pStyle w:val="yTableNAm"/>
              <w:rPr>
                <w:iCs/>
              </w:rPr>
            </w:pPr>
            <w:r>
              <w:t xml:space="preserve">Family </w:t>
            </w:r>
            <w:r>
              <w:rPr>
                <w:iCs/>
              </w:rPr>
              <w:t>Octopodidae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Squid </w:t>
            </w:r>
            <w:r>
              <w:tab/>
            </w:r>
          </w:p>
        </w:tc>
        <w:tc>
          <w:tcPr>
            <w:tcW w:w="3615" w:type="dxa"/>
            <w:tcBorders>
              <w:left w:val="single" w:sz="4" w:space="0" w:color="auto"/>
            </w:tcBorders>
            <w:tcMar>
              <w:top w:w="28" w:type="dxa"/>
              <w:left w:w="85" w:type="dxa"/>
            </w:tcMar>
          </w:tcPr>
          <w:p>
            <w:pPr>
              <w:pStyle w:val="yTableNAm"/>
            </w:pPr>
            <w:r>
              <w:t>Order </w:t>
            </w:r>
            <w:r>
              <w:rPr>
                <w:iCs/>
              </w:rPr>
              <w:t>Teuthoidea</w:t>
            </w:r>
          </w:p>
        </w:tc>
      </w:tr>
      <w:tr>
        <w:tc>
          <w:tcPr>
            <w:tcW w:w="3360" w:type="dxa"/>
            <w:tcBorders>
              <w:right w:val="single" w:sz="4" w:space="0" w:color="auto"/>
            </w:tcBorders>
            <w:tcMar>
              <w:top w:w="28" w:type="dxa"/>
              <w:left w:w="85" w:type="dxa"/>
            </w:tcMar>
          </w:tcPr>
          <w:p>
            <w:pPr>
              <w:pStyle w:val="yTableNAm"/>
            </w:pPr>
          </w:p>
        </w:tc>
        <w:tc>
          <w:tcPr>
            <w:tcW w:w="361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pPr>
            <w:r>
              <w:t>GASTROPODS</w:t>
            </w:r>
          </w:p>
        </w:tc>
        <w:tc>
          <w:tcPr>
            <w:tcW w:w="361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Abalone </w:t>
            </w:r>
            <w:r>
              <w:tab/>
            </w:r>
          </w:p>
        </w:tc>
        <w:tc>
          <w:tcPr>
            <w:tcW w:w="3615" w:type="dxa"/>
            <w:tcBorders>
              <w:left w:val="single" w:sz="4" w:space="0" w:color="auto"/>
            </w:tcBorders>
            <w:tcMar>
              <w:top w:w="28" w:type="dxa"/>
              <w:left w:w="85" w:type="dxa"/>
            </w:tcMar>
          </w:tcPr>
          <w:p>
            <w:pPr>
              <w:pStyle w:val="yTableNAm"/>
              <w:rPr>
                <w:i/>
                <w:iCs/>
              </w:rPr>
            </w:pPr>
            <w:r>
              <w:rPr>
                <w:i/>
                <w:iCs/>
              </w:rPr>
              <w:t xml:space="preserve">Haliotis </w:t>
            </w:r>
            <w:r>
              <w:t>spp.</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Abalone, Brownlip </w:t>
            </w:r>
            <w:r>
              <w:tab/>
            </w:r>
          </w:p>
        </w:tc>
        <w:tc>
          <w:tcPr>
            <w:tcW w:w="3615" w:type="dxa"/>
            <w:tcBorders>
              <w:left w:val="single" w:sz="4" w:space="0" w:color="auto"/>
            </w:tcBorders>
            <w:tcMar>
              <w:top w:w="28" w:type="dxa"/>
              <w:left w:w="85" w:type="dxa"/>
            </w:tcMar>
          </w:tcPr>
          <w:p>
            <w:pPr>
              <w:pStyle w:val="yTableNAm"/>
              <w:rPr>
                <w:i/>
                <w:iCs/>
              </w:rPr>
            </w:pPr>
            <w:r>
              <w:rPr>
                <w:i/>
                <w:iCs/>
              </w:rPr>
              <w:t>Haliotis conicopora</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Abalone, Greenlip </w:t>
            </w:r>
            <w:r>
              <w:tab/>
            </w:r>
          </w:p>
        </w:tc>
        <w:tc>
          <w:tcPr>
            <w:tcW w:w="3615" w:type="dxa"/>
            <w:tcBorders>
              <w:left w:val="single" w:sz="4" w:space="0" w:color="auto"/>
            </w:tcBorders>
            <w:tcMar>
              <w:top w:w="28" w:type="dxa"/>
              <w:left w:w="85" w:type="dxa"/>
            </w:tcMar>
          </w:tcPr>
          <w:p>
            <w:pPr>
              <w:pStyle w:val="yTableNAm"/>
              <w:rPr>
                <w:i/>
                <w:iCs/>
              </w:rPr>
            </w:pPr>
            <w:r>
              <w:rPr>
                <w:i/>
                <w:iCs/>
              </w:rPr>
              <w:t>Haliotis laevigata</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Abalone, Roe’s </w:t>
            </w:r>
            <w:r>
              <w:tab/>
            </w:r>
          </w:p>
        </w:tc>
        <w:tc>
          <w:tcPr>
            <w:tcW w:w="3615" w:type="dxa"/>
            <w:tcBorders>
              <w:left w:val="single" w:sz="4" w:space="0" w:color="auto"/>
            </w:tcBorders>
            <w:tcMar>
              <w:top w:w="28" w:type="dxa"/>
              <w:left w:w="85" w:type="dxa"/>
            </w:tcMar>
          </w:tcPr>
          <w:p>
            <w:pPr>
              <w:pStyle w:val="yTableNAm"/>
              <w:rPr>
                <w:i/>
                <w:iCs/>
              </w:rPr>
            </w:pPr>
            <w:r>
              <w:rPr>
                <w:i/>
                <w:iCs/>
              </w:rPr>
              <w:t>Haliotis roei</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Bailer Shell </w:t>
            </w:r>
            <w:r>
              <w:tab/>
            </w:r>
          </w:p>
        </w:tc>
        <w:tc>
          <w:tcPr>
            <w:tcW w:w="3615" w:type="dxa"/>
            <w:tcBorders>
              <w:left w:val="single" w:sz="4" w:space="0" w:color="auto"/>
            </w:tcBorders>
            <w:tcMar>
              <w:top w:w="28" w:type="dxa"/>
              <w:left w:w="85" w:type="dxa"/>
            </w:tcMar>
          </w:tcPr>
          <w:p>
            <w:pPr>
              <w:pStyle w:val="yTableNAm"/>
              <w:rPr>
                <w:iCs/>
              </w:rPr>
            </w:pPr>
            <w:r>
              <w:t xml:space="preserve">Family </w:t>
            </w:r>
            <w:r>
              <w:rPr>
                <w:iCs/>
              </w:rPr>
              <w:t>Volutidae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Conch </w:t>
            </w:r>
            <w:r>
              <w:tab/>
            </w:r>
          </w:p>
        </w:tc>
        <w:tc>
          <w:tcPr>
            <w:tcW w:w="3615" w:type="dxa"/>
            <w:tcBorders>
              <w:left w:val="single" w:sz="4" w:space="0" w:color="auto"/>
            </w:tcBorders>
            <w:tcMar>
              <w:top w:w="28" w:type="dxa"/>
              <w:left w:w="85" w:type="dxa"/>
            </w:tcMar>
          </w:tcPr>
          <w:p>
            <w:pPr>
              <w:pStyle w:val="yTableNAm"/>
              <w:rPr>
                <w:i/>
                <w:iCs/>
              </w:rPr>
            </w:pPr>
            <w:r>
              <w:t xml:space="preserve">Family </w:t>
            </w:r>
            <w:r>
              <w:rPr>
                <w:iCs/>
              </w:rPr>
              <w:t>Strombidae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Trochus </w:t>
            </w:r>
            <w:r>
              <w:tab/>
            </w:r>
          </w:p>
        </w:tc>
        <w:tc>
          <w:tcPr>
            <w:tcW w:w="3615" w:type="dxa"/>
            <w:tcBorders>
              <w:left w:val="single" w:sz="4" w:space="0" w:color="auto"/>
            </w:tcBorders>
            <w:tcMar>
              <w:top w:w="28" w:type="dxa"/>
              <w:left w:w="85" w:type="dxa"/>
            </w:tcMar>
          </w:tcPr>
          <w:p>
            <w:pPr>
              <w:pStyle w:val="yTableNAm"/>
              <w:rPr>
                <w:i/>
                <w:iCs/>
              </w:rPr>
            </w:pPr>
            <w:r>
              <w:rPr>
                <w:i/>
                <w:iCs/>
                <w:szCs w:val="22"/>
              </w:rPr>
              <w:t>Rochia nilotica</w:t>
            </w:r>
          </w:p>
        </w:tc>
      </w:tr>
      <w:tr>
        <w:tc>
          <w:tcPr>
            <w:tcW w:w="3360" w:type="dxa"/>
            <w:tcBorders>
              <w:bottom w:val="single" w:sz="4" w:space="0" w:color="auto"/>
              <w:right w:val="single" w:sz="4" w:space="0" w:color="auto"/>
            </w:tcBorders>
            <w:tcMar>
              <w:top w:w="28" w:type="dxa"/>
              <w:left w:w="85" w:type="dxa"/>
            </w:tcMar>
          </w:tcPr>
          <w:p>
            <w:pPr>
              <w:pStyle w:val="yTableNAm"/>
              <w:tabs>
                <w:tab w:val="clear" w:pos="567"/>
                <w:tab w:val="right" w:leader="dot" w:pos="3134"/>
              </w:tabs>
            </w:pPr>
            <w:r>
              <w:t xml:space="preserve">Zoila Cowry </w:t>
            </w:r>
            <w:r>
              <w:tab/>
            </w:r>
          </w:p>
        </w:tc>
        <w:tc>
          <w:tcPr>
            <w:tcW w:w="3615" w:type="dxa"/>
            <w:tcBorders>
              <w:left w:val="single" w:sz="4" w:space="0" w:color="auto"/>
              <w:bottom w:val="single" w:sz="4" w:space="0" w:color="auto"/>
            </w:tcBorders>
            <w:tcMar>
              <w:top w:w="28" w:type="dxa"/>
              <w:left w:w="85" w:type="dxa"/>
            </w:tcMar>
          </w:tcPr>
          <w:p>
            <w:pPr>
              <w:pStyle w:val="yTableNAm"/>
            </w:pPr>
            <w:r>
              <w:t xml:space="preserve">Family </w:t>
            </w:r>
            <w:r>
              <w:rPr>
                <w:iCs/>
              </w:rPr>
              <w:t>Cypraeidae</w:t>
            </w:r>
          </w:p>
        </w:tc>
      </w:tr>
    </w:tbl>
    <w:p>
      <w:pPr>
        <w:pStyle w:val="yFootnotesection"/>
      </w:pPr>
      <w:bookmarkStart w:id="1278" w:name="_Toc184300137"/>
      <w:bookmarkStart w:id="1279" w:name="_Toc184300201"/>
      <w:bookmarkStart w:id="1280" w:name="_Toc184300238"/>
      <w:bookmarkStart w:id="1281" w:name="_Toc184300329"/>
      <w:bookmarkStart w:id="1282" w:name="_Toc184377973"/>
      <w:r>
        <w:tab/>
        <w:t>[Division 4 inserted: SL 2024/263 r. 26.]</w:t>
      </w:r>
    </w:p>
    <w:p>
      <w:pPr>
        <w:pStyle w:val="yHeading3"/>
      </w:pPr>
      <w:bookmarkStart w:id="1283" w:name="_Toc184385330"/>
      <w:bookmarkStart w:id="1284" w:name="_Toc201508727"/>
      <w:bookmarkStart w:id="1285" w:name="_Toc201754558"/>
      <w:bookmarkStart w:id="1286" w:name="_Toc201759288"/>
      <w:r>
        <w:rPr>
          <w:rStyle w:val="CharSDivNo"/>
        </w:rPr>
        <w:t>Division 5</w:t>
      </w:r>
      <w:r>
        <w:t> — </w:t>
      </w:r>
      <w:r>
        <w:rPr>
          <w:rStyle w:val="CharSDivText"/>
        </w:rPr>
        <w:t>Other</w:t>
      </w:r>
      <w:bookmarkEnd w:id="1278"/>
      <w:bookmarkEnd w:id="1279"/>
      <w:bookmarkEnd w:id="1280"/>
      <w:bookmarkEnd w:id="1281"/>
      <w:bookmarkEnd w:id="1282"/>
      <w:bookmarkEnd w:id="1283"/>
      <w:bookmarkEnd w:id="1284"/>
      <w:bookmarkEnd w:id="1285"/>
      <w:bookmarkEnd w:id="1286"/>
    </w:p>
    <w:p>
      <w:pPr>
        <w:pStyle w:val="yFootnoteheading"/>
        <w:spacing w:after="40"/>
      </w:pPr>
      <w:r>
        <w:tab/>
        <w:t>[Heading inserted: SL 2024/263 r. 26.]</w:t>
      </w:r>
    </w:p>
    <w:tbl>
      <w:tblPr>
        <w:tblW w:w="6975" w:type="dxa"/>
        <w:tblInd w:w="113" w:type="dxa"/>
        <w:tblLayout w:type="fixed"/>
        <w:tblCellMar>
          <w:left w:w="141" w:type="dxa"/>
          <w:right w:w="141" w:type="dxa"/>
        </w:tblCellMar>
        <w:tblLook w:val="0000" w:firstRow="0" w:lastRow="0" w:firstColumn="0" w:lastColumn="0" w:noHBand="0" w:noVBand="0"/>
      </w:tblPr>
      <w:tblGrid>
        <w:gridCol w:w="3541"/>
        <w:gridCol w:w="343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bCs/>
              </w:rPr>
            </w:pPr>
            <w:r>
              <w:rPr>
                <w:b/>
                <w:bCs/>
              </w:rPr>
              <w:t>Common name</w:t>
            </w:r>
          </w:p>
        </w:tc>
        <w:tc>
          <w:tcPr>
            <w:tcW w:w="3434" w:type="dxa"/>
            <w:tcBorders>
              <w:top w:val="single" w:sz="8" w:space="0" w:color="auto"/>
              <w:left w:val="single" w:sz="4" w:space="0" w:color="auto"/>
              <w:bottom w:val="single" w:sz="8" w:space="0" w:color="auto"/>
            </w:tcBorders>
            <w:tcMar>
              <w:top w:w="28" w:type="dxa"/>
              <w:left w:w="85" w:type="dxa"/>
            </w:tcMar>
          </w:tcPr>
          <w:p>
            <w:pPr>
              <w:pStyle w:val="yTableNAm"/>
              <w:rPr>
                <w:b/>
                <w:bCs/>
              </w:rPr>
            </w:pPr>
            <w:r>
              <w:rPr>
                <w:b/>
                <w:bCs/>
              </w:rPr>
              <w:t>Scientific name</w:t>
            </w:r>
          </w:p>
        </w:tc>
      </w:tr>
      <w:tr>
        <w:tc>
          <w:tcPr>
            <w:tcW w:w="3541" w:type="dxa"/>
            <w:tcBorders>
              <w:top w:val="single" w:sz="8" w:space="0" w:color="auto"/>
              <w:right w:val="single" w:sz="4" w:space="0" w:color="auto"/>
            </w:tcBorders>
            <w:tcMar>
              <w:top w:w="28" w:type="dxa"/>
              <w:left w:w="85" w:type="dxa"/>
            </w:tcMar>
          </w:tcPr>
          <w:p>
            <w:pPr>
              <w:pStyle w:val="yTableNAm"/>
              <w:tabs>
                <w:tab w:val="clear" w:pos="567"/>
                <w:tab w:val="right" w:leader="dot" w:pos="3134"/>
              </w:tabs>
            </w:pPr>
            <w:r>
              <w:t xml:space="preserve">Bloodworm </w:t>
            </w:r>
            <w:r>
              <w:tab/>
            </w:r>
          </w:p>
        </w:tc>
        <w:tc>
          <w:tcPr>
            <w:tcW w:w="3434" w:type="dxa"/>
            <w:tcBorders>
              <w:top w:val="single" w:sz="8" w:space="0" w:color="auto"/>
              <w:left w:val="single" w:sz="4" w:space="0" w:color="auto"/>
            </w:tcBorders>
            <w:tcMar>
              <w:top w:w="28" w:type="dxa"/>
              <w:left w:w="85" w:type="dxa"/>
            </w:tcMar>
          </w:tcPr>
          <w:p>
            <w:pPr>
              <w:pStyle w:val="yTableNAm"/>
            </w:pPr>
            <w:r>
              <w:rPr>
                <w:i/>
                <w:iCs/>
              </w:rPr>
              <w:t>Polycirrus</w:t>
            </w:r>
            <w:r>
              <w:t xml:space="preserve"> </w:t>
            </w:r>
            <w:r>
              <w:rPr>
                <w:iCs/>
              </w:rPr>
              <w:t>spp</w:t>
            </w:r>
            <w:r>
              <w:t>.</w:t>
            </w:r>
          </w:p>
        </w:tc>
      </w:tr>
      <w:tr>
        <w:tc>
          <w:tcPr>
            <w:tcW w:w="3541" w:type="dxa"/>
            <w:tcBorders>
              <w:right w:val="single" w:sz="4" w:space="0" w:color="auto"/>
            </w:tcBorders>
            <w:tcMar>
              <w:top w:w="28" w:type="dxa"/>
              <w:left w:w="85" w:type="dxa"/>
            </w:tcMar>
          </w:tcPr>
          <w:p>
            <w:pPr>
              <w:pStyle w:val="yTableNAm"/>
              <w:tabs>
                <w:tab w:val="clear" w:pos="567"/>
                <w:tab w:val="right" w:leader="dot" w:pos="3134"/>
              </w:tabs>
            </w:pPr>
            <w:r>
              <w:t xml:space="preserve">Coral </w:t>
            </w:r>
            <w:r>
              <w:tab/>
            </w:r>
          </w:p>
        </w:tc>
        <w:tc>
          <w:tcPr>
            <w:tcW w:w="3434" w:type="dxa"/>
            <w:tcBorders>
              <w:left w:val="single" w:sz="4" w:space="0" w:color="auto"/>
            </w:tcBorders>
            <w:tcMar>
              <w:top w:w="28" w:type="dxa"/>
              <w:left w:w="85" w:type="dxa"/>
            </w:tcMar>
          </w:tcPr>
          <w:p>
            <w:pPr>
              <w:pStyle w:val="yTableNAm"/>
              <w:rPr>
                <w:u w:val="single"/>
              </w:rPr>
            </w:pPr>
            <w:r>
              <w:t xml:space="preserve">Class </w:t>
            </w:r>
            <w:r>
              <w:rPr>
                <w:iCs/>
              </w:rPr>
              <w:t>Anthozoa</w:t>
            </w:r>
            <w:r>
              <w:t xml:space="preserve"> and Class </w:t>
            </w:r>
            <w:r>
              <w:rPr>
                <w:iCs/>
              </w:rPr>
              <w:t>Hydrozoa</w:t>
            </w:r>
          </w:p>
        </w:tc>
      </w:tr>
      <w:tr>
        <w:trPr>
          <w:cantSplit/>
        </w:trPr>
        <w:tc>
          <w:tcPr>
            <w:tcW w:w="3541" w:type="dxa"/>
            <w:tcBorders>
              <w:right w:val="single" w:sz="4" w:space="0" w:color="auto"/>
            </w:tcBorders>
            <w:tcMar>
              <w:top w:w="28" w:type="dxa"/>
              <w:left w:w="85" w:type="dxa"/>
            </w:tcMar>
          </w:tcPr>
          <w:p>
            <w:pPr>
              <w:pStyle w:val="yTableNAm"/>
              <w:tabs>
                <w:tab w:val="clear" w:pos="567"/>
                <w:tab w:val="right" w:leader="dot" w:pos="3134"/>
              </w:tabs>
            </w:pPr>
            <w:r>
              <w:t xml:space="preserve">Live Rock </w:t>
            </w:r>
            <w:r>
              <w:tab/>
            </w:r>
          </w:p>
        </w:tc>
        <w:tc>
          <w:tcPr>
            <w:tcW w:w="3434" w:type="dxa"/>
            <w:tcBorders>
              <w:left w:val="single" w:sz="4" w:space="0" w:color="auto"/>
            </w:tcBorders>
            <w:tcMar>
              <w:top w:w="28" w:type="dxa"/>
              <w:left w:w="85" w:type="dxa"/>
            </w:tcMar>
          </w:tcPr>
          <w:p>
            <w:pPr>
              <w:pStyle w:val="yTableNAm"/>
              <w:rPr>
                <w:u w:val="single"/>
              </w:rPr>
            </w:pPr>
            <w:r>
              <w:t xml:space="preserve">Family </w:t>
            </w:r>
            <w:r>
              <w:rPr>
                <w:iCs/>
              </w:rPr>
              <w:t>Corallinaceae</w:t>
            </w:r>
            <w:r>
              <w:t>, Class </w:t>
            </w:r>
            <w:r>
              <w:rPr>
                <w:iCs/>
              </w:rPr>
              <w:t>Polychaeta</w:t>
            </w:r>
            <w:r>
              <w:t>, Class Crinoidea, Class </w:t>
            </w:r>
            <w:r>
              <w:rPr>
                <w:iCs/>
              </w:rPr>
              <w:t>Ascidiacea</w:t>
            </w:r>
            <w:r>
              <w:t>, Class </w:t>
            </w:r>
            <w:r>
              <w:rPr>
                <w:iCs/>
              </w:rPr>
              <w:t>Ophiuroidea</w:t>
            </w:r>
            <w:r>
              <w:t xml:space="preserve">, Phylum Bryozoa </w:t>
            </w:r>
            <w:r>
              <w:rPr>
                <w:iCs/>
              </w:rPr>
              <w:t>and</w:t>
            </w:r>
            <w:r>
              <w:t xml:space="preserve"> Phylum </w:t>
            </w:r>
            <w:r>
              <w:rPr>
                <w:iCs/>
              </w:rPr>
              <w:t>Porifera</w:t>
            </w:r>
            <w:r>
              <w:t xml:space="preserve"> and dead fish of Class </w:t>
            </w:r>
            <w:r>
              <w:rPr>
                <w:iCs/>
              </w:rPr>
              <w:t>Anthozoa</w:t>
            </w:r>
            <w:r>
              <w:t xml:space="preserve"> and Class </w:t>
            </w:r>
            <w:r>
              <w:rPr>
                <w:iCs/>
              </w:rPr>
              <w:t>Hydrozoa</w:t>
            </w:r>
          </w:p>
        </w:tc>
      </w:tr>
      <w:tr>
        <w:tc>
          <w:tcPr>
            <w:tcW w:w="3541" w:type="dxa"/>
            <w:tcBorders>
              <w:right w:val="single" w:sz="4" w:space="0" w:color="auto"/>
            </w:tcBorders>
            <w:tcMar>
              <w:top w:w="28" w:type="dxa"/>
              <w:left w:w="85" w:type="dxa"/>
            </w:tcMar>
          </w:tcPr>
          <w:p>
            <w:pPr>
              <w:pStyle w:val="yTableNAm"/>
              <w:tabs>
                <w:tab w:val="clear" w:pos="567"/>
                <w:tab w:val="right" w:leader="dot" w:pos="3134"/>
              </w:tabs>
            </w:pPr>
            <w:r>
              <w:t xml:space="preserve">Sea Cucumber </w:t>
            </w:r>
            <w:r>
              <w:tab/>
            </w:r>
          </w:p>
        </w:tc>
        <w:tc>
          <w:tcPr>
            <w:tcW w:w="3434" w:type="dxa"/>
            <w:tcBorders>
              <w:left w:val="single" w:sz="4" w:space="0" w:color="auto"/>
            </w:tcBorders>
            <w:tcMar>
              <w:top w:w="28" w:type="dxa"/>
              <w:left w:w="85" w:type="dxa"/>
            </w:tcMar>
          </w:tcPr>
          <w:p>
            <w:pPr>
              <w:pStyle w:val="yTableNAm"/>
            </w:pPr>
            <w:r>
              <w:t xml:space="preserve">Class </w:t>
            </w:r>
            <w:r>
              <w:rPr>
                <w:szCs w:val="22"/>
              </w:rPr>
              <w:t>Holothuroidea</w:t>
            </w:r>
          </w:p>
        </w:tc>
      </w:tr>
      <w:tr>
        <w:tc>
          <w:tcPr>
            <w:tcW w:w="3541" w:type="dxa"/>
            <w:tcBorders>
              <w:bottom w:val="single" w:sz="8" w:space="0" w:color="auto"/>
              <w:right w:val="single" w:sz="4" w:space="0" w:color="auto"/>
            </w:tcBorders>
            <w:tcMar>
              <w:top w:w="28" w:type="dxa"/>
              <w:left w:w="85" w:type="dxa"/>
            </w:tcMar>
          </w:tcPr>
          <w:p>
            <w:pPr>
              <w:pStyle w:val="yTableNAm"/>
              <w:tabs>
                <w:tab w:val="clear" w:pos="567"/>
                <w:tab w:val="right" w:leader="dot" w:pos="3134"/>
              </w:tabs>
            </w:pPr>
            <w:r>
              <w:t xml:space="preserve">Sea Urchin </w:t>
            </w:r>
            <w:r>
              <w:tab/>
            </w:r>
          </w:p>
        </w:tc>
        <w:tc>
          <w:tcPr>
            <w:tcW w:w="3434" w:type="dxa"/>
            <w:tcBorders>
              <w:left w:val="single" w:sz="4" w:space="0" w:color="auto"/>
              <w:bottom w:val="single" w:sz="8" w:space="0" w:color="auto"/>
            </w:tcBorders>
            <w:tcMar>
              <w:top w:w="28" w:type="dxa"/>
              <w:left w:w="85" w:type="dxa"/>
            </w:tcMar>
          </w:tcPr>
          <w:p>
            <w:pPr>
              <w:pStyle w:val="yTableNAm"/>
              <w:rPr>
                <w:rStyle w:val="DraftersNotes"/>
                <w:b w:val="0"/>
                <w:i w:val="0"/>
                <w:iCs/>
              </w:rPr>
            </w:pPr>
            <w:r>
              <w:rPr>
                <w:iCs/>
              </w:rPr>
              <w:t>Family Echinometridae</w:t>
            </w:r>
          </w:p>
        </w:tc>
      </w:tr>
    </w:tbl>
    <w:p>
      <w:pPr>
        <w:pStyle w:val="yFootnotesection"/>
      </w:pPr>
      <w:r>
        <w:tab/>
        <w:t>[Division 5 inserted: SL 2024/263 r. 26.]</w:t>
      </w:r>
    </w:p>
    <w:bookmarkEnd w:id="1268"/>
    <w:p>
      <w:pPr>
        <w:tabs>
          <w:tab w:val="right" w:leader="dot" w:pos="3969"/>
        </w:tabs>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yScheduleHeading"/>
      </w:pPr>
      <w:bookmarkStart w:id="1287" w:name="_Toc184372821"/>
      <w:bookmarkStart w:id="1288" w:name="_Toc184377974"/>
      <w:bookmarkStart w:id="1289" w:name="_Toc184385331"/>
      <w:bookmarkStart w:id="1290" w:name="_Toc201508728"/>
      <w:bookmarkStart w:id="1291" w:name="_Toc201754559"/>
      <w:bookmarkStart w:id="1292" w:name="_Toc201759289"/>
      <w:r>
        <w:rPr>
          <w:rStyle w:val="CharSchNo"/>
        </w:rPr>
        <w:t>Schedule 8</w:t>
      </w:r>
      <w:bookmarkEnd w:id="1287"/>
      <w:bookmarkEnd w:id="1288"/>
      <w:bookmarkEnd w:id="1289"/>
      <w:bookmarkEnd w:id="1290"/>
      <w:bookmarkEnd w:id="1291"/>
      <w:bookmarkEnd w:id="1292"/>
    </w:p>
    <w:p>
      <w:pPr>
        <w:pStyle w:val="yShoulderClause"/>
        <w:rPr>
          <w:snapToGrid w:val="0"/>
        </w:rPr>
      </w:pPr>
      <w:r>
        <w:rPr>
          <w:snapToGrid w:val="0"/>
        </w:rPr>
        <w:t>[reg. 151]</w:t>
      </w:r>
    </w:p>
    <w:p>
      <w:pPr>
        <w:pStyle w:val="yHeading2"/>
      </w:pPr>
      <w:bookmarkStart w:id="1293" w:name="_Toc184372822"/>
      <w:bookmarkStart w:id="1294" w:name="_Toc184377975"/>
      <w:bookmarkStart w:id="1295" w:name="_Toc184385332"/>
      <w:bookmarkStart w:id="1296" w:name="_Toc201508729"/>
      <w:bookmarkStart w:id="1297" w:name="_Toc201754560"/>
      <w:bookmarkStart w:id="1298" w:name="_Toc201759290"/>
      <w:r>
        <w:rPr>
          <w:rStyle w:val="CharSchText"/>
        </w:rPr>
        <w:t>Determination of characteristics of fish</w:t>
      </w:r>
      <w:bookmarkEnd w:id="1293"/>
      <w:bookmarkEnd w:id="1294"/>
      <w:bookmarkEnd w:id="1295"/>
      <w:bookmarkEnd w:id="1296"/>
      <w:bookmarkEnd w:id="1297"/>
      <w:bookmarkEnd w:id="1298"/>
    </w:p>
    <w:p>
      <w:pPr>
        <w:pStyle w:val="yHeading2"/>
        <w:spacing w:after="120"/>
      </w:pPr>
      <w:bookmarkStart w:id="1299" w:name="_Toc184372823"/>
      <w:bookmarkStart w:id="1300" w:name="_Toc184377976"/>
      <w:bookmarkStart w:id="1301" w:name="_Toc184385333"/>
      <w:bookmarkStart w:id="1302" w:name="_Toc201508730"/>
      <w:bookmarkStart w:id="1303" w:name="_Toc201754561"/>
      <w:bookmarkStart w:id="1304" w:name="_Toc201759291"/>
      <w:r>
        <w:rPr>
          <w:rStyle w:val="CharSDivNo"/>
          <w:sz w:val="28"/>
        </w:rPr>
        <w:t>Part 1</w:t>
      </w:r>
      <w:r>
        <w:t> — </w:t>
      </w:r>
      <w:r>
        <w:rPr>
          <w:rStyle w:val="CharSDivText"/>
          <w:sz w:val="28"/>
        </w:rPr>
        <w:t>Length</w:t>
      </w:r>
      <w:bookmarkEnd w:id="1299"/>
      <w:bookmarkEnd w:id="1300"/>
      <w:bookmarkEnd w:id="1301"/>
      <w:bookmarkEnd w:id="1302"/>
      <w:bookmarkEnd w:id="1303"/>
      <w:bookmarkEnd w:id="1304"/>
    </w:p>
    <w:tbl>
      <w:tblPr>
        <w:tblW w:w="0" w:type="auto"/>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Gazette 15 Jan 1999 p. 113; 13 Nov 2007 p. 5694; 4 Oct 2019 p. 3599.]</w:t>
      </w:r>
    </w:p>
    <w:p>
      <w:pPr>
        <w:pStyle w:val="yHeading2"/>
      </w:pPr>
      <w:bookmarkStart w:id="1305" w:name="_Toc184372824"/>
      <w:bookmarkStart w:id="1306" w:name="_Toc184377977"/>
      <w:bookmarkStart w:id="1307" w:name="_Toc184385334"/>
      <w:bookmarkStart w:id="1308" w:name="_Toc201508731"/>
      <w:bookmarkStart w:id="1309" w:name="_Toc201754562"/>
      <w:bookmarkStart w:id="1310" w:name="_Toc201759292"/>
      <w:r>
        <w:rPr>
          <w:rStyle w:val="CharSDivNo"/>
          <w:sz w:val="28"/>
        </w:rPr>
        <w:t>Part 2</w:t>
      </w:r>
      <w:r>
        <w:t> — </w:t>
      </w:r>
      <w:r>
        <w:rPr>
          <w:rStyle w:val="CharSDivText"/>
          <w:sz w:val="28"/>
        </w:rPr>
        <w:t>Method of determining the volume of fish</w:t>
      </w:r>
      <w:bookmarkEnd w:id="1305"/>
      <w:bookmarkEnd w:id="1306"/>
      <w:bookmarkEnd w:id="1307"/>
      <w:bookmarkEnd w:id="1308"/>
      <w:bookmarkEnd w:id="1309"/>
      <w:bookmarkEnd w:id="1310"/>
    </w:p>
    <w:p>
      <w:pPr>
        <w:pStyle w:val="ySubsection"/>
      </w:pPr>
      <w:r>
        <w:tab/>
      </w:r>
      <w:r>
        <w:tab/>
        <w:t>The volume of space which is filled by whole, undamaged fish without compressing those fish.</w:t>
      </w:r>
    </w:p>
    <w:p>
      <w:pPr>
        <w:pStyle w:val="yHeading2"/>
      </w:pPr>
      <w:bookmarkStart w:id="1311" w:name="_Toc184372825"/>
      <w:bookmarkStart w:id="1312" w:name="_Toc184377978"/>
      <w:bookmarkStart w:id="1313" w:name="_Toc184385335"/>
      <w:bookmarkStart w:id="1314" w:name="_Toc201508732"/>
      <w:bookmarkStart w:id="1315" w:name="_Toc201754563"/>
      <w:bookmarkStart w:id="1316" w:name="_Toc201759293"/>
      <w:r>
        <w:rPr>
          <w:rStyle w:val="CharSDivNo"/>
          <w:sz w:val="28"/>
        </w:rPr>
        <w:t>Part 3</w:t>
      </w:r>
      <w:r>
        <w:t> — </w:t>
      </w:r>
      <w:r>
        <w:rPr>
          <w:rStyle w:val="CharSDivText"/>
          <w:sz w:val="28"/>
        </w:rPr>
        <w:t>Method of determining the length of fish trunks and fillets</w:t>
      </w:r>
      <w:bookmarkEnd w:id="1311"/>
      <w:bookmarkEnd w:id="1312"/>
      <w:bookmarkEnd w:id="1313"/>
      <w:bookmarkEnd w:id="1314"/>
      <w:bookmarkEnd w:id="1315"/>
      <w:bookmarkEnd w:id="1316"/>
    </w:p>
    <w:p>
      <w:pPr>
        <w:pStyle w:val="yFootnoteheading"/>
      </w:pPr>
      <w:r>
        <w:tab/>
        <w:t>[Heading inserted: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Gazette 4 Nov 2005 p. 5317.]</w:t>
      </w:r>
    </w:p>
    <w:p>
      <w:pPr>
        <w:pStyle w:val="yScheduleHeading"/>
      </w:pPr>
      <w:bookmarkStart w:id="1317" w:name="_Toc184372826"/>
      <w:bookmarkStart w:id="1318" w:name="_Toc184377979"/>
      <w:bookmarkStart w:id="1319" w:name="_Toc184385336"/>
      <w:bookmarkStart w:id="1320" w:name="_Toc201508733"/>
      <w:bookmarkStart w:id="1321" w:name="_Toc201754564"/>
      <w:bookmarkStart w:id="1322" w:name="_Toc201759294"/>
      <w:r>
        <w:rPr>
          <w:rStyle w:val="CharSchNo"/>
        </w:rPr>
        <w:t>Schedule 9</w:t>
      </w:r>
      <w:r>
        <w:rPr>
          <w:rStyle w:val="CharSDivNo"/>
        </w:rPr>
        <w:t> </w:t>
      </w:r>
      <w:r>
        <w:t>—</w:t>
      </w:r>
      <w:r>
        <w:rPr>
          <w:rStyle w:val="CharSDivText"/>
        </w:rPr>
        <w:t> </w:t>
      </w:r>
      <w:r>
        <w:rPr>
          <w:rStyle w:val="CharSchText"/>
        </w:rPr>
        <w:t>Determining the value of fish</w:t>
      </w:r>
      <w:bookmarkEnd w:id="1317"/>
      <w:bookmarkEnd w:id="1318"/>
      <w:bookmarkEnd w:id="1319"/>
      <w:bookmarkEnd w:id="1320"/>
      <w:bookmarkEnd w:id="1321"/>
      <w:bookmarkEnd w:id="1322"/>
    </w:p>
    <w:p>
      <w:pPr>
        <w:pStyle w:val="yShoulderClause"/>
      </w:pPr>
      <w:r>
        <w:t>[s. 222(2) and r. 157]</w:t>
      </w:r>
    </w:p>
    <w:p>
      <w:pPr>
        <w:pStyle w:val="yFootnoteheading"/>
      </w:pPr>
      <w:r>
        <w:tab/>
        <w:t>[Heading inserted: Gazette 4 Oct 2019 p. 3599.]</w:t>
      </w:r>
    </w:p>
    <w:tbl>
      <w:tblPr>
        <w:tblW w:w="0" w:type="auto"/>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rPr>
                <w:b/>
              </w:rPr>
            </w:pPr>
            <w:r>
              <w:rPr>
                <w:b/>
              </w:rPr>
              <w:t>Species of fish</w:t>
            </w:r>
          </w:p>
        </w:tc>
        <w:tc>
          <w:tcPr>
            <w:tcW w:w="1384" w:type="dxa"/>
            <w:tcBorders>
              <w:top w:val="single" w:sz="8" w:space="0" w:color="auto"/>
              <w:bottom w:val="single" w:sz="8" w:space="0" w:color="auto"/>
            </w:tcBorders>
            <w:vAlign w:val="center"/>
          </w:tcPr>
          <w:p>
            <w:pPr>
              <w:pStyle w:val="yTableNAm"/>
              <w:rPr>
                <w:b/>
              </w:rPr>
            </w:pPr>
            <w:r>
              <w:rPr>
                <w:b/>
              </w:rPr>
              <w:t>Value per unit of weight</w:t>
            </w:r>
          </w:p>
          <w:p>
            <w:pPr>
              <w:pStyle w:val="yTableNAm"/>
              <w:rPr>
                <w:b/>
              </w:rPr>
            </w:pPr>
            <w:r>
              <w:rPr>
                <w:b/>
              </w:rPr>
              <w:t>($/kg)</w:t>
            </w:r>
          </w:p>
        </w:tc>
        <w:tc>
          <w:tcPr>
            <w:tcW w:w="1384" w:type="dxa"/>
            <w:tcBorders>
              <w:top w:val="single" w:sz="8" w:space="0" w:color="auto"/>
              <w:bottom w:val="single" w:sz="8" w:space="0" w:color="auto"/>
            </w:tcBorders>
            <w:vAlign w:val="bottom"/>
          </w:tcPr>
          <w:p>
            <w:pPr>
              <w:pStyle w:val="yTableNAm"/>
              <w:rPr>
                <w:b/>
              </w:rPr>
            </w:pPr>
            <w:r>
              <w:rPr>
                <w:b/>
              </w:rPr>
              <w:t>Value per fish</w:t>
            </w:r>
          </w:p>
          <w:p>
            <w:pPr>
              <w:pStyle w:val="yTableNAm"/>
              <w:jc w:val="center"/>
              <w:rPr>
                <w:b/>
              </w:rPr>
            </w:pPr>
            <w:r>
              <w:rPr>
                <w:b/>
              </w:rPr>
              <w:t>($)</w:t>
            </w:r>
          </w:p>
        </w:tc>
      </w:tr>
      <w:tr>
        <w:tc>
          <w:tcPr>
            <w:tcW w:w="4320" w:type="dxa"/>
          </w:tcPr>
          <w:p>
            <w:pPr>
              <w:pStyle w:val="yTableNAm"/>
              <w:tabs>
                <w:tab w:val="left" w:leader="dot" w:pos="567"/>
                <w:tab w:val="right" w:leader="dot" w:pos="4112"/>
              </w:tabs>
            </w:pPr>
            <w:r>
              <w:t xml:space="preserve">Abalone, Brownlip (shucked) </w:t>
            </w:r>
            <w:r>
              <w:tab/>
            </w:r>
          </w:p>
        </w:tc>
        <w:tc>
          <w:tcPr>
            <w:tcW w:w="1384" w:type="dxa"/>
          </w:tcPr>
          <w:p>
            <w:pPr>
              <w:pStyle w:val="yTableNAm"/>
            </w:pPr>
            <w:r>
              <w:t>90.00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Abalone, Brownlip (whole weight) </w:t>
            </w:r>
            <w:r>
              <w:tab/>
            </w:r>
          </w:p>
        </w:tc>
        <w:tc>
          <w:tcPr>
            <w:tcW w:w="1384" w:type="dxa"/>
          </w:tcPr>
          <w:p>
            <w:pPr>
              <w:pStyle w:val="yTableNAm"/>
            </w:pPr>
            <w:r>
              <w:t>35.00</w:t>
            </w:r>
          </w:p>
        </w:tc>
        <w:tc>
          <w:tcPr>
            <w:tcW w:w="1384" w:type="dxa"/>
          </w:tcPr>
          <w:p>
            <w:pPr>
              <w:pStyle w:val="yTableNAm"/>
            </w:pPr>
            <w:r>
              <w:t>23.00</w:t>
            </w:r>
          </w:p>
        </w:tc>
      </w:tr>
      <w:tr>
        <w:tc>
          <w:tcPr>
            <w:tcW w:w="4320" w:type="dxa"/>
          </w:tcPr>
          <w:p>
            <w:pPr>
              <w:pStyle w:val="yTableNAm"/>
              <w:tabs>
                <w:tab w:val="left" w:leader="dot" w:pos="567"/>
                <w:tab w:val="right" w:leader="dot" w:pos="4112"/>
              </w:tabs>
            </w:pPr>
            <w:r>
              <w:t xml:space="preserve">Abalone, Greenlip (shucked) </w:t>
            </w:r>
            <w:r>
              <w:tab/>
            </w:r>
          </w:p>
        </w:tc>
        <w:tc>
          <w:tcPr>
            <w:tcW w:w="1384" w:type="dxa"/>
          </w:tcPr>
          <w:p>
            <w:pPr>
              <w:pStyle w:val="yTableNAm"/>
            </w:pPr>
            <w:r>
              <w:t>110.00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Greenlip (whole weight) </w:t>
            </w:r>
            <w:r>
              <w:tab/>
            </w:r>
          </w:p>
        </w:tc>
        <w:tc>
          <w:tcPr>
            <w:tcW w:w="1384" w:type="dxa"/>
          </w:tcPr>
          <w:p>
            <w:pPr>
              <w:pStyle w:val="yTableNAm"/>
            </w:pPr>
            <w:r>
              <w:t>40.00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Roe’s (shucked) </w:t>
            </w:r>
            <w:r>
              <w:tab/>
            </w:r>
          </w:p>
        </w:tc>
        <w:tc>
          <w:tcPr>
            <w:tcW w:w="1384" w:type="dxa"/>
          </w:tcPr>
          <w:p>
            <w:pPr>
              <w:pStyle w:val="yTableNAm"/>
            </w:pPr>
            <w:r>
              <w:t>60.00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Abalone, Roe’s (whole weight) . </w:t>
            </w:r>
            <w:r>
              <w:tab/>
            </w:r>
          </w:p>
        </w:tc>
        <w:tc>
          <w:tcPr>
            <w:tcW w:w="1384" w:type="dxa"/>
          </w:tcPr>
          <w:p>
            <w:pPr>
              <w:pStyle w:val="yTableNAm"/>
            </w:pPr>
            <w:r>
              <w:t>26.00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Albacore </w:t>
            </w:r>
            <w:r>
              <w:tab/>
            </w:r>
          </w:p>
        </w:tc>
        <w:tc>
          <w:tcPr>
            <w:tcW w:w="1384" w:type="dxa"/>
          </w:tcPr>
          <w:p>
            <w:pPr>
              <w:pStyle w:val="yTableNAm"/>
            </w:pPr>
            <w:r>
              <w:t>3.50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Amberjack </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Ark Shell </w:t>
            </w:r>
            <w:r>
              <w:tab/>
            </w:r>
          </w:p>
        </w:tc>
        <w:tc>
          <w:tcPr>
            <w:tcW w:w="1384" w:type="dxa"/>
          </w:tcPr>
          <w:p>
            <w:pPr>
              <w:pStyle w:val="yTableNAm"/>
            </w:pPr>
            <w:r>
              <w:t>10.00</w:t>
            </w:r>
          </w:p>
        </w:tc>
        <w:tc>
          <w:tcPr>
            <w:tcW w:w="1384" w:type="dxa"/>
          </w:tcPr>
          <w:p>
            <w:pPr>
              <w:pStyle w:val="yTableNAm"/>
            </w:pPr>
            <w:r>
              <w:t>0.25</w:t>
            </w:r>
          </w:p>
        </w:tc>
      </w:tr>
      <w:tr>
        <w:tc>
          <w:tcPr>
            <w:tcW w:w="4320" w:type="dxa"/>
          </w:tcPr>
          <w:p>
            <w:pPr>
              <w:pStyle w:val="yTableNAm"/>
              <w:tabs>
                <w:tab w:val="left" w:leader="dot" w:pos="567"/>
                <w:tab w:val="right" w:leader="dot" w:pos="4112"/>
              </w:tabs>
            </w:pPr>
            <w:r>
              <w:t xml:space="preserve">Bait Fish </w:t>
            </w:r>
            <w:r>
              <w:tab/>
            </w:r>
          </w:p>
        </w:tc>
        <w:tc>
          <w:tcPr>
            <w:tcW w:w="1384" w:type="dxa"/>
          </w:tcPr>
          <w:p>
            <w:pPr>
              <w:pStyle w:val="yTableNAm"/>
            </w:pPr>
            <w:r>
              <w:t>4.50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Barracuda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Barramundi </w:t>
            </w:r>
            <w:r>
              <w:tab/>
            </w:r>
          </w:p>
        </w:tc>
        <w:tc>
          <w:tcPr>
            <w:tcW w:w="1384" w:type="dxa"/>
          </w:tcPr>
          <w:p>
            <w:pPr>
              <w:pStyle w:val="yTableNAm"/>
            </w:pPr>
            <w:r>
              <w:t>10.00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Boarfish </w:t>
            </w:r>
            <w:r>
              <w:tab/>
            </w:r>
          </w:p>
        </w:tc>
        <w:tc>
          <w:tcPr>
            <w:tcW w:w="1384" w:type="dxa"/>
          </w:tcPr>
          <w:p>
            <w:pPr>
              <w:pStyle w:val="yTableNAm"/>
            </w:pPr>
            <w:r>
              <w:t>5.00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Bonito </w:t>
            </w:r>
            <w:r>
              <w:tab/>
            </w:r>
          </w:p>
        </w:tc>
        <w:tc>
          <w:tcPr>
            <w:tcW w:w="1384" w:type="dxa"/>
          </w:tcPr>
          <w:p>
            <w:pPr>
              <w:pStyle w:val="yTableNAm"/>
            </w:pPr>
            <w:r>
              <w:t>6.50</w:t>
            </w:r>
          </w:p>
        </w:tc>
        <w:tc>
          <w:tcPr>
            <w:tcW w:w="1384" w:type="dxa"/>
          </w:tcPr>
          <w:p>
            <w:pPr>
              <w:pStyle w:val="yTableNAm"/>
            </w:pPr>
            <w:r>
              <w:t>22.00</w:t>
            </w:r>
          </w:p>
        </w:tc>
      </w:tr>
      <w:tr>
        <w:tc>
          <w:tcPr>
            <w:tcW w:w="4320" w:type="dxa"/>
          </w:tcPr>
          <w:p>
            <w:pPr>
              <w:pStyle w:val="yTableNAm"/>
              <w:tabs>
                <w:tab w:val="left" w:leader="dot" w:pos="567"/>
                <w:tab w:val="right" w:leader="dot" w:pos="4112"/>
              </w:tabs>
            </w:pPr>
            <w:r>
              <w:t xml:space="preserve">Bream, Black </w:t>
            </w:r>
            <w:r>
              <w:tab/>
            </w:r>
          </w:p>
        </w:tc>
        <w:tc>
          <w:tcPr>
            <w:tcW w:w="1384" w:type="dxa"/>
          </w:tcPr>
          <w:p>
            <w:pPr>
              <w:pStyle w:val="yTableNAm"/>
            </w:pPr>
            <w:r>
              <w:t>8.00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Bream, Northwest Black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Bream, Western Yellowfin </w:t>
            </w:r>
            <w:r>
              <w:tab/>
            </w:r>
          </w:p>
        </w:tc>
        <w:tc>
          <w:tcPr>
            <w:tcW w:w="1384" w:type="dxa"/>
          </w:tcPr>
          <w:p>
            <w:pPr>
              <w:pStyle w:val="yTableNAm"/>
            </w:pPr>
            <w:r>
              <w:t>5.00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Catfish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Clam, Venus </w:t>
            </w:r>
            <w:r>
              <w:tab/>
            </w:r>
          </w:p>
        </w:tc>
        <w:tc>
          <w:tcPr>
            <w:tcW w:w="1384" w:type="dxa"/>
          </w:tcPr>
          <w:p>
            <w:pPr>
              <w:pStyle w:val="yTableNAm"/>
            </w:pPr>
            <w:r>
              <w:t>8.00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Cobbler, Estuary </w:t>
            </w:r>
            <w:r>
              <w:tab/>
            </w:r>
          </w:p>
        </w:tc>
        <w:tc>
          <w:tcPr>
            <w:tcW w:w="1384" w:type="dxa"/>
          </w:tcPr>
          <w:p>
            <w:pPr>
              <w:pStyle w:val="yTableNAm"/>
            </w:pPr>
            <w:r>
              <w:t>5.00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Cobia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Cockle Shell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Cod, Breaksea </w:t>
            </w:r>
            <w:r>
              <w:tab/>
            </w:r>
          </w:p>
        </w:tc>
        <w:tc>
          <w:tcPr>
            <w:tcW w:w="1384" w:type="dxa"/>
          </w:tcPr>
          <w:p>
            <w:pPr>
              <w:pStyle w:val="yTableNAm"/>
            </w:pPr>
            <w:r>
              <w:t>10.50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Cod, Rankin </w:t>
            </w:r>
            <w:r>
              <w:tab/>
            </w:r>
          </w:p>
        </w:tc>
        <w:tc>
          <w:tcPr>
            <w:tcW w:w="1384" w:type="dxa"/>
          </w:tcPr>
          <w:p>
            <w:pPr>
              <w:pStyle w:val="yTableNAm"/>
            </w:pPr>
            <w:r>
              <w:t>8.00</w:t>
            </w:r>
          </w:p>
        </w:tc>
        <w:tc>
          <w:tcPr>
            <w:tcW w:w="1384" w:type="dxa"/>
          </w:tcPr>
          <w:p>
            <w:pPr>
              <w:pStyle w:val="yTableNAm"/>
            </w:pPr>
            <w:r>
              <w:t>32.00</w:t>
            </w:r>
          </w:p>
        </w:tc>
      </w:tr>
      <w:tr>
        <w:tc>
          <w:tcPr>
            <w:tcW w:w="4320" w:type="dxa"/>
          </w:tcPr>
          <w:p>
            <w:pPr>
              <w:pStyle w:val="yTableNAm"/>
              <w:tabs>
                <w:tab w:val="clear" w:pos="567"/>
                <w:tab w:val="right" w:leader="dot" w:pos="4112"/>
              </w:tabs>
            </w:pPr>
            <w:r>
              <w:t xml:space="preserve">Coral </w:t>
            </w:r>
            <w:r>
              <w:tab/>
            </w:r>
          </w:p>
        </w:tc>
        <w:tc>
          <w:tcPr>
            <w:tcW w:w="1384" w:type="dxa"/>
          </w:tcPr>
          <w:p>
            <w:pPr>
              <w:pStyle w:val="yTableNAm"/>
            </w:pPr>
            <w:r>
              <w:t>80.00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Coral Trout </w:t>
            </w:r>
            <w:r>
              <w:tab/>
            </w:r>
          </w:p>
        </w:tc>
        <w:tc>
          <w:tcPr>
            <w:tcW w:w="1384" w:type="dxa"/>
          </w:tcPr>
          <w:p>
            <w:pPr>
              <w:pStyle w:val="yTableNAm"/>
            </w:pPr>
            <w:r>
              <w:t>16.00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Crab, Blue Swimmer (Blue Manna) </w:t>
            </w:r>
            <w:r>
              <w:tab/>
            </w:r>
          </w:p>
        </w:tc>
        <w:tc>
          <w:tcPr>
            <w:tcW w:w="1384" w:type="dxa"/>
          </w:tcPr>
          <w:p>
            <w:pPr>
              <w:pStyle w:val="yTableNAm"/>
            </w:pPr>
            <w:r>
              <w:t>9.00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Crab, Brown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Crab, Champagne </w:t>
            </w:r>
            <w:r>
              <w:tab/>
            </w:r>
          </w:p>
        </w:tc>
        <w:tc>
          <w:tcPr>
            <w:tcW w:w="1384" w:type="dxa"/>
          </w:tcPr>
          <w:p>
            <w:pPr>
              <w:pStyle w:val="yTableNAm"/>
            </w:pPr>
            <w:r>
              <w:t>15.00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Crab, Crystal </w:t>
            </w:r>
            <w:r>
              <w:tab/>
            </w:r>
          </w:p>
        </w:tc>
        <w:tc>
          <w:tcPr>
            <w:tcW w:w="1384" w:type="dxa"/>
          </w:tcPr>
          <w:p>
            <w:pPr>
              <w:pStyle w:val="yTableNAm"/>
            </w:pPr>
            <w:r>
              <w:t>17.00</w:t>
            </w:r>
          </w:p>
        </w:tc>
        <w:tc>
          <w:tcPr>
            <w:tcW w:w="1384" w:type="dxa"/>
          </w:tcPr>
          <w:p>
            <w:pPr>
              <w:pStyle w:val="yTableNAm"/>
            </w:pPr>
            <w:r>
              <w:t>42.50</w:t>
            </w:r>
          </w:p>
        </w:tc>
      </w:tr>
      <w:tr>
        <w:tc>
          <w:tcPr>
            <w:tcW w:w="4320" w:type="dxa"/>
          </w:tcPr>
          <w:p>
            <w:pPr>
              <w:pStyle w:val="yTableNAm"/>
              <w:tabs>
                <w:tab w:val="left" w:leader="dot" w:pos="567"/>
                <w:tab w:val="right" w:leader="dot" w:pos="4112"/>
              </w:tabs>
            </w:pPr>
            <w:r>
              <w:t xml:space="preserve">Crab, Giant </w:t>
            </w:r>
            <w:r>
              <w:tab/>
            </w:r>
          </w:p>
        </w:tc>
        <w:tc>
          <w:tcPr>
            <w:tcW w:w="1384" w:type="dxa"/>
          </w:tcPr>
          <w:p>
            <w:pPr>
              <w:pStyle w:val="yTableNAm"/>
            </w:pPr>
            <w:r>
              <w:t>39.00</w:t>
            </w:r>
          </w:p>
        </w:tc>
        <w:tc>
          <w:tcPr>
            <w:tcW w:w="1384" w:type="dxa"/>
          </w:tcPr>
          <w:p>
            <w:pPr>
              <w:pStyle w:val="yTableNAm"/>
            </w:pPr>
            <w:r>
              <w:t>128.00</w:t>
            </w:r>
          </w:p>
        </w:tc>
      </w:tr>
      <w:tr>
        <w:tc>
          <w:tcPr>
            <w:tcW w:w="4320" w:type="dxa"/>
          </w:tcPr>
          <w:p>
            <w:pPr>
              <w:pStyle w:val="yTableNAm"/>
              <w:tabs>
                <w:tab w:val="left" w:leader="dot" w:pos="567"/>
                <w:tab w:val="right" w:leader="dot" w:pos="4112"/>
              </w:tabs>
            </w:pPr>
            <w:r>
              <w:t xml:space="preserve">Crab, Green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Cuttlefish </w:t>
            </w:r>
            <w:r>
              <w:tab/>
            </w:r>
          </w:p>
        </w:tc>
        <w:tc>
          <w:tcPr>
            <w:tcW w:w="1384" w:type="dxa"/>
          </w:tcPr>
          <w:p>
            <w:pPr>
              <w:pStyle w:val="yTableNAm"/>
            </w:pPr>
            <w:r>
              <w:t>4.00</w:t>
            </w:r>
          </w:p>
        </w:tc>
        <w:tc>
          <w:tcPr>
            <w:tcW w:w="1384" w:type="dxa"/>
          </w:tcPr>
          <w:p>
            <w:pPr>
              <w:pStyle w:val="yTableNAm"/>
            </w:pPr>
            <w:r>
              <w:t>2.50</w:t>
            </w:r>
          </w:p>
        </w:tc>
      </w:tr>
      <w:tr>
        <w:tc>
          <w:tcPr>
            <w:tcW w:w="4320" w:type="dxa"/>
          </w:tcPr>
          <w:p>
            <w:pPr>
              <w:pStyle w:val="yTableNAm"/>
              <w:tabs>
                <w:tab w:val="clear" w:pos="567"/>
                <w:tab w:val="right" w:leader="dot" w:pos="4112"/>
              </w:tabs>
            </w:pPr>
            <w:r>
              <w:t>Dart</w:t>
            </w:r>
            <w:r>
              <w:tab/>
            </w:r>
          </w:p>
        </w:tc>
        <w:tc>
          <w:tcPr>
            <w:tcW w:w="1384" w:type="dxa"/>
          </w:tcPr>
          <w:p>
            <w:pPr>
              <w:pStyle w:val="yTableNAm"/>
            </w:pPr>
            <w:r>
              <w:t>2.50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Dhufish, West Australian </w:t>
            </w:r>
            <w:r>
              <w:tab/>
            </w:r>
          </w:p>
        </w:tc>
        <w:tc>
          <w:tcPr>
            <w:tcW w:w="1384" w:type="dxa"/>
          </w:tcPr>
          <w:p>
            <w:pPr>
              <w:pStyle w:val="yTableNAm"/>
            </w:pPr>
            <w:r>
              <w:t>17.50</w:t>
            </w:r>
          </w:p>
        </w:tc>
        <w:tc>
          <w:tcPr>
            <w:tcW w:w="1384" w:type="dxa"/>
          </w:tcPr>
          <w:p>
            <w:pPr>
              <w:pStyle w:val="yTableNAm"/>
            </w:pPr>
            <w:r>
              <w:t>70.00</w:t>
            </w:r>
          </w:p>
        </w:tc>
      </w:tr>
      <w:tr>
        <w:tc>
          <w:tcPr>
            <w:tcW w:w="4320" w:type="dxa"/>
          </w:tcPr>
          <w:p>
            <w:pPr>
              <w:pStyle w:val="yTableNAm"/>
              <w:tabs>
                <w:tab w:val="left" w:leader="dot" w:pos="567"/>
                <w:tab w:val="right" w:leader="dot" w:pos="4112"/>
              </w:tabs>
            </w:pPr>
            <w:r>
              <w:t xml:space="preserve">Dolphinfish (Mahi Mahi) </w:t>
            </w:r>
            <w:r>
              <w:tab/>
            </w:r>
          </w:p>
        </w:tc>
        <w:tc>
          <w:tcPr>
            <w:tcW w:w="1384" w:type="dxa"/>
          </w:tcPr>
          <w:p>
            <w:pPr>
              <w:pStyle w:val="yTableNAm"/>
            </w:pPr>
            <w:r>
              <w:t>5.50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Dory, John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pPr>
              <w:pStyle w:val="yTableNAm"/>
            </w:pPr>
            <w:r>
              <w:br/>
            </w:r>
            <w:r>
              <w:br/>
              <w:t>6.00</w:t>
            </w:r>
          </w:p>
        </w:tc>
        <w:tc>
          <w:tcPr>
            <w:tcW w:w="1384" w:type="dxa"/>
          </w:tcPr>
          <w:p>
            <w:pPr>
              <w:pStyle w:val="yTableNAm"/>
            </w:pPr>
            <w:r>
              <w:br/>
            </w:r>
            <w:r>
              <w:br/>
              <w:t>12.00</w:t>
            </w:r>
          </w:p>
        </w:tc>
      </w:tr>
      <w:tr>
        <w:tc>
          <w:tcPr>
            <w:tcW w:w="4320" w:type="dxa"/>
          </w:tcPr>
          <w:p>
            <w:pPr>
              <w:pStyle w:val="yTableNAm"/>
              <w:tabs>
                <w:tab w:val="left" w:leader="dot" w:pos="567"/>
                <w:tab w:val="right" w:leader="dot" w:pos="4112"/>
              </w:tabs>
            </w:pPr>
            <w:r>
              <w:t xml:space="preserve">Emperor, Bluespotted </w:t>
            </w:r>
            <w:r>
              <w:tab/>
            </w:r>
          </w:p>
        </w:tc>
        <w:tc>
          <w:tcPr>
            <w:tcW w:w="1384" w:type="dxa"/>
          </w:tcPr>
          <w:p>
            <w:pPr>
              <w:pStyle w:val="yTableNAm"/>
            </w:pPr>
            <w:r>
              <w:t>4.50</w:t>
            </w:r>
          </w:p>
        </w:tc>
        <w:tc>
          <w:tcPr>
            <w:tcW w:w="1384" w:type="dxa"/>
          </w:tcPr>
          <w:p>
            <w:pPr>
              <w:pStyle w:val="yTableNAm"/>
            </w:pPr>
            <w:r>
              <w:t>10.80</w:t>
            </w:r>
          </w:p>
        </w:tc>
      </w:tr>
      <w:tr>
        <w:tc>
          <w:tcPr>
            <w:tcW w:w="4320" w:type="dxa"/>
          </w:tcPr>
          <w:p>
            <w:pPr>
              <w:pStyle w:val="yTableNAm"/>
              <w:tabs>
                <w:tab w:val="left" w:leader="dot" w:pos="567"/>
                <w:tab w:val="right" w:leader="dot" w:pos="4112"/>
              </w:tabs>
            </w:pPr>
            <w:r>
              <w:t xml:space="preserve">Emperor, Grass </w:t>
            </w:r>
            <w:r>
              <w:tab/>
            </w:r>
          </w:p>
        </w:tc>
        <w:tc>
          <w:tcPr>
            <w:tcW w:w="1384" w:type="dxa"/>
          </w:tcPr>
          <w:p>
            <w:pPr>
              <w:pStyle w:val="yTableNAm"/>
            </w:pPr>
            <w:r>
              <w:t>7.00</w:t>
            </w:r>
          </w:p>
        </w:tc>
        <w:tc>
          <w:tcPr>
            <w:tcW w:w="1384" w:type="dxa"/>
          </w:tcPr>
          <w:p>
            <w:pPr>
              <w:pStyle w:val="yTableNAm"/>
            </w:pPr>
            <w:r>
              <w:t>17.50</w:t>
            </w:r>
          </w:p>
        </w:tc>
      </w:tr>
      <w:tr>
        <w:tc>
          <w:tcPr>
            <w:tcW w:w="4320" w:type="dxa"/>
          </w:tcPr>
          <w:p>
            <w:pPr>
              <w:pStyle w:val="yTableNAm"/>
              <w:tabs>
                <w:tab w:val="left" w:leader="dot" w:pos="567"/>
                <w:tab w:val="right" w:leader="dot" w:pos="4112"/>
              </w:tabs>
            </w:pPr>
            <w:r>
              <w:t xml:space="preserve">Emperor, Red </w:t>
            </w:r>
            <w:r>
              <w:tab/>
            </w:r>
          </w:p>
        </w:tc>
        <w:tc>
          <w:tcPr>
            <w:tcW w:w="1384" w:type="dxa"/>
          </w:tcPr>
          <w:p>
            <w:pPr>
              <w:pStyle w:val="yTableNAm"/>
            </w:pPr>
            <w:r>
              <w:t>12.00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Emperor, Spangled </w:t>
            </w:r>
            <w:r>
              <w:tab/>
            </w:r>
          </w:p>
        </w:tc>
        <w:tc>
          <w:tcPr>
            <w:tcW w:w="1384" w:type="dxa"/>
          </w:tcPr>
          <w:p>
            <w:pPr>
              <w:pStyle w:val="yTableNAm"/>
            </w:pPr>
            <w:r>
              <w:t>6.00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Flathead </w:t>
            </w:r>
            <w:r>
              <w:tab/>
            </w:r>
          </w:p>
        </w:tc>
        <w:tc>
          <w:tcPr>
            <w:tcW w:w="1384" w:type="dxa"/>
          </w:tcPr>
          <w:p>
            <w:pPr>
              <w:pStyle w:val="yTableNAm"/>
            </w:pPr>
            <w:r>
              <w:t>8.00</w:t>
            </w:r>
          </w:p>
        </w:tc>
        <w:tc>
          <w:tcPr>
            <w:tcW w:w="1384" w:type="dxa"/>
          </w:tcPr>
          <w:p>
            <w:pPr>
              <w:pStyle w:val="yTableNAm"/>
            </w:pPr>
            <w:r>
              <w:t>7.00</w:t>
            </w:r>
          </w:p>
        </w:tc>
      </w:tr>
      <w:tr>
        <w:tc>
          <w:tcPr>
            <w:tcW w:w="4320" w:type="dxa"/>
          </w:tcPr>
          <w:p>
            <w:pPr>
              <w:pStyle w:val="yTableNAm"/>
              <w:tabs>
                <w:tab w:val="left" w:leader="dot" w:pos="567"/>
                <w:tab w:val="right" w:leader="dot" w:pos="4112"/>
              </w:tabs>
            </w:pPr>
            <w:r>
              <w:t xml:space="preserve">Flounder </w:t>
            </w:r>
            <w:r>
              <w:tab/>
            </w:r>
          </w:p>
        </w:tc>
        <w:tc>
          <w:tcPr>
            <w:tcW w:w="1384" w:type="dxa"/>
          </w:tcPr>
          <w:p>
            <w:pPr>
              <w:pStyle w:val="yTableNAm"/>
            </w:pPr>
            <w:r>
              <w:t>12.50</w:t>
            </w:r>
          </w:p>
        </w:tc>
        <w:tc>
          <w:tcPr>
            <w:tcW w:w="1384" w:type="dxa"/>
          </w:tcPr>
          <w:p>
            <w:pPr>
              <w:pStyle w:val="yTableNAm"/>
            </w:pPr>
            <w:r>
              <w:t>6.00</w:t>
            </w:r>
          </w:p>
        </w:tc>
      </w:tr>
      <w:tr>
        <w:tc>
          <w:tcPr>
            <w:tcW w:w="4320" w:type="dxa"/>
          </w:tcPr>
          <w:p>
            <w:pPr>
              <w:pStyle w:val="yTableNAm"/>
              <w:tabs>
                <w:tab w:val="left" w:leader="dot" w:pos="567"/>
                <w:tab w:val="right" w:leader="dot" w:pos="4112"/>
              </w:tabs>
            </w:pPr>
            <w:r>
              <w:rPr>
                <w:szCs w:val="18"/>
              </w:rPr>
              <w:t>Foxfish</w:t>
            </w:r>
            <w:r>
              <w:tab/>
            </w:r>
          </w:p>
        </w:tc>
        <w:tc>
          <w:tcPr>
            <w:tcW w:w="1384" w:type="dxa"/>
          </w:tcPr>
          <w:p>
            <w:pPr>
              <w:pStyle w:val="yTableNAm"/>
            </w:pPr>
            <w:r>
              <w:t>7.00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Garfish </w:t>
            </w:r>
            <w:r>
              <w:tab/>
            </w:r>
          </w:p>
        </w:tc>
        <w:tc>
          <w:tcPr>
            <w:tcW w:w="1384" w:type="dxa"/>
          </w:tcPr>
          <w:p>
            <w:pPr>
              <w:pStyle w:val="yTableNAm"/>
            </w:pPr>
            <w:r>
              <w:t>6.00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Groper, Baldchin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Groper, Bass </w:t>
            </w:r>
            <w:r>
              <w:tab/>
            </w:r>
          </w:p>
        </w:tc>
        <w:tc>
          <w:tcPr>
            <w:tcW w:w="1384" w:type="dxa"/>
          </w:tcPr>
          <w:p>
            <w:pPr>
              <w:pStyle w:val="yTableNAm"/>
            </w:pPr>
            <w:r>
              <w:t>9.50</w:t>
            </w:r>
          </w:p>
        </w:tc>
        <w:tc>
          <w:tcPr>
            <w:tcW w:w="1384" w:type="dxa"/>
          </w:tcPr>
          <w:p>
            <w:pPr>
              <w:pStyle w:val="yTableNAm"/>
            </w:pPr>
            <w:r>
              <w:t>57.00</w:t>
            </w:r>
          </w:p>
        </w:tc>
      </w:tr>
      <w:tr>
        <w:tc>
          <w:tcPr>
            <w:tcW w:w="4320" w:type="dxa"/>
          </w:tcPr>
          <w:p>
            <w:pPr>
              <w:pStyle w:val="yTableNAm"/>
              <w:tabs>
                <w:tab w:val="left" w:leader="dot" w:pos="567"/>
                <w:tab w:val="right" w:leader="dot" w:pos="4112"/>
              </w:tabs>
            </w:pPr>
            <w:r>
              <w:t xml:space="preserve">Groper, Queensland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Groper, Western Blue </w:t>
            </w:r>
            <w:r>
              <w:tab/>
            </w:r>
          </w:p>
        </w:tc>
        <w:tc>
          <w:tcPr>
            <w:tcW w:w="1384" w:type="dxa"/>
          </w:tcPr>
          <w:p>
            <w:pPr>
              <w:pStyle w:val="yTableNAm"/>
            </w:pPr>
            <w:r>
              <w:t>6.00</w:t>
            </w:r>
          </w:p>
        </w:tc>
        <w:tc>
          <w:tcPr>
            <w:tcW w:w="1384" w:type="dxa"/>
          </w:tcPr>
          <w:p>
            <w:pPr>
              <w:pStyle w:val="yTableNAm"/>
            </w:pPr>
            <w:r>
              <w:t>48.00</w:t>
            </w:r>
          </w:p>
        </w:tc>
      </w:tr>
      <w:tr>
        <w:tc>
          <w:tcPr>
            <w:tcW w:w="4320" w:type="dxa"/>
          </w:tcPr>
          <w:p>
            <w:pPr>
              <w:pStyle w:val="yTableNAm"/>
              <w:tabs>
                <w:tab w:val="left" w:leader="dot" w:pos="567"/>
                <w:tab w:val="right" w:leader="dot" w:pos="4112"/>
              </w:tabs>
            </w:pPr>
            <w:r>
              <w:t xml:space="preserve">Grouper, Eightbar </w:t>
            </w:r>
            <w:r>
              <w:tab/>
            </w:r>
          </w:p>
        </w:tc>
        <w:tc>
          <w:tcPr>
            <w:tcW w:w="1384" w:type="dxa"/>
          </w:tcPr>
          <w:p>
            <w:pPr>
              <w:pStyle w:val="yTableNAm"/>
            </w:pPr>
            <w:r>
              <w:t>8.00</w:t>
            </w:r>
          </w:p>
        </w:tc>
        <w:tc>
          <w:tcPr>
            <w:tcW w:w="1384" w:type="dxa"/>
          </w:tcPr>
          <w:p>
            <w:pPr>
              <w:pStyle w:val="yTableNAm"/>
            </w:pPr>
            <w:r>
              <w:t>48.00</w:t>
            </w:r>
          </w:p>
        </w:tc>
      </w:tr>
      <w:tr>
        <w:tc>
          <w:tcPr>
            <w:tcW w:w="4320" w:type="dxa"/>
          </w:tcPr>
          <w:p>
            <w:pPr>
              <w:pStyle w:val="yTableNAm"/>
              <w:tabs>
                <w:tab w:val="left" w:leader="dot" w:pos="567"/>
                <w:tab w:val="right" w:leader="dot" w:pos="4112"/>
              </w:tabs>
            </w:pPr>
            <w:r>
              <w:t>Grunter, Sooty</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Hapuku </w:t>
            </w:r>
            <w:r>
              <w:tab/>
            </w:r>
          </w:p>
        </w:tc>
        <w:tc>
          <w:tcPr>
            <w:tcW w:w="1384" w:type="dxa"/>
          </w:tcPr>
          <w:p>
            <w:pPr>
              <w:pStyle w:val="yTableNAm"/>
            </w:pPr>
            <w:r>
              <w:t>8.00</w:t>
            </w:r>
          </w:p>
        </w:tc>
        <w:tc>
          <w:tcPr>
            <w:tcW w:w="1384" w:type="dxa"/>
          </w:tcPr>
          <w:p>
            <w:pPr>
              <w:pStyle w:val="yTableNAm"/>
            </w:pPr>
            <w:r>
              <w:t>64.00</w:t>
            </w:r>
          </w:p>
        </w:tc>
      </w:tr>
      <w:tr>
        <w:tc>
          <w:tcPr>
            <w:tcW w:w="4320" w:type="dxa"/>
          </w:tcPr>
          <w:p>
            <w:pPr>
              <w:pStyle w:val="yTableNAm"/>
              <w:tabs>
                <w:tab w:val="left" w:leader="dot" w:pos="567"/>
                <w:tab w:val="right" w:leader="dot" w:pos="4112"/>
              </w:tabs>
            </w:pPr>
            <w:r>
              <w:t xml:space="preserve">Hardyhead </w:t>
            </w:r>
            <w:r>
              <w:tab/>
            </w:r>
          </w:p>
        </w:tc>
        <w:tc>
          <w:tcPr>
            <w:tcW w:w="1384" w:type="dxa"/>
          </w:tcPr>
          <w:p>
            <w:pPr>
              <w:pStyle w:val="yTableNAm"/>
            </w:pPr>
            <w:r>
              <w:t>3.00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Harlequin Fish </w:t>
            </w:r>
            <w:r>
              <w:tab/>
            </w:r>
          </w:p>
        </w:tc>
        <w:tc>
          <w:tcPr>
            <w:tcW w:w="1384" w:type="dxa"/>
          </w:tcPr>
          <w:p>
            <w:pPr>
              <w:pStyle w:val="yTableNAm"/>
            </w:pPr>
            <w:r>
              <w:t>2.00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Herring, Australian (Herring)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Javelinfish </w:t>
            </w:r>
            <w:r>
              <w:tab/>
            </w:r>
          </w:p>
        </w:tc>
        <w:tc>
          <w:tcPr>
            <w:tcW w:w="1384" w:type="dxa"/>
          </w:tcPr>
          <w:p>
            <w:pPr>
              <w:pStyle w:val="yTableNAm"/>
            </w:pPr>
            <w:r>
              <w:t>4.00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Jewfish, Black </w:t>
            </w:r>
            <w:r>
              <w:tab/>
            </w:r>
          </w:p>
        </w:tc>
        <w:tc>
          <w:tcPr>
            <w:tcW w:w="1384" w:type="dxa"/>
          </w:tcPr>
          <w:p>
            <w:pPr>
              <w:pStyle w:val="yTableNAm"/>
            </w:pPr>
            <w:r>
              <w:t>6.50</w:t>
            </w:r>
          </w:p>
        </w:tc>
        <w:tc>
          <w:tcPr>
            <w:tcW w:w="1384" w:type="dxa"/>
          </w:tcPr>
          <w:p>
            <w:pPr>
              <w:pStyle w:val="yTableNAm"/>
            </w:pPr>
            <w:r>
              <w:t>26.00</w:t>
            </w:r>
          </w:p>
        </w:tc>
      </w:tr>
      <w:tr>
        <w:tc>
          <w:tcPr>
            <w:tcW w:w="4320" w:type="dxa"/>
          </w:tcPr>
          <w:p>
            <w:pPr>
              <w:pStyle w:val="yTableNAm"/>
              <w:tabs>
                <w:tab w:val="left" w:leader="dot" w:pos="567"/>
                <w:tab w:val="right" w:leader="dot" w:pos="4112"/>
              </w:tabs>
            </w:pPr>
            <w:r>
              <w:t xml:space="preserve">Leatherjacket </w:t>
            </w:r>
            <w:r>
              <w:tab/>
            </w:r>
          </w:p>
        </w:tc>
        <w:tc>
          <w:tcPr>
            <w:tcW w:w="1384" w:type="dxa"/>
          </w:tcPr>
          <w:p>
            <w:pPr>
              <w:pStyle w:val="yTableNAm"/>
            </w:pPr>
            <w:r>
              <w:t>3.00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Live Rock </w:t>
            </w:r>
            <w:r>
              <w:tab/>
            </w:r>
          </w:p>
        </w:tc>
        <w:tc>
          <w:tcPr>
            <w:tcW w:w="1384" w:type="dxa"/>
          </w:tcPr>
          <w:p>
            <w:pPr>
              <w:pStyle w:val="yTableNAm"/>
            </w:pPr>
            <w:r>
              <w:t>8.00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Longtom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Mackerel, Blue </w:t>
            </w:r>
            <w:r>
              <w:tab/>
            </w:r>
          </w:p>
        </w:tc>
        <w:tc>
          <w:tcPr>
            <w:tcW w:w="1384" w:type="dxa"/>
          </w:tcPr>
          <w:p>
            <w:pPr>
              <w:pStyle w:val="yTableNAm"/>
            </w:pPr>
            <w:r>
              <w:t>4.00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Mackerel, Grey </w:t>
            </w:r>
            <w:r>
              <w:tab/>
            </w:r>
          </w:p>
        </w:tc>
        <w:tc>
          <w:tcPr>
            <w:tcW w:w="1384" w:type="dxa"/>
          </w:tcPr>
          <w:p>
            <w:pPr>
              <w:pStyle w:val="yTableNAm"/>
            </w:pPr>
            <w:r>
              <w:t>7.00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Mackerel, Shark </w:t>
            </w:r>
            <w:r>
              <w:tab/>
            </w:r>
          </w:p>
        </w:tc>
        <w:tc>
          <w:tcPr>
            <w:tcW w:w="1384" w:type="dxa"/>
          </w:tcPr>
          <w:p>
            <w:pPr>
              <w:pStyle w:val="yTableNAm"/>
            </w:pPr>
            <w:r>
              <w:t>3.00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Mackerel, Spanish </w:t>
            </w:r>
            <w:r>
              <w:tab/>
            </w:r>
          </w:p>
        </w:tc>
        <w:tc>
          <w:tcPr>
            <w:tcW w:w="1384" w:type="dxa"/>
          </w:tcPr>
          <w:p>
            <w:pPr>
              <w:pStyle w:val="yTableNAm"/>
            </w:pPr>
            <w:r>
              <w:t>8.00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Mangrove Jack </w:t>
            </w:r>
            <w:r>
              <w:tab/>
            </w:r>
          </w:p>
        </w:tc>
        <w:tc>
          <w:tcPr>
            <w:tcW w:w="1384" w:type="dxa"/>
          </w:tcPr>
          <w:p>
            <w:pPr>
              <w:pStyle w:val="yTableNAm"/>
            </w:pPr>
            <w:r>
              <w:t>5.50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Marlin </w:t>
            </w:r>
            <w:r>
              <w:tab/>
            </w:r>
          </w:p>
        </w:tc>
        <w:tc>
          <w:tcPr>
            <w:tcW w:w="1384" w:type="dxa"/>
          </w:tcPr>
          <w:p>
            <w:pPr>
              <w:pStyle w:val="yTableNAm"/>
            </w:pPr>
            <w:r>
              <w:t>2.00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Marron </w:t>
            </w:r>
            <w:r>
              <w:tab/>
            </w:r>
          </w:p>
        </w:tc>
        <w:tc>
          <w:tcPr>
            <w:tcW w:w="1384" w:type="dxa"/>
          </w:tcPr>
          <w:p>
            <w:pPr>
              <w:pStyle w:val="yTableNAm"/>
            </w:pPr>
            <w:r>
              <w:t>36.00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Mullet </w:t>
            </w:r>
            <w:r>
              <w:tab/>
            </w:r>
          </w:p>
        </w:tc>
        <w:tc>
          <w:tcPr>
            <w:tcW w:w="1384" w:type="dxa"/>
          </w:tcPr>
          <w:p>
            <w:pPr>
              <w:pStyle w:val="yTableNAm"/>
            </w:pPr>
            <w:r>
              <w:t>2.50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Mullet, Red (Goatfish) </w:t>
            </w:r>
            <w:r>
              <w:tab/>
            </w:r>
          </w:p>
        </w:tc>
        <w:tc>
          <w:tcPr>
            <w:tcW w:w="1384" w:type="dxa"/>
          </w:tcPr>
          <w:p>
            <w:pPr>
              <w:pStyle w:val="yTableNAm"/>
            </w:pPr>
            <w:r>
              <w:t>3.50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Mulloway </w:t>
            </w:r>
            <w:r>
              <w:tab/>
            </w:r>
          </w:p>
        </w:tc>
        <w:tc>
          <w:tcPr>
            <w:tcW w:w="1384" w:type="dxa"/>
          </w:tcPr>
          <w:p>
            <w:pPr>
              <w:pStyle w:val="yTableNAm"/>
            </w:pPr>
            <w:r>
              <w:t>4.50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Mussel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Octopus </w:t>
            </w:r>
            <w:r>
              <w:tab/>
            </w:r>
          </w:p>
        </w:tc>
        <w:tc>
          <w:tcPr>
            <w:tcW w:w="1384" w:type="dxa"/>
          </w:tcPr>
          <w:p>
            <w:pPr>
              <w:pStyle w:val="yTableNAm"/>
            </w:pPr>
            <w:r>
              <w:t>12.00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Oyster </w:t>
            </w:r>
            <w:r>
              <w:tab/>
            </w:r>
          </w:p>
        </w:tc>
        <w:tc>
          <w:tcPr>
            <w:tcW w:w="1384" w:type="dxa"/>
          </w:tcPr>
          <w:p>
            <w:pPr>
              <w:pStyle w:val="yTableNAm"/>
            </w:pPr>
            <w:r>
              <w:t>10.00</w:t>
            </w:r>
          </w:p>
        </w:tc>
        <w:tc>
          <w:tcPr>
            <w:tcW w:w="1384" w:type="dxa"/>
          </w:tcPr>
          <w:p>
            <w:pPr>
              <w:pStyle w:val="yTableNAm"/>
            </w:pPr>
            <w:r>
              <w:t>0.60</w:t>
            </w:r>
          </w:p>
        </w:tc>
      </w:tr>
      <w:tr>
        <w:tc>
          <w:tcPr>
            <w:tcW w:w="4320" w:type="dxa"/>
          </w:tcPr>
          <w:p>
            <w:pPr>
              <w:pStyle w:val="yTableNAm"/>
              <w:tabs>
                <w:tab w:val="left" w:leader="dot" w:pos="567"/>
                <w:tab w:val="right" w:leader="dot" w:pos="4112"/>
              </w:tabs>
            </w:pPr>
            <w:r>
              <w:t xml:space="preserve">Parrotfish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Pearl Perch </w:t>
            </w:r>
            <w:r>
              <w:tab/>
            </w:r>
          </w:p>
        </w:tc>
        <w:tc>
          <w:tcPr>
            <w:tcW w:w="1384" w:type="dxa"/>
          </w:tcPr>
          <w:p>
            <w:pPr>
              <w:pStyle w:val="yTableNAm"/>
            </w:pPr>
            <w:r>
              <w:t>7.50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Pigfish </w:t>
            </w:r>
            <w:r>
              <w:tab/>
            </w:r>
          </w:p>
        </w:tc>
        <w:tc>
          <w:tcPr>
            <w:tcW w:w="1384" w:type="dxa"/>
          </w:tcPr>
          <w:p>
            <w:pPr>
              <w:pStyle w:val="yTableNAm"/>
            </w:pPr>
            <w:r>
              <w:t>7.00</w:t>
            </w:r>
          </w:p>
        </w:tc>
        <w:tc>
          <w:tcPr>
            <w:tcW w:w="1384" w:type="dxa"/>
          </w:tcPr>
          <w:p>
            <w:pPr>
              <w:pStyle w:val="yTableNAm"/>
            </w:pPr>
            <w:r>
              <w:t>3.50</w:t>
            </w:r>
          </w:p>
        </w:tc>
      </w:tr>
      <w:tr>
        <w:tc>
          <w:tcPr>
            <w:tcW w:w="4320" w:type="dxa"/>
          </w:tcPr>
          <w:p>
            <w:pPr>
              <w:pStyle w:val="yTableNAm"/>
              <w:tabs>
                <w:tab w:val="clear" w:pos="567"/>
                <w:tab w:val="right" w:leader="dot" w:pos="4112"/>
              </w:tabs>
            </w:pPr>
            <w:r>
              <w:t xml:space="preserve">Pike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Pipi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Prawn, all species except Brown Tiger, Western King and Western School </w:t>
            </w:r>
            <w:r>
              <w:tab/>
            </w:r>
          </w:p>
        </w:tc>
        <w:tc>
          <w:tcPr>
            <w:tcW w:w="1384" w:type="dxa"/>
          </w:tcPr>
          <w:p>
            <w:pPr>
              <w:pStyle w:val="yTableNAm"/>
            </w:pPr>
            <w:r>
              <w:br/>
              <w:t>2.00</w:t>
            </w:r>
          </w:p>
        </w:tc>
        <w:tc>
          <w:tcPr>
            <w:tcW w:w="1384" w:type="dxa"/>
          </w:tcPr>
          <w:p>
            <w:pPr>
              <w:pStyle w:val="yTableNAm"/>
            </w:pPr>
            <w:r>
              <w:br/>
              <w:t>0.10</w:t>
            </w:r>
          </w:p>
        </w:tc>
      </w:tr>
      <w:tr>
        <w:tc>
          <w:tcPr>
            <w:tcW w:w="4320" w:type="dxa"/>
          </w:tcPr>
          <w:p>
            <w:pPr>
              <w:pStyle w:val="yTableNAm"/>
              <w:tabs>
                <w:tab w:val="left" w:leader="dot" w:pos="567"/>
                <w:tab w:val="right" w:leader="dot" w:pos="4112"/>
              </w:tabs>
            </w:pPr>
            <w:r>
              <w:t xml:space="preserve">Prawn, Brown Tiger </w:t>
            </w:r>
            <w:r>
              <w:tab/>
            </w:r>
          </w:p>
        </w:tc>
        <w:tc>
          <w:tcPr>
            <w:tcW w:w="1384" w:type="dxa"/>
          </w:tcPr>
          <w:p>
            <w:pPr>
              <w:pStyle w:val="yTableNAm"/>
            </w:pPr>
            <w:r>
              <w:t>13.00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Freshwater (Cherabin) </w:t>
            </w:r>
            <w:r>
              <w:tab/>
            </w:r>
          </w:p>
        </w:tc>
        <w:tc>
          <w:tcPr>
            <w:tcW w:w="1384" w:type="dxa"/>
          </w:tcPr>
          <w:p>
            <w:pPr>
              <w:pStyle w:val="yTableNAm"/>
            </w:pPr>
            <w:r>
              <w:t>7.00</w:t>
            </w:r>
          </w:p>
        </w:tc>
        <w:tc>
          <w:tcPr>
            <w:tcW w:w="1384" w:type="dxa"/>
          </w:tcPr>
          <w:p>
            <w:pPr>
              <w:pStyle w:val="yTableNAm"/>
            </w:pPr>
            <w:r>
              <w:t>0.30</w:t>
            </w:r>
          </w:p>
        </w:tc>
      </w:tr>
      <w:tr>
        <w:tc>
          <w:tcPr>
            <w:tcW w:w="4320" w:type="dxa"/>
          </w:tcPr>
          <w:p>
            <w:pPr>
              <w:pStyle w:val="yTableNAm"/>
              <w:tabs>
                <w:tab w:val="left" w:leader="dot" w:pos="567"/>
                <w:tab w:val="right" w:leader="dot" w:pos="4112"/>
              </w:tabs>
            </w:pPr>
            <w:r>
              <w:t xml:space="preserve">Prawn, Western King </w:t>
            </w:r>
            <w:r>
              <w:tab/>
            </w:r>
          </w:p>
        </w:tc>
        <w:tc>
          <w:tcPr>
            <w:tcW w:w="1384" w:type="dxa"/>
          </w:tcPr>
          <w:p>
            <w:pPr>
              <w:pStyle w:val="yTableNAm"/>
            </w:pPr>
            <w:r>
              <w:t>12.00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Western School </w:t>
            </w:r>
            <w:r>
              <w:tab/>
            </w:r>
          </w:p>
        </w:tc>
        <w:tc>
          <w:tcPr>
            <w:tcW w:w="1384" w:type="dxa"/>
          </w:tcPr>
          <w:p>
            <w:pPr>
              <w:pStyle w:val="yTableNAm"/>
            </w:pPr>
            <w:r>
              <w:t>4.00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Queenfish </w:t>
            </w:r>
            <w:r>
              <w:tab/>
            </w:r>
          </w:p>
        </w:tc>
        <w:tc>
          <w:tcPr>
            <w:tcW w:w="1384" w:type="dxa"/>
          </w:tcPr>
          <w:p>
            <w:pPr>
              <w:pStyle w:val="yTableNAm"/>
            </w:pPr>
            <w:r>
              <w:t>3.50</w:t>
            </w:r>
          </w:p>
        </w:tc>
        <w:tc>
          <w:tcPr>
            <w:tcW w:w="1384" w:type="dxa"/>
          </w:tcPr>
          <w:p>
            <w:pPr>
              <w:pStyle w:val="yTableNAm"/>
            </w:pPr>
            <w:r>
              <w:t>12.00</w:t>
            </w:r>
          </w:p>
        </w:tc>
      </w:tr>
      <w:tr>
        <w:tc>
          <w:tcPr>
            <w:tcW w:w="4320" w:type="dxa"/>
          </w:tcPr>
          <w:p>
            <w:pPr>
              <w:pStyle w:val="yTableNAm"/>
              <w:tabs>
                <w:tab w:val="left" w:leader="dot" w:pos="567"/>
                <w:tab w:val="right" w:leader="dot" w:pos="4112"/>
              </w:tabs>
            </w:pPr>
            <w:r>
              <w:t>Rays ...</w:t>
            </w:r>
            <w:r>
              <w:tab/>
            </w:r>
          </w:p>
        </w:tc>
        <w:tc>
          <w:tcPr>
            <w:tcW w:w="1384" w:type="dxa"/>
          </w:tcPr>
          <w:p>
            <w:pPr>
              <w:pStyle w:val="yTableNAm"/>
            </w:pPr>
            <w:r>
              <w:t>4.00</w:t>
            </w:r>
          </w:p>
        </w:tc>
        <w:tc>
          <w:tcPr>
            <w:tcW w:w="1384" w:type="dxa"/>
          </w:tcPr>
          <w:p>
            <w:pPr>
              <w:pStyle w:val="yTableNAm"/>
            </w:pPr>
            <w:r>
              <w:t>60.00</w:t>
            </w:r>
          </w:p>
        </w:tc>
      </w:tr>
      <w:tr>
        <w:tc>
          <w:tcPr>
            <w:tcW w:w="4320" w:type="dxa"/>
          </w:tcPr>
          <w:p>
            <w:pPr>
              <w:pStyle w:val="yTableNAm"/>
              <w:tabs>
                <w:tab w:val="left" w:leader="dot" w:pos="567"/>
                <w:tab w:val="right" w:leader="dot" w:pos="4112"/>
              </w:tabs>
            </w:pPr>
            <w:r>
              <w:t xml:space="preserve">Razor Shell </w:t>
            </w:r>
            <w:r>
              <w:tab/>
            </w:r>
          </w:p>
        </w:tc>
        <w:tc>
          <w:tcPr>
            <w:tcW w:w="1384" w:type="dxa"/>
          </w:tcPr>
          <w:p>
            <w:pPr>
              <w:pStyle w:val="yTableNAm"/>
            </w:pPr>
            <w:r>
              <w:t>5.00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Redfish, Bight (Red Snapper, Nannygai)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Redfish, Yelloweye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Rockcod, Blackspotted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Goldspotted (Estuary Cod)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Potato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Rock Lobster </w:t>
            </w:r>
            <w:r>
              <w:tab/>
            </w:r>
          </w:p>
        </w:tc>
        <w:tc>
          <w:tcPr>
            <w:tcW w:w="1384" w:type="dxa"/>
          </w:tcPr>
          <w:p>
            <w:pPr>
              <w:pStyle w:val="yTableNAm"/>
            </w:pPr>
            <w:r>
              <w:t>50.00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Rock Lobster (tail weight) </w:t>
            </w:r>
            <w:r>
              <w:tab/>
            </w:r>
          </w:p>
        </w:tc>
        <w:tc>
          <w:tcPr>
            <w:tcW w:w="1384" w:type="dxa"/>
          </w:tcPr>
          <w:p>
            <w:pPr>
              <w:pStyle w:val="yTableNAm"/>
            </w:pPr>
            <w:r>
              <w:t>60.00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Sailfish </w:t>
            </w:r>
            <w:r>
              <w:tab/>
            </w:r>
          </w:p>
        </w:tc>
        <w:tc>
          <w:tcPr>
            <w:tcW w:w="1384" w:type="dxa"/>
          </w:tcPr>
          <w:p>
            <w:pPr>
              <w:pStyle w:val="yTableNAm"/>
            </w:pPr>
            <w:r>
              <w:t>1.00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Salmon, Western Australian (Salmon) </w:t>
            </w:r>
            <w:r>
              <w:tab/>
            </w:r>
          </w:p>
        </w:tc>
        <w:tc>
          <w:tcPr>
            <w:tcW w:w="1384" w:type="dxa"/>
          </w:tcPr>
          <w:p>
            <w:pPr>
              <w:pStyle w:val="yTableNAm"/>
            </w:pPr>
            <w:r>
              <w:t>1.00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Samsonfish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Sardine, Australian (Pilchard) </w:t>
            </w:r>
            <w:r>
              <w:tab/>
            </w:r>
          </w:p>
        </w:tc>
        <w:tc>
          <w:tcPr>
            <w:tcW w:w="1384" w:type="dxa"/>
          </w:tcPr>
          <w:p>
            <w:pPr>
              <w:pStyle w:val="yTableNAm"/>
            </w:pPr>
            <w:r>
              <w:t>1.00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Sawfish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Scallop (shucked) </w:t>
            </w:r>
            <w:r>
              <w:tab/>
            </w:r>
          </w:p>
        </w:tc>
        <w:tc>
          <w:tcPr>
            <w:tcW w:w="1384" w:type="dxa"/>
          </w:tcPr>
          <w:p>
            <w:pPr>
              <w:pStyle w:val="yTableNAm"/>
            </w:pPr>
            <w:r>
              <w:t>18.00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Scallop (whole weight) </w:t>
            </w:r>
            <w:r>
              <w:tab/>
            </w:r>
          </w:p>
        </w:tc>
        <w:tc>
          <w:tcPr>
            <w:tcW w:w="1384" w:type="dxa"/>
          </w:tcPr>
          <w:p>
            <w:pPr>
              <w:pStyle w:val="yTableNAm"/>
            </w:pPr>
            <w:r>
              <w:t>6.00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Seabream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Sea Cucumber  </w:t>
            </w:r>
            <w:r>
              <w:tab/>
            </w:r>
          </w:p>
        </w:tc>
        <w:tc>
          <w:tcPr>
            <w:tcW w:w="1384" w:type="dxa"/>
          </w:tcPr>
          <w:p>
            <w:pPr>
              <w:pStyle w:val="yTableNAm"/>
            </w:pPr>
            <w:r>
              <w:t>9.50</w:t>
            </w:r>
          </w:p>
        </w:tc>
        <w:tc>
          <w:tcPr>
            <w:tcW w:w="1384" w:type="dxa"/>
          </w:tcPr>
          <w:p>
            <w:pPr>
              <w:pStyle w:val="yTableNAm"/>
            </w:pPr>
            <w:r>
              <w:t>4.00</w:t>
            </w:r>
          </w:p>
        </w:tc>
      </w:tr>
      <w:tr>
        <w:tc>
          <w:tcPr>
            <w:tcW w:w="4320" w:type="dxa"/>
          </w:tcPr>
          <w:p>
            <w:pPr>
              <w:pStyle w:val="yTableNAm"/>
              <w:tabs>
                <w:tab w:val="left" w:leader="dot" w:pos="567"/>
                <w:tab w:val="right" w:leader="dot" w:pos="4112"/>
              </w:tabs>
            </w:pPr>
            <w:r>
              <w:t>Seadragon, Common</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Seadragon, Leafy </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 Urchin </w:t>
            </w:r>
            <w:r>
              <w:tab/>
            </w:r>
          </w:p>
        </w:tc>
        <w:tc>
          <w:tcPr>
            <w:tcW w:w="1384" w:type="dxa"/>
          </w:tcPr>
          <w:p>
            <w:pPr>
              <w:pStyle w:val="yTableNAm"/>
            </w:pPr>
            <w:r>
              <w:t>20.00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Shark, all species except Speartooth, Whale and White </w:t>
            </w:r>
            <w:r>
              <w:tab/>
            </w:r>
          </w:p>
        </w:tc>
        <w:tc>
          <w:tcPr>
            <w:tcW w:w="1384" w:type="dxa"/>
          </w:tcPr>
          <w:p>
            <w:pPr>
              <w:pStyle w:val="yTableNAm"/>
            </w:pPr>
            <w:r>
              <w:br/>
              <w:t>6.00</w:t>
            </w:r>
          </w:p>
        </w:tc>
        <w:tc>
          <w:tcPr>
            <w:tcW w:w="1384" w:type="dxa"/>
          </w:tcPr>
          <w:p>
            <w:pPr>
              <w:pStyle w:val="yTableNAm"/>
            </w:pPr>
            <w:r>
              <w:br/>
              <w:t>90.00</w:t>
            </w:r>
          </w:p>
        </w:tc>
      </w:tr>
      <w:tr>
        <w:tc>
          <w:tcPr>
            <w:tcW w:w="4320" w:type="dxa"/>
          </w:tcPr>
          <w:p>
            <w:pPr>
              <w:pStyle w:val="yTableNAm"/>
              <w:tabs>
                <w:tab w:val="left" w:leader="dot" w:pos="567"/>
                <w:tab w:val="right" w:leader="dot" w:pos="4112"/>
              </w:tabs>
            </w:pPr>
            <w:r>
              <w:t xml:space="preserve">Shark, Speartooth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Whale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White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Snapper, Deep Water </w:t>
            </w:r>
            <w:r>
              <w:tab/>
            </w:r>
          </w:p>
        </w:tc>
        <w:tc>
          <w:tcPr>
            <w:tcW w:w="1384" w:type="dxa"/>
          </w:tcPr>
          <w:p>
            <w:pPr>
              <w:pStyle w:val="yTableNAm"/>
            </w:pPr>
            <w:r>
              <w:t>8.00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Snapper, Goldband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 xml:space="preserve">Snapper, Golden (Fingermark)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Snapper (Pink Snapper) </w:t>
            </w:r>
            <w:r>
              <w:tab/>
            </w:r>
          </w:p>
        </w:tc>
        <w:tc>
          <w:tcPr>
            <w:tcW w:w="1384" w:type="dxa"/>
          </w:tcPr>
          <w:p>
            <w:pPr>
              <w:pStyle w:val="yTableNAm"/>
            </w:pPr>
            <w:r>
              <w:t>8.50</w:t>
            </w:r>
          </w:p>
        </w:tc>
        <w:tc>
          <w:tcPr>
            <w:tcW w:w="1384" w:type="dxa"/>
          </w:tcPr>
          <w:p>
            <w:pPr>
              <w:pStyle w:val="yTableNAm"/>
            </w:pPr>
            <w:r>
              <w:t>25.50</w:t>
            </w:r>
          </w:p>
        </w:tc>
      </w:tr>
      <w:tr>
        <w:tc>
          <w:tcPr>
            <w:tcW w:w="4320" w:type="dxa"/>
          </w:tcPr>
          <w:p>
            <w:pPr>
              <w:pStyle w:val="yTableNAm"/>
              <w:tabs>
                <w:tab w:val="left" w:leader="dot" w:pos="567"/>
                <w:tab w:val="right" w:leader="dot" w:pos="4112"/>
              </w:tabs>
            </w:pPr>
            <w:r>
              <w:t xml:space="preserve">Snapper, Queen (Blue Morwong) </w:t>
            </w:r>
            <w:r>
              <w:tab/>
            </w:r>
          </w:p>
        </w:tc>
        <w:tc>
          <w:tcPr>
            <w:tcW w:w="1384" w:type="dxa"/>
          </w:tcPr>
          <w:p>
            <w:pPr>
              <w:pStyle w:val="yTableNAm"/>
            </w:pPr>
            <w:r>
              <w:t>4.00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Snapper, Tropical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Snook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Sole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Spearfish </w:t>
            </w:r>
            <w:r>
              <w:tab/>
            </w:r>
          </w:p>
        </w:tc>
        <w:tc>
          <w:tcPr>
            <w:tcW w:w="1384" w:type="dxa"/>
          </w:tcPr>
          <w:p>
            <w:pPr>
              <w:pStyle w:val="yTableNAm"/>
            </w:pPr>
            <w:r>
              <w:t>1.00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Squid </w:t>
            </w:r>
            <w:r>
              <w:tab/>
            </w:r>
          </w:p>
        </w:tc>
        <w:tc>
          <w:tcPr>
            <w:tcW w:w="1384" w:type="dxa"/>
          </w:tcPr>
          <w:p>
            <w:pPr>
              <w:pStyle w:val="yTableNAm"/>
            </w:pPr>
            <w:r>
              <w:t>13.00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Swallowtail </w:t>
            </w:r>
            <w:r>
              <w:tab/>
            </w:r>
          </w:p>
        </w:tc>
        <w:tc>
          <w:tcPr>
            <w:tcW w:w="1384" w:type="dxa"/>
          </w:tcPr>
          <w:p>
            <w:pPr>
              <w:pStyle w:val="yTableNAm"/>
            </w:pPr>
            <w:r>
              <w:t>3.50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Sweep, Banded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Sweep, Sea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Sweetlips </w:t>
            </w:r>
            <w:r>
              <w:tab/>
            </w:r>
          </w:p>
        </w:tc>
        <w:tc>
          <w:tcPr>
            <w:tcW w:w="1384" w:type="dxa"/>
          </w:tcPr>
          <w:p>
            <w:pPr>
              <w:pStyle w:val="yTableNAm"/>
            </w:pPr>
            <w:r>
              <w:t>4.50</w:t>
            </w:r>
          </w:p>
        </w:tc>
        <w:tc>
          <w:tcPr>
            <w:tcW w:w="1384" w:type="dxa"/>
          </w:tcPr>
          <w:p>
            <w:pPr>
              <w:pStyle w:val="yTableNAm"/>
            </w:pPr>
            <w:r>
              <w:t>4.50</w:t>
            </w:r>
          </w:p>
        </w:tc>
      </w:tr>
      <w:tr>
        <w:tc>
          <w:tcPr>
            <w:tcW w:w="4320" w:type="dxa"/>
          </w:tcPr>
          <w:p>
            <w:pPr>
              <w:pStyle w:val="yTableNAm"/>
              <w:tabs>
                <w:tab w:val="left" w:leader="dot" w:pos="567"/>
                <w:tab w:val="right" w:leader="dot" w:pos="4112"/>
              </w:tabs>
            </w:pPr>
            <w:r>
              <w:t xml:space="preserve">Swordfish </w:t>
            </w:r>
            <w:r>
              <w:tab/>
            </w:r>
          </w:p>
        </w:tc>
        <w:tc>
          <w:tcPr>
            <w:tcW w:w="1384" w:type="dxa"/>
          </w:tcPr>
          <w:p>
            <w:pPr>
              <w:pStyle w:val="yTableNAm"/>
            </w:pPr>
            <w:r>
              <w:t>10.00</w:t>
            </w:r>
          </w:p>
        </w:tc>
        <w:tc>
          <w:tcPr>
            <w:tcW w:w="1384" w:type="dxa"/>
          </w:tcPr>
          <w:p>
            <w:pPr>
              <w:pStyle w:val="yTableNAm"/>
            </w:pPr>
            <w:r>
              <w:t>50.00</w:t>
            </w:r>
          </w:p>
        </w:tc>
      </w:tr>
      <w:tr>
        <w:tc>
          <w:tcPr>
            <w:tcW w:w="4320" w:type="dxa"/>
          </w:tcPr>
          <w:p>
            <w:pPr>
              <w:pStyle w:val="yTableNAm"/>
              <w:tabs>
                <w:tab w:val="left" w:leader="dot" w:pos="567"/>
                <w:tab w:val="right" w:leader="dot" w:pos="4112"/>
              </w:tabs>
            </w:pPr>
            <w:r>
              <w:t xml:space="preserve">Tailor </w:t>
            </w:r>
            <w:r>
              <w:tab/>
            </w:r>
          </w:p>
        </w:tc>
        <w:tc>
          <w:tcPr>
            <w:tcW w:w="1384" w:type="dxa"/>
          </w:tcPr>
          <w:p>
            <w:pPr>
              <w:pStyle w:val="yTableNAm"/>
            </w:pPr>
            <w:r>
              <w:t>5.00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Tarwhine </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Threadfin, Blue </w:t>
            </w:r>
            <w:r>
              <w:tab/>
            </w:r>
          </w:p>
        </w:tc>
        <w:tc>
          <w:tcPr>
            <w:tcW w:w="1384" w:type="dxa"/>
          </w:tcPr>
          <w:p>
            <w:pPr>
              <w:pStyle w:val="yTableNAm"/>
            </w:pPr>
            <w:r>
              <w:t>4.00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Threadfin, King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Trevalla(s), Blue</w:t>
            </w:r>
            <w:r>
              <w:noBreakHyphen/>
              <w:t xml:space="preserve">Eye </w:t>
            </w:r>
            <w:r>
              <w:tab/>
            </w:r>
          </w:p>
        </w:tc>
        <w:tc>
          <w:tcPr>
            <w:tcW w:w="1384" w:type="dxa"/>
          </w:tcPr>
          <w:p>
            <w:pPr>
              <w:pStyle w:val="yTableNAm"/>
            </w:pPr>
            <w:r>
              <w:t>6.00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Trevally, Giant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Golden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Silver (Skipjack) </w:t>
            </w:r>
            <w:r>
              <w:tab/>
            </w:r>
          </w:p>
        </w:tc>
        <w:tc>
          <w:tcPr>
            <w:tcW w:w="1384" w:type="dxa"/>
          </w:tcPr>
          <w:p>
            <w:pPr>
              <w:pStyle w:val="yTableNAm"/>
            </w:pPr>
            <w:r>
              <w:t>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Trochus </w:t>
            </w:r>
            <w:r>
              <w:tab/>
            </w:r>
          </w:p>
        </w:tc>
        <w:tc>
          <w:tcPr>
            <w:tcW w:w="1384" w:type="dxa"/>
          </w:tcPr>
          <w:p>
            <w:pPr>
              <w:pStyle w:val="yTableNAm"/>
            </w:pPr>
            <w:r>
              <w:t>9.50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Trout, Brown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Trout, Rainbow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Tripletail </w:t>
            </w:r>
            <w:r>
              <w:tab/>
            </w:r>
          </w:p>
        </w:tc>
        <w:tc>
          <w:tcPr>
            <w:tcW w:w="1384" w:type="dxa"/>
          </w:tcPr>
          <w:p>
            <w:pPr>
              <w:pStyle w:val="yTableNAm"/>
            </w:pPr>
            <w:r>
              <w:t>2.00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Tuna, Bigeye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Tuna, Dogtooth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Tuna, Longtail </w:t>
            </w:r>
            <w:r>
              <w:tab/>
            </w:r>
          </w:p>
        </w:tc>
        <w:tc>
          <w:tcPr>
            <w:tcW w:w="1384" w:type="dxa"/>
          </w:tcPr>
          <w:p>
            <w:pPr>
              <w:pStyle w:val="yTableNAm"/>
            </w:pPr>
            <w:r>
              <w:t>4.50</w:t>
            </w:r>
          </w:p>
        </w:tc>
        <w:tc>
          <w:tcPr>
            <w:tcW w:w="1384" w:type="dxa"/>
          </w:tcPr>
          <w:p>
            <w:pPr>
              <w:pStyle w:val="yTableNAm"/>
            </w:pPr>
            <w:r>
              <w:t>22.50</w:t>
            </w:r>
          </w:p>
        </w:tc>
      </w:tr>
      <w:tr>
        <w:tc>
          <w:tcPr>
            <w:tcW w:w="4320" w:type="dxa"/>
          </w:tcPr>
          <w:p>
            <w:pPr>
              <w:pStyle w:val="yTableNAm"/>
              <w:tabs>
                <w:tab w:val="left" w:leader="dot" w:pos="567"/>
                <w:tab w:val="right" w:leader="dot" w:pos="4112"/>
              </w:tabs>
            </w:pPr>
            <w:r>
              <w:t xml:space="preserve">Tuna, Skipjack </w:t>
            </w:r>
            <w:r>
              <w:tab/>
            </w:r>
          </w:p>
        </w:tc>
        <w:tc>
          <w:tcPr>
            <w:tcW w:w="1384" w:type="dxa"/>
          </w:tcPr>
          <w:p>
            <w:pPr>
              <w:pStyle w:val="yTableNAm"/>
            </w:pPr>
            <w:r>
              <w:t>6.50</w:t>
            </w:r>
          </w:p>
        </w:tc>
        <w:tc>
          <w:tcPr>
            <w:tcW w:w="1384" w:type="dxa"/>
          </w:tcPr>
          <w:p>
            <w:pPr>
              <w:pStyle w:val="yTableNAm"/>
            </w:pPr>
            <w:r>
              <w:t>19.50</w:t>
            </w:r>
          </w:p>
        </w:tc>
      </w:tr>
      <w:tr>
        <w:tc>
          <w:tcPr>
            <w:tcW w:w="4320" w:type="dxa"/>
          </w:tcPr>
          <w:p>
            <w:pPr>
              <w:pStyle w:val="yTableNAm"/>
              <w:tabs>
                <w:tab w:val="left" w:leader="dot" w:pos="567"/>
                <w:tab w:val="right" w:leader="dot" w:pos="4112"/>
              </w:tabs>
            </w:pPr>
            <w:r>
              <w:t xml:space="preserve">Tuna, Southern Bluefin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Tuna, Yellowfin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Tuskfish </w:t>
            </w:r>
            <w:r>
              <w:tab/>
            </w:r>
          </w:p>
        </w:tc>
        <w:tc>
          <w:tcPr>
            <w:tcW w:w="1384" w:type="dxa"/>
          </w:tcPr>
          <w:p>
            <w:pPr>
              <w:pStyle w:val="yTableNAm"/>
            </w:pPr>
            <w:r>
              <w:t>7.00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Wahoo </w:t>
            </w:r>
            <w:r>
              <w:tab/>
            </w:r>
          </w:p>
        </w:tc>
        <w:tc>
          <w:tcPr>
            <w:tcW w:w="1384" w:type="dxa"/>
          </w:tcPr>
          <w:p>
            <w:pPr>
              <w:pStyle w:val="yTableNAm"/>
            </w:pPr>
            <w:r>
              <w:t>6.00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Whiting, all species except King George and Yellowfin </w:t>
            </w:r>
            <w:r>
              <w:tab/>
            </w:r>
          </w:p>
        </w:tc>
        <w:tc>
          <w:tcPr>
            <w:tcW w:w="1384" w:type="dxa"/>
          </w:tcPr>
          <w:p>
            <w:pPr>
              <w:pStyle w:val="yTableNAm"/>
            </w:pPr>
            <w:r>
              <w:br/>
              <w:t>4.50</w:t>
            </w:r>
          </w:p>
        </w:tc>
        <w:tc>
          <w:tcPr>
            <w:tcW w:w="1384" w:type="dxa"/>
          </w:tcPr>
          <w:p>
            <w:pPr>
              <w:pStyle w:val="yTableNAm"/>
            </w:pPr>
            <w:r>
              <w:br/>
              <w:t>1.00</w:t>
            </w:r>
          </w:p>
        </w:tc>
      </w:tr>
      <w:tr>
        <w:tc>
          <w:tcPr>
            <w:tcW w:w="4320" w:type="dxa"/>
          </w:tcPr>
          <w:p>
            <w:pPr>
              <w:pStyle w:val="yTableNAm"/>
              <w:tabs>
                <w:tab w:val="left" w:leader="dot" w:pos="567"/>
                <w:tab w:val="right" w:leader="dot" w:pos="4112"/>
              </w:tabs>
            </w:pPr>
            <w:r>
              <w:t xml:space="preserve">Whiting, King George </w:t>
            </w:r>
            <w:r>
              <w:tab/>
            </w:r>
          </w:p>
        </w:tc>
        <w:tc>
          <w:tcPr>
            <w:tcW w:w="1384" w:type="dxa"/>
          </w:tcPr>
          <w:p>
            <w:pPr>
              <w:pStyle w:val="yTableNAm"/>
            </w:pPr>
            <w:r>
              <w:t>15.50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Whiting, Yellowfin </w:t>
            </w:r>
            <w:r>
              <w:tab/>
            </w:r>
          </w:p>
        </w:tc>
        <w:tc>
          <w:tcPr>
            <w:tcW w:w="1384" w:type="dxa"/>
          </w:tcPr>
          <w:p>
            <w:pPr>
              <w:pStyle w:val="yTableNAm"/>
            </w:pPr>
            <w:r>
              <w:t>6.00</w:t>
            </w:r>
          </w:p>
        </w:tc>
        <w:tc>
          <w:tcPr>
            <w:tcW w:w="1384" w:type="dxa"/>
          </w:tcPr>
          <w:p>
            <w:pPr>
              <w:pStyle w:val="yTableNAm"/>
            </w:pPr>
            <w:r>
              <w:t>1.50</w:t>
            </w:r>
          </w:p>
        </w:tc>
      </w:tr>
      <w:tr>
        <w:tc>
          <w:tcPr>
            <w:tcW w:w="4320" w:type="dxa"/>
          </w:tcPr>
          <w:p>
            <w:pPr>
              <w:pStyle w:val="yTableNAm"/>
              <w:tabs>
                <w:tab w:val="left" w:leader="dot" w:pos="567"/>
                <w:tab w:val="right" w:leader="dot" w:pos="4112"/>
              </w:tabs>
            </w:pPr>
            <w:r>
              <w:t xml:space="preserve">Wrasse, Brown Spot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Wrasse, Humphead Maori </w:t>
            </w:r>
            <w:r>
              <w:tab/>
            </w:r>
          </w:p>
        </w:tc>
        <w:tc>
          <w:tcPr>
            <w:tcW w:w="1384" w:type="dxa"/>
          </w:tcPr>
          <w:p>
            <w:pPr>
              <w:pStyle w:val="yTableNAm"/>
            </w:pPr>
            <w:r>
              <w:t>25.00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Wrasse, King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Yabbie </w:t>
            </w:r>
            <w:r>
              <w:tab/>
            </w:r>
          </w:p>
        </w:tc>
        <w:tc>
          <w:tcPr>
            <w:tcW w:w="1384" w:type="dxa"/>
          </w:tcPr>
          <w:p>
            <w:pPr>
              <w:pStyle w:val="yTableNAm"/>
            </w:pPr>
            <w:r>
              <w:t>12.00</w:t>
            </w:r>
          </w:p>
        </w:tc>
        <w:tc>
          <w:tcPr>
            <w:tcW w:w="1384" w:type="dxa"/>
          </w:tcPr>
          <w:p>
            <w:pPr>
              <w:pStyle w:val="yTableNAm"/>
            </w:pPr>
            <w:r>
              <w:t>2.00</w:t>
            </w:r>
          </w:p>
        </w:tc>
      </w:tr>
      <w:tr>
        <w:tc>
          <w:tcPr>
            <w:tcW w:w="4320" w:type="dxa"/>
          </w:tcPr>
          <w:p>
            <w:pPr>
              <w:pStyle w:val="yTableNAm"/>
              <w:tabs>
                <w:tab w:val="left" w:leader="dot" w:pos="567"/>
                <w:tab w:val="right" w:leader="dot" w:pos="4112"/>
              </w:tabs>
            </w:pPr>
            <w:r>
              <w:t>Yellowtail Kingfish</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Zoila Cowry </w:t>
            </w:r>
            <w:r>
              <w:tab/>
            </w:r>
          </w:p>
        </w:tc>
        <w:tc>
          <w:tcPr>
            <w:tcW w:w="1384" w:type="dxa"/>
          </w:tcPr>
          <w:p>
            <w:pPr>
              <w:pStyle w:val="yTableNAm"/>
            </w:pPr>
            <w:r>
              <w:noBreakHyphen/>
            </w:r>
          </w:p>
        </w:tc>
        <w:tc>
          <w:tcPr>
            <w:tcW w:w="1384" w:type="dxa"/>
          </w:tcPr>
          <w:p>
            <w:pPr>
              <w:pStyle w:val="yTableNAm"/>
            </w:pPr>
            <w:r>
              <w:t>50.00</w:t>
            </w:r>
          </w:p>
        </w:tc>
      </w:tr>
      <w:tr>
        <w:tc>
          <w:tcPr>
            <w:tcW w:w="4320" w:type="dxa"/>
            <w:tcBorders>
              <w:bottom w:val="single" w:sz="8" w:space="0" w:color="auto"/>
            </w:tcBorders>
          </w:tcPr>
          <w:p>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pPr>
              <w:pStyle w:val="yTableNAm"/>
            </w:pPr>
            <w:r>
              <w:br/>
              <w:t>1.00</w:t>
            </w:r>
          </w:p>
        </w:tc>
        <w:tc>
          <w:tcPr>
            <w:tcW w:w="1384" w:type="dxa"/>
            <w:tcBorders>
              <w:bottom w:val="single" w:sz="8" w:space="0" w:color="auto"/>
            </w:tcBorders>
          </w:tcPr>
          <w:p>
            <w:pPr>
              <w:pStyle w:val="yTableNAm"/>
            </w:pPr>
            <w:r>
              <w:br/>
              <w:t>1.00</w:t>
            </w:r>
          </w:p>
        </w:tc>
      </w:tr>
    </w:tbl>
    <w:p>
      <w:pPr>
        <w:pStyle w:val="yFootnotesection"/>
      </w:pPr>
      <w:r>
        <w:tab/>
        <w:t>[Schedule 9 inserted: Gazette 4 Oct 2019 p. 3599-606; amended: SL 2024/263 r. 27.]</w:t>
      </w:r>
    </w:p>
    <w:p>
      <w:pPr>
        <w:pStyle w:val="yScheduleHeading"/>
      </w:pPr>
      <w:bookmarkStart w:id="1323" w:name="_Toc184372827"/>
      <w:bookmarkStart w:id="1324" w:name="_Toc184377980"/>
      <w:bookmarkStart w:id="1325" w:name="_Toc184385337"/>
      <w:bookmarkStart w:id="1326" w:name="_Toc201508734"/>
      <w:bookmarkStart w:id="1327" w:name="_Toc201754565"/>
      <w:bookmarkStart w:id="1328" w:name="_Toc201759295"/>
      <w:r>
        <w:rPr>
          <w:rStyle w:val="CharSchNo"/>
        </w:rPr>
        <w:t>Schedule 10</w:t>
      </w:r>
      <w:r>
        <w:t> — </w:t>
      </w:r>
      <w:r>
        <w:rPr>
          <w:rStyle w:val="CharSchText"/>
        </w:rPr>
        <w:t>Non</w:t>
      </w:r>
      <w:r>
        <w:rPr>
          <w:rStyle w:val="CharSchText"/>
        </w:rPr>
        <w:noBreakHyphen/>
        <w:t>endemic species of fish permitted to be brought into the State</w:t>
      </w:r>
      <w:bookmarkEnd w:id="1323"/>
      <w:bookmarkEnd w:id="1324"/>
      <w:bookmarkEnd w:id="1325"/>
      <w:bookmarkEnd w:id="1326"/>
      <w:bookmarkEnd w:id="1327"/>
      <w:bookmarkEnd w:id="1328"/>
    </w:p>
    <w:p>
      <w:pPr>
        <w:pStyle w:val="yShoulderClause"/>
      </w:pPr>
      <w:r>
        <w:t>[r. 176]</w:t>
      </w:r>
    </w:p>
    <w:p>
      <w:pPr>
        <w:pStyle w:val="yFootnoteheading"/>
      </w:pPr>
      <w:r>
        <w:tab/>
        <w:t>[Heading inserted: Gazette 4 Oct 2019 p. 3606.]</w:t>
      </w:r>
    </w:p>
    <w:p>
      <w:pPr>
        <w:pStyle w:val="yHeading3"/>
      </w:pPr>
      <w:bookmarkStart w:id="1329" w:name="_Toc184372828"/>
      <w:bookmarkStart w:id="1330" w:name="_Toc184377981"/>
      <w:bookmarkStart w:id="1331" w:name="_Toc184385338"/>
      <w:bookmarkStart w:id="1332" w:name="_Toc201508735"/>
      <w:bookmarkStart w:id="1333" w:name="_Toc201754566"/>
      <w:bookmarkStart w:id="1334" w:name="_Toc201759296"/>
      <w:r>
        <w:rPr>
          <w:rStyle w:val="CharSDivNo"/>
        </w:rPr>
        <w:t>Division 1</w:t>
      </w:r>
      <w:r>
        <w:rPr>
          <w:b w:val="0"/>
        </w:rPr>
        <w:t> — </w:t>
      </w:r>
      <w:r>
        <w:rPr>
          <w:rStyle w:val="CharSDivText"/>
        </w:rPr>
        <w:t>Species of fish endemic to areas of Australia outside the State</w:t>
      </w:r>
      <w:bookmarkEnd w:id="1329"/>
      <w:bookmarkEnd w:id="1330"/>
      <w:bookmarkEnd w:id="1331"/>
      <w:bookmarkEnd w:id="1332"/>
      <w:bookmarkEnd w:id="1333"/>
      <w:bookmarkEnd w:id="1334"/>
    </w:p>
    <w:p>
      <w:pPr>
        <w:pStyle w:val="yFootnoteheading"/>
      </w:pPr>
      <w:r>
        <w:tab/>
        <w:t>[Heading inserted: Gazette 4 Oct 2019 p. 3606.]</w:t>
      </w:r>
    </w:p>
    <w:p>
      <w:pPr>
        <w:pStyle w:val="yNumberedItem"/>
      </w:pPr>
      <w:r>
        <w:t>1.</w:t>
      </w:r>
      <w:r>
        <w:tab/>
        <w:t>Cod, Murray</w:t>
      </w:r>
    </w:p>
    <w:p>
      <w:pPr>
        <w:pStyle w:val="yNumberedItem"/>
      </w:pPr>
      <w:r>
        <w:t>2.</w:t>
      </w:r>
      <w:r>
        <w:tab/>
        <w:t>Eel, Southern Shortfin</w:t>
      </w:r>
    </w:p>
    <w:p>
      <w:pPr>
        <w:pStyle w:val="yNumberedItem"/>
      </w:pPr>
      <w:r>
        <w:t>3.</w:t>
      </w:r>
      <w:r>
        <w:tab/>
        <w:t>Perch, Golden</w:t>
      </w:r>
    </w:p>
    <w:p>
      <w:pPr>
        <w:pStyle w:val="yNumberedItem"/>
      </w:pPr>
      <w:r>
        <w:t>4.</w:t>
      </w:r>
      <w:r>
        <w:tab/>
        <w:t>Perch, Silver</w:t>
      </w:r>
    </w:p>
    <w:p>
      <w:pPr>
        <w:pStyle w:val="yNumberedItem"/>
      </w:pPr>
      <w:r>
        <w:t>5.</w:t>
      </w:r>
      <w:r>
        <w:tab/>
        <w:t>Redclaw Crayfish</w:t>
      </w:r>
    </w:p>
    <w:p>
      <w:pPr>
        <w:pStyle w:val="yNumberedItem"/>
      </w:pPr>
      <w:r>
        <w:t>6.</w:t>
      </w:r>
      <w:r>
        <w:tab/>
        <w:t>Yabbie</w:t>
      </w:r>
    </w:p>
    <w:p>
      <w:pPr>
        <w:pStyle w:val="yFootnotesection"/>
      </w:pPr>
      <w:r>
        <w:tab/>
        <w:t>[Division 1 inserted: Gazette 4 Oct 2019 p. 3606-7; amended: SL 2024/263 r. 28.]</w:t>
      </w:r>
    </w:p>
    <w:p>
      <w:pPr>
        <w:pStyle w:val="yHeading3"/>
        <w:rPr>
          <w:rStyle w:val="CharSDivText"/>
        </w:rPr>
      </w:pPr>
      <w:bookmarkStart w:id="1335" w:name="_Toc184372829"/>
      <w:bookmarkStart w:id="1336" w:name="_Toc184377982"/>
      <w:bookmarkStart w:id="1337" w:name="_Toc184385339"/>
      <w:bookmarkStart w:id="1338" w:name="_Toc201508736"/>
      <w:bookmarkStart w:id="1339" w:name="_Toc201754567"/>
      <w:bookmarkStart w:id="1340" w:name="_Toc201759297"/>
      <w:r>
        <w:rPr>
          <w:rStyle w:val="CharSDivNo"/>
        </w:rPr>
        <w:t>Division 2</w:t>
      </w:r>
      <w:r>
        <w:rPr>
          <w:b w:val="0"/>
        </w:rPr>
        <w:t> — </w:t>
      </w:r>
      <w:r>
        <w:rPr>
          <w:rStyle w:val="CharSDivText"/>
        </w:rPr>
        <w:t>Species of fish not endemic to Australia</w:t>
      </w:r>
      <w:bookmarkEnd w:id="1335"/>
      <w:bookmarkEnd w:id="1336"/>
      <w:bookmarkEnd w:id="1337"/>
      <w:bookmarkEnd w:id="1338"/>
      <w:bookmarkEnd w:id="1339"/>
      <w:bookmarkEnd w:id="1340"/>
    </w:p>
    <w:p>
      <w:pPr>
        <w:pStyle w:val="yFootnoteheading"/>
      </w:pPr>
      <w:r>
        <w:tab/>
        <w:t>[Heading inserted: Gazette 4 Oct 2019 p. 3607.]</w:t>
      </w:r>
    </w:p>
    <w:p>
      <w:pPr>
        <w:pStyle w:val="yNumberedItem"/>
      </w:pPr>
      <w:r>
        <w:t>1.</w:t>
      </w:r>
      <w:r>
        <w:tab/>
        <w:t>Redfin</w:t>
      </w:r>
    </w:p>
    <w:p>
      <w:pPr>
        <w:pStyle w:val="yNumberedItem"/>
      </w:pPr>
      <w:r>
        <w:t>2.</w:t>
      </w:r>
      <w:r>
        <w:tab/>
        <w:t>Salmon, Atlantic</w:t>
      </w:r>
    </w:p>
    <w:p>
      <w:pPr>
        <w:pStyle w:val="yNumberedItem"/>
      </w:pPr>
      <w:r>
        <w:t>3.</w:t>
      </w:r>
      <w:r>
        <w:tab/>
        <w:t>Trout, Brown</w:t>
      </w:r>
    </w:p>
    <w:p>
      <w:pPr>
        <w:pStyle w:val="yNumberedItem"/>
      </w:pPr>
      <w:r>
        <w:t>4.</w:t>
      </w:r>
      <w:r>
        <w:tab/>
        <w:t>Trout, Rainbow</w:t>
      </w:r>
    </w:p>
    <w:p>
      <w:pPr>
        <w:pStyle w:val="yFootnotesection"/>
      </w:pPr>
      <w:r>
        <w:tab/>
        <w:t>[Division 2 inserted: Gazette 4 Oct 2019 p. 3607.]</w:t>
      </w:r>
    </w:p>
    <w:p>
      <w:pPr>
        <w:tabs>
          <w:tab w:val="left" w:pos="219"/>
          <w:tab w:val="decimal" w:pos="568"/>
          <w:tab w:val="right" w:leader="dot" w:pos="4539"/>
        </w:tabs>
        <w:spacing w:before="80"/>
        <w:ind w:left="99" w:right="347"/>
        <w:jc w:val="right"/>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1341" w:name="_Toc184372830"/>
      <w:bookmarkStart w:id="1342" w:name="_Toc184377983"/>
      <w:bookmarkStart w:id="1343" w:name="_Toc184385340"/>
      <w:bookmarkStart w:id="1344" w:name="_Toc201508737"/>
      <w:bookmarkStart w:id="1345" w:name="_Toc201754568"/>
      <w:bookmarkStart w:id="1346" w:name="_Toc201759298"/>
      <w:r>
        <w:rPr>
          <w:rStyle w:val="CharSchNo"/>
        </w:rPr>
        <w:t>Schedule 11</w:t>
      </w:r>
      <w:bookmarkEnd w:id="1341"/>
      <w:bookmarkEnd w:id="1342"/>
      <w:bookmarkEnd w:id="1343"/>
      <w:bookmarkEnd w:id="1344"/>
      <w:bookmarkEnd w:id="1345"/>
      <w:bookmarkEnd w:id="1346"/>
    </w:p>
    <w:p>
      <w:pPr>
        <w:pStyle w:val="yShoulderClause"/>
        <w:rPr>
          <w:snapToGrid w:val="0"/>
        </w:rPr>
      </w:pPr>
      <w:r>
        <w:rPr>
          <w:snapToGrid w:val="0"/>
        </w:rPr>
        <w:t>[reg. 59]</w:t>
      </w:r>
    </w:p>
    <w:p>
      <w:pPr>
        <w:pStyle w:val="yHeading2"/>
        <w:spacing w:after="120"/>
      </w:pPr>
      <w:bookmarkStart w:id="1347" w:name="_Toc184372831"/>
      <w:bookmarkStart w:id="1348" w:name="_Toc184377984"/>
      <w:bookmarkStart w:id="1349" w:name="_Toc184385341"/>
      <w:bookmarkStart w:id="1350" w:name="_Toc201508738"/>
      <w:bookmarkStart w:id="1351" w:name="_Toc201754569"/>
      <w:bookmarkStart w:id="1352" w:name="_Toc201759299"/>
      <w:r>
        <w:rPr>
          <w:rStyle w:val="CharSchText"/>
        </w:rPr>
        <w:t>Authorised trade names of fish</w:t>
      </w:r>
      <w:bookmarkEnd w:id="1347"/>
      <w:bookmarkEnd w:id="1348"/>
      <w:bookmarkEnd w:id="1349"/>
      <w:bookmarkEnd w:id="1350"/>
      <w:bookmarkEnd w:id="1351"/>
      <w:bookmarkEnd w:id="1352"/>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Gazette 1 Oct 2003 p. 4345.]</w:t>
      </w:r>
    </w:p>
    <w:p>
      <w:pPr>
        <w:pStyle w:val="yScheduleHeading"/>
      </w:pPr>
      <w:bookmarkStart w:id="1353" w:name="_Toc184372832"/>
      <w:bookmarkStart w:id="1354" w:name="_Toc184377985"/>
      <w:bookmarkStart w:id="1355" w:name="_Toc184385342"/>
      <w:bookmarkStart w:id="1356" w:name="_Toc201508739"/>
      <w:bookmarkStart w:id="1357" w:name="_Toc201754570"/>
      <w:bookmarkStart w:id="1358" w:name="_Toc201759300"/>
      <w:r>
        <w:rPr>
          <w:rStyle w:val="CharSchNo"/>
        </w:rPr>
        <w:t>Schedule 12</w:t>
      </w:r>
      <w:bookmarkEnd w:id="1353"/>
      <w:bookmarkEnd w:id="1354"/>
      <w:bookmarkEnd w:id="1355"/>
      <w:bookmarkEnd w:id="1356"/>
      <w:bookmarkEnd w:id="1357"/>
      <w:bookmarkEnd w:id="1358"/>
    </w:p>
    <w:p>
      <w:pPr>
        <w:pStyle w:val="yHeading2"/>
        <w:spacing w:before="120"/>
      </w:pPr>
      <w:bookmarkStart w:id="1359" w:name="_Toc184372833"/>
      <w:bookmarkStart w:id="1360" w:name="_Toc184377986"/>
      <w:bookmarkStart w:id="1361" w:name="_Toc184385343"/>
      <w:bookmarkStart w:id="1362" w:name="_Toc201508740"/>
      <w:bookmarkStart w:id="1363" w:name="_Toc201754571"/>
      <w:bookmarkStart w:id="1364" w:name="_Toc201759301"/>
      <w:r>
        <w:rPr>
          <w:rStyle w:val="CharSchText"/>
        </w:rPr>
        <w:t>Modified penalties</w:t>
      </w:r>
      <w:bookmarkEnd w:id="1359"/>
      <w:bookmarkEnd w:id="1360"/>
      <w:bookmarkEnd w:id="1361"/>
      <w:bookmarkEnd w:id="1362"/>
      <w:bookmarkEnd w:id="1363"/>
      <w:bookmarkEnd w:id="1364"/>
    </w:p>
    <w:p>
      <w:pPr>
        <w:pStyle w:val="yShoulderClause"/>
        <w:spacing w:before="80" w:after="80"/>
        <w:rPr>
          <w:snapToGrid w:val="0"/>
        </w:rPr>
      </w:pPr>
      <w:r>
        <w:rPr>
          <w:snapToGrid w:val="0"/>
        </w:rPr>
        <w:t>[s. 229(2) and reg. 162]</w:t>
      </w:r>
    </w:p>
    <w:tbl>
      <w:tblPr>
        <w:tblW w:w="7088" w:type="dxa"/>
        <w:tblLayout w:type="fixed"/>
        <w:tblCellMar>
          <w:left w:w="142" w:type="dxa"/>
          <w:right w:w="142" w:type="dxa"/>
        </w:tblCellMar>
        <w:tblLook w:val="0000" w:firstRow="0" w:lastRow="0" w:firstColumn="0" w:lastColumn="0" w:noHBand="0" w:noVBand="0"/>
      </w:tblPr>
      <w:tblGrid>
        <w:gridCol w:w="5971"/>
        <w:gridCol w:w="1117"/>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117"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left="-135" w:right="98"/>
              <w:rPr>
                <w:b/>
                <w:bCs/>
              </w:rPr>
            </w:pPr>
            <w:r>
              <w:rPr>
                <w:b/>
                <w:bCs/>
              </w:rPr>
              <w:t>Modifiedpenalty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117"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117"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117"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keepNext/>
              <w:tabs>
                <w:tab w:val="clear" w:pos="567"/>
                <w:tab w:val="left" w:pos="578"/>
                <w:tab w:val="left" w:pos="938"/>
                <w:tab w:val="right" w:leader="dot" w:pos="5812"/>
              </w:tabs>
              <w:spacing w:before="0"/>
              <w:rPr>
                <w:i/>
              </w:rPr>
            </w:pPr>
            <w:r>
              <w:t>4A.</w:t>
            </w:r>
            <w:r>
              <w:tab/>
              <w:t xml:space="preserve">Section 48A, relating to category 1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keepNext/>
              <w:tabs>
                <w:tab w:val="clear" w:pos="567"/>
                <w:tab w:val="left" w:pos="578"/>
                <w:tab w:val="left" w:pos="938"/>
                <w:tab w:val="right" w:leader="dot" w:pos="5812"/>
              </w:tabs>
              <w:spacing w:before="0"/>
            </w:pPr>
            <w:r>
              <w:t>6.</w:t>
            </w:r>
            <w:r>
              <w:tab/>
              <w:t>Section 51(2), relating to — </w:t>
            </w:r>
          </w:p>
        </w:tc>
        <w:tc>
          <w:tcPr>
            <w:tcW w:w="1117" w:type="dxa"/>
            <w:tcMar>
              <w:top w:w="28" w:type="dxa"/>
              <w:left w:w="113" w:type="dxa"/>
              <w:right w:w="113" w:type="dxa"/>
            </w:tcMar>
          </w:tcPr>
          <w:p>
            <w:pPr>
              <w:pStyle w:val="yTableNAm"/>
              <w:keepNext/>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117"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Lines/>
              <w:tabs>
                <w:tab w:val="clear" w:pos="567"/>
                <w:tab w:val="left" w:pos="578"/>
                <w:tab w:val="left" w:pos="938"/>
                <w:tab w:val="right" w:leader="dot" w:pos="5812"/>
              </w:tabs>
              <w:spacing w:before="0"/>
            </w:pPr>
            <w:r>
              <w:t>9.</w:t>
            </w:r>
            <w:r>
              <w:tab/>
              <w:t xml:space="preserve">Section 106(2) </w:t>
            </w:r>
            <w:r>
              <w:tab/>
            </w:r>
          </w:p>
        </w:tc>
        <w:tc>
          <w:tcPr>
            <w:tcW w:w="1117" w:type="dxa"/>
            <w:tcMar>
              <w:top w:w="28" w:type="dxa"/>
              <w:left w:w="113" w:type="dxa"/>
              <w:right w:w="113" w:type="dxa"/>
            </w:tcMar>
          </w:tcPr>
          <w:p>
            <w:pPr>
              <w:pStyle w:val="yTableNAm"/>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Lines/>
              <w:tabs>
                <w:tab w:val="clear" w:pos="567"/>
                <w:tab w:val="left" w:pos="578"/>
                <w:tab w:val="left" w:pos="938"/>
                <w:tab w:val="right" w:leader="dot" w:pos="5812"/>
              </w:tabs>
              <w:spacing w:before="0"/>
            </w:pPr>
            <w:r>
              <w:t>10.</w:t>
            </w:r>
            <w:r>
              <w:tab/>
              <w:t xml:space="preserve">Section 170(1) </w:t>
            </w:r>
            <w:r>
              <w:tab/>
            </w:r>
          </w:p>
        </w:tc>
        <w:tc>
          <w:tcPr>
            <w:tcW w:w="1117" w:type="dxa"/>
            <w:tcMar>
              <w:top w:w="28" w:type="dxa"/>
              <w:left w:w="113" w:type="dxa"/>
              <w:right w:w="113" w:type="dxa"/>
            </w:tcMar>
          </w:tcPr>
          <w:p>
            <w:pPr>
              <w:pStyle w:val="yTableNAm"/>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keepNext/>
              <w:tabs>
                <w:tab w:val="clear" w:pos="567"/>
                <w:tab w:val="left" w:pos="578"/>
                <w:tab w:val="left" w:pos="938"/>
                <w:tab w:val="right" w:leader="dot" w:pos="5812"/>
              </w:tabs>
              <w:spacing w:before="0"/>
            </w:pPr>
            <w:r>
              <w:t>13.</w:t>
            </w:r>
            <w:r>
              <w:tab/>
              <w:t xml:space="preserve">Section 190(2) </w:t>
            </w:r>
            <w:r>
              <w:tab/>
            </w:r>
          </w:p>
        </w:tc>
        <w:tc>
          <w:tcPr>
            <w:tcW w:w="1117" w:type="dxa"/>
            <w:tcBorders>
              <w:bottom w:val="single" w:sz="8" w:space="0" w:color="auto"/>
            </w:tcBorders>
            <w:tcMar>
              <w:top w:w="28" w:type="dxa"/>
              <w:left w:w="113" w:type="dxa"/>
              <w:right w:w="113" w:type="dxa"/>
            </w:tcMar>
          </w:tcPr>
          <w:p>
            <w:pPr>
              <w:pStyle w:val="yTableNAm"/>
              <w:keepNext/>
              <w:tabs>
                <w:tab w:val="clear" w:pos="567"/>
                <w:tab w:val="left" w:pos="0"/>
                <w:tab w:val="left" w:leader="dot" w:pos="3260"/>
              </w:tabs>
              <w:spacing w:before="0"/>
              <w:ind w:right="98"/>
              <w:jc w:val="right"/>
            </w:pPr>
            <w:r>
              <w:t>200.00</w:t>
            </w:r>
          </w:p>
        </w:tc>
      </w:tr>
    </w:tbl>
    <w:p>
      <w:pPr>
        <w:pStyle w:val="yFootnotesection"/>
        <w:spacing w:after="120"/>
      </w:pPr>
      <w:r>
        <w:tab/>
        <w:t>[Part 1 amended: Gazette 13 Feb 2009 p. 300; 24 Feb 2012 p. 803; 18 Dec 2012 p. 6591; 18 Jun 2013 p. 2297-9; 27 Aug 2013 p. 4057; 7 Aug 2015 p. 3204.]</w:t>
      </w:r>
    </w:p>
    <w:tbl>
      <w:tblPr>
        <w:tblW w:w="7088" w:type="dxa"/>
        <w:tblLayout w:type="fixed"/>
        <w:tblCellMar>
          <w:left w:w="142" w:type="dxa"/>
          <w:right w:w="142" w:type="dxa"/>
        </w:tblCellMar>
        <w:tblLook w:val="0000" w:firstRow="0" w:lastRow="0" w:firstColumn="0" w:lastColumn="0" w:noHBand="0" w:noVBand="0"/>
      </w:tblPr>
      <w:tblGrid>
        <w:gridCol w:w="5954"/>
        <w:gridCol w:w="1134"/>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13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134"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ind w:left="590" w:hanging="590"/>
            </w:pPr>
            <w:r>
              <w:t>2.</w:t>
            </w:r>
            <w:r>
              <w:tab/>
              <w:t xml:space="preserve">Regulations 12(3), 15(2), 15(3), 16(2), 16(3), 39, 40, 42, </w:t>
            </w:r>
            <w:r>
              <w:rPr>
                <w:szCs w:val="18"/>
              </w:rPr>
              <w:t>43</w:t>
            </w:r>
            <w:r>
              <w:t xml:space="preserve"> and 64L </w:t>
            </w:r>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 xml:space="preserve">Regulations 14(4), 22(1), 22AA(2), 32(1), </w:t>
            </w:r>
            <w:r>
              <w:rPr>
                <w:szCs w:val="18"/>
              </w:rPr>
              <w:t>55FA,</w:t>
            </w:r>
            <w:r>
              <w:t xml:space="preserve"> 56, 60, 61, 64F, 64G, 64H, 64I(5), 64J, 64K, 64Q, 74, 75, 77, 79, 80, 81, 84, 85, 86, 91, 96, 97, 98, 99, 100, 101, 102, 103, 104, 105, 106, 107, 109, 110, 112, 113, 113AA, 113AB, 113A(5), 113A(6), 113B(2), 113B(3), 113C(2), 113E(3), 117(4), 128L(3), 128MA(2) and 144</w:t>
            </w:r>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100.00</w:t>
            </w:r>
          </w:p>
        </w:tc>
      </w:tr>
      <w:tr>
        <w:trPr>
          <w:cantSplit/>
        </w:trPr>
        <w:tc>
          <w:tcPr>
            <w:tcW w:w="5954" w:type="dxa"/>
            <w:tcMar>
              <w:top w:w="28" w:type="dxa"/>
              <w:left w:w="113" w:type="dxa"/>
              <w:right w:w="113" w:type="dxa"/>
            </w:tcMar>
          </w:tcPr>
          <w:p>
            <w:pPr>
              <w:pStyle w:val="yTableNAm"/>
              <w:tabs>
                <w:tab w:val="right" w:leader="dot" w:pos="5978"/>
              </w:tabs>
              <w:spacing w:before="0"/>
              <w:ind w:left="578" w:hanging="578"/>
            </w:pPr>
            <w:r>
              <w:t>4.</w:t>
            </w:r>
            <w:r>
              <w:tab/>
              <w:t xml:space="preserve">Regulations 12(1) and (2), </w:t>
            </w:r>
            <w:r>
              <w:rPr>
                <w:szCs w:val="22"/>
              </w:rPr>
              <w:t xml:space="preserve">14(1), </w:t>
            </w:r>
            <w:r>
              <w:t xml:space="preserve">16E(3C), 31(2), 31(3), 31A(1), </w:t>
            </w:r>
            <w:r>
              <w:rPr>
                <w:szCs w:val="22"/>
              </w:rPr>
              <w:t xml:space="preserve">32(1A), 32(1C), </w:t>
            </w:r>
            <w:r>
              <w:t xml:space="preserve">35, </w:t>
            </w:r>
            <w:r>
              <w:rPr>
                <w:szCs w:val="18"/>
              </w:rPr>
              <w:t xml:space="preserve">35A, </w:t>
            </w:r>
            <w:r>
              <w:t xml:space="preserve">36(1), 38, 38B, 38C, </w:t>
            </w:r>
            <w:r>
              <w:rPr>
                <w:szCs w:val="22"/>
              </w:rPr>
              <w:t xml:space="preserve">38DA, </w:t>
            </w:r>
            <w:r>
              <w:t xml:space="preserve">38D(3), 38E, 38EA, 38EB, </w:t>
            </w:r>
            <w:r>
              <w:rPr>
                <w:szCs w:val="22"/>
              </w:rPr>
              <w:t xml:space="preserve">38F, 38GA, </w:t>
            </w:r>
            <w:r>
              <w:t xml:space="preserve">41, 55I, 56A, 62, 63, 64, 64AA(2), 64AA(2B), 64C(1), 64DA, 64E(1), 64E(3), 64E(4), 64E(5), 64NA, 64O, 64OAA(2), 64OAA(3), 64OB, 64OD, 64OE(1) and (2),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16DA(1), 38D(2), 38H, 38I(1), 38J, 38K, 38L, 38M, 38N(1), 38O(1), 45(2), 55G(1) and (2), 64S(1), 64S(3), 64T, 117(1), (2), (6), (7) and (8), 119(2) and (6), 121(1) and (2), 128I, 128K, 128P, </w:t>
            </w:r>
            <w:r>
              <w:rPr>
                <w:szCs w:val="18"/>
              </w:rPr>
              <w:t>128R, 128S(3) and (4) and 144M</w:t>
            </w:r>
            <w:r>
              <w:t xml:space="preserve"> </w:t>
            </w:r>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keepNext/>
              <w:tabs>
                <w:tab w:val="clear" w:pos="567"/>
                <w:tab w:val="left" w:pos="578"/>
                <w:tab w:val="right" w:leader="dot" w:pos="5978"/>
              </w:tabs>
              <w:spacing w:before="0"/>
              <w:ind w:left="578" w:hanging="578"/>
            </w:pPr>
            <w:r>
              <w:t>6.</w:t>
            </w:r>
            <w:r>
              <w:tab/>
              <w:t>Regulation 128O, relating to —</w:t>
            </w:r>
          </w:p>
        </w:tc>
        <w:tc>
          <w:tcPr>
            <w:tcW w:w="1134" w:type="dxa"/>
            <w:tcMar>
              <w:top w:w="28" w:type="dxa"/>
              <w:left w:w="113" w:type="dxa"/>
              <w:right w:w="113" w:type="dxa"/>
            </w:tcMar>
          </w:tcPr>
          <w:p>
            <w:pPr>
              <w:pStyle w:val="yTableNAm"/>
              <w:keepNext/>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134"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134"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134"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134"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keepNext/>
              <w:tabs>
                <w:tab w:val="clear" w:pos="567"/>
                <w:tab w:val="left" w:pos="578"/>
                <w:tab w:val="right" w:leader="dot" w:pos="5978"/>
              </w:tabs>
              <w:spacing w:before="0"/>
              <w:ind w:left="578" w:hanging="578"/>
            </w:pPr>
            <w:r>
              <w:t>7.</w:t>
            </w:r>
            <w:r>
              <w:tab/>
              <w:t xml:space="preserve">Regulation 130(4), for a contravention of a condition of — </w:t>
            </w:r>
          </w:p>
        </w:tc>
        <w:tc>
          <w:tcPr>
            <w:tcW w:w="1134" w:type="dxa"/>
            <w:tcMar>
              <w:top w:w="28" w:type="dxa"/>
              <w:left w:w="113" w:type="dxa"/>
              <w:right w:w="113" w:type="dxa"/>
            </w:tcMar>
          </w:tcPr>
          <w:p>
            <w:pPr>
              <w:pStyle w:val="yTableNAm"/>
              <w:keepNext/>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134"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keepNext/>
              <w:tabs>
                <w:tab w:val="clear" w:pos="567"/>
                <w:tab w:val="left" w:pos="572"/>
                <w:tab w:val="left" w:pos="1058"/>
                <w:tab w:val="right" w:leader="dot" w:pos="5978"/>
              </w:tabs>
              <w:spacing w:before="0"/>
              <w:ind w:left="1055" w:hanging="1055"/>
            </w:pPr>
            <w:r>
              <w:t>8.</w:t>
            </w:r>
            <w:r>
              <w:tab/>
              <w:t>Regulation 59(2)</w:t>
            </w:r>
            <w:r>
              <w:tab/>
            </w:r>
          </w:p>
        </w:tc>
        <w:tc>
          <w:tcPr>
            <w:tcW w:w="1134" w:type="dxa"/>
            <w:tcBorders>
              <w:bottom w:val="single" w:sz="8" w:space="0" w:color="auto"/>
            </w:tcBorders>
            <w:tcMar>
              <w:top w:w="28" w:type="dxa"/>
              <w:left w:w="113" w:type="dxa"/>
              <w:right w:w="113" w:type="dxa"/>
            </w:tcMar>
          </w:tcPr>
          <w:p>
            <w:pPr>
              <w:pStyle w:val="yTableNAm"/>
              <w:keepNext/>
              <w:tabs>
                <w:tab w:val="clear" w:pos="567"/>
                <w:tab w:val="left" w:leader="dot" w:pos="3260"/>
              </w:tabs>
              <w:spacing w:before="0"/>
              <w:ind w:right="96"/>
              <w:jc w:val="right"/>
            </w:pPr>
            <w:r>
              <w:rPr>
                <w:szCs w:val="22"/>
              </w:rPr>
              <w:t>500.00</w:t>
            </w:r>
          </w:p>
        </w:tc>
      </w:tr>
    </w:tbl>
    <w:p>
      <w:pPr>
        <w:pStyle w:val="yFootnotesection"/>
        <w:keepNext/>
        <w:keepLines w:val="0"/>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 4 Oct 2019 p. 3607; SL 2021/118 r. 27; SL 2023/2 r. 29; SL 2024/263 r. 29.]</w:t>
      </w:r>
    </w:p>
    <w:p>
      <w:pPr>
        <w:tabs>
          <w:tab w:val="left" w:pos="938"/>
          <w:tab w:val="left" w:pos="1058"/>
          <w:tab w:val="right" w:leader="dot" w:pos="5978"/>
        </w:tabs>
        <w:spacing w:before="60"/>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yScheduleHeading"/>
      </w:pPr>
      <w:bookmarkStart w:id="1365" w:name="_Toc184372834"/>
      <w:bookmarkStart w:id="1366" w:name="_Toc184377987"/>
      <w:bookmarkStart w:id="1367" w:name="_Toc184385344"/>
      <w:bookmarkStart w:id="1368" w:name="_Toc201508741"/>
      <w:bookmarkStart w:id="1369" w:name="_Toc201754572"/>
      <w:bookmarkStart w:id="1370" w:name="_Toc201759302"/>
      <w:r>
        <w:rPr>
          <w:rStyle w:val="CharSchNo"/>
        </w:rPr>
        <w:t>Schedule 13</w:t>
      </w:r>
      <w:r>
        <w:rPr>
          <w:rStyle w:val="CharSDivNo"/>
        </w:rPr>
        <w:t> </w:t>
      </w:r>
      <w:r>
        <w:t>—</w:t>
      </w:r>
      <w:r>
        <w:rPr>
          <w:rStyle w:val="CharSDivText"/>
        </w:rPr>
        <w:t> </w:t>
      </w:r>
      <w:r>
        <w:rPr>
          <w:rStyle w:val="CharSchText"/>
        </w:rPr>
        <w:t>Specifications for rock lobster pots</w:t>
      </w:r>
      <w:bookmarkEnd w:id="1365"/>
      <w:bookmarkEnd w:id="1366"/>
      <w:bookmarkEnd w:id="1367"/>
      <w:bookmarkEnd w:id="1368"/>
      <w:bookmarkEnd w:id="1369"/>
      <w:bookmarkEnd w:id="1370"/>
    </w:p>
    <w:p>
      <w:pPr>
        <w:pStyle w:val="yShoulderClause"/>
      </w:pPr>
      <w:r>
        <w:t>[r. 38(2)]</w:t>
      </w:r>
    </w:p>
    <w:p>
      <w:pPr>
        <w:pStyle w:val="yFootnoteheading"/>
      </w:pPr>
      <w:r>
        <w:tab/>
        <w:t>[Heading inserted: Gazette 4 Oct 2016 p. 4237.]</w:t>
      </w:r>
    </w:p>
    <w:p>
      <w:pPr>
        <w:pStyle w:val="yHeading5"/>
      </w:pPr>
      <w:bookmarkStart w:id="1371" w:name="_Toc201759303"/>
      <w:bookmarkStart w:id="1372" w:name="_Toc184385345"/>
      <w:r>
        <w:rPr>
          <w:rStyle w:val="CharSClsNo"/>
        </w:rPr>
        <w:t>1</w:t>
      </w:r>
      <w:r>
        <w:t>.</w:t>
      </w:r>
      <w:r>
        <w:tab/>
        <w:t>Construction and dimensions of pot</w:t>
      </w:r>
      <w:bookmarkEnd w:id="1371"/>
      <w:bookmarkEnd w:id="1372"/>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Gazette 4 Oct 2016 p. 4237</w:t>
      </w:r>
      <w:r>
        <w:noBreakHyphen/>
        <w:t>8.]</w:t>
      </w:r>
    </w:p>
    <w:p>
      <w:pPr>
        <w:pStyle w:val="yHeading5"/>
      </w:pPr>
      <w:bookmarkStart w:id="1373" w:name="_Toc201759304"/>
      <w:bookmarkStart w:id="1374" w:name="_Toc184385346"/>
      <w:r>
        <w:rPr>
          <w:rStyle w:val="CharSClsNo"/>
        </w:rPr>
        <w:t>2</w:t>
      </w:r>
      <w:r>
        <w:t>.</w:t>
      </w:r>
      <w:r>
        <w:tab/>
        <w:t>Entrance or neck of pot</w:t>
      </w:r>
      <w:bookmarkEnd w:id="1373"/>
      <w:bookmarkEnd w:id="1374"/>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Gazette 4 Oct 2016 p. 4238.]</w:t>
      </w:r>
    </w:p>
    <w:p>
      <w:pPr>
        <w:pStyle w:val="yHeading5"/>
      </w:pPr>
      <w:bookmarkStart w:id="1375" w:name="_Toc201759305"/>
      <w:bookmarkStart w:id="1376" w:name="_Toc184385347"/>
      <w:r>
        <w:rPr>
          <w:rStyle w:val="CharSClsNo"/>
        </w:rPr>
        <w:t>3</w:t>
      </w:r>
      <w:r>
        <w:t>.</w:t>
      </w:r>
      <w:r>
        <w:tab/>
        <w:t>Escape gaps</w:t>
      </w:r>
      <w:bookmarkEnd w:id="1375"/>
      <w:bookmarkEnd w:id="1376"/>
    </w:p>
    <w:p>
      <w:pPr>
        <w:pStyle w:val="ySubsection"/>
      </w:pPr>
      <w:r>
        <w:tab/>
        <w:t>(1)</w:t>
      </w:r>
      <w:r>
        <w:tab/>
        <w:t>A rock lobster pot must have inserted in it a device or devices to create at least one escape gap if used in the following waters —</w:t>
      </w:r>
    </w:p>
    <w:p>
      <w:pPr>
        <w:pStyle w:val="yIndenta"/>
      </w:pPr>
      <w:r>
        <w:tab/>
        <w:t>(a)</w:t>
      </w:r>
      <w:r>
        <w:tab/>
        <w:t xml:space="preserve">WA waters off the southern coast of WA east of </w:t>
      </w:r>
      <w:r>
        <w:rPr>
          <w:snapToGrid w:val="0"/>
          <w:szCs w:val="22"/>
        </w:rPr>
        <w:t>115° 08.091′ east longitude;</w:t>
      </w:r>
    </w:p>
    <w:p>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pPr>
        <w:pStyle w:val="ySubsection"/>
      </w:pPr>
      <w:r>
        <w:tab/>
        <w:t>(2A)</w:t>
      </w:r>
      <w:r>
        <w:tab/>
        <w:t>Subclause (2) does not apply to a rock lobster pot used in waters mentioned in subclause (1)(a).</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pPr>
      <w:r>
        <w:tab/>
        <w:t>(5)</w:t>
      </w:r>
      <w:r>
        <w:tab/>
      </w:r>
      <w:r>
        <w:rPr>
          <w:snapToGrid w:val="0"/>
        </w:rPr>
        <w:t>Each escape gap required under this clause must be, as nearly as practicable, rectangular in shape.</w:t>
      </w:r>
    </w:p>
    <w:p>
      <w:pPr>
        <w:pStyle w:val="ySubsection"/>
        <w:rPr>
          <w:snapToGrid w:val="0"/>
        </w:rPr>
      </w:pPr>
      <w:r>
        <w:tab/>
        <w:t>(5A)</w:t>
      </w:r>
      <w:r>
        <w:tab/>
      </w:r>
      <w:r>
        <w:rPr>
          <w:snapToGrid w:val="0"/>
        </w:rPr>
        <w:t>When measured internally, each escape gap required under this clause must measure not less than 305 mm in length and not less than 54 mm in height.</w:t>
      </w:r>
    </w:p>
    <w:p>
      <w:pPr>
        <w:pStyle w:val="ySubsection"/>
        <w:keepNext/>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tab/>
        <w:t>(c)</w:t>
      </w:r>
      <w:r>
        <w:rPr>
          <w:snapToGrid w:val="0"/>
        </w:rPr>
        <w:tab/>
        <w:t>if the pot has less than 4 escape gaps, in accordance with subclause (7).</w:t>
      </w:r>
    </w:p>
    <w:p>
      <w:pPr>
        <w:pStyle w:val="ySubsection"/>
        <w:keepNext/>
      </w:pPr>
      <w:r>
        <w:tab/>
        <w:t>(7)</w:t>
      </w:r>
      <w:r>
        <w:tab/>
        <w:t xml:space="preserve">For subclause (6)(c) — </w:t>
      </w:r>
    </w:p>
    <w:p>
      <w:pPr>
        <w:pStyle w:val="yIndenta"/>
      </w:pPr>
      <w:r>
        <w:tab/>
        <w:t>(a)</w:t>
      </w:r>
      <w:r>
        <w:tab/>
        <w:t>one escape gap must be positioned opposite the hauling rope attachment point or points; and</w:t>
      </w:r>
    </w:p>
    <w:p>
      <w:pPr>
        <w:pStyle w:val="yIndenta"/>
        <w:keepNext/>
      </w:pPr>
      <w:r>
        <w:tab/>
        <w:t>(b)</w:t>
      </w:r>
      <w:r>
        <w:tab/>
        <w:t>any other escape gap must be positioned as far away as is practicable from the hauling rope attachment point or points.</w:t>
      </w:r>
    </w:p>
    <w:p>
      <w:pPr>
        <w:pStyle w:val="yFootnotesection"/>
      </w:pPr>
      <w:r>
        <w:tab/>
        <w:t>[Clause 3 inserted: Gazette 4 Oct 2016 p. 4238</w:t>
      </w:r>
      <w:r>
        <w:noBreakHyphen/>
        <w:t>9; amended: Gazette 4 Oct 2019 p. 3607-8; SL 2023/2 r. 30.]</w:t>
      </w:r>
    </w:p>
    <w:p>
      <w:pPr>
        <w:sectPr>
          <w:headerReference w:type="even" r:id="rId30"/>
          <w:headerReference w:type="default" r:id="rId31"/>
          <w:pgSz w:w="11907" w:h="16840" w:code="9"/>
          <w:pgMar w:top="2381" w:right="2409" w:bottom="3543" w:left="2409" w:header="720" w:footer="3544" w:gutter="0"/>
          <w:cols w:space="720"/>
          <w:noEndnote/>
          <w:docGrid w:linePitch="326"/>
        </w:sectPr>
      </w:pPr>
    </w:p>
    <w:p>
      <w:pPr>
        <w:pStyle w:val="yScheduleHeading"/>
      </w:pPr>
      <w:bookmarkStart w:id="1377" w:name="_Toc184372838"/>
      <w:bookmarkStart w:id="1378" w:name="_Toc184377991"/>
      <w:bookmarkStart w:id="1379" w:name="_Toc184385348"/>
      <w:bookmarkStart w:id="1380" w:name="_Toc201508745"/>
      <w:bookmarkStart w:id="1381" w:name="_Toc201754576"/>
      <w:bookmarkStart w:id="1382" w:name="_Toc201759306"/>
      <w:r>
        <w:rPr>
          <w:rStyle w:val="CharSchNo"/>
        </w:rPr>
        <w:t>Schedule 14</w:t>
      </w:r>
      <w:bookmarkEnd w:id="1377"/>
      <w:bookmarkEnd w:id="1378"/>
      <w:bookmarkEnd w:id="1379"/>
      <w:bookmarkEnd w:id="1380"/>
      <w:bookmarkEnd w:id="1381"/>
      <w:bookmarkEnd w:id="1382"/>
    </w:p>
    <w:p>
      <w:pPr>
        <w:pStyle w:val="yHeading2"/>
      </w:pPr>
      <w:bookmarkStart w:id="1383" w:name="_Toc184372839"/>
      <w:bookmarkStart w:id="1384" w:name="_Toc184377992"/>
      <w:bookmarkStart w:id="1385" w:name="_Toc184385349"/>
      <w:bookmarkStart w:id="1386" w:name="_Toc201508746"/>
      <w:bookmarkStart w:id="1387" w:name="_Toc201754577"/>
      <w:bookmarkStart w:id="1388" w:name="_Toc201759307"/>
      <w:r>
        <w:rPr>
          <w:rStyle w:val="CharSchText"/>
        </w:rPr>
        <w:t>Forms</w:t>
      </w:r>
      <w:bookmarkEnd w:id="1383"/>
      <w:bookmarkEnd w:id="1384"/>
      <w:bookmarkEnd w:id="1385"/>
      <w:bookmarkEnd w:id="1386"/>
      <w:bookmarkEnd w:id="1387"/>
      <w:bookmarkEnd w:id="1388"/>
    </w:p>
    <w:p>
      <w:pPr>
        <w:pStyle w:val="yEdnotedivision"/>
      </w:pPr>
      <w:r>
        <w:t>[Form 1 deleted: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keepNext/>
        <w:spacing w:before="100"/>
        <w:ind w:left="482"/>
        <w:rPr>
          <w:b/>
          <w:bCs/>
          <w:snapToGrid w:val="0"/>
          <w:sz w:val="18"/>
        </w:rPr>
      </w:pPr>
      <w:r>
        <w:rPr>
          <w:b/>
          <w:bCs/>
          <w:snapToGrid w:val="0"/>
          <w:sz w:val="18"/>
        </w:rPr>
        <w:t>Election for Court</w:t>
      </w:r>
    </w:p>
    <w:p>
      <w:pPr>
        <w:pStyle w:val="yMiscellaneousBody"/>
        <w:keepNext/>
        <w:spacing w:before="0"/>
        <w:ind w:left="480"/>
        <w:rPr>
          <w:snapToGrid w:val="0"/>
          <w:sz w:val="18"/>
        </w:rPr>
      </w:pPr>
      <w:r>
        <w:rPr>
          <w:snapToGrid w:val="0"/>
          <w:sz w:val="18"/>
        </w:rPr>
        <w:t>To have this matter dealt with by a Court, complete the details on back of this form and send it to —</w:t>
      </w:r>
    </w:p>
    <w:p>
      <w:pPr>
        <w:pStyle w:val="yMiscellaneousBody"/>
        <w:keepNext/>
        <w:ind w:left="1077"/>
        <w:rPr>
          <w:snapToGrid w:val="0"/>
          <w:sz w:val="18"/>
          <w:szCs w:val="18"/>
        </w:rPr>
      </w:pPr>
      <w:r>
        <w:rPr>
          <w:snapToGrid w:val="0"/>
          <w:sz w:val="18"/>
        </w:rPr>
        <w:t>Prosecutions Officer</w:t>
      </w:r>
    </w:p>
    <w:p>
      <w:pPr>
        <w:pStyle w:val="yMiscellaneousBody"/>
        <w:keepNext/>
        <w:spacing w:before="0"/>
        <w:ind w:left="1077"/>
        <w:rPr>
          <w:snapToGrid w:val="0"/>
          <w:sz w:val="18"/>
          <w:szCs w:val="18"/>
        </w:rPr>
      </w:pPr>
      <w:r>
        <w:rPr>
          <w:snapToGrid w:val="0"/>
          <w:sz w:val="18"/>
          <w:szCs w:val="18"/>
        </w:rPr>
        <w:t>Department of Primary Industries and Regional Development</w:t>
      </w:r>
    </w:p>
    <w:p>
      <w:pPr>
        <w:pStyle w:val="yMiscellaneousBody"/>
        <w:keepNext/>
        <w:spacing w:before="0"/>
        <w:ind w:left="1077"/>
        <w:rPr>
          <w:snapToGrid w:val="0"/>
          <w:sz w:val="18"/>
          <w:szCs w:val="18"/>
        </w:rPr>
      </w:pPr>
      <w:r>
        <w:rPr>
          <w:snapToGrid w:val="0"/>
          <w:sz w:val="18"/>
          <w:szCs w:val="18"/>
        </w:rPr>
        <w:t>14 Capo D’Orlando Drive</w:t>
      </w:r>
    </w:p>
    <w:p>
      <w:pPr>
        <w:pStyle w:val="yMiscellaneousBody"/>
        <w:keepNext/>
        <w:spacing w:before="0"/>
        <w:ind w:left="1077"/>
        <w:rPr>
          <w:snapToGrid w:val="0"/>
          <w:sz w:val="18"/>
          <w:szCs w:val="18"/>
        </w:rPr>
      </w:pPr>
      <w:r>
        <w:rPr>
          <w:snapToGrid w:val="0"/>
          <w:sz w:val="18"/>
          <w:szCs w:val="18"/>
        </w:rPr>
        <w:t>SOUTH FREMANTLE WA 6162</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Gazette 10 Nov 2006 p. 4710</w:t>
      </w:r>
      <w:r>
        <w:noBreakHyphen/>
        <w:t>11; 4 Oct 2019 p. 3608.]</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Gazette 24 Sep 2013 p. 4451-2.]</w:t>
      </w:r>
    </w:p>
    <w:p>
      <w:pPr>
        <w:pStyle w:val="yScheduleHeading"/>
        <w:sectPr>
          <w:headerReference w:type="even" r:id="rId32"/>
          <w:headerReference w:type="default" r:id="rId33"/>
          <w:pgSz w:w="11907" w:h="16840" w:code="9"/>
          <w:pgMar w:top="2381" w:right="2409" w:bottom="3543" w:left="2409" w:header="720" w:footer="3544" w:gutter="0"/>
          <w:cols w:space="720"/>
          <w:noEndnote/>
          <w:docGrid w:linePitch="326"/>
        </w:sectPr>
      </w:pPr>
    </w:p>
    <w:p>
      <w:pPr>
        <w:pStyle w:val="yScheduleHeading"/>
      </w:pPr>
      <w:bookmarkStart w:id="1389" w:name="_Toc184372840"/>
      <w:bookmarkStart w:id="1390" w:name="_Toc184377993"/>
      <w:bookmarkStart w:id="1391" w:name="_Toc184385350"/>
      <w:bookmarkStart w:id="1392" w:name="_Toc201508747"/>
      <w:bookmarkStart w:id="1393" w:name="_Toc201754578"/>
      <w:bookmarkStart w:id="1394" w:name="_Toc201759308"/>
      <w:r>
        <w:rPr>
          <w:rStyle w:val="CharSchNo"/>
        </w:rPr>
        <w:t>Schedule 15</w:t>
      </w:r>
      <w:r>
        <w:rPr>
          <w:rStyle w:val="CharSDivNo"/>
          <w:sz w:val="28"/>
        </w:rPr>
        <w:t> </w:t>
      </w:r>
      <w:r>
        <w:t>—</w:t>
      </w:r>
      <w:r>
        <w:rPr>
          <w:rStyle w:val="CharSDivText"/>
          <w:sz w:val="28"/>
        </w:rPr>
        <w:t> </w:t>
      </w:r>
      <w:r>
        <w:rPr>
          <w:rStyle w:val="CharSchText"/>
        </w:rPr>
        <w:t>Tour management zones</w:t>
      </w:r>
      <w:bookmarkEnd w:id="1389"/>
      <w:bookmarkEnd w:id="1390"/>
      <w:bookmarkEnd w:id="1391"/>
      <w:bookmarkEnd w:id="1392"/>
      <w:bookmarkEnd w:id="1393"/>
      <w:bookmarkEnd w:id="1394"/>
    </w:p>
    <w:p>
      <w:pPr>
        <w:pStyle w:val="yShoulderClause"/>
      </w:pPr>
      <w:r>
        <w:rPr>
          <w:szCs w:val="22"/>
        </w:rPr>
        <w:t>[r. 128J]</w:t>
      </w:r>
    </w:p>
    <w:p>
      <w:pPr>
        <w:pStyle w:val="yFootnoteheading"/>
      </w:pPr>
      <w:r>
        <w:tab/>
        <w:t>[Heading inserted: Gazette 29 Jun 2001 p. 3180; amended: Gazette 30 May 2014 p. 1737.]</w:t>
      </w:r>
    </w:p>
    <w:p>
      <w:pPr>
        <w:pStyle w:val="yHeading5"/>
      </w:pPr>
      <w:bookmarkStart w:id="1395" w:name="_Toc201759309"/>
      <w:bookmarkStart w:id="1396" w:name="_Toc184385351"/>
      <w:r>
        <w:rPr>
          <w:rStyle w:val="CharSClsNo"/>
        </w:rPr>
        <w:t>1</w:t>
      </w:r>
      <w:r>
        <w:t>.</w:t>
      </w:r>
      <w:r>
        <w:tab/>
        <w:t>Zone 1: Pilbara/Kimberley</w:t>
      </w:r>
      <w:bookmarkEnd w:id="1395"/>
      <w:bookmarkEnd w:id="1396"/>
    </w:p>
    <w:p>
      <w:pPr>
        <w:pStyle w:val="ySubsection"/>
      </w:pPr>
      <w:r>
        <w:tab/>
      </w:r>
      <w:r>
        <w:tab/>
        <w:t>Pilbara and Kimberley Region</w:t>
      </w:r>
    </w:p>
    <w:p>
      <w:pPr>
        <w:pStyle w:val="yFootnotesection"/>
      </w:pPr>
      <w:r>
        <w:tab/>
        <w:t>[Clause 1 inserted: Gazette 1 Oct 2003 p. 4346.]</w:t>
      </w:r>
    </w:p>
    <w:p>
      <w:pPr>
        <w:pStyle w:val="yHeading5"/>
      </w:pPr>
      <w:bookmarkStart w:id="1397" w:name="_Toc201759310"/>
      <w:bookmarkStart w:id="1398" w:name="_Toc184385352"/>
      <w:r>
        <w:rPr>
          <w:rStyle w:val="CharSClsNo"/>
        </w:rPr>
        <w:t>2</w:t>
      </w:r>
      <w:r>
        <w:t>.</w:t>
      </w:r>
      <w:r>
        <w:tab/>
        <w:t>Zone 2: Gascoyne</w:t>
      </w:r>
      <w:bookmarkEnd w:id="1397"/>
      <w:bookmarkEnd w:id="1398"/>
    </w:p>
    <w:p>
      <w:pPr>
        <w:pStyle w:val="ySubsection"/>
      </w:pPr>
      <w:r>
        <w:tab/>
      </w:r>
      <w:r>
        <w:tab/>
        <w:t>Gascoyne Region</w:t>
      </w:r>
    </w:p>
    <w:p>
      <w:pPr>
        <w:pStyle w:val="yFootnotesection"/>
      </w:pPr>
      <w:r>
        <w:tab/>
        <w:t>[Clause 2 inserted: Gazette 1 Oct 2003 p. 4346; amended: Gazette 23 May 2006 p. 1861.]</w:t>
      </w:r>
    </w:p>
    <w:p>
      <w:pPr>
        <w:pStyle w:val="yHeading5"/>
      </w:pPr>
      <w:bookmarkStart w:id="1399" w:name="_Toc201759311"/>
      <w:bookmarkStart w:id="1400" w:name="_Toc184385353"/>
      <w:r>
        <w:rPr>
          <w:rStyle w:val="CharSClsNo"/>
        </w:rPr>
        <w:t>3</w:t>
      </w:r>
      <w:r>
        <w:t>.</w:t>
      </w:r>
      <w:r>
        <w:tab/>
        <w:t>Zone 3: West Coast</w:t>
      </w:r>
      <w:bookmarkEnd w:id="1399"/>
      <w:bookmarkEnd w:id="1400"/>
    </w:p>
    <w:p>
      <w:pPr>
        <w:pStyle w:val="ySubsection"/>
      </w:pPr>
      <w:r>
        <w:tab/>
      </w:r>
      <w:r>
        <w:tab/>
        <w:t>West Coast Region</w:t>
      </w:r>
    </w:p>
    <w:p>
      <w:pPr>
        <w:pStyle w:val="yFootnotesection"/>
      </w:pPr>
      <w:r>
        <w:tab/>
        <w:t>[Clause 3 inserted: Gazette 23 Jan 2015 p. 407.]</w:t>
      </w:r>
    </w:p>
    <w:p>
      <w:pPr>
        <w:pStyle w:val="yHeading5"/>
      </w:pPr>
      <w:bookmarkStart w:id="1401" w:name="_Toc201759312"/>
      <w:bookmarkStart w:id="1402" w:name="_Toc184385354"/>
      <w:r>
        <w:rPr>
          <w:rStyle w:val="CharSClsNo"/>
        </w:rPr>
        <w:t>4</w:t>
      </w:r>
      <w:r>
        <w:t>.</w:t>
      </w:r>
      <w:r>
        <w:tab/>
        <w:t>Zone 4: South Coast</w:t>
      </w:r>
      <w:bookmarkEnd w:id="1401"/>
      <w:bookmarkEnd w:id="1402"/>
    </w:p>
    <w:p>
      <w:pPr>
        <w:pStyle w:val="ySubsection"/>
      </w:pPr>
      <w:r>
        <w:tab/>
      </w:r>
      <w:r>
        <w:tab/>
        <w:t>South Coast Region</w:t>
      </w:r>
    </w:p>
    <w:p>
      <w:pPr>
        <w:pStyle w:val="yFootnotesection"/>
      </w:pPr>
      <w:r>
        <w:tab/>
        <w:t>[Clause 4 inserted: Gazette 23 Jan 2015 p. 407.]</w:t>
      </w:r>
    </w:p>
    <w:p>
      <w:pPr>
        <w:pStyle w:val="yScheduleHeading"/>
      </w:pPr>
      <w:bookmarkStart w:id="1403" w:name="_Toc184372845"/>
      <w:bookmarkStart w:id="1404" w:name="_Toc184377998"/>
      <w:bookmarkStart w:id="1405" w:name="_Toc184385355"/>
      <w:bookmarkStart w:id="1406" w:name="_Toc201508752"/>
      <w:bookmarkStart w:id="1407" w:name="_Toc201754583"/>
      <w:bookmarkStart w:id="1408" w:name="_Toc201759313"/>
      <w:r>
        <w:rPr>
          <w:rStyle w:val="CharSchNo"/>
        </w:rPr>
        <w:t>Schedule 16</w:t>
      </w:r>
      <w:r>
        <w:t> — </w:t>
      </w:r>
      <w:r>
        <w:rPr>
          <w:rStyle w:val="CharSchText"/>
        </w:rPr>
        <w:t>Abalone zones</w:t>
      </w:r>
      <w:bookmarkEnd w:id="1403"/>
      <w:bookmarkEnd w:id="1404"/>
      <w:bookmarkEnd w:id="1405"/>
      <w:bookmarkEnd w:id="1406"/>
      <w:bookmarkEnd w:id="1407"/>
      <w:bookmarkEnd w:id="1408"/>
    </w:p>
    <w:p>
      <w:pPr>
        <w:pStyle w:val="Subsection"/>
        <w:jc w:val="right"/>
      </w:pPr>
      <w:r>
        <w:rPr>
          <w:sz w:val="22"/>
        </w:rPr>
        <w:t>[r. 3(1)]</w:t>
      </w:r>
    </w:p>
    <w:p>
      <w:pPr>
        <w:pStyle w:val="yFootnoteheading"/>
      </w:pPr>
      <w:r>
        <w:tab/>
        <w:t>[Heading inserted: Gazette 10 Nov 2006 p. 4711; amended: Gazette 27 Aug 2013 p. 4057; 4 Oct 2019 p. 3609.]</w:t>
      </w:r>
    </w:p>
    <w:p>
      <w:pPr>
        <w:pStyle w:val="yHeading5"/>
      </w:pPr>
      <w:bookmarkStart w:id="1409" w:name="_Toc201759314"/>
      <w:bookmarkStart w:id="1410" w:name="_Toc184385356"/>
      <w:r>
        <w:rPr>
          <w:rStyle w:val="CharSClsNo"/>
        </w:rPr>
        <w:t>1</w:t>
      </w:r>
      <w:r>
        <w:t>.</w:t>
      </w:r>
      <w:r>
        <w:tab/>
        <w:t>Abalone Zone 1: Busselton Jetty to Greenough River mouth</w:t>
      </w:r>
      <w:bookmarkEnd w:id="1409"/>
      <w:bookmarkEnd w:id="1410"/>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Gazette 10 Nov 2006 p. 4711</w:t>
      </w:r>
      <w:r>
        <w:noBreakHyphen/>
        <w:t>12.]</w:t>
      </w:r>
    </w:p>
    <w:p>
      <w:pPr>
        <w:pStyle w:val="yHeading5"/>
      </w:pPr>
      <w:bookmarkStart w:id="1411" w:name="_Toc201759315"/>
      <w:bookmarkStart w:id="1412" w:name="_Toc184385357"/>
      <w:r>
        <w:rPr>
          <w:rStyle w:val="CharSClsNo"/>
        </w:rPr>
        <w:t>2</w:t>
      </w:r>
      <w:r>
        <w:t>.</w:t>
      </w:r>
      <w:r>
        <w:tab/>
        <w:t>Abalone Zone 2: Greenough River mouth to Northern Territory border</w:t>
      </w:r>
      <w:bookmarkEnd w:id="1411"/>
      <w:bookmarkEnd w:id="1412"/>
    </w:p>
    <w:p>
      <w:pPr>
        <w:pStyle w:val="ySubsection"/>
        <w:keepNext/>
        <w:keepLines/>
      </w:pPr>
      <w:r>
        <w:tab/>
      </w:r>
      <w:r>
        <w:tab/>
        <w:t>All —</w:t>
      </w:r>
    </w:p>
    <w:p>
      <w:pPr>
        <w:pStyle w:val="yIndenta"/>
        <w:keepNext/>
        <w:keepLines/>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Gazette 10 Nov 2006 p. 4712.]</w:t>
      </w:r>
    </w:p>
    <w:p>
      <w:pPr>
        <w:pStyle w:val="yHeading5"/>
      </w:pPr>
      <w:bookmarkStart w:id="1413" w:name="_Toc201759316"/>
      <w:bookmarkStart w:id="1414" w:name="_Toc184385358"/>
      <w:r>
        <w:rPr>
          <w:rStyle w:val="CharSClsNo"/>
        </w:rPr>
        <w:t>3</w:t>
      </w:r>
      <w:r>
        <w:t>.</w:t>
      </w:r>
      <w:r>
        <w:tab/>
        <w:t>Abalone Zone 3: Busselton Jetty to South Australian border</w:t>
      </w:r>
      <w:bookmarkEnd w:id="1413"/>
      <w:bookmarkEnd w:id="1414"/>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Gazette 10 Nov 2006 p. 4712.]</w:t>
      </w:r>
    </w:p>
    <w:p>
      <w:pPr>
        <w:sectPr>
          <w:headerReference w:type="even" r:id="rId34"/>
          <w:headerReference w:type="default" r:id="rId35"/>
          <w:pgSz w:w="11907" w:h="16840" w:code="9"/>
          <w:pgMar w:top="2381" w:right="2409" w:bottom="3543" w:left="2409" w:header="720" w:footer="3544" w:gutter="0"/>
          <w:cols w:space="720"/>
          <w:noEndnote/>
          <w:docGrid w:linePitch="326"/>
        </w:sectPr>
      </w:pPr>
    </w:p>
    <w:p>
      <w:pPr>
        <w:pStyle w:val="yScheduleHeading"/>
      </w:pPr>
      <w:bookmarkStart w:id="1415" w:name="_Toc184372849"/>
      <w:bookmarkStart w:id="1416" w:name="_Toc184378002"/>
      <w:bookmarkStart w:id="1417" w:name="_Toc184385359"/>
      <w:bookmarkStart w:id="1418" w:name="_Toc201508756"/>
      <w:bookmarkStart w:id="1419" w:name="_Toc201754587"/>
      <w:bookmarkStart w:id="1420" w:name="_Toc201759317"/>
      <w:r>
        <w:rPr>
          <w:rStyle w:val="CharSchNo"/>
        </w:rPr>
        <w:t>Schedule 17</w:t>
      </w:r>
      <w:r>
        <w:t> — </w:t>
      </w:r>
      <w:r>
        <w:rPr>
          <w:rStyle w:val="CharSchText"/>
        </w:rPr>
        <w:t>Fish diseases</w:t>
      </w:r>
      <w:bookmarkEnd w:id="1415"/>
      <w:bookmarkEnd w:id="1416"/>
      <w:bookmarkEnd w:id="1417"/>
      <w:bookmarkEnd w:id="1418"/>
      <w:bookmarkEnd w:id="1419"/>
      <w:bookmarkEnd w:id="1420"/>
    </w:p>
    <w:p>
      <w:pPr>
        <w:pStyle w:val="yShoulderClause"/>
      </w:pPr>
      <w:r>
        <w:t>[r. 3]</w:t>
      </w:r>
    </w:p>
    <w:p>
      <w:pPr>
        <w:pStyle w:val="yFootnoteheading"/>
      </w:pPr>
      <w:r>
        <w:tab/>
        <w:t>[Heading inserted: Gazette 24 Sep 2013 p. 4453.]</w:t>
      </w:r>
    </w:p>
    <w:p>
      <w:pPr>
        <w:pStyle w:val="yHeading3"/>
      </w:pPr>
      <w:bookmarkStart w:id="1421" w:name="_Toc184372850"/>
      <w:bookmarkStart w:id="1422" w:name="_Toc184378003"/>
      <w:bookmarkStart w:id="1423" w:name="_Toc184385360"/>
      <w:bookmarkStart w:id="1424" w:name="_Toc201508757"/>
      <w:bookmarkStart w:id="1425" w:name="_Toc201754588"/>
      <w:bookmarkStart w:id="1426" w:name="_Toc201759318"/>
      <w:r>
        <w:rPr>
          <w:rStyle w:val="CharSDivNo"/>
        </w:rPr>
        <w:t>Division 1</w:t>
      </w:r>
      <w:r>
        <w:t> — </w:t>
      </w:r>
      <w:r>
        <w:rPr>
          <w:rStyle w:val="CharSDivText"/>
        </w:rPr>
        <w:t>Diseases of crustaceans</w:t>
      </w:r>
      <w:bookmarkEnd w:id="1421"/>
      <w:bookmarkEnd w:id="1422"/>
      <w:bookmarkEnd w:id="1423"/>
      <w:bookmarkEnd w:id="1424"/>
      <w:bookmarkEnd w:id="1425"/>
      <w:bookmarkEnd w:id="1426"/>
    </w:p>
    <w:p>
      <w:pPr>
        <w:pStyle w:val="yFootnoteheading"/>
      </w:pPr>
      <w:r>
        <w:tab/>
        <w:t>[Heading inserted: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Gazette 24 Sep 2013 p. 4453.]</w:t>
      </w:r>
    </w:p>
    <w:p>
      <w:pPr>
        <w:pStyle w:val="yHeading3"/>
      </w:pPr>
      <w:bookmarkStart w:id="1427" w:name="_Toc184372851"/>
      <w:bookmarkStart w:id="1428" w:name="_Toc184378004"/>
      <w:bookmarkStart w:id="1429" w:name="_Toc184385361"/>
      <w:bookmarkStart w:id="1430" w:name="_Toc201508758"/>
      <w:bookmarkStart w:id="1431" w:name="_Toc201754589"/>
      <w:bookmarkStart w:id="1432" w:name="_Toc201759319"/>
      <w:r>
        <w:rPr>
          <w:rStyle w:val="CharSDivNo"/>
        </w:rPr>
        <w:t>Division 2</w:t>
      </w:r>
      <w:r>
        <w:t> — </w:t>
      </w:r>
      <w:r>
        <w:rPr>
          <w:rStyle w:val="CharSDivText"/>
        </w:rPr>
        <w:t>Diseases of molluscs</w:t>
      </w:r>
      <w:bookmarkEnd w:id="1427"/>
      <w:bookmarkEnd w:id="1428"/>
      <w:bookmarkEnd w:id="1429"/>
      <w:bookmarkEnd w:id="1430"/>
      <w:bookmarkEnd w:id="1431"/>
      <w:bookmarkEnd w:id="1432"/>
    </w:p>
    <w:p>
      <w:pPr>
        <w:pStyle w:val="yFootnoteheading"/>
      </w:pPr>
      <w:r>
        <w:tab/>
        <w:t>[Heading inserted: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Gazette 24 Sep 2013 p. 4453-4.]</w:t>
      </w:r>
    </w:p>
    <w:p>
      <w:pPr>
        <w:pStyle w:val="yHeading3"/>
      </w:pPr>
      <w:bookmarkStart w:id="1433" w:name="_Toc184372852"/>
      <w:bookmarkStart w:id="1434" w:name="_Toc184378005"/>
      <w:bookmarkStart w:id="1435" w:name="_Toc184385362"/>
      <w:bookmarkStart w:id="1436" w:name="_Toc201508759"/>
      <w:bookmarkStart w:id="1437" w:name="_Toc201754590"/>
      <w:bookmarkStart w:id="1438" w:name="_Toc201759320"/>
      <w:r>
        <w:rPr>
          <w:rStyle w:val="CharSDivNo"/>
        </w:rPr>
        <w:t>Division 3</w:t>
      </w:r>
      <w:r>
        <w:t> — </w:t>
      </w:r>
      <w:r>
        <w:rPr>
          <w:rStyle w:val="CharSDivText"/>
        </w:rPr>
        <w:t>Diseases of other fish</w:t>
      </w:r>
      <w:bookmarkEnd w:id="1433"/>
      <w:bookmarkEnd w:id="1434"/>
      <w:bookmarkEnd w:id="1435"/>
      <w:bookmarkEnd w:id="1436"/>
      <w:bookmarkEnd w:id="1437"/>
      <w:bookmarkEnd w:id="1438"/>
    </w:p>
    <w:p>
      <w:pPr>
        <w:pStyle w:val="yFootnoteheading"/>
      </w:pPr>
      <w:r>
        <w:tab/>
        <w:t>[Heading inserted: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Gazette 24 Sep 2013 p. 4454-5.]</w:t>
      </w:r>
    </w:p>
    <w:p>
      <w:pPr>
        <w:pStyle w:val="yScheduleHeading"/>
      </w:pPr>
      <w:bookmarkStart w:id="1439" w:name="_Toc184372853"/>
      <w:bookmarkStart w:id="1440" w:name="_Toc184378006"/>
      <w:bookmarkStart w:id="1441" w:name="_Toc184385363"/>
      <w:bookmarkStart w:id="1442" w:name="_Toc201508760"/>
      <w:bookmarkStart w:id="1443" w:name="_Toc201754591"/>
      <w:bookmarkStart w:id="1444" w:name="_Toc201759321"/>
      <w:r>
        <w:rPr>
          <w:rStyle w:val="CharSchNo"/>
        </w:rPr>
        <w:t>Schedule 18</w:t>
      </w:r>
      <w:r>
        <w:rPr>
          <w:rStyle w:val="CharSDivNo"/>
        </w:rPr>
        <w:t> </w:t>
      </w:r>
      <w:r>
        <w:t>—</w:t>
      </w:r>
      <w:r>
        <w:rPr>
          <w:rStyle w:val="CharSDivText"/>
        </w:rPr>
        <w:t> </w:t>
      </w:r>
      <w:r>
        <w:rPr>
          <w:rStyle w:val="CharSchText"/>
        </w:rPr>
        <w:t>Diseases of pearl oysters</w:t>
      </w:r>
      <w:bookmarkEnd w:id="1439"/>
      <w:bookmarkEnd w:id="1440"/>
      <w:bookmarkEnd w:id="1441"/>
      <w:bookmarkEnd w:id="1442"/>
      <w:bookmarkEnd w:id="1443"/>
      <w:bookmarkEnd w:id="1444"/>
    </w:p>
    <w:p>
      <w:pPr>
        <w:pStyle w:val="yShoulderClause"/>
      </w:pPr>
      <w:r>
        <w:t>[r. 144A]</w:t>
      </w:r>
    </w:p>
    <w:p>
      <w:pPr>
        <w:pStyle w:val="yFootnoteheading"/>
      </w:pPr>
      <w:r>
        <w:tab/>
        <w:t>[Heading inserted: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Gazette 24 Sep 2013 p. 4455-6.]</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7"/>
          <w:headerReference w:type="default" r:id="rId38"/>
          <w:pgSz w:w="11907" w:h="16840" w:code="9"/>
          <w:pgMar w:top="2381" w:right="2409" w:bottom="3543" w:left="2409" w:header="720" w:footer="3544" w:gutter="0"/>
          <w:cols w:space="720"/>
          <w:noEndnote/>
          <w:docGrid w:linePitch="326"/>
        </w:sectPr>
      </w:pPr>
    </w:p>
    <w:p>
      <w:pPr>
        <w:pStyle w:val="nHeading2"/>
      </w:pPr>
      <w:bookmarkStart w:id="1445" w:name="_Toc184372854"/>
      <w:bookmarkStart w:id="1446" w:name="_Toc184378007"/>
      <w:bookmarkStart w:id="1447" w:name="_Toc184385364"/>
      <w:bookmarkStart w:id="1448" w:name="_Toc201508761"/>
      <w:bookmarkStart w:id="1449" w:name="_Toc201754592"/>
      <w:bookmarkStart w:id="1450" w:name="_Toc201759322"/>
      <w:r>
        <w:t>Notes</w:t>
      </w:r>
      <w:bookmarkEnd w:id="1445"/>
      <w:bookmarkEnd w:id="1446"/>
      <w:bookmarkEnd w:id="1447"/>
      <w:bookmarkEnd w:id="1448"/>
      <w:bookmarkEnd w:id="1449"/>
      <w:bookmarkEnd w:id="1450"/>
    </w:p>
    <w:p>
      <w:pPr>
        <w:pStyle w:val="nStatement"/>
      </w:pPr>
      <w:r>
        <w:t xml:space="preserve">This is a compilation of the </w:t>
      </w:r>
      <w:r>
        <w:rPr>
          <w:i/>
          <w:noProof/>
        </w:rPr>
        <w:t>Fish Resources Management Regulations 1995</w:t>
      </w:r>
      <w:r>
        <w:t xml:space="preserve"> and includes amendments made by other written laws. For provisions that have come into operation, </w:t>
      </w:r>
      <w:del w:id="1451" w:author="Master Repository Process" w:date="2025-06-25T16:38:00Z">
        <w:r>
          <w:delText>and for information about any reprints</w:delText>
        </w:r>
      </w:del>
      <w:ins w:id="1452" w:author="Master Repository Process" w:date="2025-06-25T16:38:00Z">
        <w:r>
          <w:t xml:space="preserve">or versions that include editorial changes made under the </w:t>
        </w:r>
        <w:r>
          <w:rPr>
            <w:i/>
          </w:rPr>
          <w:t>Legislation Act 2021</w:t>
        </w:r>
        <w:r>
          <w:t xml:space="preserve"> Part 3</w:t>
        </w:r>
      </w:ins>
      <w:r>
        <w:t xml:space="preserve">, see the compilation table. </w:t>
      </w:r>
      <w:ins w:id="1453" w:author="Master Repository Process" w:date="2025-06-25T16:38:00Z">
        <w:r>
          <w:t>For provisions affected by editorial changes see the editorial changes table.</w:t>
        </w:r>
      </w:ins>
    </w:p>
    <w:p>
      <w:pPr>
        <w:pStyle w:val="nHeading3"/>
      </w:pPr>
      <w:bookmarkStart w:id="1454" w:name="_Toc201759323"/>
      <w:bookmarkStart w:id="1455" w:name="_Toc184385365"/>
      <w:r>
        <w:t>Compilation table</w:t>
      </w:r>
      <w:bookmarkEnd w:id="1454"/>
      <w:bookmarkEnd w:id="1455"/>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3" w:type="dxa"/>
            <w:tcBorders>
              <w:top w:val="single" w:sz="8" w:space="0" w:color="auto"/>
            </w:tcBorders>
          </w:tcPr>
          <w:p>
            <w:pPr>
              <w:pStyle w:val="nTable"/>
              <w:spacing w:after="40"/>
            </w:pPr>
            <w:r>
              <w:t>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3" w:type="dxa"/>
          </w:tcPr>
          <w:p>
            <w:pPr>
              <w:pStyle w:val="nTable"/>
              <w:spacing w:after="40"/>
            </w:pPr>
            <w:r>
              <w:t>22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3" w:type="dxa"/>
          </w:tcPr>
          <w:p>
            <w:pPr>
              <w:pStyle w:val="nTable"/>
              <w:spacing w:after="40"/>
            </w:pPr>
            <w:r>
              <w:t>30 Aug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3" w:type="dxa"/>
          </w:tcPr>
          <w:p>
            <w:pPr>
              <w:pStyle w:val="nTable"/>
              <w:spacing w:after="40"/>
            </w:pPr>
            <w:r>
              <w:t>1 Apr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3" w:type="dxa"/>
          </w:tcPr>
          <w:p>
            <w:pPr>
              <w:pStyle w:val="nTable"/>
              <w:spacing w:after="40"/>
            </w:pPr>
            <w:r>
              <w:t>4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3" w:type="dxa"/>
          </w:tcPr>
          <w:p>
            <w:pPr>
              <w:pStyle w:val="nTable"/>
              <w:keepNext/>
              <w:keepLines/>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3" w:type="dxa"/>
          </w:tcPr>
          <w:p>
            <w:pPr>
              <w:pStyle w:val="nTable"/>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3" w:type="dxa"/>
          </w:tcPr>
          <w:p>
            <w:pPr>
              <w:pStyle w:val="nTable"/>
              <w:spacing w:after="40"/>
            </w:pPr>
            <w:r>
              <w:t>2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3" w:type="dxa"/>
          </w:tcPr>
          <w:p>
            <w:pPr>
              <w:pStyle w:val="nTable"/>
              <w:spacing w:after="40"/>
            </w:pPr>
            <w:r>
              <w:t>19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3" w:type="dxa"/>
          </w:tcPr>
          <w:p>
            <w:pPr>
              <w:pStyle w:val="nTable"/>
              <w:spacing w:after="40"/>
            </w:pPr>
            <w:r>
              <w:t>7 Jul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3" w:type="dxa"/>
          </w:tcPr>
          <w:p>
            <w:pPr>
              <w:pStyle w:val="nTable"/>
              <w:spacing w:after="40"/>
            </w:pPr>
            <w:r>
              <w:t>25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3" w:type="dxa"/>
          </w:tcPr>
          <w:p>
            <w:pPr>
              <w:pStyle w:val="nTable"/>
              <w:spacing w:after="40"/>
            </w:pPr>
            <w:r>
              <w:t>15 Jan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Fish Resources Management Amendment Regulations 1999</w:t>
            </w:r>
            <w:r>
              <w:rPr>
                <w:vertAlign w:val="superscript"/>
              </w:rPr>
              <w:t> 5</w:t>
            </w:r>
          </w:p>
        </w:tc>
        <w:tc>
          <w:tcPr>
            <w:tcW w:w="1276" w:type="dxa"/>
          </w:tcPr>
          <w:p>
            <w:pPr>
              <w:pStyle w:val="nTable"/>
              <w:spacing w:after="40"/>
            </w:pPr>
            <w:r>
              <w:t>26 Mar 1999 p. 1279</w:t>
            </w:r>
            <w:r>
              <w:noBreakHyphen/>
              <w:t>80</w:t>
            </w:r>
          </w:p>
        </w:tc>
        <w:tc>
          <w:tcPr>
            <w:tcW w:w="2693" w:type="dxa"/>
          </w:tcPr>
          <w:p>
            <w:pPr>
              <w:pStyle w:val="nTable"/>
              <w:spacing w:after="40"/>
            </w:pPr>
            <w:r>
              <w:t>26 Mar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3" w:type="dxa"/>
          </w:tcPr>
          <w:p>
            <w:pPr>
              <w:pStyle w:val="nTable"/>
              <w:spacing w:after="40"/>
            </w:pPr>
            <w:r>
              <w:t>23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3" w:type="dxa"/>
          </w:tcPr>
          <w:p>
            <w:pPr>
              <w:pStyle w:val="nTable"/>
              <w:spacing w:after="40"/>
            </w:pPr>
            <w:r>
              <w:t>13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3" w:type="dxa"/>
          </w:tcPr>
          <w:p>
            <w:pPr>
              <w:pStyle w:val="nTable"/>
              <w:spacing w:after="40"/>
            </w:pPr>
            <w:r>
              <w:t>28 Sep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3" w:type="dxa"/>
          </w:tcPr>
          <w:p>
            <w:pPr>
              <w:pStyle w:val="nTable"/>
              <w:spacing w:after="40"/>
            </w:pPr>
            <w:r>
              <w:t>7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3" w:type="dxa"/>
          </w:tcPr>
          <w:p>
            <w:pPr>
              <w:pStyle w:val="nTable"/>
              <w:spacing w:after="40"/>
            </w:pPr>
            <w:r>
              <w:t>25 Aug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3" w:type="dxa"/>
          </w:tcPr>
          <w:p>
            <w:pPr>
              <w:pStyle w:val="nTable"/>
              <w:spacing w:after="40"/>
            </w:pPr>
            <w:r>
              <w:t>8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3" w:type="dxa"/>
          </w:tcPr>
          <w:p>
            <w:pPr>
              <w:pStyle w:val="nTable"/>
              <w:spacing w:after="40"/>
            </w:pPr>
            <w:r>
              <w:t>26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3" w:type="dxa"/>
          </w:tcPr>
          <w:p>
            <w:pPr>
              <w:pStyle w:val="nTable"/>
              <w:spacing w:after="40"/>
            </w:pPr>
            <w:r>
              <w:t xml:space="preserve">6 Oct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3" w:type="dxa"/>
          </w:tcPr>
          <w:p>
            <w:pPr>
              <w:pStyle w:val="nTable"/>
              <w:spacing w:after="40"/>
            </w:pPr>
            <w:r>
              <w:t>24 Oct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3" w:type="dxa"/>
          </w:tcPr>
          <w:p>
            <w:pPr>
              <w:pStyle w:val="nTable"/>
              <w:spacing w:after="40"/>
            </w:pPr>
            <w:r>
              <w:t>3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3" w:type="dxa"/>
          </w:tcPr>
          <w:p>
            <w:pPr>
              <w:pStyle w:val="nTable"/>
              <w:spacing w:after="40"/>
            </w:pPr>
            <w:r>
              <w:t>31 Mar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3" w:type="dxa"/>
          </w:tcPr>
          <w:p>
            <w:pPr>
              <w:pStyle w:val="nTable"/>
              <w:spacing w:after="40"/>
            </w:pPr>
            <w:r>
              <w:t>13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3" w:type="dxa"/>
          </w:tcPr>
          <w:p>
            <w:pPr>
              <w:pStyle w:val="nTable"/>
              <w:spacing w:after="40"/>
            </w:pPr>
            <w:r>
              <w:t>25 Sep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3" w:type="dxa"/>
          </w:tcPr>
          <w:p>
            <w:pPr>
              <w:pStyle w:val="nTable"/>
              <w:spacing w:after="40"/>
            </w:pPr>
            <w:r>
              <w:t>12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3" w:type="dxa"/>
          </w:tcPr>
          <w:p>
            <w:pPr>
              <w:pStyle w:val="nTable"/>
              <w:spacing w:after="40"/>
            </w:pPr>
            <w:r>
              <w:t>31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3" w:type="dxa"/>
          </w:tcPr>
          <w:p>
            <w:pPr>
              <w:pStyle w:val="nTable"/>
              <w:spacing w:after="40"/>
            </w:pPr>
            <w:r>
              <w:t>14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3" w:type="dxa"/>
          </w:tcPr>
          <w:p>
            <w:pPr>
              <w:pStyle w:val="nTable"/>
              <w:spacing w:after="40"/>
            </w:pPr>
            <w:r>
              <w:t>20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3" w:type="dxa"/>
          </w:tcPr>
          <w:p>
            <w:pPr>
              <w:pStyle w:val="nTable"/>
              <w:spacing w:after="40"/>
            </w:pPr>
            <w:r>
              <w:t>1 Jan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3" w:type="dxa"/>
          </w:tcPr>
          <w:p>
            <w:pPr>
              <w:pStyle w:val="nTable"/>
              <w:spacing w:after="40"/>
            </w:pPr>
            <w:r>
              <w:t>22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3" w:type="dxa"/>
          </w:tcPr>
          <w:p>
            <w:pPr>
              <w:pStyle w:val="nTable"/>
              <w:spacing w:after="40"/>
            </w:pPr>
            <w:r>
              <w:t>1 Mar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3" w:type="dxa"/>
          </w:tcPr>
          <w:p>
            <w:pPr>
              <w:pStyle w:val="nTable"/>
              <w:spacing w:after="40"/>
            </w:pPr>
            <w:r>
              <w:t>3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3" w:type="dxa"/>
          </w:tcPr>
          <w:p>
            <w:pPr>
              <w:pStyle w:val="nTable"/>
              <w:spacing w:after="40"/>
            </w:pPr>
            <w:r>
              <w:t>1 Oct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3" w:type="dxa"/>
          </w:tcPr>
          <w:p>
            <w:pPr>
              <w:pStyle w:val="nTable"/>
              <w:spacing w:after="40"/>
            </w:pPr>
            <w:r>
              <w:t>11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3" w:type="dxa"/>
          </w:tcPr>
          <w:p>
            <w:pPr>
              <w:pStyle w:val="nTable"/>
              <w:spacing w:after="40"/>
            </w:pPr>
            <w:r>
              <w:t>21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3" w:type="dxa"/>
          </w:tcPr>
          <w:p>
            <w:pPr>
              <w:pStyle w:val="nTable"/>
              <w:spacing w:after="40"/>
            </w:pPr>
            <w:r>
              <w:t>1 Mar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3" w:type="dxa"/>
          </w:tcPr>
          <w:p>
            <w:pPr>
              <w:pStyle w:val="nTable"/>
              <w:spacing w:after="40"/>
            </w:pPr>
            <w:r>
              <w:t xml:space="preserve">8 Nov 2003 (see r. 2 and </w:t>
            </w:r>
            <w:r>
              <w:rPr>
                <w:i/>
              </w:rPr>
              <w:t>Gazette</w:t>
            </w:r>
            <w:r>
              <w:t xml:space="preserve"> 2 Sep 2003 p. 3923)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3" w:type="dxa"/>
          </w:tcPr>
          <w:p>
            <w:pPr>
              <w:pStyle w:val="nTable"/>
              <w:spacing w:after="40"/>
            </w:pPr>
            <w:r>
              <w:t>19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3" w:type="dxa"/>
          </w:tcPr>
          <w:p>
            <w:pPr>
              <w:pStyle w:val="nTable"/>
              <w:spacing w:after="40"/>
            </w:pPr>
            <w:r>
              <w:t>23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3" w:type="dxa"/>
          </w:tcPr>
          <w:p>
            <w:pPr>
              <w:pStyle w:val="nTable"/>
              <w:spacing w:after="40"/>
            </w:pPr>
            <w:r>
              <w:t>1 Mar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3" w:type="dxa"/>
          </w:tcPr>
          <w:p>
            <w:pPr>
              <w:pStyle w:val="nTable"/>
              <w:spacing w:after="40"/>
            </w:pPr>
            <w:r>
              <w:t>29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3" w:type="dxa"/>
          </w:tcPr>
          <w:p>
            <w:pPr>
              <w:pStyle w:val="nTable"/>
              <w:spacing w:after="40"/>
            </w:pPr>
            <w:r>
              <w:t>30 Sep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3" w:type="dxa"/>
          </w:tcPr>
          <w:p>
            <w:pPr>
              <w:pStyle w:val="nTable"/>
              <w:spacing w:after="40"/>
            </w:pPr>
            <w:r>
              <w:t>1 Mar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3" w:type="dxa"/>
          </w:tcPr>
          <w:p>
            <w:pPr>
              <w:pStyle w:val="nTable"/>
              <w:spacing w:after="40"/>
            </w:pPr>
            <w:r>
              <w:t>3 Jun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3" w:type="dxa"/>
          </w:tcPr>
          <w:p>
            <w:pPr>
              <w:pStyle w:val="nTable"/>
              <w:spacing w:after="40"/>
            </w:pPr>
            <w:r>
              <w:t>15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3" w:type="dxa"/>
          </w:tcPr>
          <w:p>
            <w:pPr>
              <w:pStyle w:val="nTable"/>
              <w:spacing w:after="40"/>
            </w:pPr>
            <w:r>
              <w:t>4 Oct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3" w:type="dxa"/>
          </w:tcPr>
          <w:p>
            <w:pPr>
              <w:pStyle w:val="nTable"/>
              <w:spacing w:after="40"/>
            </w:pPr>
            <w:r>
              <w:t>4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3" w:type="dxa"/>
          </w:tcPr>
          <w:p>
            <w:pPr>
              <w:pStyle w:val="nTable"/>
              <w:spacing w:after="40"/>
            </w:pPr>
            <w:r>
              <w:t>11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3" w:type="dxa"/>
          </w:tcPr>
          <w:p>
            <w:pPr>
              <w:pStyle w:val="nTable"/>
              <w:spacing w:after="40"/>
            </w:pPr>
            <w:r>
              <w:t>1 Mar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3" w:type="dxa"/>
          </w:tcPr>
          <w:p>
            <w:pPr>
              <w:pStyle w:val="nTable"/>
              <w:spacing w:after="40"/>
            </w:pPr>
            <w:r>
              <w:t>7 Mar 2006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3" w:type="dxa"/>
          </w:tcPr>
          <w:p>
            <w:pPr>
              <w:pStyle w:val="nTable"/>
              <w:spacing w:after="40"/>
            </w:pPr>
            <w:r>
              <w:t>5 Sep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3" w:type="dxa"/>
          </w:tcPr>
          <w:p>
            <w:pPr>
              <w:pStyle w:val="nTable"/>
              <w:spacing w:after="40"/>
            </w:pPr>
            <w:r>
              <w:t>6 Jul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3" w:type="dxa"/>
          </w:tcPr>
          <w:p>
            <w:pPr>
              <w:pStyle w:val="nTable"/>
              <w:spacing w:after="40"/>
            </w:pPr>
            <w:r>
              <w:rPr>
                <w:snapToGrid w:val="0"/>
              </w:rPr>
              <w:t>r. 1 and 2: 14 Aug 2007 (see r. 2(a));</w:t>
            </w:r>
            <w:r>
              <w:rPr>
                <w:snapToGrid w:val="0"/>
              </w:rPr>
              <w:br/>
              <w:t>Regulations other than r. 1 and 2: 15 Aug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3" w:type="dxa"/>
          </w:tcPr>
          <w:p>
            <w:pPr>
              <w:pStyle w:val="nTable"/>
              <w:spacing w:after="40"/>
              <w:rPr>
                <w:snapToGrid w:val="0"/>
              </w:rPr>
            </w:pPr>
            <w:r>
              <w:rPr>
                <w:snapToGrid w:val="0"/>
              </w:rPr>
              <w:t>r. 1 and 2: 4 Sep 2007 (see r. 2(a));</w:t>
            </w:r>
            <w:r>
              <w:rPr>
                <w:snapToGrid w:val="0"/>
              </w:rPr>
              <w:br/>
              <w:t>Regulations other than r. 1 and 2: 5 Sep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3" w:type="dxa"/>
          </w:tcPr>
          <w:p>
            <w:pPr>
              <w:pStyle w:val="nTable"/>
              <w:spacing w:after="40"/>
              <w:rPr>
                <w:snapToGrid w:val="0"/>
              </w:rPr>
            </w:pPr>
            <w:r>
              <w:rPr>
                <w:snapToGrid w:val="0"/>
              </w:rPr>
              <w:t>r. 1 and 2: 13 Nov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3"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rPr>
            </w:pPr>
            <w:r>
              <w:rPr>
                <w:snapToGrid w:val="0"/>
              </w:rPr>
              <w:t>r. 1 and 2: 27 May 2008 (see r. 2(a));</w:t>
            </w:r>
            <w:r>
              <w:rPr>
                <w:snapToGrid w:val="0"/>
              </w:rPr>
              <w:br/>
              <w:t>Regulations other than r. 1 and 2: 28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rPr>
            </w:pPr>
            <w:r>
              <w:rPr>
                <w:snapToGrid w:val="0"/>
              </w:rPr>
              <w:t>r. 1 and 2: 29 May 2008 (see r. 2(a));</w:t>
            </w:r>
            <w:r>
              <w:rPr>
                <w:snapToGrid w:val="0"/>
              </w:rPr>
              <w:br/>
              <w:t>Regulations other than r. 1 and 2: 30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rPr>
            </w:pPr>
            <w:r>
              <w:rPr>
                <w:snapToGrid w:val="0"/>
              </w:rPr>
              <w:t>r. 1 and 2: 21 Nov 2008 (see r. 2(a));</w:t>
            </w:r>
            <w:r>
              <w:rPr>
                <w:snapToGrid w:val="0"/>
              </w:rPr>
              <w:br/>
              <w:t>Regulations other than r. 1 and 2: 1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3" w:type="dxa"/>
          </w:tcPr>
          <w:p>
            <w:pPr>
              <w:pStyle w:val="nTable"/>
              <w:spacing w:after="40"/>
              <w:rPr>
                <w:snapToGrid w:val="0"/>
              </w:rPr>
            </w:pPr>
            <w:r>
              <w:t>r. 1 and 2: 19 Dec 2008 (see r. 2(a));</w:t>
            </w:r>
            <w: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3" w:type="dxa"/>
          </w:tcPr>
          <w:p>
            <w:pPr>
              <w:pStyle w:val="nTable"/>
              <w:spacing w:after="40"/>
            </w:pPr>
            <w:r>
              <w:t>r. 1 and 2: 3 Feb 2009 (see r. 2(a));</w:t>
            </w:r>
            <w:r>
              <w:br/>
              <w:t>Regulations other than r. 1 and 2: 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3" w:type="dxa"/>
          </w:tcPr>
          <w:p>
            <w:pPr>
              <w:pStyle w:val="nTable"/>
              <w:spacing w:after="40"/>
            </w:pPr>
            <w:r>
              <w:t>r. 1 and 2: 11 Feb 2009 (see r. 2(a));</w:t>
            </w:r>
            <w:r>
              <w:br/>
              <w:t>Regulations other than r. 1 and 2: 12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3" w:type="dxa"/>
          </w:tcPr>
          <w:p>
            <w:pPr>
              <w:pStyle w:val="nTable"/>
              <w:spacing w:after="40"/>
            </w:pPr>
            <w:r>
              <w:t>r. 1 and 2: 13 Feb 2009 (see r. 2(a));</w:t>
            </w:r>
            <w:r>
              <w:br/>
              <w:t>Regulations other than r. 1 and 2: 14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3" w:type="dxa"/>
          </w:tcPr>
          <w:p>
            <w:pPr>
              <w:pStyle w:val="nTable"/>
              <w:spacing w:after="40"/>
            </w:pPr>
            <w:r>
              <w:t>r. 1 and 2: 13 Mar 2009 (see r. 2(a));</w:t>
            </w:r>
            <w: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3" w:type="dxa"/>
          </w:tcPr>
          <w:p>
            <w:pPr>
              <w:pStyle w:val="nTable"/>
              <w:spacing w:after="40"/>
            </w:pPr>
            <w:r>
              <w:rPr>
                <w:snapToGrid w:val="0"/>
              </w:rPr>
              <w:t>r. 1 and 2: 27 Mar 2009 (see r. 2(a));</w:t>
            </w:r>
            <w:r>
              <w:rPr>
                <w:snapToGrid w:val="0"/>
              </w:rPr>
              <w:br/>
              <w:t>Regulations other than r. 1 and 2: 28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3" w:type="dxa"/>
          </w:tcPr>
          <w:p>
            <w:pPr>
              <w:pStyle w:val="nTable"/>
              <w:spacing w:after="40"/>
              <w:rPr>
                <w:snapToGrid w:val="0"/>
              </w:rPr>
            </w:pPr>
            <w:r>
              <w:rPr>
                <w:snapToGrid w:val="0"/>
              </w:rPr>
              <w:t>r. 1 and 2: 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3" w:type="dxa"/>
          </w:tcPr>
          <w:p>
            <w:pPr>
              <w:pStyle w:val="nTable"/>
              <w:spacing w:after="40"/>
              <w:rPr>
                <w:snapToGrid w:val="0"/>
              </w:rPr>
            </w:pPr>
            <w:r>
              <w:rPr>
                <w:snapToGrid w:val="0"/>
              </w:rPr>
              <w:t>r. 1 and 2: 18 Aug 2009 (see r. 2(a));</w:t>
            </w:r>
            <w:r>
              <w:rPr>
                <w:snapToGrid w:val="0"/>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3" w:type="dxa"/>
          </w:tcPr>
          <w:p>
            <w:pPr>
              <w:pStyle w:val="nTable"/>
              <w:spacing w:after="40"/>
              <w:rPr>
                <w:snapToGrid w:val="0"/>
              </w:rPr>
            </w:pPr>
            <w:r>
              <w:rPr>
                <w:snapToGrid w:val="0"/>
              </w:rPr>
              <w:t>r. 1 and 2: 10 Sep 2009 (see r. 2(a));</w:t>
            </w:r>
            <w:r>
              <w:rPr>
                <w:snapToGrid w:val="0"/>
              </w:rPr>
              <w:br/>
              <w:t>Regulations other than r. 1 and 2: 11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3" w:type="dxa"/>
          </w:tcPr>
          <w:p>
            <w:pPr>
              <w:pStyle w:val="nTable"/>
              <w:spacing w:after="40"/>
              <w:rPr>
                <w:snapToGrid w:val="0"/>
              </w:rPr>
            </w:pPr>
            <w:r>
              <w:rPr>
                <w:snapToGrid w:val="0"/>
              </w:rPr>
              <w:t>r. 1 and 2: 29 Sep 2009 (see r. 2(a));</w:t>
            </w:r>
            <w:r>
              <w:rPr>
                <w:snapToGrid w:val="0"/>
              </w:rPr>
              <w:br/>
              <w:t>Regulations other than r. 1 and 2: 15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3" w:type="dxa"/>
          </w:tcPr>
          <w:p>
            <w:pPr>
              <w:pStyle w:val="nTable"/>
              <w:spacing w:after="40"/>
              <w:rPr>
                <w:snapToGrid w:val="0"/>
              </w:rPr>
            </w:pPr>
            <w:r>
              <w:rPr>
                <w:snapToGrid w:val="0"/>
              </w:rPr>
              <w:t>r. 1 and 2: 13 Oct 2009 (see r. 2(a));</w:t>
            </w:r>
            <w:r>
              <w:rPr>
                <w:snapToGrid w:val="0"/>
              </w:rPr>
              <w:br/>
              <w:t>Regulations other than r. 1 and 2: 14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3" w:type="dxa"/>
          </w:tcPr>
          <w:p>
            <w:pPr>
              <w:pStyle w:val="nTable"/>
              <w:spacing w:after="40"/>
              <w:rPr>
                <w:snapToGrid w:val="0"/>
              </w:rPr>
            </w:pPr>
            <w:r>
              <w:rPr>
                <w:snapToGrid w:val="0"/>
              </w:rPr>
              <w:t>r. 1 and 2: 5 Nov 2009 (see r. 2(a));</w:t>
            </w:r>
            <w:r>
              <w:rPr>
                <w:snapToGrid w:val="0"/>
              </w:rPr>
              <w:br/>
              <w:t>Regulations other than r. 1 and 2: 6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3" w:type="dxa"/>
          </w:tcPr>
          <w:p>
            <w:pPr>
              <w:pStyle w:val="nTable"/>
              <w:spacing w:after="40"/>
              <w:rPr>
                <w:snapToGrid w:val="0"/>
              </w:rPr>
            </w:pPr>
            <w:r>
              <w:rPr>
                <w:snapToGrid w:val="0"/>
              </w:rPr>
              <w:t>r. 1 and 2: 6 Nov 2009 (see r. 2(a));</w:t>
            </w:r>
            <w:r>
              <w:rPr>
                <w:snapToGrid w:val="0"/>
              </w:rPr>
              <w:br/>
              <w:t>Regulations other than r. 1 and 2: 7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3" w:type="dxa"/>
          </w:tcPr>
          <w:p>
            <w:pPr>
              <w:pStyle w:val="nTable"/>
              <w:spacing w:after="40"/>
              <w:rPr>
                <w:snapToGrid w:val="0"/>
              </w:rPr>
            </w:pPr>
            <w:r>
              <w:rPr>
                <w:snapToGrid w:val="0"/>
              </w:rPr>
              <w:t>r. 1 and 2: 8 Dec 2009 (see r. 2(a));</w:t>
            </w:r>
            <w:r>
              <w:rPr>
                <w:snapToGrid w:val="0"/>
              </w:rPr>
              <w:br/>
              <w:t>Regulations other than r. 1 and 2: 16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3" w:type="dxa"/>
          </w:tcPr>
          <w:p>
            <w:pPr>
              <w:pStyle w:val="nTable"/>
              <w:spacing w:after="40"/>
              <w:rPr>
                <w:snapToGrid w:val="0"/>
              </w:rPr>
            </w:pPr>
            <w:r>
              <w:rPr>
                <w:snapToGrid w:val="0"/>
              </w:rPr>
              <w:t>r. 1 and 2: 12 Feb 2010 (see r. 2(a));</w:t>
            </w:r>
            <w:r>
              <w:rPr>
                <w:snapToGrid w:val="0"/>
              </w:rPr>
              <w:br/>
              <w:t>Regulations other than r. 1 and 2: 2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3" w:type="dxa"/>
          </w:tcPr>
          <w:p>
            <w:pPr>
              <w:pStyle w:val="nTable"/>
              <w:spacing w:after="40"/>
              <w:rPr>
                <w:snapToGrid w:val="0"/>
              </w:rPr>
            </w:pPr>
            <w:r>
              <w:rPr>
                <w:snapToGrid w:val="0"/>
              </w:rPr>
              <w:t>r. 1 and 2: 12 Feb 2010 (see r. 2(a));</w:t>
            </w:r>
            <w:r>
              <w:rPr>
                <w:snapToGrid w:val="0"/>
              </w:rPr>
              <w:br/>
              <w:t>Regulations other than r. 1 and 2: 13 Feb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3" w:type="dxa"/>
          </w:tcPr>
          <w:p>
            <w:pPr>
              <w:pStyle w:val="nTable"/>
              <w:spacing w:after="40"/>
              <w:rPr>
                <w:snapToGrid w:val="0"/>
              </w:rPr>
            </w:pPr>
            <w:r>
              <w:rPr>
                <w:snapToGrid w:val="0"/>
              </w:rPr>
              <w:t>r. 1 and 2: 23 Jul 2010 (see r. 2(a));</w:t>
            </w:r>
            <w:r>
              <w:rPr>
                <w:snapToGrid w:val="0"/>
              </w:rP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3" w:type="dxa"/>
          </w:tcPr>
          <w:p>
            <w:pPr>
              <w:pStyle w:val="nTable"/>
              <w:spacing w:after="40"/>
              <w:rPr>
                <w:snapToGrid w:val="0"/>
              </w:rPr>
            </w:pPr>
            <w:r>
              <w:rPr>
                <w:snapToGrid w:val="0"/>
              </w:rPr>
              <w:t>r. 1 and 2: 8 Oct 2010 (see r. 2(a));</w:t>
            </w:r>
            <w:r>
              <w:rPr>
                <w:snapToGrid w:val="0"/>
              </w:rPr>
              <w:br/>
              <w:t>Regulations other than r. 1 and 2: 9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3" w:type="dxa"/>
          </w:tcPr>
          <w:p>
            <w:pPr>
              <w:pStyle w:val="nTable"/>
              <w:spacing w:after="40"/>
              <w:rPr>
                <w:snapToGrid w:val="0"/>
              </w:rPr>
            </w:pPr>
            <w:r>
              <w:rPr>
                <w:snapToGrid w:val="0"/>
              </w:rPr>
              <w:t>r. 1 and 2: 2 Dec 2010 (see r. 2(a));</w:t>
            </w:r>
            <w:r>
              <w:rPr>
                <w:snapToGrid w:val="0"/>
              </w:rPr>
              <w:br/>
              <w:t>Regulations other than r. 1 and 2: 3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3"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3"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3" w:type="dxa"/>
            <w:shd w:val="clear" w:color="auto" w:fill="auto"/>
          </w:tcPr>
          <w:p>
            <w:pPr>
              <w:pStyle w:val="nTable"/>
              <w:spacing w:after="40"/>
              <w:rPr>
                <w:snapToGrid w:val="0"/>
              </w:rPr>
            </w:pPr>
            <w:r>
              <w:t>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3"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3"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3"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3"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3"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3"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3"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3"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3"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3"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3"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3"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3"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3"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6</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3"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3"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3"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3"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3"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3"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3"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2014</w:t>
            </w:r>
            <w:r>
              <w:t xml:space="preserve"> </w:t>
            </w:r>
          </w:p>
        </w:tc>
        <w:tc>
          <w:tcPr>
            <w:tcW w:w="1276" w:type="dxa"/>
            <w:shd w:val="clear" w:color="auto" w:fill="auto"/>
          </w:tcPr>
          <w:p>
            <w:pPr>
              <w:pStyle w:val="nTable"/>
              <w:spacing w:after="40"/>
            </w:pPr>
            <w:r>
              <w:t>30 May 2014 p. 1713-37</w:t>
            </w:r>
          </w:p>
        </w:tc>
        <w:tc>
          <w:tcPr>
            <w:tcW w:w="2693" w:type="dxa"/>
            <w:shd w:val="clear" w:color="auto" w:fill="auto"/>
          </w:tcPr>
          <w:p>
            <w:pPr>
              <w:pStyle w:val="nTable"/>
              <w:spacing w:after="40"/>
              <w:rPr>
                <w:bCs/>
                <w:snapToGrid w:val="0"/>
              </w:rPr>
            </w:pPr>
            <w:r>
              <w:rPr>
                <w:bCs/>
                <w:snapToGrid w:val="0"/>
              </w:rPr>
              <w:t>Pt. 1: 30 May 2014 (see r. 2(a)); Pt. 2 and 3: 31 May 2014 (see r. 2(b));</w:t>
            </w:r>
            <w:r>
              <w:rPr>
                <w:bCs/>
                <w:snapToGrid w:val="0"/>
              </w:rPr>
              <w:br/>
            </w:r>
            <w:r>
              <w:t>Pt. 4: 1 Jul 2014 (see r. 2(c))</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3"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3"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3"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3"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3"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3"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3"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3"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3"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3"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3"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3"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3"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Fisheries Regulations Amendment (Fees) Regulations 2017</w:t>
            </w:r>
            <w:r>
              <w:t xml:space="preserve"> Pt. 2</w:t>
            </w:r>
          </w:p>
        </w:tc>
        <w:tc>
          <w:tcPr>
            <w:tcW w:w="1276" w:type="dxa"/>
            <w:shd w:val="clear" w:color="auto" w:fill="auto"/>
          </w:tcPr>
          <w:p>
            <w:pPr>
              <w:pStyle w:val="nTable"/>
              <w:spacing w:after="40"/>
            </w:pPr>
            <w:r>
              <w:t>7 Jul 2017 p. 3695</w:t>
            </w:r>
            <w:r>
              <w:noBreakHyphen/>
              <w:t>7</w:t>
            </w:r>
          </w:p>
        </w:tc>
        <w:tc>
          <w:tcPr>
            <w:tcW w:w="2693" w:type="dxa"/>
            <w:shd w:val="clear" w:color="auto" w:fill="auto"/>
          </w:tcPr>
          <w:p>
            <w:pPr>
              <w:pStyle w:val="nTable"/>
              <w:spacing w:after="40"/>
              <w:rPr>
                <w:bCs/>
                <w:snapToGrid w:val="0"/>
              </w:rPr>
            </w:pPr>
            <w:r>
              <w:rPr>
                <w:bCs/>
                <w:snapToGrid w:val="0"/>
              </w:rPr>
              <w:t>8</w:t>
            </w:r>
            <w:r>
              <w:t> Jul 2017</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2017</w:t>
            </w:r>
          </w:p>
        </w:tc>
        <w:tc>
          <w:tcPr>
            <w:tcW w:w="1276" w:type="dxa"/>
            <w:shd w:val="clear" w:color="auto" w:fill="auto"/>
          </w:tcPr>
          <w:p>
            <w:pPr>
              <w:pStyle w:val="nTable"/>
              <w:spacing w:after="40"/>
            </w:pPr>
            <w:r>
              <w:t>1 Sep 2017 p. 4651</w:t>
            </w:r>
            <w:r>
              <w:noBreakHyphen/>
              <w:t>5</w:t>
            </w:r>
          </w:p>
        </w:tc>
        <w:tc>
          <w:tcPr>
            <w:tcW w:w="2693" w:type="dxa"/>
            <w:shd w:val="clear" w:color="auto" w:fill="auto"/>
          </w:tcPr>
          <w:p>
            <w:pPr>
              <w:pStyle w:val="nTable"/>
              <w:spacing w:after="40"/>
              <w:rPr>
                <w:bCs/>
                <w:snapToGrid w:val="0"/>
              </w:rPr>
            </w:pPr>
            <w:r>
              <w:rPr>
                <w:bCs/>
                <w:snapToGrid w:val="0"/>
              </w:rPr>
              <w:t>r. 1 and 2: 1 Sep 2017 (see r. 2(a));</w:t>
            </w:r>
            <w:r>
              <w:rPr>
                <w:bCs/>
                <w:snapToGrid w:val="0"/>
              </w:rPr>
              <w:br/>
              <w:t>Regulations other than r. 1 and 2: 2 Sep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2017</w:t>
            </w:r>
          </w:p>
        </w:tc>
        <w:tc>
          <w:tcPr>
            <w:tcW w:w="1276" w:type="dxa"/>
            <w:shd w:val="clear" w:color="auto" w:fill="auto"/>
          </w:tcPr>
          <w:p>
            <w:pPr>
              <w:pStyle w:val="nTable"/>
              <w:spacing w:after="40"/>
            </w:pPr>
            <w:r>
              <w:t>27 Oct 2017 p. 5416</w:t>
            </w:r>
          </w:p>
        </w:tc>
        <w:tc>
          <w:tcPr>
            <w:tcW w:w="2693" w:type="dxa"/>
            <w:shd w:val="clear" w:color="auto" w:fill="auto"/>
          </w:tcPr>
          <w:p>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2018</w:t>
            </w:r>
          </w:p>
        </w:tc>
        <w:tc>
          <w:tcPr>
            <w:tcW w:w="1276" w:type="dxa"/>
            <w:shd w:val="clear" w:color="auto" w:fill="auto"/>
          </w:tcPr>
          <w:p>
            <w:pPr>
              <w:pStyle w:val="nTable"/>
              <w:spacing w:after="40"/>
            </w:pPr>
            <w:r>
              <w:t>26 Jun 2018 p. 2379</w:t>
            </w:r>
            <w:r>
              <w:noBreakHyphen/>
              <w:t>82</w:t>
            </w:r>
          </w:p>
        </w:tc>
        <w:tc>
          <w:tcPr>
            <w:tcW w:w="2693" w:type="dxa"/>
            <w:shd w:val="clear" w:color="auto" w:fill="auto"/>
          </w:tcPr>
          <w:p>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2019</w:t>
            </w:r>
          </w:p>
        </w:tc>
        <w:tc>
          <w:tcPr>
            <w:tcW w:w="1276" w:type="dxa"/>
            <w:shd w:val="clear" w:color="auto" w:fill="auto"/>
          </w:tcPr>
          <w:p>
            <w:pPr>
              <w:pStyle w:val="nTable"/>
              <w:spacing w:after="40"/>
            </w:pPr>
            <w:r>
              <w:t>4 Oct 2019 p. 3527</w:t>
            </w:r>
            <w:r>
              <w:noBreakHyphen/>
              <w:t>611</w:t>
            </w:r>
          </w:p>
        </w:tc>
        <w:tc>
          <w:tcPr>
            <w:tcW w:w="2693" w:type="dxa"/>
            <w:shd w:val="clear" w:color="auto" w:fill="auto"/>
          </w:tcPr>
          <w:p>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2019</w:t>
            </w:r>
          </w:p>
        </w:tc>
        <w:tc>
          <w:tcPr>
            <w:tcW w:w="1276" w:type="dxa"/>
            <w:shd w:val="clear" w:color="auto" w:fill="auto"/>
          </w:tcPr>
          <w:p>
            <w:pPr>
              <w:pStyle w:val="nTable"/>
              <w:spacing w:after="40"/>
            </w:pPr>
            <w:r>
              <w:t>29 Nov 2019 p. 4101-5</w:t>
            </w:r>
          </w:p>
        </w:tc>
        <w:tc>
          <w:tcPr>
            <w:tcW w:w="2693" w:type="dxa"/>
            <w:shd w:val="clear" w:color="auto" w:fill="auto"/>
          </w:tcPr>
          <w:p>
            <w:pPr>
              <w:pStyle w:val="nTable"/>
              <w:spacing w:after="40"/>
              <w:rPr>
                <w:bCs/>
                <w:snapToGrid w:val="0"/>
                <w:spacing w:val="-2"/>
              </w:rPr>
            </w:pPr>
            <w:r>
              <w:rPr>
                <w:bCs/>
                <w:snapToGrid w:val="0"/>
                <w:spacing w:val="-2"/>
              </w:rPr>
              <w:t>r. 1 and 2: 29 Nov 2019 (see r. 2(a));</w:t>
            </w:r>
            <w:r>
              <w:rPr>
                <w:bCs/>
                <w:snapToGrid w:val="0"/>
                <w:spacing w:val="-2"/>
              </w:rPr>
              <w:br/>
              <w:t>Regulations other than r. 1 and 2: 30 Nov 2019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2021</w:t>
            </w:r>
          </w:p>
        </w:tc>
        <w:tc>
          <w:tcPr>
            <w:tcW w:w="1276" w:type="dxa"/>
            <w:tcBorders>
              <w:top w:val="nil"/>
              <w:bottom w:val="nil"/>
            </w:tcBorders>
            <w:shd w:val="clear" w:color="auto" w:fill="auto"/>
          </w:tcPr>
          <w:p>
            <w:pPr>
              <w:pStyle w:val="nTable"/>
              <w:spacing w:after="40"/>
            </w:pPr>
            <w:r>
              <w:t>SL 2021/118 2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 Jul 2021</w:t>
            </w:r>
            <w:r>
              <w:rPr>
                <w:bCs/>
                <w:snapToGrid w:val="0"/>
                <w:spacing w:val="-2"/>
              </w:rPr>
              <w:t xml:space="preserve"> (see r. 2(a));</w:t>
            </w:r>
            <w:r>
              <w:rPr>
                <w:bCs/>
                <w:snapToGrid w:val="0"/>
                <w:spacing w:val="-2"/>
              </w:rPr>
              <w:br/>
              <w:t xml:space="preserve">Regulations other than r. 1 and 2: </w:t>
            </w:r>
            <w:r>
              <w:t>3 Jul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2021</w:t>
            </w:r>
          </w:p>
        </w:tc>
        <w:tc>
          <w:tcPr>
            <w:tcW w:w="1276" w:type="dxa"/>
            <w:tcBorders>
              <w:top w:val="nil"/>
              <w:bottom w:val="nil"/>
            </w:tcBorders>
            <w:shd w:val="clear" w:color="auto" w:fill="auto"/>
          </w:tcPr>
          <w:p>
            <w:pPr>
              <w:pStyle w:val="nTable"/>
              <w:spacing w:after="40"/>
            </w:pPr>
            <w:r>
              <w:t>SL 2021/166 24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Sep 2021 (see r. 2(a));</w:t>
            </w:r>
            <w:r>
              <w:rPr>
                <w:bCs/>
                <w:snapToGrid w:val="0"/>
                <w:spacing w:val="-2"/>
              </w:rPr>
              <w:br/>
              <w:t>Regulations other than r. 1 and 2: 25 Sep 2021 (see r. 2(b))</w:t>
            </w:r>
          </w:p>
        </w:tc>
      </w:tr>
      <w:tr>
        <w:trPr>
          <w:cantSplit/>
        </w:trPr>
        <w:tc>
          <w:tcPr>
            <w:tcW w:w="3119" w:type="dxa"/>
            <w:tcBorders>
              <w:top w:val="nil"/>
              <w:bottom w:val="nil"/>
            </w:tcBorders>
            <w:shd w:val="clear" w:color="auto" w:fill="auto"/>
          </w:tcPr>
          <w:p>
            <w:pPr>
              <w:pStyle w:val="nTable"/>
              <w:keepNext/>
              <w:spacing w:after="40"/>
              <w:ind w:right="113"/>
              <w:rPr>
                <w:i/>
              </w:rPr>
            </w:pPr>
            <w:r>
              <w:rPr>
                <w:i/>
              </w:rPr>
              <w:t>Fish Resources Management Amendment Regulations 2022</w:t>
            </w:r>
          </w:p>
        </w:tc>
        <w:tc>
          <w:tcPr>
            <w:tcW w:w="1276" w:type="dxa"/>
            <w:tcBorders>
              <w:top w:val="nil"/>
              <w:bottom w:val="nil"/>
            </w:tcBorders>
            <w:shd w:val="clear" w:color="auto" w:fill="auto"/>
          </w:tcPr>
          <w:p>
            <w:pPr>
              <w:pStyle w:val="nTable"/>
              <w:spacing w:after="40"/>
            </w:pPr>
            <w:r>
              <w:t>SL 2022/128 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5 Jul 2022</w:t>
            </w:r>
            <w:r>
              <w:rPr>
                <w:bCs/>
                <w:snapToGrid w:val="0"/>
                <w:spacing w:val="-2"/>
              </w:rPr>
              <w:t xml:space="preserve"> (see r. 2(a));</w:t>
            </w:r>
            <w:r>
              <w:rPr>
                <w:bCs/>
                <w:snapToGrid w:val="0"/>
                <w:spacing w:val="-2"/>
              </w:rPr>
              <w:br/>
              <w:t xml:space="preserve">Regulations other than r. 1 and 2: </w:t>
            </w:r>
            <w:r>
              <w:t>6 Jul 2022</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2022</w:t>
            </w:r>
          </w:p>
        </w:tc>
        <w:tc>
          <w:tcPr>
            <w:tcW w:w="1276" w:type="dxa"/>
            <w:tcBorders>
              <w:top w:val="nil"/>
              <w:bottom w:val="nil"/>
            </w:tcBorders>
            <w:shd w:val="clear" w:color="auto" w:fill="auto"/>
          </w:tcPr>
          <w:p>
            <w:pPr>
              <w:pStyle w:val="nTable"/>
              <w:spacing w:after="40"/>
            </w:pPr>
            <w:r>
              <w:t>SL 2022/134 15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1</w:t>
            </w:r>
            <w:r>
              <w:t>5 Jul 2022</w:t>
            </w:r>
            <w:r>
              <w:rPr>
                <w:bCs/>
                <w:snapToGrid w:val="0"/>
                <w:spacing w:val="-2"/>
              </w:rPr>
              <w:t xml:space="preserve"> (see r. 2(a));</w:t>
            </w:r>
            <w:r>
              <w:rPr>
                <w:bCs/>
                <w:snapToGrid w:val="0"/>
                <w:spacing w:val="-2"/>
              </w:rPr>
              <w:br/>
              <w:t>Regulations other than r. 1 and 2: 1</w:t>
            </w:r>
            <w:r>
              <w:t>6 Jul 2022</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3) 2022</w:t>
            </w:r>
          </w:p>
        </w:tc>
        <w:tc>
          <w:tcPr>
            <w:tcW w:w="1276" w:type="dxa"/>
            <w:tcBorders>
              <w:top w:val="nil"/>
              <w:bottom w:val="nil"/>
            </w:tcBorders>
            <w:shd w:val="clear" w:color="auto" w:fill="auto"/>
          </w:tcPr>
          <w:p>
            <w:pPr>
              <w:pStyle w:val="nTable"/>
              <w:spacing w:after="40"/>
            </w:pPr>
            <w:r>
              <w:t>SL 2022/160 23 Sep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23 Sep 2022 (see r. 2(a));</w:t>
            </w:r>
            <w:r>
              <w:rPr>
                <w:bCs/>
                <w:snapToGrid w:val="0"/>
                <w:spacing w:val="-2"/>
              </w:rPr>
              <w:br/>
              <w:t>Regulations other than r. 1 and 2: 1 Oct 2022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2023</w:t>
            </w:r>
          </w:p>
        </w:tc>
        <w:tc>
          <w:tcPr>
            <w:tcW w:w="1276" w:type="dxa"/>
            <w:tcBorders>
              <w:top w:val="nil"/>
              <w:bottom w:val="nil"/>
            </w:tcBorders>
            <w:shd w:val="clear" w:color="auto" w:fill="auto"/>
          </w:tcPr>
          <w:p>
            <w:pPr>
              <w:pStyle w:val="nTable"/>
              <w:spacing w:after="40"/>
            </w:pPr>
            <w:r>
              <w:t>SL 2023/2 27 Jan 2023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27 Jan 2023 (see r. 2(a));</w:t>
            </w:r>
            <w:r>
              <w:rPr>
                <w:bCs/>
                <w:snapToGrid w:val="0"/>
                <w:spacing w:val="-2"/>
              </w:rPr>
              <w:br/>
              <w:t>Regulations other than r. 1 and 2: 1 Feb 2023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2024</w:t>
            </w:r>
          </w:p>
        </w:tc>
        <w:tc>
          <w:tcPr>
            <w:tcW w:w="1276" w:type="dxa"/>
            <w:tcBorders>
              <w:top w:val="nil"/>
              <w:bottom w:val="nil"/>
            </w:tcBorders>
            <w:shd w:val="clear" w:color="auto" w:fill="auto"/>
          </w:tcPr>
          <w:p>
            <w:pPr>
              <w:pStyle w:val="nTable"/>
              <w:spacing w:after="40"/>
            </w:pPr>
            <w:r>
              <w:t>SL 2024/64 1 May 2024</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 May 2024</w:t>
            </w:r>
            <w:r>
              <w:rPr>
                <w:bCs/>
                <w:snapToGrid w:val="0"/>
                <w:spacing w:val="-2"/>
              </w:rPr>
              <w:t xml:space="preserve"> (see r. 2(a));</w:t>
            </w:r>
            <w:r>
              <w:rPr>
                <w:bCs/>
                <w:snapToGrid w:val="0"/>
                <w:spacing w:val="-2"/>
              </w:rPr>
              <w:br/>
              <w:t xml:space="preserve">Regulations other than r. 1 and 2: </w:t>
            </w:r>
            <w:r>
              <w:t>2 May 2024</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3) 2024</w:t>
            </w:r>
          </w:p>
        </w:tc>
        <w:tc>
          <w:tcPr>
            <w:tcW w:w="1276" w:type="dxa"/>
            <w:tcBorders>
              <w:top w:val="nil"/>
              <w:bottom w:val="nil"/>
            </w:tcBorders>
            <w:shd w:val="clear" w:color="auto" w:fill="auto"/>
          </w:tcPr>
          <w:p>
            <w:pPr>
              <w:pStyle w:val="nTable"/>
              <w:spacing w:after="40"/>
            </w:pPr>
            <w:r>
              <w:t>SL 2024/114 26 Jun 2024</w:t>
            </w:r>
          </w:p>
        </w:tc>
        <w:tc>
          <w:tcPr>
            <w:tcW w:w="2693" w:type="dxa"/>
            <w:tcBorders>
              <w:top w:val="nil"/>
              <w:bottom w:val="nil"/>
            </w:tcBorders>
            <w:shd w:val="clear" w:color="auto" w:fill="auto"/>
          </w:tcPr>
          <w:p>
            <w:pPr>
              <w:pStyle w:val="nTable"/>
              <w:spacing w:before="0" w:after="40"/>
              <w:rPr>
                <w:bCs/>
                <w:snapToGrid w:val="0"/>
                <w:spacing w:val="-2"/>
              </w:rPr>
            </w:pPr>
            <w:r>
              <w:rPr>
                <w:bCs/>
                <w:snapToGrid w:val="0"/>
                <w:spacing w:val="-2"/>
              </w:rPr>
              <w:t>r. 1 and 2: 26 Jun 2024 (see r. 2(a));</w:t>
            </w:r>
            <w:r>
              <w:rPr>
                <w:bCs/>
                <w:snapToGrid w:val="0"/>
                <w:spacing w:val="-2"/>
              </w:rPr>
              <w:br/>
              <w:t>Regulations other than r. 1 and 2: 27 Jun 2024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4) 2024</w:t>
            </w:r>
          </w:p>
        </w:tc>
        <w:tc>
          <w:tcPr>
            <w:tcW w:w="1276" w:type="dxa"/>
            <w:tcBorders>
              <w:top w:val="nil"/>
              <w:bottom w:val="nil"/>
            </w:tcBorders>
            <w:shd w:val="clear" w:color="auto" w:fill="auto"/>
          </w:tcPr>
          <w:p>
            <w:pPr>
              <w:pStyle w:val="nTable"/>
              <w:spacing w:after="40"/>
            </w:pPr>
            <w:r>
              <w:t>SL 2024/158 7 Aug 2024</w:t>
            </w:r>
          </w:p>
        </w:tc>
        <w:tc>
          <w:tcPr>
            <w:tcW w:w="2693" w:type="dxa"/>
            <w:tcBorders>
              <w:top w:val="nil"/>
              <w:bottom w:val="nil"/>
            </w:tcBorders>
            <w:shd w:val="clear" w:color="auto" w:fill="auto"/>
          </w:tcPr>
          <w:p>
            <w:pPr>
              <w:pStyle w:val="nTable"/>
              <w:spacing w:before="0" w:after="40"/>
              <w:rPr>
                <w:bCs/>
                <w:snapToGrid w:val="0"/>
                <w:spacing w:val="-2"/>
              </w:rPr>
            </w:pPr>
            <w:r>
              <w:rPr>
                <w:bCs/>
                <w:snapToGrid w:val="0"/>
                <w:spacing w:val="-2"/>
              </w:rPr>
              <w:t>r. 1 and 2: 7 Aug 2024 (see r. 2(a));</w:t>
            </w:r>
            <w:r>
              <w:rPr>
                <w:bCs/>
                <w:snapToGrid w:val="0"/>
                <w:spacing w:val="-2"/>
              </w:rPr>
              <w:br/>
              <w:t>Regulations other than r. 1 and 2: 8 Aug 2024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5) 2024</w:t>
            </w:r>
          </w:p>
        </w:tc>
        <w:tc>
          <w:tcPr>
            <w:tcW w:w="1276" w:type="dxa"/>
            <w:tcBorders>
              <w:top w:val="nil"/>
              <w:bottom w:val="nil"/>
            </w:tcBorders>
            <w:shd w:val="clear" w:color="auto" w:fill="auto"/>
          </w:tcPr>
          <w:p>
            <w:pPr>
              <w:pStyle w:val="nTable"/>
              <w:spacing w:after="40"/>
            </w:pPr>
            <w:r>
              <w:t>SL 2024/234 13 Nov 2024</w:t>
            </w:r>
          </w:p>
        </w:tc>
        <w:tc>
          <w:tcPr>
            <w:tcW w:w="2693" w:type="dxa"/>
            <w:tcBorders>
              <w:top w:val="nil"/>
              <w:bottom w:val="nil"/>
            </w:tcBorders>
            <w:shd w:val="clear" w:color="auto" w:fill="auto"/>
          </w:tcPr>
          <w:p>
            <w:pPr>
              <w:pStyle w:val="nTable"/>
              <w:spacing w:before="0" w:after="40"/>
              <w:rPr>
                <w:bCs/>
                <w:snapToGrid w:val="0"/>
                <w:spacing w:val="-2"/>
              </w:rPr>
            </w:pPr>
            <w:r>
              <w:rPr>
                <w:bCs/>
                <w:snapToGrid w:val="0"/>
                <w:spacing w:val="-2"/>
              </w:rPr>
              <w:t>r. 1 and 2: 13 Nov 2024 (see r. 2(a));</w:t>
            </w:r>
            <w:r>
              <w:rPr>
                <w:bCs/>
                <w:snapToGrid w:val="0"/>
                <w:spacing w:val="-2"/>
              </w:rPr>
              <w:br/>
              <w:t xml:space="preserve">Regulations other than r. 1 and 2: </w:t>
            </w:r>
            <w:r>
              <w:t>1 Dec 2024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w:t>
            </w:r>
            <w:r>
              <w:t> </w:t>
            </w:r>
            <w:r>
              <w:rPr>
                <w:i/>
              </w:rPr>
              <w:t>2) 2024</w:t>
            </w:r>
          </w:p>
        </w:tc>
        <w:tc>
          <w:tcPr>
            <w:tcW w:w="1276" w:type="dxa"/>
            <w:shd w:val="clear" w:color="auto" w:fill="auto"/>
          </w:tcPr>
          <w:p>
            <w:pPr>
              <w:pStyle w:val="nTable"/>
              <w:spacing w:after="40"/>
            </w:pPr>
            <w:r>
              <w:t>SL 2024/263 11 Dec 2024</w:t>
            </w:r>
          </w:p>
        </w:tc>
        <w:tc>
          <w:tcPr>
            <w:tcW w:w="2693" w:type="dxa"/>
            <w:shd w:val="clear" w:color="auto" w:fill="auto"/>
          </w:tcPr>
          <w:p>
            <w:pPr>
              <w:pStyle w:val="nTable"/>
              <w:spacing w:before="0" w:after="40"/>
              <w:rPr>
                <w:bCs/>
                <w:snapToGrid w:val="0"/>
                <w:spacing w:val="-2"/>
              </w:rPr>
            </w:pPr>
            <w:r>
              <w:rPr>
                <w:bCs/>
                <w:snapToGrid w:val="0"/>
                <w:spacing w:val="-2"/>
              </w:rPr>
              <w:t>r. 1 and 2: 11 Dec 2024 (see r. 2(a));</w:t>
            </w:r>
            <w:r>
              <w:rPr>
                <w:bCs/>
                <w:snapToGrid w:val="0"/>
                <w:spacing w:val="-2"/>
              </w:rPr>
              <w:br/>
              <w:t>Regulations other than r. 1 and 2: 12 Dec 2024 (see r. 2(b))</w:t>
            </w:r>
          </w:p>
        </w:tc>
      </w:tr>
      <w:tr>
        <w:tblPrEx>
          <w:tblBorders>
            <w:top w:val="none" w:sz="0" w:space="0" w:color="auto"/>
            <w:bottom w:val="none" w:sz="0" w:space="0" w:color="auto"/>
            <w:insideH w:val="none" w:sz="0" w:space="0" w:color="auto"/>
          </w:tblBorders>
        </w:tblPrEx>
        <w:trPr>
          <w:cantSplit/>
          <w:ins w:id="1456" w:author="Master Repository Process" w:date="2025-06-25T16:38:00Z"/>
        </w:trPr>
        <w:tc>
          <w:tcPr>
            <w:tcW w:w="7088" w:type="dxa"/>
            <w:gridSpan w:val="3"/>
            <w:tcBorders>
              <w:bottom w:val="single" w:sz="4" w:space="0" w:color="auto"/>
            </w:tcBorders>
            <w:shd w:val="clear" w:color="auto" w:fill="auto"/>
          </w:tcPr>
          <w:p>
            <w:pPr>
              <w:pStyle w:val="nTable"/>
              <w:spacing w:before="0" w:after="40"/>
              <w:rPr>
                <w:ins w:id="1457" w:author="Master Repository Process" w:date="2025-06-25T16:38:00Z"/>
                <w:bCs/>
                <w:snapToGrid w:val="0"/>
                <w:spacing w:val="-2"/>
              </w:rPr>
            </w:pPr>
            <w:ins w:id="1458" w:author="Master Repository Process" w:date="2025-06-25T16:38:00Z">
              <w:r>
                <w:rPr>
                  <w:b/>
                  <w:bCs/>
                  <w:i/>
                  <w:noProof/>
                  <w:snapToGrid w:val="0"/>
                  <w:spacing w:val="-2"/>
                </w:rPr>
                <w:t>Fish Resources Management Regulations 1995</w:t>
              </w:r>
              <w:r>
                <w:rPr>
                  <w:b/>
                  <w:bCs/>
                  <w:snapToGrid w:val="0"/>
                  <w:spacing w:val="-2"/>
                </w:rPr>
                <w:t xml:space="preserve"> with editorial changes as at 26 Jun 2025</w:t>
              </w:r>
            </w:ins>
          </w:p>
        </w:tc>
      </w:tr>
    </w:tbl>
    <w:p>
      <w:pPr>
        <w:pStyle w:val="nHeading3"/>
        <w:keepLines/>
        <w:rPr>
          <w:ins w:id="1459" w:author="Master Repository Process" w:date="2025-06-25T16:38:00Z"/>
        </w:rPr>
      </w:pPr>
      <w:bookmarkStart w:id="1460" w:name="_Toc201759324"/>
      <w:ins w:id="1461" w:author="Master Repository Process" w:date="2025-06-25T16:38:00Z">
        <w:r>
          <w:t>Editorial changes table</w:t>
        </w:r>
        <w:bookmarkEnd w:id="1460"/>
      </w:ins>
    </w:p>
    <w:p>
      <w:pPr>
        <w:pStyle w:val="nStatement"/>
        <w:keepNext/>
        <w:keepLines/>
        <w:rPr>
          <w:ins w:id="1462" w:author="Master Repository Process" w:date="2025-06-25T16:38:00Z"/>
        </w:rPr>
      </w:pPr>
      <w:ins w:id="1463" w:author="Master Repository Process" w:date="2025-06-25T16:38:00Z">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ins>
    </w:p>
    <w:p>
      <w:pPr>
        <w:pStyle w:val="nStatement"/>
        <w:keepNext/>
        <w:spacing w:after="120"/>
        <w:rPr>
          <w:ins w:id="1464" w:author="Master Repository Process" w:date="2025-06-25T16:38:00Z"/>
        </w:rPr>
      </w:pPr>
      <w:ins w:id="1465" w:author="Master Repository Process" w:date="2025-06-25T16:38:00Z">
        <w:r>
          <w:t>To see the editorial changes included in a version of a law, see the compare document for that version on the WA legislation website.</w:t>
        </w:r>
      </w:ins>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ins w:id="1466" w:author="Master Repository Process" w:date="2025-06-25T16:38:00Z"/>
        </w:trPr>
        <w:tc>
          <w:tcPr>
            <w:tcW w:w="2807" w:type="dxa"/>
          </w:tcPr>
          <w:p>
            <w:pPr>
              <w:pStyle w:val="nTable"/>
              <w:spacing w:after="40"/>
              <w:rPr>
                <w:ins w:id="1467" w:author="Master Repository Process" w:date="2025-06-25T16:38:00Z"/>
                <w:b/>
              </w:rPr>
            </w:pPr>
            <w:ins w:id="1468" w:author="Master Repository Process" w:date="2025-06-25T16:38:00Z">
              <w:r>
                <w:rPr>
                  <w:b/>
                </w:rPr>
                <w:t>Provision/s affected</w:t>
              </w:r>
            </w:ins>
          </w:p>
        </w:tc>
        <w:tc>
          <w:tcPr>
            <w:tcW w:w="2694" w:type="dxa"/>
          </w:tcPr>
          <w:p>
            <w:pPr>
              <w:pStyle w:val="nTable"/>
              <w:spacing w:after="40"/>
              <w:rPr>
                <w:ins w:id="1469" w:author="Master Repository Process" w:date="2025-06-25T16:38:00Z"/>
                <w:b/>
              </w:rPr>
            </w:pPr>
            <w:ins w:id="1470" w:author="Master Repository Process" w:date="2025-06-25T16:38:00Z">
              <w:r>
                <w:rPr>
                  <w:b/>
                </w:rPr>
                <w:t xml:space="preserve">Authorising provision of </w:t>
              </w:r>
              <w:r>
                <w:rPr>
                  <w:b/>
                  <w:i/>
                  <w:iCs/>
                </w:rPr>
                <w:t>Legislation Act 2021</w:t>
              </w:r>
              <w:r>
                <w:rPr>
                  <w:b/>
                </w:rPr>
                <w:t xml:space="preserve"> Part 3</w:t>
              </w:r>
            </w:ins>
          </w:p>
        </w:tc>
        <w:tc>
          <w:tcPr>
            <w:tcW w:w="1559" w:type="dxa"/>
          </w:tcPr>
          <w:p>
            <w:pPr>
              <w:pStyle w:val="nTable"/>
              <w:spacing w:after="40"/>
              <w:rPr>
                <w:ins w:id="1471" w:author="Master Repository Process" w:date="2025-06-25T16:38:00Z"/>
                <w:b/>
              </w:rPr>
            </w:pPr>
            <w:ins w:id="1472" w:author="Master Repository Process" w:date="2025-06-25T16:38:00Z">
              <w:r>
                <w:rPr>
                  <w:b/>
                </w:rPr>
                <w:t>Effective date</w:t>
              </w:r>
              <w:r>
                <w:br/>
              </w:r>
              <w:r>
                <w:rPr>
                  <w:b/>
                </w:rPr>
                <w:t>of change</w:t>
              </w:r>
            </w:ins>
          </w:p>
        </w:tc>
      </w:tr>
      <w:tr>
        <w:trPr>
          <w:ins w:id="1473" w:author="Master Repository Process" w:date="2025-06-25T16:38:00Z"/>
        </w:trPr>
        <w:tc>
          <w:tcPr>
            <w:tcW w:w="2807" w:type="dxa"/>
          </w:tcPr>
          <w:p>
            <w:pPr>
              <w:pStyle w:val="nTable"/>
              <w:spacing w:after="40"/>
              <w:rPr>
                <w:ins w:id="1474" w:author="Master Repository Process" w:date="2025-06-25T16:38:00Z"/>
                <w:vertAlign w:val="superscript"/>
              </w:rPr>
            </w:pPr>
            <w:ins w:id="1475" w:author="Master Repository Process" w:date="2025-06-25T16:38:00Z">
              <w:r>
                <w:t xml:space="preserve">r. 3 def. </w:t>
              </w:r>
              <w:r>
                <w:rPr>
                  <w:i/>
                  <w:iCs/>
                </w:rPr>
                <w:t>finfish</w:t>
              </w:r>
              <w:r>
                <w:t>, r. 16DB(1) and Sch. 2 and 7 </w:t>
              </w:r>
              <w:r>
                <w:rPr>
                  <w:vertAlign w:val="superscript"/>
                </w:rPr>
                <w:t>7</w:t>
              </w:r>
            </w:ins>
          </w:p>
        </w:tc>
        <w:tc>
          <w:tcPr>
            <w:tcW w:w="2694" w:type="dxa"/>
          </w:tcPr>
          <w:p>
            <w:pPr>
              <w:pStyle w:val="nTable"/>
              <w:spacing w:after="40"/>
              <w:rPr>
                <w:ins w:id="1476" w:author="Master Repository Process" w:date="2025-06-25T16:38:00Z"/>
              </w:rPr>
            </w:pPr>
            <w:ins w:id="1477" w:author="Master Repository Process" w:date="2025-06-25T16:38:00Z">
              <w:r>
                <w:t>s. 38</w:t>
              </w:r>
            </w:ins>
          </w:p>
        </w:tc>
        <w:tc>
          <w:tcPr>
            <w:tcW w:w="1559" w:type="dxa"/>
          </w:tcPr>
          <w:p>
            <w:pPr>
              <w:pStyle w:val="nTable"/>
              <w:spacing w:after="40"/>
              <w:rPr>
                <w:ins w:id="1478" w:author="Master Repository Process" w:date="2025-06-25T16:38:00Z"/>
              </w:rPr>
            </w:pPr>
            <w:ins w:id="1479" w:author="Master Repository Process" w:date="2025-06-25T16:38:00Z">
              <w:r>
                <w:t>26 Jun 2025</w:t>
              </w:r>
            </w:ins>
          </w:p>
        </w:tc>
      </w:tr>
    </w:tbl>
    <w:p>
      <w:pPr>
        <w:pStyle w:val="nHeading3"/>
      </w:pPr>
      <w:bookmarkStart w:id="1480" w:name="_Toc201759325"/>
      <w:bookmarkStart w:id="1481" w:name="_Toc184385366"/>
      <w:r>
        <w:t>Other notes</w:t>
      </w:r>
      <w:bookmarkEnd w:id="1480"/>
      <w:bookmarkEnd w:id="1481"/>
    </w:p>
    <w:p>
      <w:pPr>
        <w:pStyle w:val="nNote"/>
        <w:rPr>
          <w:snapToGrid w:val="0"/>
        </w:rPr>
      </w:pPr>
      <w:r>
        <w:rPr>
          <w:snapToGrid w:val="0"/>
          <w:vertAlign w:val="superscript"/>
        </w:rPr>
        <w:t>1</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pPr>
        <w:pStyle w:val="nNote"/>
        <w:rPr>
          <w:snapToGrid w:val="0"/>
        </w:rPr>
      </w:pPr>
      <w:r>
        <w:rPr>
          <w:snapToGrid w:val="0"/>
          <w:vertAlign w:val="superscript"/>
        </w:rPr>
        <w:t>2</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Note"/>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Note"/>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Note"/>
      </w:pPr>
      <w:r>
        <w:rPr>
          <w:vertAlign w:val="superscript"/>
        </w:rPr>
        <w:t>5</w:t>
      </w:r>
      <w:r>
        <w:tab/>
        <w:t xml:space="preserve">Disallowed on 16 Jun 1999, see </w:t>
      </w:r>
      <w:r>
        <w:rPr>
          <w:i/>
        </w:rPr>
        <w:t>Gazette</w:t>
      </w:r>
      <w:r>
        <w:t xml:space="preserve"> 25 Jun 1999 p. 2742.</w:t>
      </w:r>
    </w:p>
    <w:p>
      <w:pPr>
        <w:pStyle w:val="nNote"/>
      </w:pPr>
      <w:r>
        <w:rPr>
          <w:vertAlign w:val="superscript"/>
        </w:rPr>
        <w:t>6</w:t>
      </w:r>
      <w:r>
        <w:rPr>
          <w:vertAlign w:val="superscript"/>
        </w:rPr>
        <w:tab/>
      </w:r>
      <w:r>
        <w:t>The commencement date of 15 Jan 2013 that was specified in r. 2(b) was before the date of gazettal.</w:t>
      </w:r>
    </w:p>
    <w:p>
      <w:pPr>
        <w:pStyle w:val="nNote"/>
        <w:rPr>
          <w:ins w:id="1482" w:author="Master Repository Process" w:date="2025-06-25T16:38:00Z"/>
        </w:rPr>
      </w:pPr>
      <w:ins w:id="1483" w:author="Master Repository Process" w:date="2025-06-25T16:38:00Z">
        <w:r>
          <w:rPr>
            <w:vertAlign w:val="superscript"/>
          </w:rPr>
          <w:t>7</w:t>
        </w:r>
        <w:r>
          <w:rPr>
            <w:vertAlign w:val="superscript"/>
          </w:rPr>
          <w:tab/>
        </w:r>
        <w:r>
          <w:t xml:space="preserve">Underlining has been removed from taxonomic ranks to be consistent with current drafting practice. </w:t>
        </w:r>
      </w:ins>
    </w:p>
    <w:p>
      <w:pPr>
        <w:pStyle w:val="nNote"/>
        <w:rPr>
          <w:ins w:id="1484" w:author="Master Repository Process" w:date="2025-06-25T16:38:00Z"/>
        </w:rPr>
      </w:pPr>
    </w:p>
    <w:p>
      <w:pPr>
        <w:sectPr>
          <w:headerReference w:type="even" r:id="rId39"/>
          <w:headerReference w:type="default" r:id="rId40"/>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486" w:author="Master Repository Process" w:date="2025-06-25T16:38:00Z">
                              <w:r>
                                <w:rPr>
                                  <w:sz w:val="16"/>
                                </w:rPr>
                                <w:delText>2024</w:delText>
                              </w:r>
                            </w:del>
                            <w:ins w:id="1487" w:author="Master Repository Process" w:date="2025-06-25T16:38: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488" w:author="Master Repository Process" w:date="2025-06-25T16:38:00Z">
                              <w:r>
                                <w:rPr>
                                  <w:sz w:val="16"/>
                                </w:rPr>
                                <w:delText>2024</w:delText>
                              </w:r>
                            </w:del>
                            <w:ins w:id="1489" w:author="Master Repository Process" w:date="2025-06-25T16:38: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490" w:author="Master Repository Process" w:date="2025-06-25T16:38:00Z">
                        <w:r>
                          <w:rPr>
                            <w:sz w:val="16"/>
                          </w:rPr>
                          <w:delText>2024</w:delText>
                        </w:r>
                      </w:del>
                      <w:ins w:id="1491" w:author="Master Repository Process" w:date="2025-06-25T16:38: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492" w:author="Master Repository Process" w:date="2025-06-25T16:38:00Z">
                        <w:r>
                          <w:rPr>
                            <w:sz w:val="16"/>
                          </w:rPr>
                          <w:delText>2024</w:delText>
                        </w:r>
                      </w:del>
                      <w:ins w:id="1493" w:author="Master Repository Process" w:date="2025-06-25T16:38: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cr/>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Species of fish not endemic to Australia</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85" w:name="Compilation"/>
    <w:bookmarkEnd w:id="1485"/>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94" w:name="Coversheet"/>
    <w:bookmarkEnd w:id="14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6"/>
  </w:num>
  <w:num w:numId="4">
    <w:abstractNumId w:val="24"/>
  </w:num>
  <w:num w:numId="5">
    <w:abstractNumId w:val="14"/>
  </w:num>
  <w:num w:numId="6">
    <w:abstractNumId w:val="23"/>
  </w:num>
  <w:num w:numId="7">
    <w:abstractNumId w:val="15"/>
  </w:num>
  <w:num w:numId="8">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6101209"/>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 w:name="WAFER_20210630093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093727_GUID" w:val="76a38803-123e-47fc-b5f3-8f5371ca248e"/>
    <w:docVar w:name="WAFER_2021092211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114512_GUID" w:val="0c023a3d-b95c-4af9-b800-1f33e6b7ac2c"/>
    <w:docVar w:name="WAFER_2022070411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18_GUID" w:val="a638d9b8-e036-4fa4-b400-0efc120ff551"/>
    <w:docVar w:name="WAFER_202207131311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00_GUID" w:val="56775d59-f370-4203-98bd-f26d65a8fdce"/>
    <w:docVar w:name="WAFER_202209201114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410_GUID" w:val="be4974af-d8f3-4f65-a4df-245c5c841b79"/>
    <w:docVar w:name="WAFER_20220927094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094629_GUID" w:val="34335d69-02c9-4084-b67c-44b1a3c194f7"/>
    <w:docVar w:name="WAFER_202301231519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51930_GUID" w:val="1bdd942c-640c-49d3-81d2-ae11a657b4e2"/>
    <w:docVar w:name="WAFER_20240429101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29101642_GUID" w:val="41ef4c15-4989-41f7-8472-ddbcda088939"/>
    <w:docVar w:name="WAFER_2024062109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4911_GUID" w:val="2a838993-2fa7-4fe3-a608-7dfd7e2854fe"/>
    <w:docVar w:name="WAFER_20240802125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25213_GUID" w:val="ef5fb0ad-ee37-4fd5-bf02-663f765b7e13"/>
    <w:docVar w:name="WAFER_20241108083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83957_GUID" w:val="c6e78671-9008-4c1c-b1f5-eb8fd38de163"/>
    <w:docVar w:name="WAFER_20241125084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5084443_GUID" w:val="cdb4bd4d-0607-44cc-9e0f-ef20913383f5"/>
    <w:docVar w:name="WAFER_20241206101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01209_GUID" w:val="f316bbbb-d274-48b1-bf62-6c67beee54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 w:id="205778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2.png"/><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footer" Target="footer7.xml"/><Relationship Id="rId48"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0F4EE-9E59-48DF-B84A-A2DBA1741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72379</Words>
  <Characters>340907</Characters>
  <Application>Microsoft Office Word</Application>
  <DocSecurity>0</DocSecurity>
  <Lines>13111</Lines>
  <Paragraphs>8984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14-t0-00 - 15-a0-00</dc:title>
  <dc:subject/>
  <dc:creator/>
  <cp:keywords/>
  <dc:description/>
  <cp:lastModifiedBy>Master Repository Process</cp:lastModifiedBy>
  <cp:revision>2</cp:revision>
  <cp:lastPrinted>2019-11-28T04:56:00Z</cp:lastPrinted>
  <dcterms:created xsi:type="dcterms:W3CDTF">2025-06-25T08:35:00Z</dcterms:created>
  <dcterms:modified xsi:type="dcterms:W3CDTF">2025-06-25T08:38:00Z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Official">
    <vt:lpwstr/>
  </property>
  <property fmtid="{D5CDD505-2E9C-101B-9397-08002B2CF9AE}" pid="6" name="ReprintNo">
    <vt:lpwstr>15</vt:lpwstr>
  </property>
  <property fmtid="{D5CDD505-2E9C-101B-9397-08002B2CF9AE}" pid="7" name="ReprintedAsAt">
    <vt:filetime>2025-06-25T16:00:00Z</vt:filetime>
  </property>
  <property fmtid="{D5CDD505-2E9C-101B-9397-08002B2CF9AE}" pid="8" name="CommencementDate">
    <vt:lpwstr>20250626</vt:lpwstr>
  </property>
  <property fmtid="{D5CDD505-2E9C-101B-9397-08002B2CF9AE}" pid="9" name="CommencementAsAt">
    <vt:filetime>2025-06-25T16:00:00Z</vt:filetime>
  </property>
  <property fmtid="{D5CDD505-2E9C-101B-9397-08002B2CF9AE}" pid="10" name="CommencementYear">
    <vt:lpwstr>2025</vt:lpwstr>
  </property>
  <property fmtid="{D5CDD505-2E9C-101B-9397-08002B2CF9AE}" pid="11" name="FromSuffix">
    <vt:lpwstr>14-t0-00</vt:lpwstr>
  </property>
  <property fmtid="{D5CDD505-2E9C-101B-9397-08002B2CF9AE}" pid="12" name="FromAsAtDate">
    <vt:lpwstr>12 Dec 2024</vt:lpwstr>
  </property>
  <property fmtid="{D5CDD505-2E9C-101B-9397-08002B2CF9AE}" pid="13" name="ToSuffix">
    <vt:lpwstr>15-a0-00</vt:lpwstr>
  </property>
  <property fmtid="{D5CDD505-2E9C-101B-9397-08002B2CF9AE}" pid="14" name="ToAsAtDate">
    <vt:lpwstr>26 Jun 2025</vt:lpwstr>
  </property>
</Properties>
</file>