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07-ad0-00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07-ae0-00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201733208"/>
      <w:bookmarkStart w:id="2" w:name="_Toc201733726"/>
      <w:bookmarkStart w:id="3" w:name="_Toc201739733"/>
      <w:bookmarkStart w:id="4" w:name="_Toc200094321"/>
      <w:bookmarkStart w:id="5" w:name="_Toc200094643"/>
      <w:bookmarkStart w:id="6" w:name="_Toc200094977"/>
      <w:r>
        <w:rPr>
          <w:rStyle w:val="CharPartNo"/>
        </w:rPr>
        <w:t>Part 1</w:t>
      </w:r>
      <w:r>
        <w:rPr>
          <w:rStyle w:val="CharDivNo"/>
        </w:rPr>
        <w:t> </w:t>
      </w:r>
      <w:r>
        <w:t>— </w:t>
      </w:r>
      <w:r>
        <w:rPr>
          <w:rStyle w:val="CharPartText"/>
        </w:rPr>
        <w:t>Preliminary</w:t>
      </w:r>
      <w:bookmarkEnd w:id="1"/>
      <w:bookmarkEnd w:id="2"/>
      <w:bookmarkEnd w:id="3"/>
      <w:bookmarkEnd w:id="4"/>
      <w:bookmarkEnd w:id="5"/>
      <w:bookmarkEnd w:id="6"/>
    </w:p>
    <w:p>
      <w:pPr>
        <w:pStyle w:val="Heading5"/>
        <w:spacing w:before="180"/>
        <w:rPr>
          <w:snapToGrid w:val="0"/>
        </w:rPr>
      </w:pPr>
      <w:bookmarkStart w:id="7" w:name="_Toc201739734"/>
      <w:bookmarkStart w:id="8" w:name="_Toc200094978"/>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9" w:name="_Toc201739735"/>
      <w:bookmarkStart w:id="10" w:name="_Toc20009497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1" w:name="_Toc201739736"/>
      <w:bookmarkStart w:id="12" w:name="_Toc200094980"/>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3" w:name="_Toc201739737"/>
      <w:bookmarkStart w:id="14" w:name="_Toc200094981"/>
      <w:r>
        <w:rPr>
          <w:rStyle w:val="CharSectno"/>
        </w:rPr>
        <w:t>4A</w:t>
      </w:r>
      <w:r>
        <w:t>.</w:t>
      </w:r>
      <w:r>
        <w:tab/>
        <w:t>Term used: electrical work</w:t>
      </w:r>
      <w:bookmarkEnd w:id="13"/>
      <w:bookmarkEnd w:id="14"/>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5" w:name="_Toc201739738"/>
      <w:bookmarkStart w:id="16" w:name="_Toc200094982"/>
      <w:r>
        <w:rPr>
          <w:rStyle w:val="CharSectno"/>
        </w:rPr>
        <w:t>4AA</w:t>
      </w:r>
      <w:r>
        <w:t>.</w:t>
      </w:r>
      <w:r>
        <w:tab/>
        <w:t>Term used: private generating plant</w:t>
      </w:r>
      <w:bookmarkEnd w:id="15"/>
      <w:bookmarkEnd w:id="16"/>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7" w:name="_Toc201733214"/>
      <w:bookmarkStart w:id="18" w:name="_Toc201733732"/>
      <w:bookmarkStart w:id="19" w:name="_Toc201739739"/>
      <w:bookmarkStart w:id="20" w:name="_Toc200094327"/>
      <w:bookmarkStart w:id="21" w:name="_Toc200094649"/>
      <w:bookmarkStart w:id="22" w:name="_Toc200094983"/>
      <w:r>
        <w:rPr>
          <w:rStyle w:val="CharPartNo"/>
        </w:rPr>
        <w:t>Part 2</w:t>
      </w:r>
      <w:r>
        <w:t> — </w:t>
      </w:r>
      <w:r>
        <w:rPr>
          <w:rStyle w:val="CharPartText"/>
        </w:rPr>
        <w:t>The Electrical Licensing Board</w:t>
      </w:r>
      <w:bookmarkEnd w:id="17"/>
      <w:bookmarkEnd w:id="18"/>
      <w:bookmarkEnd w:id="19"/>
      <w:bookmarkEnd w:id="20"/>
      <w:bookmarkEnd w:id="21"/>
      <w:bookmarkEnd w:id="22"/>
      <w:r>
        <w:rPr>
          <w:rStyle w:val="CharPartText"/>
        </w:rPr>
        <w:t xml:space="preserve"> </w:t>
      </w:r>
    </w:p>
    <w:p>
      <w:pPr>
        <w:pStyle w:val="Heading3"/>
        <w:rPr>
          <w:snapToGrid w:val="0"/>
        </w:rPr>
      </w:pPr>
      <w:bookmarkStart w:id="23" w:name="_Toc201733215"/>
      <w:bookmarkStart w:id="24" w:name="_Toc201733733"/>
      <w:bookmarkStart w:id="25" w:name="_Toc201739740"/>
      <w:bookmarkStart w:id="26" w:name="_Toc200094328"/>
      <w:bookmarkStart w:id="27" w:name="_Toc200094650"/>
      <w:bookmarkStart w:id="28" w:name="_Toc200094984"/>
      <w:r>
        <w:rPr>
          <w:rStyle w:val="CharDivNo"/>
        </w:rPr>
        <w:t>Division 1</w:t>
      </w:r>
      <w:r>
        <w:rPr>
          <w:snapToGrid w:val="0"/>
        </w:rPr>
        <w:t> — </w:t>
      </w:r>
      <w:r>
        <w:rPr>
          <w:rStyle w:val="CharDivText"/>
        </w:rPr>
        <w:t>The Board</w:t>
      </w:r>
      <w:bookmarkEnd w:id="23"/>
      <w:bookmarkEnd w:id="24"/>
      <w:bookmarkEnd w:id="25"/>
      <w:bookmarkEnd w:id="26"/>
      <w:bookmarkEnd w:id="27"/>
      <w:bookmarkEnd w:id="28"/>
      <w:r>
        <w:rPr>
          <w:rStyle w:val="CharDivText"/>
        </w:rPr>
        <w:t xml:space="preserve"> </w:t>
      </w:r>
    </w:p>
    <w:p>
      <w:pPr>
        <w:pStyle w:val="Heading5"/>
        <w:rPr>
          <w:snapToGrid w:val="0"/>
        </w:rPr>
      </w:pPr>
      <w:bookmarkStart w:id="29" w:name="_Toc201739741"/>
      <w:bookmarkStart w:id="30" w:name="_Toc200094985"/>
      <w:r>
        <w:rPr>
          <w:rStyle w:val="CharSectno"/>
        </w:rPr>
        <w:t>4</w:t>
      </w:r>
      <w:r>
        <w:rPr>
          <w:snapToGrid w:val="0"/>
        </w:rPr>
        <w:t>.</w:t>
      </w:r>
      <w:r>
        <w:rPr>
          <w:snapToGrid w:val="0"/>
        </w:rPr>
        <w:tab/>
        <w:t>Board established</w:t>
      </w:r>
      <w:bookmarkEnd w:id="29"/>
      <w:bookmarkEnd w:id="3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1" w:name="_Toc201739742"/>
      <w:bookmarkStart w:id="32" w:name="_Toc200094986"/>
      <w:r>
        <w:rPr>
          <w:rStyle w:val="CharSectno"/>
        </w:rPr>
        <w:t>5</w:t>
      </w:r>
      <w:r>
        <w:rPr>
          <w:snapToGrid w:val="0"/>
        </w:rPr>
        <w:t>.</w:t>
      </w:r>
      <w:r>
        <w:rPr>
          <w:snapToGrid w:val="0"/>
        </w:rPr>
        <w:tab/>
        <w:t>Membership</w:t>
      </w:r>
      <w:bookmarkEnd w:id="31"/>
      <w:bookmarkEnd w:id="32"/>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33" w:name="_Toc201739743"/>
      <w:bookmarkStart w:id="34" w:name="_Toc200094987"/>
      <w:r>
        <w:rPr>
          <w:rStyle w:val="CharSectno"/>
        </w:rPr>
        <w:t>6</w:t>
      </w:r>
      <w:r>
        <w:t>.</w:t>
      </w:r>
      <w:r>
        <w:tab/>
        <w:t>Appointments under r. 5(1)(b) to (fa), procedure for making</w:t>
      </w:r>
      <w:bookmarkEnd w:id="33"/>
      <w:bookmarkEnd w:id="34"/>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keepNext/>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5" w:name="_Toc201739744"/>
      <w:bookmarkStart w:id="36" w:name="_Toc200094988"/>
      <w:r>
        <w:rPr>
          <w:rStyle w:val="CharSectno"/>
        </w:rPr>
        <w:t>7</w:t>
      </w:r>
      <w:r>
        <w:rPr>
          <w:snapToGrid w:val="0"/>
        </w:rPr>
        <w:t>.</w:t>
      </w:r>
      <w:r>
        <w:rPr>
          <w:snapToGrid w:val="0"/>
        </w:rPr>
        <w:tab/>
        <w:t>Term of office</w:t>
      </w:r>
      <w:bookmarkEnd w:id="35"/>
      <w:bookmarkEnd w:id="36"/>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37" w:name="_Toc201739745"/>
      <w:bookmarkStart w:id="38" w:name="_Toc200094989"/>
      <w:r>
        <w:rPr>
          <w:rStyle w:val="CharSectno"/>
        </w:rPr>
        <w:t>8</w:t>
      </w:r>
      <w:r>
        <w:rPr>
          <w:snapToGrid w:val="0"/>
        </w:rPr>
        <w:t>.</w:t>
      </w:r>
      <w:r>
        <w:rPr>
          <w:snapToGrid w:val="0"/>
        </w:rPr>
        <w:tab/>
        <w:t>Resignations and removals from office</w:t>
      </w:r>
      <w:bookmarkEnd w:id="37"/>
      <w:bookmarkEnd w:id="38"/>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39" w:name="_Toc201739746"/>
      <w:bookmarkStart w:id="40" w:name="_Toc200094990"/>
      <w:r>
        <w:rPr>
          <w:rStyle w:val="CharSectno"/>
        </w:rPr>
        <w:t>9</w:t>
      </w:r>
      <w:r>
        <w:rPr>
          <w:snapToGrid w:val="0"/>
        </w:rPr>
        <w:t>.</w:t>
      </w:r>
      <w:r>
        <w:rPr>
          <w:snapToGrid w:val="0"/>
        </w:rPr>
        <w:tab/>
        <w:t>Acting members</w:t>
      </w:r>
      <w:bookmarkEnd w:id="39"/>
      <w:bookmarkEnd w:id="40"/>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41" w:name="_Toc201739747"/>
      <w:bookmarkStart w:id="42" w:name="_Toc200094991"/>
      <w:r>
        <w:rPr>
          <w:rStyle w:val="CharSectno"/>
        </w:rPr>
        <w:t>10</w:t>
      </w:r>
      <w:r>
        <w:rPr>
          <w:snapToGrid w:val="0"/>
        </w:rPr>
        <w:t>.</w:t>
      </w:r>
      <w:r>
        <w:rPr>
          <w:snapToGrid w:val="0"/>
        </w:rPr>
        <w:tab/>
        <w:t>Meetings</w:t>
      </w:r>
      <w:bookmarkEnd w:id="41"/>
      <w:bookmarkEnd w:id="4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43" w:name="_Toc201739748"/>
      <w:bookmarkStart w:id="44" w:name="_Toc200094992"/>
      <w:r>
        <w:rPr>
          <w:rStyle w:val="CharSectno"/>
        </w:rPr>
        <w:t>11</w:t>
      </w:r>
      <w:r>
        <w:rPr>
          <w:snapToGrid w:val="0"/>
        </w:rPr>
        <w:t>.</w:t>
      </w:r>
      <w:r>
        <w:rPr>
          <w:snapToGrid w:val="0"/>
        </w:rPr>
        <w:tab/>
        <w:t>Procedures of Board</w:t>
      </w:r>
      <w:bookmarkEnd w:id="43"/>
      <w:bookmarkEnd w:id="4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5" w:name="_Toc201739749"/>
      <w:bookmarkStart w:id="46" w:name="_Toc200094993"/>
      <w:r>
        <w:rPr>
          <w:rStyle w:val="CharSectno"/>
        </w:rPr>
        <w:t>12</w:t>
      </w:r>
      <w:r>
        <w:rPr>
          <w:snapToGrid w:val="0"/>
        </w:rPr>
        <w:t>.</w:t>
      </w:r>
      <w:r>
        <w:rPr>
          <w:snapToGrid w:val="0"/>
        </w:rPr>
        <w:tab/>
        <w:t>Remuneration and allowances</w:t>
      </w:r>
      <w:bookmarkEnd w:id="45"/>
      <w:bookmarkEnd w:id="46"/>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47" w:name="_Toc201739750"/>
      <w:bookmarkStart w:id="48" w:name="_Toc200094994"/>
      <w:r>
        <w:rPr>
          <w:rStyle w:val="CharSectno"/>
        </w:rPr>
        <w:t>13</w:t>
      </w:r>
      <w:r>
        <w:rPr>
          <w:snapToGrid w:val="0"/>
        </w:rPr>
        <w:t>.</w:t>
      </w:r>
      <w:r>
        <w:rPr>
          <w:snapToGrid w:val="0"/>
        </w:rPr>
        <w:tab/>
      </w:r>
      <w:r>
        <w:t>Functions of Board</w:t>
      </w:r>
      <w:bookmarkEnd w:id="47"/>
      <w:bookmarkEnd w:id="48"/>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49" w:name="_Toc201739751"/>
      <w:bookmarkStart w:id="50" w:name="_Toc200094995"/>
      <w:r>
        <w:rPr>
          <w:rStyle w:val="CharSectno"/>
        </w:rPr>
        <w:t>14</w:t>
      </w:r>
      <w:r>
        <w:rPr>
          <w:snapToGrid w:val="0"/>
        </w:rPr>
        <w:t>.</w:t>
      </w:r>
      <w:r>
        <w:rPr>
          <w:snapToGrid w:val="0"/>
        </w:rPr>
        <w:tab/>
        <w:t>Executive officer and other officers</w:t>
      </w:r>
      <w:bookmarkEnd w:id="49"/>
      <w:bookmarkEnd w:id="5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1" w:name="_Toc201739752"/>
      <w:bookmarkStart w:id="52" w:name="_Toc200094996"/>
      <w:r>
        <w:rPr>
          <w:rStyle w:val="CharSectno"/>
        </w:rPr>
        <w:t>15</w:t>
      </w:r>
      <w:r>
        <w:rPr>
          <w:rFonts w:ascii="Times" w:hAnsi="Times"/>
        </w:rPr>
        <w:t>.</w:t>
      </w:r>
      <w:r>
        <w:rPr>
          <w:rFonts w:ascii="Times" w:hAnsi="Times"/>
        </w:rPr>
        <w:tab/>
        <w:t>Protection from liability</w:t>
      </w:r>
      <w:bookmarkEnd w:id="51"/>
      <w:bookmarkEnd w:id="52"/>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3" w:name="_Toc201733228"/>
      <w:bookmarkStart w:id="54" w:name="_Toc201733746"/>
      <w:bookmarkStart w:id="55" w:name="_Toc201739753"/>
      <w:bookmarkStart w:id="56" w:name="_Toc200094341"/>
      <w:bookmarkStart w:id="57" w:name="_Toc200094663"/>
      <w:bookmarkStart w:id="58" w:name="_Toc200094997"/>
      <w:r>
        <w:rPr>
          <w:rStyle w:val="CharPartNo"/>
        </w:rPr>
        <w:t>Part 3</w:t>
      </w:r>
      <w:r>
        <w:t> — </w:t>
      </w:r>
      <w:r>
        <w:rPr>
          <w:rStyle w:val="CharPartText"/>
        </w:rPr>
        <w:t>Licensing of electrical workers</w:t>
      </w:r>
      <w:bookmarkEnd w:id="53"/>
      <w:bookmarkEnd w:id="54"/>
      <w:bookmarkEnd w:id="55"/>
      <w:bookmarkEnd w:id="56"/>
      <w:bookmarkEnd w:id="57"/>
      <w:bookmarkEnd w:id="58"/>
      <w:r>
        <w:rPr>
          <w:rStyle w:val="CharPartText"/>
        </w:rPr>
        <w:t xml:space="preserve"> </w:t>
      </w:r>
    </w:p>
    <w:p>
      <w:pPr>
        <w:pStyle w:val="Heading3"/>
      </w:pPr>
      <w:bookmarkStart w:id="59" w:name="_Toc201733229"/>
      <w:bookmarkStart w:id="60" w:name="_Toc201733747"/>
      <w:bookmarkStart w:id="61" w:name="_Toc201739754"/>
      <w:bookmarkStart w:id="62" w:name="_Toc200094342"/>
      <w:bookmarkStart w:id="63" w:name="_Toc200094664"/>
      <w:bookmarkStart w:id="64" w:name="_Toc200094998"/>
      <w:r>
        <w:rPr>
          <w:rStyle w:val="CharDivNo"/>
        </w:rPr>
        <w:t>Division 1</w:t>
      </w:r>
      <w:r>
        <w:t> — </w:t>
      </w:r>
      <w:r>
        <w:rPr>
          <w:rStyle w:val="CharDivText"/>
        </w:rPr>
        <w:t>General</w:t>
      </w:r>
      <w:bookmarkEnd w:id="59"/>
      <w:bookmarkEnd w:id="60"/>
      <w:bookmarkEnd w:id="61"/>
      <w:bookmarkEnd w:id="62"/>
      <w:bookmarkEnd w:id="63"/>
      <w:bookmarkEnd w:id="64"/>
    </w:p>
    <w:p>
      <w:pPr>
        <w:pStyle w:val="Footnoteheading"/>
      </w:pPr>
      <w:r>
        <w:tab/>
        <w:t>[Heading inserted: SL 2024/211 r. 4.]</w:t>
      </w:r>
    </w:p>
    <w:p>
      <w:pPr>
        <w:pStyle w:val="Heading5"/>
        <w:rPr>
          <w:snapToGrid w:val="0"/>
        </w:rPr>
      </w:pPr>
      <w:bookmarkStart w:id="65" w:name="_Toc201739755"/>
      <w:bookmarkStart w:id="66" w:name="_Toc200094999"/>
      <w:r>
        <w:rPr>
          <w:rStyle w:val="CharSectno"/>
        </w:rPr>
        <w:t>19</w:t>
      </w:r>
      <w:r>
        <w:rPr>
          <w:snapToGrid w:val="0"/>
        </w:rPr>
        <w:t>.</w:t>
      </w:r>
      <w:r>
        <w:rPr>
          <w:snapToGrid w:val="0"/>
        </w:rPr>
        <w:tab/>
        <w:t>Electrical work prohibited unless authorised</w:t>
      </w:r>
      <w:bookmarkEnd w:id="65"/>
      <w:bookmarkEnd w:id="66"/>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keepNext/>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67" w:name="_Toc201739756"/>
      <w:bookmarkStart w:id="68" w:name="_Toc200095000"/>
      <w:r>
        <w:rPr>
          <w:rStyle w:val="CharSectno"/>
        </w:rPr>
        <w:t>20</w:t>
      </w:r>
      <w:r>
        <w:rPr>
          <w:snapToGrid w:val="0"/>
        </w:rPr>
        <w:t>.</w:t>
      </w:r>
      <w:r>
        <w:rPr>
          <w:snapToGrid w:val="0"/>
        </w:rPr>
        <w:tab/>
        <w:t>Electrical worker’s licence, types and effect of</w:t>
      </w:r>
      <w:bookmarkEnd w:id="67"/>
      <w:bookmarkEnd w:id="68"/>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69" w:name="_Toc201739757"/>
      <w:bookmarkStart w:id="70" w:name="_Toc200095001"/>
      <w:r>
        <w:rPr>
          <w:rStyle w:val="CharSectno"/>
        </w:rPr>
        <w:t>21</w:t>
      </w:r>
      <w:r>
        <w:rPr>
          <w:snapToGrid w:val="0"/>
        </w:rPr>
        <w:t>.</w:t>
      </w:r>
      <w:r>
        <w:rPr>
          <w:snapToGrid w:val="0"/>
        </w:rPr>
        <w:tab/>
        <w:t>Permit, effect of</w:t>
      </w:r>
      <w:bookmarkEnd w:id="69"/>
      <w:bookmarkEnd w:id="70"/>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1" w:name="_Toc201739758"/>
      <w:bookmarkStart w:id="72" w:name="_Toc200095002"/>
      <w:r>
        <w:rPr>
          <w:rStyle w:val="CharSectno"/>
        </w:rPr>
        <w:t>22</w:t>
      </w:r>
      <w:r>
        <w:rPr>
          <w:snapToGrid w:val="0"/>
        </w:rPr>
        <w:t>.</w:t>
      </w:r>
      <w:r>
        <w:rPr>
          <w:snapToGrid w:val="0"/>
        </w:rPr>
        <w:tab/>
        <w:t>Eligibility for electrical worker’s licence</w:t>
      </w:r>
      <w:bookmarkEnd w:id="71"/>
      <w:bookmarkEnd w:id="72"/>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73" w:name="_Toc201739759"/>
      <w:bookmarkStart w:id="74" w:name="_Toc200095003"/>
      <w:r>
        <w:rPr>
          <w:rStyle w:val="CharSectno"/>
        </w:rPr>
        <w:t>23</w:t>
      </w:r>
      <w:r>
        <w:rPr>
          <w:snapToGrid w:val="0"/>
        </w:rPr>
        <w:t>.</w:t>
      </w:r>
      <w:r>
        <w:rPr>
          <w:snapToGrid w:val="0"/>
        </w:rPr>
        <w:tab/>
        <w:t>Application for licence or permit</w:t>
      </w:r>
      <w:bookmarkEnd w:id="73"/>
      <w:bookmarkEnd w:id="74"/>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SL 2024/96 r. 17.] </w:t>
      </w:r>
    </w:p>
    <w:p>
      <w:pPr>
        <w:pStyle w:val="Heading5"/>
        <w:spacing w:before="180"/>
        <w:rPr>
          <w:snapToGrid w:val="0"/>
        </w:rPr>
      </w:pPr>
      <w:bookmarkStart w:id="75" w:name="_Toc201739760"/>
      <w:bookmarkStart w:id="76" w:name="_Toc200095004"/>
      <w:r>
        <w:rPr>
          <w:rStyle w:val="CharSectno"/>
        </w:rPr>
        <w:t>24</w:t>
      </w:r>
      <w:r>
        <w:rPr>
          <w:snapToGrid w:val="0"/>
        </w:rPr>
        <w:t>.</w:t>
      </w:r>
      <w:r>
        <w:rPr>
          <w:snapToGrid w:val="0"/>
        </w:rPr>
        <w:tab/>
        <w:t>Issue of licence or permit</w:t>
      </w:r>
      <w:bookmarkEnd w:id="75"/>
      <w:bookmarkEnd w:id="76"/>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77" w:name="_Toc201739761"/>
      <w:bookmarkStart w:id="78" w:name="_Toc200095005"/>
      <w:r>
        <w:rPr>
          <w:rStyle w:val="CharSectno"/>
        </w:rPr>
        <w:t>26</w:t>
      </w:r>
      <w:r>
        <w:rPr>
          <w:snapToGrid w:val="0"/>
        </w:rPr>
        <w:t>.</w:t>
      </w:r>
      <w:r>
        <w:rPr>
          <w:snapToGrid w:val="0"/>
        </w:rPr>
        <w:tab/>
        <w:t>Duration of registration of licence or permit</w:t>
      </w:r>
      <w:bookmarkEnd w:id="77"/>
      <w:bookmarkEnd w:id="78"/>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79" w:name="_Toc201739762"/>
      <w:bookmarkStart w:id="80" w:name="_Toc200095006"/>
      <w:r>
        <w:rPr>
          <w:rStyle w:val="CharSectno"/>
        </w:rPr>
        <w:t>27</w:t>
      </w:r>
      <w:r>
        <w:rPr>
          <w:snapToGrid w:val="0"/>
        </w:rPr>
        <w:t>.</w:t>
      </w:r>
      <w:r>
        <w:rPr>
          <w:snapToGrid w:val="0"/>
        </w:rPr>
        <w:tab/>
        <w:t>Registration and renewal of registration of licences</w:t>
      </w:r>
      <w:bookmarkEnd w:id="79"/>
      <w:bookmarkEnd w:id="8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SL 2024/96 r. 18.] </w:t>
      </w:r>
    </w:p>
    <w:p>
      <w:pPr>
        <w:pStyle w:val="Heading5"/>
      </w:pPr>
      <w:bookmarkStart w:id="81" w:name="_Toc201739763"/>
      <w:bookmarkStart w:id="82" w:name="_Toc200095007"/>
      <w:r>
        <w:rPr>
          <w:rStyle w:val="CharSectno"/>
        </w:rPr>
        <w:t>28</w:t>
      </w:r>
      <w:r>
        <w:t>.</w:t>
      </w:r>
      <w:r>
        <w:tab/>
        <w:t>Contact details</w:t>
      </w:r>
      <w:bookmarkEnd w:id="81"/>
      <w:bookmarkEnd w:id="82"/>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83" w:name="_Toc201739764"/>
      <w:bookmarkStart w:id="84" w:name="_Toc200095008"/>
      <w:r>
        <w:rPr>
          <w:rStyle w:val="CharSectno"/>
        </w:rPr>
        <w:t>29</w:t>
      </w:r>
      <w:r>
        <w:rPr>
          <w:snapToGrid w:val="0"/>
        </w:rPr>
        <w:t>.</w:t>
      </w:r>
      <w:r>
        <w:rPr>
          <w:snapToGrid w:val="0"/>
        </w:rPr>
        <w:tab/>
        <w:t>Physical examinations and competency tests, Board may require</w:t>
      </w:r>
      <w:bookmarkEnd w:id="83"/>
      <w:bookmarkEnd w:id="84"/>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85" w:name="_Toc201739765"/>
      <w:bookmarkStart w:id="86" w:name="_Toc200095009"/>
      <w:r>
        <w:rPr>
          <w:rStyle w:val="CharSectno"/>
        </w:rPr>
        <w:t>30</w:t>
      </w:r>
      <w:r>
        <w:t>.</w:t>
      </w:r>
      <w:r>
        <w:tab/>
        <w:t>Disciplinary action, proper causes for</w:t>
      </w:r>
      <w:bookmarkEnd w:id="85"/>
      <w:bookmarkEnd w:id="86"/>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87" w:name="_Toc201739766"/>
      <w:bookmarkStart w:id="88" w:name="_Toc200095010"/>
      <w:r>
        <w:rPr>
          <w:rStyle w:val="CharSectno"/>
        </w:rPr>
        <w:t>31</w:t>
      </w:r>
      <w:r>
        <w:t>.</w:t>
      </w:r>
      <w:r>
        <w:tab/>
        <w:t>Disciplinary action by SAT</w:t>
      </w:r>
      <w:bookmarkEnd w:id="87"/>
      <w:bookmarkEnd w:id="88"/>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89" w:name="_Toc201739767"/>
      <w:bookmarkStart w:id="90" w:name="_Toc200095011"/>
      <w:r>
        <w:rPr>
          <w:rStyle w:val="CharSectno"/>
        </w:rPr>
        <w:t>31A</w:t>
      </w:r>
      <w:r>
        <w:t>.</w:t>
      </w:r>
      <w:r>
        <w:tab/>
        <w:t>Alternative to seeking disciplinary action under r. 31</w:t>
      </w:r>
      <w:bookmarkEnd w:id="89"/>
      <w:bookmarkEnd w:id="90"/>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1" w:name="_Toc201739768"/>
      <w:bookmarkStart w:id="92" w:name="_Toc200095012"/>
      <w:r>
        <w:rPr>
          <w:rStyle w:val="CharSectno"/>
        </w:rPr>
        <w:t>32</w:t>
      </w:r>
      <w:r>
        <w:rPr>
          <w:snapToGrid w:val="0"/>
        </w:rPr>
        <w:t>.</w:t>
      </w:r>
      <w:r>
        <w:rPr>
          <w:snapToGrid w:val="0"/>
        </w:rPr>
        <w:tab/>
        <w:t>Suspension, effect and revocation of</w:t>
      </w:r>
      <w:bookmarkEnd w:id="91"/>
      <w:bookmarkEnd w:id="92"/>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3"/>
      </w:pPr>
      <w:bookmarkStart w:id="93" w:name="_Toc201733244"/>
      <w:bookmarkStart w:id="94" w:name="_Toc201733762"/>
      <w:bookmarkStart w:id="95" w:name="_Toc201739769"/>
      <w:bookmarkStart w:id="96" w:name="_Toc200094357"/>
      <w:bookmarkStart w:id="97" w:name="_Toc200094679"/>
      <w:bookmarkStart w:id="98" w:name="_Toc200095013"/>
      <w:r>
        <w:rPr>
          <w:rStyle w:val="CharDivNo"/>
        </w:rPr>
        <w:t>Division 2</w:t>
      </w:r>
      <w:r>
        <w:t> — </w:t>
      </w:r>
      <w:r>
        <w:rPr>
          <w:rStyle w:val="CharDivText"/>
        </w:rPr>
        <w:t>Approved CPR courses</w:t>
      </w:r>
      <w:bookmarkEnd w:id="93"/>
      <w:bookmarkEnd w:id="94"/>
      <w:bookmarkEnd w:id="95"/>
      <w:bookmarkEnd w:id="96"/>
      <w:bookmarkEnd w:id="97"/>
      <w:bookmarkEnd w:id="98"/>
      <w:r>
        <w:t xml:space="preserve"> </w:t>
      </w:r>
    </w:p>
    <w:p>
      <w:pPr>
        <w:pStyle w:val="Footnoteheading"/>
      </w:pPr>
      <w:r>
        <w:tab/>
        <w:t>[Heading inserted: SL 2024/211 r. 5.]</w:t>
      </w:r>
    </w:p>
    <w:p>
      <w:pPr>
        <w:pStyle w:val="Heading5"/>
      </w:pPr>
      <w:bookmarkStart w:id="99" w:name="_Toc201739770"/>
      <w:bookmarkStart w:id="100" w:name="_Toc200095014"/>
      <w:r>
        <w:rPr>
          <w:rStyle w:val="CharSectno"/>
        </w:rPr>
        <w:t>32A</w:t>
      </w:r>
      <w:r>
        <w:t>.</w:t>
      </w:r>
      <w:r>
        <w:tab/>
        <w:t>Terms used</w:t>
      </w:r>
      <w:bookmarkEnd w:id="99"/>
      <w:bookmarkEnd w:id="100"/>
    </w:p>
    <w:p>
      <w:pPr>
        <w:pStyle w:val="Subsection"/>
      </w:pPr>
      <w:r>
        <w:rPr>
          <w:b/>
        </w:rPr>
        <w:tab/>
      </w:r>
      <w:r>
        <w:rPr>
          <w:b/>
        </w:rPr>
        <w:tab/>
      </w:r>
      <w:r>
        <w:t xml:space="preserve">In this Division — </w:t>
      </w:r>
    </w:p>
    <w:p>
      <w:pPr>
        <w:pStyle w:val="Defstart"/>
      </w:pPr>
      <w:r>
        <w:tab/>
      </w:r>
      <w:r>
        <w:rPr>
          <w:rStyle w:val="CharDefText"/>
        </w:rPr>
        <w:t>approved CPR course</w:t>
      </w:r>
      <w:r>
        <w:t xml:space="preserve"> means a course approved by the Director under regulation 32B; </w:t>
      </w:r>
    </w:p>
    <w:p>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pPr>
        <w:pStyle w:val="Defstart"/>
      </w:pPr>
      <w:r>
        <w:tab/>
      </w:r>
      <w:r>
        <w:rPr>
          <w:rStyle w:val="CharDefText"/>
        </w:rPr>
        <w:t>completion period</w:t>
      </w:r>
      <w:r>
        <w:t xml:space="preserve">, in relation to an electrician, means — </w:t>
      </w:r>
    </w:p>
    <w:p>
      <w:pPr>
        <w:pStyle w:val="Defpara"/>
      </w:pPr>
      <w:r>
        <w:tab/>
        <w:t>(a)</w:t>
      </w:r>
      <w:r>
        <w:tab/>
        <w:t xml:space="preserve">if the electrician ceases to hold an endorsed electrician’s licence after the day on which the period began — a period — </w:t>
      </w:r>
    </w:p>
    <w:p>
      <w:pPr>
        <w:pStyle w:val="Defsubpara"/>
      </w:pPr>
      <w:r>
        <w:tab/>
        <w:t>(i)</w:t>
      </w:r>
      <w:r>
        <w:tab/>
        <w:t xml:space="preserve">of 3 years plus any period greater than 30 consecutive days during which the electrician was unlicensed; or </w:t>
      </w:r>
    </w:p>
    <w:p>
      <w:pPr>
        <w:pStyle w:val="Defsubpara"/>
      </w:pPr>
      <w:r>
        <w:tab/>
        <w:t>(ii)</w:t>
      </w:r>
      <w:r>
        <w:tab/>
        <w:t>that is approved under regulation 32C;</w:t>
      </w:r>
    </w:p>
    <w:p>
      <w:pPr>
        <w:pStyle w:val="Defpara"/>
      </w:pPr>
      <w:r>
        <w:tab/>
      </w:r>
      <w:r>
        <w:tab/>
        <w:t>or</w:t>
      </w:r>
    </w:p>
    <w:p>
      <w:pPr>
        <w:pStyle w:val="Defpara"/>
      </w:pPr>
      <w:r>
        <w:tab/>
        <w:t>(b)</w:t>
      </w:r>
      <w:r>
        <w:tab/>
        <w:t>in any other case — a period of 3 years or a longer period approved under regulation 32C;</w:t>
      </w:r>
    </w:p>
    <w:p>
      <w:pPr>
        <w:pStyle w:val="Defstart"/>
      </w:pPr>
      <w:r>
        <w:tab/>
      </w:r>
      <w:r>
        <w:rPr>
          <w:rStyle w:val="CharDefText"/>
        </w:rPr>
        <w:t>continuing CPR course</w:t>
      </w:r>
      <w:r>
        <w:t xml:space="preserve"> means an approved CPR course referred to in regulation 32G(2);</w:t>
      </w:r>
    </w:p>
    <w:p>
      <w:pPr>
        <w:pStyle w:val="Defstart"/>
      </w:pPr>
      <w:r>
        <w:tab/>
      </w:r>
      <w:r>
        <w:rPr>
          <w:rStyle w:val="CharDefText"/>
        </w:rPr>
        <w:t>endorsed electrician’s licence</w:t>
      </w:r>
      <w:r>
        <w:t xml:space="preserve"> means an electrical worker’s licence endorsed as an electrician’s licence;</w:t>
      </w:r>
    </w:p>
    <w:p>
      <w:pPr>
        <w:pStyle w:val="Defstart"/>
      </w:pPr>
      <w:r>
        <w:tab/>
      </w:r>
      <w:r>
        <w:rPr>
          <w:rStyle w:val="CharDefText"/>
        </w:rPr>
        <w:t>initial CPR course</w:t>
      </w:r>
      <w:r>
        <w:t xml:space="preserve"> means an approved CPR course referred to in regulation 32E(2) or 32F(2);</w:t>
      </w:r>
    </w:p>
    <w:p>
      <w:pPr>
        <w:pStyle w:val="Defstart"/>
      </w:pPr>
      <w:r>
        <w:rPr>
          <w:bCs/>
          <w:iCs/>
        </w:rPr>
        <w:tab/>
      </w:r>
      <w:r>
        <w:rPr>
          <w:rStyle w:val="CharDefText"/>
        </w:rPr>
        <w:t>licensed electrician</w:t>
      </w:r>
      <w:r>
        <w:t xml:space="preserve"> means an individual who holds an endorsed electrician’s licence.</w:t>
      </w:r>
    </w:p>
    <w:p>
      <w:pPr>
        <w:pStyle w:val="Footnotesection"/>
        <w:rPr>
          <w:rStyle w:val="DraftersNotes"/>
          <w:b w:val="0"/>
          <w:i/>
        </w:rPr>
      </w:pPr>
      <w:r>
        <w:tab/>
        <w:t>[Regulation 32A inserted: SL 2024/211 r. 5.]</w:t>
      </w:r>
    </w:p>
    <w:p>
      <w:pPr>
        <w:pStyle w:val="Heading5"/>
      </w:pPr>
      <w:bookmarkStart w:id="101" w:name="_Toc201739771"/>
      <w:bookmarkStart w:id="102" w:name="_Toc200095015"/>
      <w:r>
        <w:rPr>
          <w:rStyle w:val="CharSectno"/>
        </w:rPr>
        <w:t>32B</w:t>
      </w:r>
      <w:r>
        <w:t>.</w:t>
      </w:r>
      <w:r>
        <w:tab/>
        <w:t>Approved CPR courses</w:t>
      </w:r>
      <w:bookmarkEnd w:id="101"/>
      <w:bookmarkEnd w:id="102"/>
      <w:r>
        <w:t xml:space="preserve"> </w:t>
      </w:r>
    </w:p>
    <w:p>
      <w:pPr>
        <w:pStyle w:val="Subsection"/>
      </w:pPr>
      <w:r>
        <w:tab/>
        <w:t>(1)</w:t>
      </w:r>
      <w:r>
        <w:tab/>
        <w:t>The Director may approve, in writing, a course if the Director considers that the course is suitable for training licensed electricians in providing cardiopulmonary resuscitation.</w:t>
      </w:r>
    </w:p>
    <w:p>
      <w:pPr>
        <w:pStyle w:val="Subsection"/>
      </w:pPr>
      <w:r>
        <w:tab/>
        <w:t>(2)</w:t>
      </w:r>
      <w:r>
        <w:tab/>
        <w:t>The Director must publish the approval on the department’s website or on a website maintained by or on behalf of the State.</w:t>
      </w:r>
    </w:p>
    <w:p>
      <w:pPr>
        <w:pStyle w:val="Subsection"/>
      </w:pPr>
      <w:r>
        <w:tab/>
        <w:t>(3)</w:t>
      </w:r>
      <w:r>
        <w:tab/>
        <w:t xml:space="preserve">The approval commences at the beginning of — </w:t>
      </w:r>
    </w:p>
    <w:p>
      <w:pPr>
        <w:pStyle w:val="Indenta"/>
      </w:pPr>
      <w:r>
        <w:tab/>
        <w:t>(a)</w:t>
      </w:r>
      <w:r>
        <w:tab/>
        <w:t xml:space="preserve">the day after the day on which the approval is published under subregulation (2); or </w:t>
      </w:r>
    </w:p>
    <w:p>
      <w:pPr>
        <w:pStyle w:val="Indenta"/>
      </w:pPr>
      <w:r>
        <w:tab/>
        <w:t>(b)</w:t>
      </w:r>
      <w:r>
        <w:tab/>
        <w:t>a later day specified in the approval.</w:t>
      </w:r>
    </w:p>
    <w:p>
      <w:pPr>
        <w:pStyle w:val="Subsection"/>
      </w:pPr>
      <w:r>
        <w:tab/>
        <w:t>(4)</w:t>
      </w:r>
      <w:r>
        <w:tab/>
        <w:t xml:space="preserve">The approval is not subsidiary legislation for the purposes of the </w:t>
      </w:r>
      <w:r>
        <w:rPr>
          <w:i/>
        </w:rPr>
        <w:t>Interpretation Act 1984</w:t>
      </w:r>
      <w:r>
        <w:t>.</w:t>
      </w:r>
    </w:p>
    <w:p>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pPr>
        <w:pStyle w:val="Footnotesection"/>
        <w:rPr>
          <w:sz w:val="20"/>
        </w:rPr>
      </w:pPr>
      <w:r>
        <w:tab/>
        <w:t>[Regulation 32B inserted: SL 2024/211 r. 5.]</w:t>
      </w:r>
    </w:p>
    <w:p>
      <w:pPr>
        <w:pStyle w:val="Heading5"/>
      </w:pPr>
      <w:bookmarkStart w:id="103" w:name="_Toc201739772"/>
      <w:bookmarkStart w:id="104" w:name="_Toc200095016"/>
      <w:r>
        <w:rPr>
          <w:rStyle w:val="CharSectno"/>
        </w:rPr>
        <w:t>32C</w:t>
      </w:r>
      <w:r>
        <w:t>.</w:t>
      </w:r>
      <w:r>
        <w:tab/>
        <w:t>Director may approve longer completion period for approved CPR courses</w:t>
      </w:r>
      <w:bookmarkEnd w:id="103"/>
      <w:bookmarkEnd w:id="104"/>
      <w:r>
        <w:t xml:space="preserve"> </w:t>
      </w:r>
    </w:p>
    <w:p>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pPr>
        <w:pStyle w:val="Footnotesection"/>
        <w:rPr>
          <w:sz w:val="20"/>
        </w:rPr>
      </w:pPr>
      <w:r>
        <w:tab/>
        <w:t>[Regulation 32C inserted: SL 2024/211 r. 5.]</w:t>
      </w:r>
    </w:p>
    <w:p>
      <w:pPr>
        <w:pStyle w:val="Heading5"/>
      </w:pPr>
      <w:bookmarkStart w:id="105" w:name="_Toc201739773"/>
      <w:bookmarkStart w:id="106" w:name="_Toc200095017"/>
      <w:r>
        <w:rPr>
          <w:rStyle w:val="CharSectno"/>
        </w:rPr>
        <w:t>32D</w:t>
      </w:r>
      <w:r>
        <w:t>.</w:t>
      </w:r>
      <w:r>
        <w:tab/>
        <w:t>Director may exempt licensed electricians from completing approved CPR courses</w:t>
      </w:r>
      <w:bookmarkEnd w:id="105"/>
      <w:bookmarkEnd w:id="106"/>
      <w:r>
        <w:t xml:space="preserve"> </w:t>
      </w:r>
    </w:p>
    <w:p>
      <w:pPr>
        <w:pStyle w:val="Subsection"/>
      </w:pPr>
      <w:r>
        <w:tab/>
        <w:t>(1)</w:t>
      </w:r>
      <w:r>
        <w:tab/>
        <w:t>The Director may exempt, in writing, a licensed electrician, or a class of licensed electricians, from 1 or more of the following requirements if the Director considers it appropriate in the circumstances —</w:t>
      </w:r>
    </w:p>
    <w:p>
      <w:pPr>
        <w:pStyle w:val="Indenta"/>
      </w:pPr>
      <w:r>
        <w:tab/>
        <w:t>(a)</w:t>
      </w:r>
      <w:r>
        <w:tab/>
        <w:t>a requirement to complete an initial CPR course;</w:t>
      </w:r>
    </w:p>
    <w:p>
      <w:pPr>
        <w:pStyle w:val="Indenta"/>
      </w:pPr>
      <w:r>
        <w:tab/>
        <w:t>(b)</w:t>
      </w:r>
      <w:r>
        <w:tab/>
        <w:t>a requirement to complete a continuing CPR course;</w:t>
      </w:r>
    </w:p>
    <w:p>
      <w:pPr>
        <w:pStyle w:val="Subsection"/>
      </w:pPr>
      <w:r>
        <w:tab/>
        <w:t>(2)</w:t>
      </w:r>
      <w:r>
        <w:tab/>
        <w:t xml:space="preserve">The exemption — </w:t>
      </w:r>
    </w:p>
    <w:p>
      <w:pPr>
        <w:pStyle w:val="Indenta"/>
      </w:pPr>
      <w:r>
        <w:tab/>
        <w:t>(a)</w:t>
      </w:r>
      <w:r>
        <w:tab/>
        <w:t xml:space="preserve">may be subject to any conditions stated in the exemption; and </w:t>
      </w:r>
    </w:p>
    <w:p>
      <w:pPr>
        <w:pStyle w:val="Indenta"/>
      </w:pPr>
      <w:r>
        <w:tab/>
        <w:t>(b)</w:t>
      </w:r>
      <w:r>
        <w:tab/>
        <w:t>must state the period for which it applies.</w:t>
      </w:r>
    </w:p>
    <w:p>
      <w:pPr>
        <w:pStyle w:val="Subsection"/>
      </w:pPr>
      <w:r>
        <w:tab/>
        <w:t>(3)</w:t>
      </w:r>
      <w:r>
        <w:tab/>
        <w:t>The Director must not make an exemption under subregulation (1) unless the electrician, or class of electricians, is expected to hold an endorsed electrician’s licence —</w:t>
      </w:r>
    </w:p>
    <w:p>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pPr>
        <w:pStyle w:val="Indenta"/>
      </w:pPr>
      <w:r>
        <w:tab/>
        <w:t>(b)</w:t>
      </w:r>
      <w:r>
        <w:tab/>
        <w:t>when an approved CPR course is not available or not available in certain locations; or</w:t>
      </w:r>
    </w:p>
    <w:p>
      <w:pPr>
        <w:pStyle w:val="Indenta"/>
      </w:pPr>
      <w:r>
        <w:tab/>
        <w:t>(c)</w:t>
      </w:r>
      <w:r>
        <w:tab/>
        <w:t>when personal circumstances of the electrician or the class of electricians may prevent their completion of an approved CPR course.</w:t>
      </w:r>
    </w:p>
    <w:p>
      <w:pPr>
        <w:pStyle w:val="Subsection"/>
      </w:pPr>
      <w:r>
        <w:tab/>
        <w:t>(4)</w:t>
      </w:r>
      <w:r>
        <w:tab/>
        <w:t xml:space="preserve">An exemption under subregulation (1) expires in relation to an electrician subject to the exemption at the earlier of — </w:t>
      </w:r>
    </w:p>
    <w:p>
      <w:pPr>
        <w:pStyle w:val="Indenta"/>
      </w:pPr>
      <w:r>
        <w:tab/>
        <w:t>(a)</w:t>
      </w:r>
      <w:r>
        <w:tab/>
        <w:t>the end of the period stated in the notice of the exemption referred to in subregulation (2)(b); or</w:t>
      </w:r>
    </w:p>
    <w:p>
      <w:pPr>
        <w:pStyle w:val="Indenta"/>
      </w:pPr>
      <w:r>
        <w:tab/>
        <w:t>(b)</w:t>
      </w:r>
      <w:r>
        <w:tab/>
        <w:t>the time the electrician fails to comply with 1 or more conditions to which the exemption is subject.</w:t>
      </w:r>
    </w:p>
    <w:p>
      <w:pPr>
        <w:pStyle w:val="Footnotesection"/>
        <w:rPr>
          <w:sz w:val="20"/>
        </w:rPr>
      </w:pPr>
      <w:r>
        <w:tab/>
        <w:t>[Regulation 32D inserted: SL 2024/211 r. 5.]</w:t>
      </w:r>
    </w:p>
    <w:p>
      <w:pPr>
        <w:pStyle w:val="Heading5"/>
      </w:pPr>
      <w:bookmarkStart w:id="107" w:name="_Toc201739774"/>
      <w:bookmarkStart w:id="108" w:name="_Toc200095018"/>
      <w:r>
        <w:rPr>
          <w:rStyle w:val="CharSectno"/>
        </w:rPr>
        <w:t>32E</w:t>
      </w:r>
      <w:r>
        <w:t>.</w:t>
      </w:r>
      <w:r>
        <w:tab/>
        <w:t>Requirement to complete approved CPR courses for licensed electricians on commencement day</w:t>
      </w:r>
      <w:bookmarkEnd w:id="107"/>
      <w:bookmarkEnd w:id="108"/>
    </w:p>
    <w:p>
      <w:pPr>
        <w:pStyle w:val="Subsection"/>
      </w:pPr>
      <w:r>
        <w:tab/>
        <w:t>(1)</w:t>
      </w:r>
      <w:r>
        <w:tab/>
        <w:t>This regulation applies to a person who is a licensed electrician on commencement day.</w:t>
      </w:r>
    </w:p>
    <w:p>
      <w:pPr>
        <w:pStyle w:val="Subsection"/>
      </w:pPr>
      <w:r>
        <w:tab/>
        <w:t>(2)</w:t>
      </w:r>
      <w:r>
        <w:rPr>
          <w:bCs/>
          <w:iCs/>
        </w:rPr>
        <w:tab/>
      </w:r>
      <w:r>
        <w:t xml:space="preserve">A licensed electrician must complete an approved CPR course within the completion period beginning on commencement day.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Subregulation (2) does not apply to a licensed electrician exempted under regulation 32D(1) from the requirement to complete the approved CPR course.</w:t>
      </w:r>
    </w:p>
    <w:p>
      <w:pPr>
        <w:pStyle w:val="Footnotesection"/>
        <w:rPr>
          <w:sz w:val="20"/>
        </w:rPr>
      </w:pPr>
      <w:r>
        <w:tab/>
        <w:t>[Regulation 32E inserted: SL 2024/211 r. 5.]</w:t>
      </w:r>
    </w:p>
    <w:p>
      <w:pPr>
        <w:pStyle w:val="Heading5"/>
      </w:pPr>
      <w:bookmarkStart w:id="109" w:name="_Toc201739775"/>
      <w:bookmarkStart w:id="110" w:name="_Toc200095019"/>
      <w:r>
        <w:rPr>
          <w:rStyle w:val="CharSectno"/>
        </w:rPr>
        <w:t>32F</w:t>
      </w:r>
      <w:r>
        <w:t>.</w:t>
      </w:r>
      <w:r>
        <w:tab/>
        <w:t>Requirement to complete approved CPR courses on issue of first endorsed electrician’s licences after commencement day</w:t>
      </w:r>
      <w:bookmarkEnd w:id="109"/>
      <w:bookmarkEnd w:id="110"/>
      <w:r>
        <w:t xml:space="preserve"> </w:t>
      </w:r>
    </w:p>
    <w:p>
      <w:pPr>
        <w:pStyle w:val="Subsection"/>
      </w:pPr>
      <w:r>
        <w:tab/>
        <w:t>(1)</w:t>
      </w:r>
      <w:r>
        <w:tab/>
        <w:t xml:space="preserve">This regulation applies to a licensed electrician who — </w:t>
      </w:r>
    </w:p>
    <w:p>
      <w:pPr>
        <w:pStyle w:val="Indenta"/>
      </w:pPr>
      <w:r>
        <w:tab/>
        <w:t>(a)</w:t>
      </w:r>
      <w:r>
        <w:tab/>
        <w:t xml:space="preserve">is issued an endorsed electrician’s licence after commencement day; and </w:t>
      </w:r>
    </w:p>
    <w:p>
      <w:pPr>
        <w:pStyle w:val="Indenta"/>
      </w:pPr>
      <w:r>
        <w:tab/>
        <w:t>(b)</w:t>
      </w:r>
      <w:r>
        <w:tab/>
        <w:t>did not hold an endorsed electrician’s licence on commencement day.</w:t>
      </w:r>
    </w:p>
    <w:p>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32F inserted: SL 2024/211 r. 5.]</w:t>
      </w:r>
    </w:p>
    <w:p>
      <w:pPr>
        <w:pStyle w:val="Heading5"/>
      </w:pPr>
      <w:bookmarkStart w:id="111" w:name="_Toc201739776"/>
      <w:bookmarkStart w:id="112" w:name="_Toc200095020"/>
      <w:r>
        <w:rPr>
          <w:rStyle w:val="CharSectno"/>
        </w:rPr>
        <w:t>32G</w:t>
      </w:r>
      <w:r>
        <w:t>.</w:t>
      </w:r>
      <w:r>
        <w:tab/>
        <w:t>Continuing requirements: approved CPR courses</w:t>
      </w:r>
      <w:bookmarkEnd w:id="111"/>
      <w:bookmarkEnd w:id="112"/>
    </w:p>
    <w:p>
      <w:pPr>
        <w:pStyle w:val="Subsection"/>
      </w:pPr>
      <w:r>
        <w:tab/>
        <w:t>(1)</w:t>
      </w:r>
      <w:r>
        <w:tab/>
        <w:t>This regulation applies to a licensed electrician who was required to complete, or exempted from the requirement to complete, an initial CPR course.</w:t>
      </w:r>
    </w:p>
    <w:p>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32G inserted: SL 2024/211 r. 5.]</w:t>
      </w:r>
    </w:p>
    <w:p>
      <w:pPr>
        <w:pStyle w:val="Heading5"/>
      </w:pPr>
      <w:bookmarkStart w:id="113" w:name="_Toc201739777"/>
      <w:bookmarkStart w:id="114" w:name="_Toc200095021"/>
      <w:r>
        <w:rPr>
          <w:rStyle w:val="CharSectno"/>
        </w:rPr>
        <w:t>32H</w:t>
      </w:r>
      <w:r>
        <w:t>.</w:t>
      </w:r>
      <w:r>
        <w:tab/>
        <w:t>When completion period begins for continuing requirements if previous approved CPR courses not completed</w:t>
      </w:r>
      <w:bookmarkEnd w:id="113"/>
      <w:bookmarkEnd w:id="114"/>
    </w:p>
    <w:p>
      <w:pPr>
        <w:pStyle w:val="Subsection"/>
      </w:pPr>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p>
    <w:p>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pPr>
        <w:pStyle w:val="Footnotesection"/>
        <w:rPr>
          <w:sz w:val="20"/>
        </w:rPr>
      </w:pPr>
      <w:r>
        <w:tab/>
        <w:t>[Regulation 32H inserted: SL 2024/211 r. 5.]</w:t>
      </w:r>
    </w:p>
    <w:p>
      <w:pPr>
        <w:pStyle w:val="Heading5"/>
      </w:pPr>
      <w:bookmarkStart w:id="115" w:name="_Toc201739778"/>
      <w:bookmarkStart w:id="116" w:name="_Toc200095022"/>
      <w:r>
        <w:rPr>
          <w:rStyle w:val="CharSectno"/>
        </w:rPr>
        <w:t>32I</w:t>
      </w:r>
      <w:r>
        <w:t>.</w:t>
      </w:r>
      <w:r>
        <w:tab/>
        <w:t>Powers to require course completion records</w:t>
      </w:r>
      <w:bookmarkEnd w:id="115"/>
      <w:bookmarkEnd w:id="116"/>
      <w:r>
        <w:t xml:space="preserve"> </w:t>
      </w:r>
    </w:p>
    <w:p>
      <w:pPr>
        <w:pStyle w:val="Subsection"/>
      </w:pPr>
      <w:r>
        <w:tab/>
        <w:t>(1)</w:t>
      </w:r>
      <w:r>
        <w:tab/>
        <w:t xml:space="preserve">In this regulation — </w:t>
      </w:r>
    </w:p>
    <w:p>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pPr>
        <w:pStyle w:val="Subsection"/>
      </w:pPr>
      <w:r>
        <w:tab/>
        <w:t>(2)</w:t>
      </w:r>
      <w:r>
        <w:tab/>
        <w:t>The Director may give a written direction to a person who was required under this Division to complete an approved CPR course within the period of 5 years before the day on which the direction is given.</w:t>
      </w:r>
    </w:p>
    <w:p>
      <w:pPr>
        <w:pStyle w:val="Subsection"/>
      </w:pPr>
      <w:r>
        <w:tab/>
        <w:t>(3)</w:t>
      </w:r>
      <w:r>
        <w:tab/>
        <w:t xml:space="preserve">The direction must include the following — </w:t>
      </w:r>
    </w:p>
    <w:p>
      <w:pPr>
        <w:pStyle w:val="Indenta"/>
      </w:pPr>
      <w:r>
        <w:tab/>
        <w:t>(a)</w:t>
      </w:r>
      <w:r>
        <w:tab/>
        <w:t xml:space="preserve">that the person must give a copy of the person’s course completion record to the Director within 10 working days from the day on which the direction is given; </w:t>
      </w:r>
    </w:p>
    <w:p>
      <w:pPr>
        <w:pStyle w:val="Indenta"/>
      </w:pPr>
      <w:r>
        <w:tab/>
        <w:t>(b)</w:t>
      </w:r>
      <w:r>
        <w:tab/>
        <w:t xml:space="preserve">the period of time that the course completion record must cover; </w:t>
      </w:r>
    </w:p>
    <w:p>
      <w:pPr>
        <w:pStyle w:val="Indenta"/>
      </w:pPr>
      <w:r>
        <w:tab/>
        <w:t>(c)</w:t>
      </w:r>
      <w:r>
        <w:tab/>
        <w:t>how the person must give a copy of the person’s course completion record to the Director.</w:t>
      </w:r>
    </w:p>
    <w:p>
      <w:pPr>
        <w:pStyle w:val="PermNoteHeading"/>
      </w:pPr>
      <w:r>
        <w:tab/>
        <w:t>Example for this subregulation:</w:t>
      </w:r>
    </w:p>
    <w:p>
      <w:pPr>
        <w:pStyle w:val="PermNoteText"/>
      </w:pPr>
      <w:r>
        <w:tab/>
      </w:r>
      <w:r>
        <w:tab/>
        <w:t>For the purposes of paragraph (c) — email, uploading to file transfer site.</w:t>
      </w:r>
    </w:p>
    <w:p>
      <w:pPr>
        <w:pStyle w:val="Subsection"/>
      </w:pPr>
      <w:r>
        <w:tab/>
        <w:t>(4)</w:t>
      </w:r>
      <w:r>
        <w:tab/>
        <w:t>The period of time referred to in subregulation (3)(b) must not be more than 5 years before the day on which the direction is given.</w:t>
      </w:r>
    </w:p>
    <w:p>
      <w:pPr>
        <w:pStyle w:val="Subsection"/>
      </w:pPr>
      <w:r>
        <w:tab/>
        <w:t>(5)</w:t>
      </w:r>
      <w:r>
        <w:tab/>
        <w:t xml:space="preserve">The direction is taken to be given to a licensed electrician if it is sent electronically to the electrician’s email address provided to the Board as referred to in regulation 28(3). </w:t>
      </w:r>
    </w:p>
    <w:p>
      <w:pPr>
        <w:pStyle w:val="Subsection"/>
      </w:pPr>
      <w:r>
        <w:tab/>
        <w:t>(6)</w:t>
      </w:r>
      <w:r>
        <w:tab/>
        <w:t xml:space="preserve">A person who fails to comply with a direction given to the person under this regulation commits an offence. </w:t>
      </w:r>
    </w:p>
    <w:p>
      <w:pPr>
        <w:pStyle w:val="Penstart"/>
      </w:pPr>
      <w:r>
        <w:tab/>
        <w:t>Penalty for this subregulation: a fine of $10 000.</w:t>
      </w:r>
    </w:p>
    <w:p>
      <w:pPr>
        <w:pStyle w:val="Subsection"/>
      </w:pPr>
      <w:r>
        <w:tab/>
        <w:t>(7)</w:t>
      </w:r>
      <w:r>
        <w:tab/>
        <w:t>It is a defence to a charge of an offence under subregulation (6) for the person charged to prove that they had a reasonable excuse for failing to comply with the direction.</w:t>
      </w:r>
    </w:p>
    <w:p>
      <w:pPr>
        <w:pStyle w:val="Footnotesection"/>
        <w:rPr>
          <w:sz w:val="20"/>
        </w:rPr>
      </w:pPr>
      <w:r>
        <w:tab/>
        <w:t>[Regulation 32I inserted: SL 2024/211 r. 5.]</w:t>
      </w:r>
    </w:p>
    <w:p>
      <w:pPr>
        <w:pStyle w:val="Heading2"/>
      </w:pPr>
      <w:bookmarkStart w:id="117" w:name="_Toc201733254"/>
      <w:bookmarkStart w:id="118" w:name="_Toc201733772"/>
      <w:bookmarkStart w:id="119" w:name="_Toc201739779"/>
      <w:bookmarkStart w:id="120" w:name="_Toc200094367"/>
      <w:bookmarkStart w:id="121" w:name="_Toc200094689"/>
      <w:bookmarkStart w:id="122" w:name="_Toc20009502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7"/>
      <w:bookmarkEnd w:id="118"/>
      <w:bookmarkEnd w:id="119"/>
      <w:bookmarkEnd w:id="120"/>
      <w:bookmarkEnd w:id="121"/>
      <w:bookmarkEnd w:id="122"/>
      <w:r>
        <w:rPr>
          <w:rStyle w:val="CharPartText"/>
        </w:rPr>
        <w:t xml:space="preserve"> </w:t>
      </w:r>
    </w:p>
    <w:p>
      <w:pPr>
        <w:pStyle w:val="Heading5"/>
        <w:spacing w:before="240"/>
        <w:rPr>
          <w:snapToGrid w:val="0"/>
        </w:rPr>
      </w:pPr>
      <w:bookmarkStart w:id="123" w:name="_Toc201739780"/>
      <w:bookmarkStart w:id="124" w:name="_Toc200095024"/>
      <w:r>
        <w:rPr>
          <w:rStyle w:val="CharSectno"/>
        </w:rPr>
        <w:t>33</w:t>
      </w:r>
      <w:r>
        <w:rPr>
          <w:snapToGrid w:val="0"/>
        </w:rPr>
        <w:t>.</w:t>
      </w:r>
      <w:r>
        <w:rPr>
          <w:snapToGrid w:val="0"/>
        </w:rPr>
        <w:tab/>
        <w:t>Electrical contracting prohibited unless authorised</w:t>
      </w:r>
      <w:bookmarkEnd w:id="123"/>
      <w:bookmarkEnd w:id="12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125" w:name="_Toc201739781"/>
      <w:bookmarkStart w:id="126" w:name="_Toc200095025"/>
      <w:r>
        <w:rPr>
          <w:rStyle w:val="CharSectno"/>
        </w:rPr>
        <w:t>34</w:t>
      </w:r>
      <w:r>
        <w:rPr>
          <w:snapToGrid w:val="0"/>
        </w:rPr>
        <w:t>.</w:t>
      </w:r>
      <w:r>
        <w:rPr>
          <w:snapToGrid w:val="0"/>
        </w:rPr>
        <w:tab/>
        <w:t>Contracting with unlicensed person for electrical installing work, offence</w:t>
      </w:r>
      <w:bookmarkEnd w:id="125"/>
      <w:bookmarkEnd w:id="126"/>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27" w:name="_Toc201739782"/>
      <w:bookmarkStart w:id="128" w:name="_Toc200095026"/>
      <w:r>
        <w:rPr>
          <w:rStyle w:val="CharSectno"/>
        </w:rPr>
        <w:t>35</w:t>
      </w:r>
      <w:r>
        <w:rPr>
          <w:snapToGrid w:val="0"/>
        </w:rPr>
        <w:t>.</w:t>
      </w:r>
      <w:r>
        <w:rPr>
          <w:snapToGrid w:val="0"/>
        </w:rPr>
        <w:tab/>
        <w:t>False representations as to completed electrical work</w:t>
      </w:r>
      <w:bookmarkEnd w:id="127"/>
      <w:bookmarkEnd w:id="12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29" w:name="_Toc201739783"/>
      <w:bookmarkStart w:id="130" w:name="_Toc200095027"/>
      <w:r>
        <w:rPr>
          <w:rStyle w:val="CharSectno"/>
        </w:rPr>
        <w:t>36</w:t>
      </w:r>
      <w:r>
        <w:rPr>
          <w:snapToGrid w:val="0"/>
        </w:rPr>
        <w:t>.</w:t>
      </w:r>
      <w:r>
        <w:rPr>
          <w:snapToGrid w:val="0"/>
        </w:rPr>
        <w:tab/>
        <w:t>Eligibility for electrical contractor’s licence</w:t>
      </w:r>
      <w:bookmarkEnd w:id="129"/>
      <w:bookmarkEnd w:id="130"/>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131" w:name="_Toc201739784"/>
      <w:bookmarkStart w:id="132" w:name="_Toc200095028"/>
      <w:r>
        <w:rPr>
          <w:rStyle w:val="CharSectno"/>
        </w:rPr>
        <w:t>37</w:t>
      </w:r>
      <w:r>
        <w:rPr>
          <w:snapToGrid w:val="0"/>
        </w:rPr>
        <w:t>.</w:t>
      </w:r>
      <w:r>
        <w:rPr>
          <w:snapToGrid w:val="0"/>
        </w:rPr>
        <w:tab/>
        <w:t>In</w:t>
      </w:r>
      <w:r>
        <w:rPr>
          <w:snapToGrid w:val="0"/>
        </w:rPr>
        <w:noBreakHyphen/>
        <w:t>house electrical installing work, when permitted</w:t>
      </w:r>
      <w:bookmarkEnd w:id="131"/>
      <w:bookmarkEnd w:id="13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33" w:name="_Toc201739785"/>
      <w:bookmarkStart w:id="134" w:name="_Toc200095029"/>
      <w:r>
        <w:rPr>
          <w:rStyle w:val="CharSectno"/>
        </w:rPr>
        <w:t>38</w:t>
      </w:r>
      <w:r>
        <w:rPr>
          <w:snapToGrid w:val="0"/>
        </w:rPr>
        <w:t>.</w:t>
      </w:r>
      <w:r>
        <w:rPr>
          <w:snapToGrid w:val="0"/>
        </w:rPr>
        <w:tab/>
        <w:t>Nominees under r. 36 and 37, cancelling etc.</w:t>
      </w:r>
      <w:bookmarkEnd w:id="133"/>
      <w:bookmarkEnd w:id="13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SL 2024/96 r. 19.] </w:t>
      </w:r>
    </w:p>
    <w:p>
      <w:pPr>
        <w:pStyle w:val="Heading5"/>
      </w:pPr>
      <w:bookmarkStart w:id="135" w:name="_Toc201739786"/>
      <w:bookmarkStart w:id="136" w:name="_Toc200095030"/>
      <w:r>
        <w:rPr>
          <w:rStyle w:val="CharSectno"/>
        </w:rPr>
        <w:t>38A</w:t>
      </w:r>
      <w:r>
        <w:t>.</w:t>
      </w:r>
      <w:r>
        <w:tab/>
        <w:t>Nominee not required to comply with certain directions</w:t>
      </w:r>
      <w:bookmarkEnd w:id="135"/>
      <w:bookmarkEnd w:id="136"/>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37" w:name="_Toc201739787"/>
      <w:bookmarkStart w:id="138" w:name="_Toc200095031"/>
      <w:r>
        <w:rPr>
          <w:rStyle w:val="CharSectno"/>
        </w:rPr>
        <w:t>39</w:t>
      </w:r>
      <w:r>
        <w:rPr>
          <w:snapToGrid w:val="0"/>
        </w:rPr>
        <w:t>.</w:t>
      </w:r>
      <w:r>
        <w:rPr>
          <w:snapToGrid w:val="0"/>
        </w:rPr>
        <w:tab/>
        <w:t>Applications for licences and renewals of registration</w:t>
      </w:r>
      <w:bookmarkEnd w:id="137"/>
      <w:bookmarkEnd w:id="13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SL 2024/96 r. 20.] </w:t>
      </w:r>
    </w:p>
    <w:p>
      <w:pPr>
        <w:pStyle w:val="Heading5"/>
        <w:rPr>
          <w:snapToGrid w:val="0"/>
        </w:rPr>
      </w:pPr>
      <w:bookmarkStart w:id="139" w:name="_Toc201739788"/>
      <w:bookmarkStart w:id="140" w:name="_Toc200095032"/>
      <w:r>
        <w:rPr>
          <w:rStyle w:val="CharSectno"/>
        </w:rPr>
        <w:t>40</w:t>
      </w:r>
      <w:r>
        <w:rPr>
          <w:snapToGrid w:val="0"/>
        </w:rPr>
        <w:t>.</w:t>
      </w:r>
      <w:r>
        <w:rPr>
          <w:snapToGrid w:val="0"/>
        </w:rPr>
        <w:tab/>
        <w:t>Issue and registration of licence</w:t>
      </w:r>
      <w:bookmarkEnd w:id="139"/>
      <w:bookmarkEnd w:id="140"/>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41" w:name="_Toc201739789"/>
      <w:bookmarkStart w:id="142" w:name="_Toc200095033"/>
      <w:r>
        <w:rPr>
          <w:rStyle w:val="CharSectno"/>
        </w:rPr>
        <w:t>41</w:t>
      </w:r>
      <w:r>
        <w:rPr>
          <w:snapToGrid w:val="0"/>
        </w:rPr>
        <w:t>.</w:t>
      </w:r>
      <w:r>
        <w:rPr>
          <w:snapToGrid w:val="0"/>
        </w:rPr>
        <w:tab/>
        <w:t>Changes to firm, effect of on firm’s licence</w:t>
      </w:r>
      <w:bookmarkEnd w:id="141"/>
      <w:bookmarkEnd w:id="142"/>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43" w:name="_Toc201739790"/>
      <w:bookmarkStart w:id="144" w:name="_Toc200095034"/>
      <w:r>
        <w:rPr>
          <w:rStyle w:val="CharSectno"/>
        </w:rPr>
        <w:t>42</w:t>
      </w:r>
      <w:r>
        <w:rPr>
          <w:snapToGrid w:val="0"/>
        </w:rPr>
        <w:t>.</w:t>
      </w:r>
      <w:r>
        <w:rPr>
          <w:snapToGrid w:val="0"/>
        </w:rPr>
        <w:tab/>
        <w:t>Changes to firm, Board to be notified of</w:t>
      </w:r>
      <w:bookmarkEnd w:id="143"/>
      <w:bookmarkEnd w:id="14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45" w:name="_Toc201739791"/>
      <w:bookmarkStart w:id="146" w:name="_Toc200095035"/>
      <w:r>
        <w:rPr>
          <w:rStyle w:val="CharSectno"/>
        </w:rPr>
        <w:t>43</w:t>
      </w:r>
      <w:r>
        <w:rPr>
          <w:snapToGrid w:val="0"/>
        </w:rPr>
        <w:t>.</w:t>
      </w:r>
      <w:r>
        <w:rPr>
          <w:snapToGrid w:val="0"/>
        </w:rPr>
        <w:tab/>
        <w:t>Duration of registration of licence</w:t>
      </w:r>
      <w:bookmarkEnd w:id="145"/>
      <w:bookmarkEnd w:id="14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47" w:name="_Toc201739792"/>
      <w:bookmarkStart w:id="148" w:name="_Toc200095036"/>
      <w:r>
        <w:rPr>
          <w:rStyle w:val="CharSectno"/>
        </w:rPr>
        <w:t>44</w:t>
      </w:r>
      <w:r>
        <w:rPr>
          <w:snapToGrid w:val="0"/>
        </w:rPr>
        <w:t>.</w:t>
      </w:r>
      <w:r>
        <w:rPr>
          <w:snapToGrid w:val="0"/>
        </w:rPr>
        <w:tab/>
        <w:t>Renewal of registration of licence</w:t>
      </w:r>
      <w:bookmarkEnd w:id="147"/>
      <w:bookmarkEnd w:id="14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49" w:name="_Toc201739793"/>
      <w:bookmarkStart w:id="150" w:name="_Toc200095037"/>
      <w:r>
        <w:rPr>
          <w:rStyle w:val="CharSectno"/>
        </w:rPr>
        <w:t>44A</w:t>
      </w:r>
      <w:r>
        <w:t>.</w:t>
      </w:r>
      <w:r>
        <w:tab/>
        <w:t>Insurance of licensed electrical contractor, Board may require details of</w:t>
      </w:r>
      <w:bookmarkEnd w:id="149"/>
      <w:bookmarkEnd w:id="15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51" w:name="_Toc201739794"/>
      <w:bookmarkStart w:id="152" w:name="_Toc200095038"/>
      <w:r>
        <w:rPr>
          <w:rStyle w:val="CharSectno"/>
        </w:rPr>
        <w:t>45</w:t>
      </w:r>
      <w:r>
        <w:rPr>
          <w:snapToGrid w:val="0"/>
        </w:rPr>
        <w:t>.</w:t>
      </w:r>
      <w:r>
        <w:rPr>
          <w:snapToGrid w:val="0"/>
        </w:rPr>
        <w:tab/>
        <w:t>Place of business, display of licence at and change of etc.</w:t>
      </w:r>
      <w:bookmarkEnd w:id="151"/>
      <w:bookmarkEnd w:id="15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53" w:name="_Toc201739795"/>
      <w:bookmarkStart w:id="154" w:name="_Toc200095039"/>
      <w:r>
        <w:rPr>
          <w:rStyle w:val="CharSectno"/>
        </w:rPr>
        <w:t>45A</w:t>
      </w:r>
      <w:r>
        <w:t>.</w:t>
      </w:r>
      <w:r>
        <w:tab/>
        <w:t>Physical examinations, Board may require</w:t>
      </w:r>
      <w:bookmarkEnd w:id="153"/>
      <w:bookmarkEnd w:id="15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55" w:name="_Toc201739796"/>
      <w:bookmarkStart w:id="156" w:name="_Toc200095040"/>
      <w:r>
        <w:rPr>
          <w:rStyle w:val="CharSectno"/>
        </w:rPr>
        <w:t>46</w:t>
      </w:r>
      <w:r>
        <w:rPr>
          <w:snapToGrid w:val="0"/>
        </w:rPr>
        <w:t>.</w:t>
      </w:r>
      <w:r>
        <w:rPr>
          <w:snapToGrid w:val="0"/>
        </w:rPr>
        <w:tab/>
        <w:t>Disciplinary action, proper causes for</w:t>
      </w:r>
      <w:bookmarkEnd w:id="155"/>
      <w:bookmarkEnd w:id="156"/>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57" w:name="_Toc201739797"/>
      <w:bookmarkStart w:id="158" w:name="_Toc200095041"/>
      <w:r>
        <w:rPr>
          <w:rStyle w:val="CharSectno"/>
        </w:rPr>
        <w:t>47</w:t>
      </w:r>
      <w:r>
        <w:rPr>
          <w:snapToGrid w:val="0"/>
        </w:rPr>
        <w:t>.</w:t>
      </w:r>
      <w:r>
        <w:rPr>
          <w:snapToGrid w:val="0"/>
        </w:rPr>
        <w:tab/>
        <w:t>Disciplinary action by SAT</w:t>
      </w:r>
      <w:bookmarkEnd w:id="157"/>
      <w:bookmarkEnd w:id="158"/>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59" w:name="_Toc201739798"/>
      <w:bookmarkStart w:id="160" w:name="_Toc200095042"/>
      <w:r>
        <w:rPr>
          <w:rStyle w:val="CharSectno"/>
        </w:rPr>
        <w:t>47A</w:t>
      </w:r>
      <w:r>
        <w:rPr>
          <w:snapToGrid w:val="0"/>
        </w:rPr>
        <w:t>.</w:t>
      </w:r>
      <w:r>
        <w:rPr>
          <w:snapToGrid w:val="0"/>
        </w:rPr>
        <w:tab/>
        <w:t>Alternative to seeking disciplinary action under r. 47</w:t>
      </w:r>
      <w:bookmarkEnd w:id="159"/>
      <w:bookmarkEnd w:id="160"/>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61" w:name="_Toc201739799"/>
      <w:bookmarkStart w:id="162" w:name="_Toc200095043"/>
      <w:r>
        <w:rPr>
          <w:rStyle w:val="CharSectno"/>
        </w:rPr>
        <w:t>47B</w:t>
      </w:r>
      <w:r>
        <w:t>.</w:t>
      </w:r>
      <w:r>
        <w:tab/>
        <w:t>Suspension, effect and revocation of</w:t>
      </w:r>
      <w:bookmarkEnd w:id="161"/>
      <w:bookmarkEnd w:id="16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63" w:name="_Toc201739800"/>
      <w:bookmarkStart w:id="164" w:name="_Toc200095044"/>
      <w:r>
        <w:rPr>
          <w:rStyle w:val="CharSectno"/>
        </w:rPr>
        <w:t>47C</w:t>
      </w:r>
      <w:r>
        <w:t>.</w:t>
      </w:r>
      <w:r>
        <w:tab/>
        <w:t>Nominees to be notified of cancellation or suspension of licence</w:t>
      </w:r>
      <w:bookmarkEnd w:id="163"/>
      <w:bookmarkEnd w:id="164"/>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65" w:name="_Toc201733276"/>
      <w:bookmarkStart w:id="166" w:name="_Toc201733794"/>
      <w:bookmarkStart w:id="167" w:name="_Toc201739801"/>
      <w:bookmarkStart w:id="168" w:name="_Toc200094389"/>
      <w:bookmarkStart w:id="169" w:name="_Toc200094711"/>
      <w:bookmarkStart w:id="170" w:name="_Toc200095045"/>
      <w:r>
        <w:rPr>
          <w:rStyle w:val="CharPartNo"/>
        </w:rPr>
        <w:t>Part 5</w:t>
      </w:r>
      <w:r>
        <w:t> — </w:t>
      </w:r>
      <w:r>
        <w:rPr>
          <w:rStyle w:val="CharPartText"/>
        </w:rPr>
        <w:t>Regulation of electrical work</w:t>
      </w:r>
      <w:bookmarkEnd w:id="165"/>
      <w:bookmarkEnd w:id="166"/>
      <w:bookmarkEnd w:id="167"/>
      <w:bookmarkEnd w:id="168"/>
      <w:bookmarkEnd w:id="169"/>
      <w:bookmarkEnd w:id="170"/>
      <w:r>
        <w:rPr>
          <w:rStyle w:val="CharPartText"/>
        </w:rPr>
        <w:t xml:space="preserve"> </w:t>
      </w:r>
    </w:p>
    <w:p>
      <w:pPr>
        <w:pStyle w:val="Heading3"/>
      </w:pPr>
      <w:bookmarkStart w:id="171" w:name="_Toc201733277"/>
      <w:bookmarkStart w:id="172" w:name="_Toc201733795"/>
      <w:bookmarkStart w:id="173" w:name="_Toc201739802"/>
      <w:bookmarkStart w:id="174" w:name="_Toc200094390"/>
      <w:bookmarkStart w:id="175" w:name="_Toc200094712"/>
      <w:bookmarkStart w:id="176" w:name="_Toc200095046"/>
      <w:r>
        <w:rPr>
          <w:rStyle w:val="CharDivNo"/>
        </w:rPr>
        <w:t>Division 1</w:t>
      </w:r>
      <w:r>
        <w:t> — </w:t>
      </w:r>
      <w:r>
        <w:rPr>
          <w:rStyle w:val="CharDivText"/>
        </w:rPr>
        <w:t>General regulation of electrical work</w:t>
      </w:r>
      <w:bookmarkEnd w:id="171"/>
      <w:bookmarkEnd w:id="172"/>
      <w:bookmarkEnd w:id="173"/>
      <w:bookmarkEnd w:id="174"/>
      <w:bookmarkEnd w:id="175"/>
      <w:bookmarkEnd w:id="176"/>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77" w:name="_Toc201739803"/>
      <w:bookmarkStart w:id="178" w:name="_Toc200095047"/>
      <w:r>
        <w:rPr>
          <w:rStyle w:val="CharSectno"/>
        </w:rPr>
        <w:t>49</w:t>
      </w:r>
      <w:r>
        <w:rPr>
          <w:snapToGrid w:val="0"/>
        </w:rPr>
        <w:t>.</w:t>
      </w:r>
      <w:r>
        <w:rPr>
          <w:snapToGrid w:val="0"/>
        </w:rPr>
        <w:tab/>
      </w:r>
      <w:r>
        <w:t>Requirements for electrical work</w:t>
      </w:r>
      <w:bookmarkEnd w:id="177"/>
      <w:bookmarkEnd w:id="178"/>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179" w:name="_Toc201739804"/>
      <w:bookmarkStart w:id="180" w:name="_Toc200095048"/>
      <w:r>
        <w:rPr>
          <w:rStyle w:val="CharSectno"/>
        </w:rPr>
        <w:t>49A</w:t>
      </w:r>
      <w:r>
        <w:t>.</w:t>
      </w:r>
      <w:r>
        <w:tab/>
        <w:t>Electrical installation designers, duties of</w:t>
      </w:r>
      <w:bookmarkEnd w:id="179"/>
      <w:bookmarkEnd w:id="180"/>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81" w:name="_Toc201739805"/>
      <w:bookmarkStart w:id="182" w:name="_Toc200095049"/>
      <w:r>
        <w:rPr>
          <w:rStyle w:val="CharSectno"/>
        </w:rPr>
        <w:t>49B</w:t>
      </w:r>
      <w:r>
        <w:t>.</w:t>
      </w:r>
      <w:r>
        <w:tab/>
        <w:t>Electrical work to be carried out to safe standard and completed to trade finish</w:t>
      </w:r>
      <w:bookmarkEnd w:id="181"/>
      <w:bookmarkEnd w:id="182"/>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83" w:name="_Toc201739806"/>
      <w:bookmarkStart w:id="184" w:name="_Toc200095050"/>
      <w:r>
        <w:rPr>
          <w:rStyle w:val="CharSectno"/>
        </w:rPr>
        <w:t>49C</w:t>
      </w:r>
      <w:r>
        <w:t>.</w:t>
      </w:r>
      <w:r>
        <w:tab/>
        <w:t>Supervision of electrical work: interpretation</w:t>
      </w:r>
      <w:bookmarkEnd w:id="183"/>
      <w:bookmarkEnd w:id="184"/>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85" w:name="_Toc201739807"/>
      <w:bookmarkStart w:id="186" w:name="_Toc200095051"/>
      <w:r>
        <w:rPr>
          <w:rStyle w:val="CharSectno"/>
        </w:rPr>
        <w:t>49D</w:t>
      </w:r>
      <w:r>
        <w:t>.</w:t>
      </w:r>
      <w:r>
        <w:tab/>
        <w:t>Supervision of electrical work: levels of supervision</w:t>
      </w:r>
      <w:bookmarkEnd w:id="185"/>
      <w:bookmarkEnd w:id="186"/>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87" w:name="_Toc201739808"/>
      <w:bookmarkStart w:id="188" w:name="_Toc200095052"/>
      <w:r>
        <w:rPr>
          <w:rStyle w:val="CharSectno"/>
        </w:rPr>
        <w:t>50</w:t>
      </w:r>
      <w:r>
        <w:rPr>
          <w:snapToGrid w:val="0"/>
        </w:rPr>
        <w:t>.</w:t>
      </w:r>
      <w:r>
        <w:rPr>
          <w:snapToGrid w:val="0"/>
        </w:rPr>
        <w:tab/>
        <w:t>Supervision of electrical work: requirements</w:t>
      </w:r>
      <w:bookmarkEnd w:id="187"/>
      <w:bookmarkEnd w:id="188"/>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89" w:name="_Toc201739809"/>
      <w:bookmarkStart w:id="190" w:name="_Toc200095053"/>
      <w:r>
        <w:rPr>
          <w:rStyle w:val="CharSectno"/>
        </w:rPr>
        <w:t>50AA</w:t>
      </w:r>
      <w:r>
        <w:t>.</w:t>
      </w:r>
      <w:r>
        <w:tab/>
        <w:t>Supervision of electrical work: informing employer and supervisor of experience of apprentice or trainee</w:t>
      </w:r>
      <w:bookmarkEnd w:id="189"/>
      <w:bookmarkEnd w:id="190"/>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91" w:name="_Toc201739810"/>
      <w:bookmarkStart w:id="192" w:name="_Toc200095054"/>
      <w:r>
        <w:rPr>
          <w:rStyle w:val="CharSectno"/>
        </w:rPr>
        <w:t>50AB</w:t>
      </w:r>
      <w:r>
        <w:t>.</w:t>
      </w:r>
      <w:r>
        <w:tab/>
        <w:t>Employer to be satisfied former apprentice has successfully completed training</w:t>
      </w:r>
      <w:bookmarkEnd w:id="191"/>
      <w:bookmarkEnd w:id="192"/>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93" w:name="_Toc201739811"/>
      <w:bookmarkStart w:id="194" w:name="_Toc200095055"/>
      <w:r>
        <w:rPr>
          <w:rStyle w:val="CharSectno"/>
        </w:rPr>
        <w:t>50A</w:t>
      </w:r>
      <w:r>
        <w:rPr>
          <w:snapToGrid w:val="0"/>
        </w:rPr>
        <w:t>.</w:t>
      </w:r>
      <w:r>
        <w:rPr>
          <w:snapToGrid w:val="0"/>
        </w:rPr>
        <w:tab/>
        <w:t>Licence holder not to cause or permit unsafe wiring or equipment to be connected to electrical installation</w:t>
      </w:r>
      <w:bookmarkEnd w:id="193"/>
      <w:bookmarkEnd w:id="19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95" w:name="_Toc201739812"/>
      <w:bookmarkStart w:id="196" w:name="_Toc200095056"/>
      <w:r>
        <w:rPr>
          <w:rStyle w:val="CharSectno"/>
        </w:rPr>
        <w:t>51</w:t>
      </w:r>
      <w:r>
        <w:rPr>
          <w:snapToGrid w:val="0"/>
        </w:rPr>
        <w:t>.</w:t>
      </w:r>
      <w:r>
        <w:rPr>
          <w:snapToGrid w:val="0"/>
        </w:rPr>
        <w:tab/>
        <w:t>Notifiable work, preliminary notice of to be given to network operator</w:t>
      </w:r>
      <w:bookmarkEnd w:id="195"/>
      <w:bookmarkEnd w:id="196"/>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97" w:name="_Toc201739813"/>
      <w:bookmarkStart w:id="198" w:name="_Toc200095057"/>
      <w:r>
        <w:rPr>
          <w:rStyle w:val="CharSectno"/>
        </w:rPr>
        <w:t>52</w:t>
      </w:r>
      <w:r>
        <w:rPr>
          <w:snapToGrid w:val="0"/>
        </w:rPr>
        <w:t>.</w:t>
      </w:r>
      <w:r>
        <w:rPr>
          <w:snapToGrid w:val="0"/>
        </w:rPr>
        <w:tab/>
        <w:t>Notifiable work, notice of completion of to be given to network operator</w:t>
      </w:r>
      <w:bookmarkEnd w:id="197"/>
      <w:bookmarkEnd w:id="198"/>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99" w:name="_Toc201739814"/>
      <w:bookmarkStart w:id="200" w:name="_Toc200095058"/>
      <w:r>
        <w:rPr>
          <w:rStyle w:val="CharSectno"/>
        </w:rPr>
        <w:t>52A</w:t>
      </w:r>
      <w:r>
        <w:t>.</w:t>
      </w:r>
      <w:r>
        <w:tab/>
        <w:t>Notices under r. 51 and 52, delivery of</w:t>
      </w:r>
      <w:bookmarkEnd w:id="199"/>
      <w:bookmarkEnd w:id="200"/>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201" w:name="_Toc201739815"/>
      <w:bookmarkStart w:id="202" w:name="_Toc200095059"/>
      <w:r>
        <w:rPr>
          <w:rStyle w:val="CharSectno"/>
        </w:rPr>
        <w:t>52B</w:t>
      </w:r>
      <w:r>
        <w:t>.</w:t>
      </w:r>
      <w:r>
        <w:tab/>
        <w:t>Electrical safety certificates, issue of for electrical installing work</w:t>
      </w:r>
      <w:bookmarkEnd w:id="201"/>
      <w:bookmarkEnd w:id="202"/>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203" w:name="_Toc201739816"/>
      <w:bookmarkStart w:id="204" w:name="_Toc200095060"/>
      <w:r>
        <w:rPr>
          <w:rStyle w:val="CharSectno"/>
        </w:rPr>
        <w:t>52BA</w:t>
      </w:r>
      <w:r>
        <w:t>.</w:t>
      </w:r>
      <w:r>
        <w:tab/>
        <w:t>Transportable structures: when compliance with regulations 51, 52 and 52B not required</w:t>
      </w:r>
      <w:bookmarkEnd w:id="203"/>
      <w:bookmarkEnd w:id="20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205" w:name="_Toc201739817"/>
      <w:bookmarkStart w:id="206" w:name="_Toc200095061"/>
      <w:r>
        <w:rPr>
          <w:rStyle w:val="CharSectno"/>
        </w:rPr>
        <w:t>52BB</w:t>
      </w:r>
      <w:r>
        <w:t>.</w:t>
      </w:r>
      <w:r>
        <w:tab/>
        <w:t>Notifiable work: modified procedure available for certain construction projects</w:t>
      </w:r>
      <w:bookmarkEnd w:id="205"/>
      <w:bookmarkEnd w:id="206"/>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207" w:name="_Toc201739818"/>
      <w:bookmarkStart w:id="208" w:name="_Toc200095062"/>
      <w:r>
        <w:rPr>
          <w:rStyle w:val="CharSectno"/>
        </w:rPr>
        <w:t>52BC</w:t>
      </w:r>
      <w:r>
        <w:t>.</w:t>
      </w:r>
      <w:r>
        <w:tab/>
        <w:t>Modified procedure: record of electrical installing work</w:t>
      </w:r>
      <w:bookmarkEnd w:id="207"/>
      <w:bookmarkEnd w:id="208"/>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209" w:name="_Toc201739819"/>
      <w:bookmarkStart w:id="210" w:name="_Toc200095063"/>
      <w:r>
        <w:rPr>
          <w:rStyle w:val="CharSectno"/>
        </w:rPr>
        <w:t>52BD</w:t>
      </w:r>
      <w:r>
        <w:t>.</w:t>
      </w:r>
      <w:r>
        <w:tab/>
        <w:t>Modified procedure: notice requirements</w:t>
      </w:r>
      <w:bookmarkEnd w:id="209"/>
      <w:bookmarkEnd w:id="210"/>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211" w:name="_Toc201739820"/>
      <w:bookmarkStart w:id="212" w:name="_Toc200095064"/>
      <w:r>
        <w:rPr>
          <w:rStyle w:val="CharSectno"/>
        </w:rPr>
        <w:t>52BE</w:t>
      </w:r>
      <w:r>
        <w:t>.</w:t>
      </w:r>
      <w:r>
        <w:tab/>
        <w:t>Modified procedure: opting in and ceasing</w:t>
      </w:r>
      <w:bookmarkEnd w:id="211"/>
      <w:bookmarkEnd w:id="212"/>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213" w:name="_Toc201739821"/>
      <w:bookmarkStart w:id="214" w:name="_Toc200095065"/>
      <w:r>
        <w:rPr>
          <w:rStyle w:val="CharSectno"/>
        </w:rPr>
        <w:t>52C</w:t>
      </w:r>
      <w:r>
        <w:t>.</w:t>
      </w:r>
      <w:r>
        <w:tab/>
        <w:t>Electrical contractor’s duties as to electrical installing work</w:t>
      </w:r>
      <w:bookmarkEnd w:id="213"/>
      <w:bookmarkEnd w:id="21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215" w:name="_Toc201739822"/>
      <w:bookmarkStart w:id="216" w:name="_Toc200095066"/>
      <w:r>
        <w:rPr>
          <w:rStyle w:val="CharSectno"/>
        </w:rPr>
        <w:t>53</w:t>
      </w:r>
      <w:r>
        <w:rPr>
          <w:snapToGrid w:val="0"/>
        </w:rPr>
        <w:t>.</w:t>
      </w:r>
      <w:r>
        <w:rPr>
          <w:snapToGrid w:val="0"/>
        </w:rPr>
        <w:tab/>
        <w:t>Electrical installing work other than by electrical contractors etc., unlicensed persons not to be employed, engaged etc.</w:t>
      </w:r>
      <w:bookmarkEnd w:id="215"/>
      <w:bookmarkEnd w:id="21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217" w:name="_Toc201739823"/>
      <w:bookmarkStart w:id="218" w:name="_Toc200095067"/>
      <w:r>
        <w:rPr>
          <w:rStyle w:val="CharSectno"/>
        </w:rPr>
        <w:t>53A</w:t>
      </w:r>
      <w:r>
        <w:rPr>
          <w:snapToGrid w:val="0"/>
        </w:rPr>
        <w:t>.</w:t>
      </w:r>
      <w:r>
        <w:rPr>
          <w:snapToGrid w:val="0"/>
        </w:rPr>
        <w:tab/>
        <w:t>Further inspection fee, when payable</w:t>
      </w:r>
      <w:bookmarkEnd w:id="217"/>
      <w:bookmarkEnd w:id="218"/>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SL 2024/96 r. 21.] </w:t>
      </w:r>
    </w:p>
    <w:p>
      <w:pPr>
        <w:pStyle w:val="Heading5"/>
        <w:rPr>
          <w:snapToGrid w:val="0"/>
        </w:rPr>
      </w:pPr>
      <w:bookmarkStart w:id="219" w:name="_Toc201739824"/>
      <w:bookmarkStart w:id="220" w:name="_Toc200095068"/>
      <w:r>
        <w:rPr>
          <w:rStyle w:val="CharSectno"/>
        </w:rPr>
        <w:t>54</w:t>
      </w:r>
      <w:r>
        <w:rPr>
          <w:snapToGrid w:val="0"/>
        </w:rPr>
        <w:t>.</w:t>
      </w:r>
      <w:r>
        <w:rPr>
          <w:snapToGrid w:val="0"/>
        </w:rPr>
        <w:tab/>
        <w:t>Notices of completion and certain records, signing of</w:t>
      </w:r>
      <w:bookmarkEnd w:id="219"/>
      <w:bookmarkEnd w:id="220"/>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21" w:name="_Toc201733300"/>
      <w:bookmarkStart w:id="222" w:name="_Toc201733818"/>
      <w:bookmarkStart w:id="223" w:name="_Toc201739825"/>
      <w:bookmarkStart w:id="224" w:name="_Toc200094413"/>
      <w:bookmarkStart w:id="225" w:name="_Toc200094735"/>
      <w:bookmarkStart w:id="226" w:name="_Toc200095069"/>
      <w:r>
        <w:rPr>
          <w:rStyle w:val="CharDivNo"/>
        </w:rPr>
        <w:t>Division 2</w:t>
      </w:r>
      <w:r>
        <w:t> — </w:t>
      </w:r>
      <w:r>
        <w:rPr>
          <w:rStyle w:val="CharDivText"/>
        </w:rPr>
        <w:t>Regulation of electrical work on energised electrical installations</w:t>
      </w:r>
      <w:bookmarkEnd w:id="221"/>
      <w:bookmarkEnd w:id="222"/>
      <w:bookmarkEnd w:id="223"/>
      <w:bookmarkEnd w:id="224"/>
      <w:bookmarkEnd w:id="225"/>
      <w:bookmarkEnd w:id="226"/>
    </w:p>
    <w:p>
      <w:pPr>
        <w:pStyle w:val="Footnoteheading"/>
      </w:pPr>
      <w:r>
        <w:tab/>
        <w:t>[Heading inserted: Gazette 14 Nov 2017 p. 5599.]</w:t>
      </w:r>
    </w:p>
    <w:p>
      <w:pPr>
        <w:pStyle w:val="Heading5"/>
      </w:pPr>
      <w:bookmarkStart w:id="227" w:name="_Toc201739826"/>
      <w:bookmarkStart w:id="228" w:name="_Toc200095070"/>
      <w:r>
        <w:rPr>
          <w:rStyle w:val="CharSectno"/>
        </w:rPr>
        <w:t>54A</w:t>
      </w:r>
      <w:r>
        <w:t>.</w:t>
      </w:r>
      <w:r>
        <w:tab/>
        <w:t>Interpretation</w:t>
      </w:r>
      <w:bookmarkEnd w:id="227"/>
      <w:bookmarkEnd w:id="228"/>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229" w:name="_Toc201739827"/>
      <w:bookmarkStart w:id="230" w:name="_Toc200095071"/>
      <w:r>
        <w:rPr>
          <w:rStyle w:val="CharSectno"/>
        </w:rPr>
        <w:t>54B</w:t>
      </w:r>
      <w:r>
        <w:t>.</w:t>
      </w:r>
      <w:r>
        <w:tab/>
        <w:t>Application of regulation 55 in relation to certain network operators</w:t>
      </w:r>
      <w:bookmarkEnd w:id="229"/>
      <w:bookmarkEnd w:id="230"/>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31" w:name="_Toc201739828"/>
      <w:bookmarkStart w:id="232" w:name="_Toc200095072"/>
      <w:r>
        <w:rPr>
          <w:rStyle w:val="CharSectno"/>
        </w:rPr>
        <w:t>55</w:t>
      </w:r>
      <w:r>
        <w:t>.</w:t>
      </w:r>
      <w:r>
        <w:tab/>
        <w:t>Electrical work on or near energised electrical installations</w:t>
      </w:r>
      <w:bookmarkEnd w:id="231"/>
      <w:bookmarkEnd w:id="232"/>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233" w:name="_Toc201733304"/>
      <w:bookmarkStart w:id="234" w:name="_Toc201733822"/>
      <w:bookmarkStart w:id="235" w:name="_Toc201739829"/>
      <w:bookmarkStart w:id="236" w:name="_Toc200094417"/>
      <w:bookmarkStart w:id="237" w:name="_Toc200094739"/>
      <w:bookmarkStart w:id="238" w:name="_Toc200095073"/>
      <w:r>
        <w:rPr>
          <w:rStyle w:val="CharPartNo"/>
        </w:rPr>
        <w:t>Part 6</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201739830"/>
      <w:bookmarkStart w:id="240" w:name="_Toc200095074"/>
      <w:r>
        <w:rPr>
          <w:rStyle w:val="CharSectno"/>
        </w:rPr>
        <w:t>56</w:t>
      </w:r>
      <w:r>
        <w:rPr>
          <w:snapToGrid w:val="0"/>
        </w:rPr>
        <w:t>.</w:t>
      </w:r>
      <w:r>
        <w:rPr>
          <w:snapToGrid w:val="0"/>
        </w:rPr>
        <w:tab/>
        <w:t>Register of licence holders</w:t>
      </w:r>
      <w:bookmarkEnd w:id="239"/>
      <w:bookmarkEnd w:id="240"/>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41" w:name="_Toc201739831"/>
      <w:bookmarkStart w:id="242" w:name="_Toc200095075"/>
      <w:r>
        <w:rPr>
          <w:rStyle w:val="CharSectno"/>
        </w:rPr>
        <w:t>57</w:t>
      </w:r>
      <w:r>
        <w:rPr>
          <w:snapToGrid w:val="0"/>
        </w:rPr>
        <w:t>.</w:t>
      </w:r>
      <w:r>
        <w:rPr>
          <w:snapToGrid w:val="0"/>
        </w:rPr>
        <w:tab/>
        <w:t>Employers to keep record of licence holders employed</w:t>
      </w:r>
      <w:bookmarkEnd w:id="241"/>
      <w:bookmarkEnd w:id="24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43" w:name="_Toc201739832"/>
      <w:bookmarkStart w:id="244" w:name="_Toc200095076"/>
      <w:r>
        <w:rPr>
          <w:rStyle w:val="CharSectno"/>
        </w:rPr>
        <w:t>58</w:t>
      </w:r>
      <w:r>
        <w:rPr>
          <w:snapToGrid w:val="0"/>
        </w:rPr>
        <w:t>.</w:t>
      </w:r>
      <w:r>
        <w:rPr>
          <w:snapToGrid w:val="0"/>
        </w:rPr>
        <w:tab/>
        <w:t>Board may require holder to produce licence etc. for inspection</w:t>
      </w:r>
      <w:bookmarkEnd w:id="243"/>
      <w:bookmarkEnd w:id="244"/>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45" w:name="_Toc201739833"/>
      <w:bookmarkStart w:id="246" w:name="_Toc200095077"/>
      <w:r>
        <w:rPr>
          <w:rStyle w:val="CharSectno"/>
        </w:rPr>
        <w:t>59</w:t>
      </w:r>
      <w:r>
        <w:rPr>
          <w:snapToGrid w:val="0"/>
        </w:rPr>
        <w:t>.</w:t>
      </w:r>
      <w:r>
        <w:rPr>
          <w:snapToGrid w:val="0"/>
        </w:rPr>
        <w:tab/>
        <w:t>Offences related to licensing</w:t>
      </w:r>
      <w:bookmarkEnd w:id="245"/>
      <w:bookmarkEnd w:id="24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47" w:name="_Toc201739834"/>
      <w:bookmarkStart w:id="248" w:name="_Toc200095078"/>
      <w:r>
        <w:rPr>
          <w:rStyle w:val="CharSectno"/>
        </w:rPr>
        <w:t>60</w:t>
      </w:r>
      <w:r>
        <w:rPr>
          <w:snapToGrid w:val="0"/>
        </w:rPr>
        <w:t>.</w:t>
      </w:r>
      <w:r>
        <w:rPr>
          <w:snapToGrid w:val="0"/>
        </w:rPr>
        <w:tab/>
        <w:t>Replacement licence or permit document</w:t>
      </w:r>
      <w:bookmarkEnd w:id="247"/>
      <w:bookmarkEnd w:id="24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 SL 2024/96 r. 22.]</w:t>
      </w:r>
    </w:p>
    <w:p>
      <w:pPr>
        <w:pStyle w:val="Heading5"/>
        <w:rPr>
          <w:snapToGrid w:val="0"/>
        </w:rPr>
      </w:pPr>
      <w:bookmarkStart w:id="249" w:name="_Toc201739835"/>
      <w:bookmarkStart w:id="250" w:name="_Toc200095079"/>
      <w:r>
        <w:rPr>
          <w:rStyle w:val="CharSectno"/>
        </w:rPr>
        <w:t>61</w:t>
      </w:r>
      <w:r>
        <w:rPr>
          <w:snapToGrid w:val="0"/>
        </w:rPr>
        <w:t>.</w:t>
      </w:r>
      <w:r>
        <w:rPr>
          <w:snapToGrid w:val="0"/>
        </w:rPr>
        <w:tab/>
        <w:t>Licence etc. to be returned to Board if suspended etc.</w:t>
      </w:r>
      <w:bookmarkEnd w:id="249"/>
      <w:bookmarkEnd w:id="250"/>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51" w:name="_Toc201739836"/>
      <w:bookmarkStart w:id="252" w:name="_Toc200095080"/>
      <w:r>
        <w:rPr>
          <w:rStyle w:val="CharSectno"/>
        </w:rPr>
        <w:t>62</w:t>
      </w:r>
      <w:r>
        <w:rPr>
          <w:snapToGrid w:val="0"/>
        </w:rPr>
        <w:t>.</w:t>
      </w:r>
      <w:r>
        <w:rPr>
          <w:snapToGrid w:val="0"/>
        </w:rPr>
        <w:tab/>
        <w:t>Unsafe electrical installations, electrical workers to report</w:t>
      </w:r>
      <w:bookmarkEnd w:id="251"/>
      <w:bookmarkEnd w:id="25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keepNext/>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53" w:name="_Toc201739837"/>
      <w:bookmarkStart w:id="254" w:name="_Toc200095081"/>
      <w:r>
        <w:rPr>
          <w:rStyle w:val="CharSectno"/>
        </w:rPr>
        <w:t>63</w:t>
      </w:r>
      <w:r>
        <w:t>.</w:t>
      </w:r>
      <w:r>
        <w:tab/>
        <w:t>Electrical accidents to be reported</w:t>
      </w:r>
      <w:bookmarkEnd w:id="253"/>
      <w:bookmarkEnd w:id="25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55" w:name="_Toc201739838"/>
      <w:bookmarkStart w:id="256" w:name="_Toc200095082"/>
      <w:r>
        <w:rPr>
          <w:rStyle w:val="CharSectno"/>
        </w:rPr>
        <w:t>63A</w:t>
      </w:r>
      <w:r>
        <w:rPr>
          <w:snapToGrid w:val="0"/>
        </w:rPr>
        <w:t>.</w:t>
      </w:r>
      <w:r>
        <w:rPr>
          <w:snapToGrid w:val="0"/>
        </w:rPr>
        <w:tab/>
        <w:t>Interfering with scene of electrical accident</w:t>
      </w:r>
      <w:bookmarkEnd w:id="255"/>
      <w:bookmarkEnd w:id="256"/>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57" w:name="_Toc201739839"/>
      <w:bookmarkStart w:id="258" w:name="_Toc200095083"/>
      <w:r>
        <w:rPr>
          <w:rStyle w:val="CharSectno"/>
        </w:rPr>
        <w:t>63B</w:t>
      </w:r>
      <w:r>
        <w:t>.</w:t>
      </w:r>
      <w:r>
        <w:tab/>
        <w:t>Delegation by Director to Board</w:t>
      </w:r>
      <w:bookmarkEnd w:id="257"/>
      <w:bookmarkEnd w:id="25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pPr>
      <w:bookmarkStart w:id="259" w:name="_Toc201739840"/>
      <w:bookmarkStart w:id="260" w:name="_Toc200095084"/>
      <w:r>
        <w:rPr>
          <w:rStyle w:val="CharSectno"/>
        </w:rPr>
        <w:t>64</w:t>
      </w:r>
      <w:r>
        <w:t>.</w:t>
      </w:r>
      <w:r>
        <w:tab/>
        <w:t>Fees</w:t>
      </w:r>
      <w:bookmarkEnd w:id="259"/>
      <w:bookmarkEnd w:id="260"/>
    </w:p>
    <w:p>
      <w:pPr>
        <w:pStyle w:val="Subsection"/>
      </w:pPr>
      <w:r>
        <w:tab/>
        <w:t>(1)</w:t>
      </w:r>
      <w:r>
        <w:tab/>
        <w:t>The fees set out in Schedule 1 are payable in respect of the matters referred to in the Schedule.</w:t>
      </w:r>
    </w:p>
    <w:p>
      <w:pPr>
        <w:pStyle w:val="Subsection"/>
      </w:pPr>
      <w:r>
        <w:tab/>
        <w:t>(2)</w:t>
      </w:r>
      <w:r>
        <w:tab/>
        <w:t>The fees are payable to the Director, other than the fee specified in item 8 of Schedule 1.</w:t>
      </w:r>
    </w:p>
    <w:p>
      <w:pPr>
        <w:pStyle w:val="PermNoteHeading"/>
      </w:pPr>
      <w:r>
        <w:tab/>
        <w:t>Note for this regulation:</w:t>
      </w:r>
    </w:p>
    <w:p>
      <w:pPr>
        <w:pStyle w:val="PermNoteText"/>
      </w:pPr>
      <w:r>
        <w:tab/>
      </w:r>
      <w:r>
        <w:tab/>
        <w:t>The fee specified in item 8 of Schedule 1 is payable to the relevant network operator. See regulation 53A(1).</w:t>
      </w:r>
    </w:p>
    <w:p>
      <w:pPr>
        <w:pStyle w:val="Footnotesection"/>
      </w:pPr>
      <w:r>
        <w:tab/>
        <w:t>[Regulation 64 inserted: SL 2024/96 r. 23.]</w:t>
      </w:r>
    </w:p>
    <w:p>
      <w:pPr>
        <w:pStyle w:val="Heading5"/>
      </w:pPr>
      <w:bookmarkStart w:id="261" w:name="_Toc201739841"/>
      <w:bookmarkStart w:id="262" w:name="_Toc200095085"/>
      <w:r>
        <w:rPr>
          <w:rStyle w:val="CharSectno"/>
        </w:rPr>
        <w:t>64A</w:t>
      </w:r>
      <w:r>
        <w:t>.</w:t>
      </w:r>
      <w:r>
        <w:tab/>
        <w:t>Refund of registration fee</w:t>
      </w:r>
      <w:bookmarkEnd w:id="261"/>
      <w:bookmarkEnd w:id="262"/>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63" w:name="_Toc201739842"/>
      <w:bookmarkStart w:id="264" w:name="_Toc200095086"/>
      <w:r>
        <w:rPr>
          <w:rStyle w:val="CharSectno"/>
        </w:rPr>
        <w:t>65</w:t>
      </w:r>
      <w:r>
        <w:rPr>
          <w:snapToGrid w:val="0"/>
        </w:rPr>
        <w:t>.</w:t>
      </w:r>
      <w:r>
        <w:rPr>
          <w:snapToGrid w:val="0"/>
        </w:rPr>
        <w:tab/>
        <w:t>General offence and penalty</w:t>
      </w:r>
      <w:bookmarkEnd w:id="263"/>
      <w:bookmarkEnd w:id="26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65" w:name="_Toc201739843"/>
      <w:bookmarkStart w:id="266" w:name="_Toc200095087"/>
      <w:r>
        <w:rPr>
          <w:rStyle w:val="CharSectno"/>
        </w:rPr>
        <w:t>65A</w:t>
      </w:r>
      <w:r>
        <w:t>.</w:t>
      </w:r>
      <w:r>
        <w:tab/>
        <w:t>Offences by members of firms</w:t>
      </w:r>
      <w:bookmarkEnd w:id="265"/>
      <w:bookmarkEnd w:id="266"/>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67" w:name="_Toc201739844"/>
      <w:bookmarkStart w:id="268" w:name="_Toc200095088"/>
      <w:r>
        <w:rPr>
          <w:rStyle w:val="CharSectno"/>
        </w:rPr>
        <w:t>67</w:t>
      </w:r>
      <w:r>
        <w:t>.</w:t>
      </w:r>
      <w:r>
        <w:tab/>
        <w:t>Saving and transitional provisions</w:t>
      </w:r>
      <w:bookmarkEnd w:id="267"/>
      <w:bookmarkEnd w:id="268"/>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69" w:name="AautoSch"/>
      <w:bookmarkStart w:id="270" w:name="_Toc200025136"/>
      <w:bookmarkStart w:id="271" w:name="_Toc200025221"/>
      <w:bookmarkStart w:id="272" w:name="_Toc200025306"/>
      <w:bookmarkStart w:id="273" w:name="_Toc200025943"/>
      <w:bookmarkStart w:id="274" w:name="_Toc200026124"/>
      <w:bookmarkStart w:id="275" w:name="_Toc200026270"/>
      <w:bookmarkStart w:id="276" w:name="_Toc200450066"/>
      <w:bookmarkStart w:id="277" w:name="_Toc201733838"/>
      <w:bookmarkStart w:id="278" w:name="_Toc201739845"/>
      <w:bookmarkStart w:id="279" w:name="_Toc200094433"/>
      <w:bookmarkStart w:id="280" w:name="_Toc200094755"/>
      <w:bookmarkStart w:id="281" w:name="_Toc200095089"/>
      <w:bookmarkStart w:id="282" w:name="_Toc201733320"/>
      <w:bookmarkEnd w:id="269"/>
      <w:r>
        <w:rPr>
          <w:rStyle w:val="CharSchNo"/>
        </w:rPr>
        <w:t>Schedule 1</w:t>
      </w:r>
      <w:r>
        <w:t> — </w:t>
      </w:r>
      <w:r>
        <w:rPr>
          <w:rStyle w:val="CharSchText"/>
        </w:rPr>
        <w:t>Fees</w:t>
      </w:r>
      <w:bookmarkEnd w:id="270"/>
      <w:bookmarkEnd w:id="271"/>
      <w:bookmarkEnd w:id="272"/>
      <w:bookmarkEnd w:id="273"/>
      <w:bookmarkEnd w:id="274"/>
      <w:bookmarkEnd w:id="275"/>
      <w:bookmarkEnd w:id="276"/>
      <w:bookmarkEnd w:id="277"/>
      <w:bookmarkEnd w:id="278"/>
      <w:bookmarkEnd w:id="279"/>
      <w:bookmarkEnd w:id="280"/>
      <w:bookmarkEnd w:id="281"/>
    </w:p>
    <w:p>
      <w:pPr>
        <w:pStyle w:val="yShoulderClause"/>
      </w:pPr>
      <w:r>
        <w:t>[r. 53A(1) and 64(1)]</w:t>
      </w:r>
    </w:p>
    <w:p>
      <w:pPr>
        <w:pStyle w:val="yFootnoteheading"/>
        <w:spacing w:after="60"/>
      </w:pPr>
      <w:r>
        <w:tab/>
        <w:t>[Heading inserted: SL </w:t>
      </w:r>
      <w:del w:id="283" w:author="Master Repository Process" w:date="2025-06-27T09:25:00Z">
        <w:r>
          <w:delText>2024/96</w:delText>
        </w:r>
      </w:del>
      <w:ins w:id="284" w:author="Master Repository Process" w:date="2025-06-27T09:25:00Z">
        <w:r>
          <w:t>2025/89</w:t>
        </w:r>
      </w:ins>
      <w:r>
        <w:t xml:space="preserve"> r. </w:t>
      </w:r>
      <w:del w:id="285" w:author="Master Repository Process" w:date="2025-06-27T09:25:00Z">
        <w:r>
          <w:delText>24</w:delText>
        </w:r>
      </w:del>
      <w:ins w:id="286" w:author="Master Repository Process" w:date="2025-06-27T09:25:00Z">
        <w:r>
          <w:t>16</w:t>
        </w:r>
      </w:ins>
      <w:r>
        <w:t>.]</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418"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left w:val="nil"/>
              <w:bottom w:val="nil"/>
              <w:right w:val="nil"/>
            </w:tcBorders>
            <w:noWrap/>
          </w:tcPr>
          <w:p>
            <w:pPr>
              <w:pStyle w:val="yTableNAm"/>
            </w:pPr>
            <w:r>
              <w:t>1.</w:t>
            </w:r>
          </w:p>
        </w:tc>
        <w:tc>
          <w:tcPr>
            <w:tcW w:w="3260" w:type="dxa"/>
            <w:tcBorders>
              <w:top w:val="nil"/>
              <w:left w:val="nil"/>
              <w:bottom w:val="nil"/>
              <w:right w:val="nil"/>
            </w:tcBorders>
            <w:noWrap/>
          </w:tcPr>
          <w:p>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del w:id="287" w:author="Master Repository Process" w:date="2025-06-27T09:25:00Z">
              <w:r>
                <w:delText>88</w:delText>
              </w:r>
            </w:del>
            <w:ins w:id="288" w:author="Master Repository Process" w:date="2025-06-27T09:25:00Z">
              <w:r>
                <w:t>90</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del w:id="289" w:author="Master Repository Process" w:date="2025-06-27T09:25:00Z">
              <w:r>
                <w:delText>117</w:delText>
              </w:r>
            </w:del>
            <w:ins w:id="290" w:author="Master Repository Process" w:date="2025-06-27T09:25:00Z">
              <w:r>
                <w:t>119</w:t>
              </w:r>
            </w:ins>
            <w:r>
              <w:t>.00</w:t>
            </w:r>
          </w:p>
        </w:tc>
      </w:tr>
      <w:tr>
        <w:trPr>
          <w:cantSplit/>
          <w:jc w:val="center"/>
        </w:trPr>
        <w:tc>
          <w:tcPr>
            <w:tcW w:w="709" w:type="dxa"/>
            <w:tcBorders>
              <w:top w:val="nil"/>
              <w:left w:val="nil"/>
              <w:bottom w:val="nil"/>
              <w:right w:val="nil"/>
            </w:tcBorders>
            <w:noWrap/>
          </w:tcPr>
          <w:p>
            <w:pPr>
              <w:pStyle w:val="yTableNAm"/>
            </w:pPr>
            <w:r>
              <w:t>2.</w:t>
            </w:r>
          </w:p>
        </w:tc>
        <w:tc>
          <w:tcPr>
            <w:tcW w:w="3260" w:type="dxa"/>
            <w:tcBorders>
              <w:top w:val="nil"/>
              <w:left w:val="nil"/>
              <w:bottom w:val="nil"/>
              <w:right w:val="nil"/>
            </w:tcBorders>
            <w:noWrap/>
          </w:tcPr>
          <w:p>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del w:id="291" w:author="Master Repository Process" w:date="2025-06-27T09:25:00Z">
              <w:r>
                <w:delText>117</w:delText>
              </w:r>
            </w:del>
            <w:ins w:id="292" w:author="Master Repository Process" w:date="2025-06-27T09:25:00Z">
              <w:r>
                <w:t>119</w:t>
              </w:r>
            </w:ins>
            <w:r>
              <w:t>.00</w:t>
            </w:r>
          </w:p>
        </w:tc>
      </w:tr>
      <w:tr>
        <w:trPr>
          <w:cantSplit/>
          <w:jc w:val="center"/>
        </w:trPr>
        <w:tc>
          <w:tcPr>
            <w:tcW w:w="709" w:type="dxa"/>
            <w:tcBorders>
              <w:top w:val="nil"/>
              <w:left w:val="nil"/>
              <w:bottom w:val="nil"/>
              <w:right w:val="nil"/>
            </w:tcBorders>
            <w:noWrap/>
          </w:tcPr>
          <w:p>
            <w:pPr>
              <w:pStyle w:val="yTableNAm"/>
            </w:pPr>
            <w:r>
              <w:t>3.</w:t>
            </w:r>
          </w:p>
        </w:tc>
        <w:tc>
          <w:tcPr>
            <w:tcW w:w="3260" w:type="dxa"/>
            <w:tcBorders>
              <w:top w:val="nil"/>
              <w:left w:val="nil"/>
              <w:bottom w:val="nil"/>
              <w:right w:val="nil"/>
            </w:tcBorders>
            <w:noWrap/>
          </w:tcPr>
          <w:p>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del w:id="293" w:author="Master Repository Process" w:date="2025-06-27T09:25:00Z">
              <w:r>
                <w:delText>133</w:delText>
              </w:r>
            </w:del>
            <w:ins w:id="294" w:author="Master Repository Process" w:date="2025-06-27T09:25:00Z">
              <w:r>
                <w:t>136</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del w:id="295" w:author="Master Repository Process" w:date="2025-06-27T09:25:00Z">
              <w:r>
                <w:delText>607</w:delText>
              </w:r>
            </w:del>
            <w:ins w:id="296" w:author="Master Repository Process" w:date="2025-06-27T09:25:00Z">
              <w:r>
                <w:t>622</w:t>
              </w:r>
            </w:ins>
            <w:r>
              <w:t>.00</w:t>
            </w:r>
          </w:p>
        </w:tc>
      </w:tr>
      <w:tr>
        <w:trPr>
          <w:cantSplit/>
          <w:jc w:val="center"/>
        </w:trPr>
        <w:tc>
          <w:tcPr>
            <w:tcW w:w="709" w:type="dxa"/>
            <w:tcBorders>
              <w:top w:val="nil"/>
              <w:left w:val="nil"/>
              <w:bottom w:val="nil"/>
              <w:right w:val="nil"/>
            </w:tcBorders>
            <w:noWrap/>
          </w:tcPr>
          <w:p>
            <w:pPr>
              <w:pStyle w:val="yTableNAm"/>
            </w:pPr>
            <w:r>
              <w:t>4.</w:t>
            </w:r>
          </w:p>
        </w:tc>
        <w:tc>
          <w:tcPr>
            <w:tcW w:w="3260" w:type="dxa"/>
            <w:tcBorders>
              <w:top w:val="nil"/>
              <w:left w:val="nil"/>
              <w:bottom w:val="nil"/>
              <w:right w:val="nil"/>
            </w:tcBorders>
            <w:noWrap/>
          </w:tcPr>
          <w:p>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del w:id="297" w:author="Master Repository Process" w:date="2025-06-27T09:25:00Z">
              <w:r>
                <w:delText>133</w:delText>
              </w:r>
            </w:del>
            <w:ins w:id="298" w:author="Master Repository Process" w:date="2025-06-27T09:25:00Z">
              <w:r>
                <w:t>136</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del w:id="299" w:author="Master Repository Process" w:date="2025-06-27T09:25:00Z">
              <w:r>
                <w:delText>320</w:delText>
              </w:r>
            </w:del>
            <w:ins w:id="300" w:author="Master Repository Process" w:date="2025-06-27T09:25:00Z">
              <w:r>
                <w:t>328</w:t>
              </w:r>
            </w:ins>
            <w:r>
              <w:t>.00</w:t>
            </w:r>
          </w:p>
        </w:tc>
      </w:tr>
      <w:tr>
        <w:trPr>
          <w:cantSplit/>
          <w:jc w:val="center"/>
        </w:trPr>
        <w:tc>
          <w:tcPr>
            <w:tcW w:w="709" w:type="dxa"/>
            <w:tcBorders>
              <w:top w:val="nil"/>
              <w:left w:val="nil"/>
              <w:bottom w:val="nil"/>
              <w:right w:val="nil"/>
            </w:tcBorders>
            <w:noWrap/>
          </w:tcPr>
          <w:p>
            <w:pPr>
              <w:pStyle w:val="yTableNAm"/>
            </w:pPr>
            <w:r>
              <w:t>5.</w:t>
            </w:r>
          </w:p>
        </w:tc>
        <w:tc>
          <w:tcPr>
            <w:tcW w:w="3260" w:type="dxa"/>
            <w:tcBorders>
              <w:top w:val="nil"/>
              <w:left w:val="nil"/>
              <w:bottom w:val="nil"/>
              <w:right w:val="nil"/>
            </w:tcBorders>
            <w:noWrap/>
          </w:tcPr>
          <w:p>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pPr>
              <w:pStyle w:val="yTableNAm"/>
              <w:tabs>
                <w:tab w:val="clear" w:pos="567"/>
              </w:tabs>
              <w:ind w:right="318"/>
              <w:jc w:val="right"/>
            </w:pPr>
            <w:del w:id="301" w:author="Master Repository Process" w:date="2025-06-27T09:25:00Z">
              <w:r>
                <w:delText>607</w:delText>
              </w:r>
            </w:del>
            <w:ins w:id="302" w:author="Master Repository Process" w:date="2025-06-27T09:25:00Z">
              <w:r>
                <w:t>622</w:t>
              </w:r>
            </w:ins>
            <w:r>
              <w:t>.00</w:t>
            </w:r>
          </w:p>
        </w:tc>
      </w:tr>
      <w:tr>
        <w:trPr>
          <w:cantSplit/>
          <w:jc w:val="center"/>
        </w:trPr>
        <w:tc>
          <w:tcPr>
            <w:tcW w:w="709" w:type="dxa"/>
            <w:tcBorders>
              <w:top w:val="nil"/>
              <w:left w:val="nil"/>
              <w:bottom w:val="nil"/>
              <w:right w:val="nil"/>
            </w:tcBorders>
            <w:noWrap/>
          </w:tcPr>
          <w:p>
            <w:pPr>
              <w:pStyle w:val="yTableNAm"/>
            </w:pPr>
            <w:r>
              <w:t>6.</w:t>
            </w:r>
          </w:p>
        </w:tc>
        <w:tc>
          <w:tcPr>
            <w:tcW w:w="3260" w:type="dxa"/>
            <w:tcBorders>
              <w:top w:val="nil"/>
              <w:left w:val="nil"/>
              <w:bottom w:val="nil"/>
              <w:right w:val="nil"/>
            </w:tcBorders>
            <w:noWrap/>
          </w:tcPr>
          <w:p>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pPr>
              <w:pStyle w:val="yTableNAm"/>
              <w:tabs>
                <w:tab w:val="clear" w:pos="567"/>
              </w:tabs>
              <w:ind w:right="318"/>
              <w:jc w:val="right"/>
            </w:pPr>
            <w:del w:id="303" w:author="Master Repository Process" w:date="2025-06-27T09:25:00Z">
              <w:r>
                <w:delText>320</w:delText>
              </w:r>
            </w:del>
            <w:ins w:id="304" w:author="Master Repository Process" w:date="2025-06-27T09:25:00Z">
              <w:r>
                <w:t>328</w:t>
              </w:r>
            </w:ins>
            <w:r>
              <w:t>.00</w:t>
            </w:r>
          </w:p>
        </w:tc>
      </w:tr>
      <w:tr>
        <w:trPr>
          <w:cantSplit/>
          <w:jc w:val="center"/>
        </w:trPr>
        <w:tc>
          <w:tcPr>
            <w:tcW w:w="709" w:type="dxa"/>
            <w:tcBorders>
              <w:top w:val="nil"/>
              <w:left w:val="nil"/>
              <w:bottom w:val="nil"/>
              <w:right w:val="nil"/>
            </w:tcBorders>
            <w:noWrap/>
          </w:tcPr>
          <w:p>
            <w:pPr>
              <w:pStyle w:val="yTableNAm"/>
            </w:pPr>
            <w:r>
              <w:t>7.</w:t>
            </w:r>
          </w:p>
        </w:tc>
        <w:tc>
          <w:tcPr>
            <w:tcW w:w="3260" w:type="dxa"/>
            <w:tcBorders>
              <w:top w:val="nil"/>
              <w:left w:val="nil"/>
              <w:bottom w:val="nil"/>
              <w:right w:val="nil"/>
            </w:tcBorders>
            <w:noWrap/>
          </w:tcPr>
          <w:p>
            <w:pPr>
              <w:pStyle w:val="yTableNAm"/>
            </w:pPr>
            <w:r>
              <w:t xml:space="preserve">Replacing or adding nominee (r. 38(2a))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contractor’s licence</w:t>
            </w:r>
          </w:p>
        </w:tc>
        <w:tc>
          <w:tcPr>
            <w:tcW w:w="1418" w:type="dxa"/>
            <w:tcBorders>
              <w:top w:val="nil"/>
              <w:left w:val="nil"/>
              <w:bottom w:val="nil"/>
              <w:right w:val="nil"/>
            </w:tcBorders>
            <w:noWrap/>
            <w:vAlign w:val="bottom"/>
          </w:tcPr>
          <w:p>
            <w:pPr>
              <w:pStyle w:val="yTableNAm"/>
              <w:tabs>
                <w:tab w:val="clear" w:pos="567"/>
              </w:tabs>
              <w:ind w:right="318"/>
              <w:jc w:val="right"/>
            </w:pPr>
            <w:del w:id="305" w:author="Master Repository Process" w:date="2025-06-27T09:25:00Z">
              <w:r>
                <w:delText>458</w:delText>
              </w:r>
            </w:del>
            <w:ins w:id="306" w:author="Master Repository Process" w:date="2025-06-27T09:25:00Z">
              <w:r>
                <w:t>469</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del w:id="307" w:author="Master Repository Process" w:date="2025-06-27T09:25:00Z">
              <w:r>
                <w:delText>301</w:delText>
              </w:r>
            </w:del>
            <w:ins w:id="308" w:author="Master Repository Process" w:date="2025-06-27T09:25:00Z">
              <w:r>
                <w:t>308</w:t>
              </w:r>
            </w:ins>
            <w:r>
              <w:t>.00</w:t>
            </w:r>
          </w:p>
        </w:tc>
      </w:tr>
      <w:tr>
        <w:trPr>
          <w:cantSplit/>
          <w:jc w:val="center"/>
        </w:trPr>
        <w:tc>
          <w:tcPr>
            <w:tcW w:w="709" w:type="dxa"/>
            <w:tcBorders>
              <w:top w:val="nil"/>
              <w:left w:val="nil"/>
              <w:bottom w:val="nil"/>
              <w:right w:val="nil"/>
            </w:tcBorders>
            <w:noWrap/>
          </w:tcPr>
          <w:p>
            <w:pPr>
              <w:pStyle w:val="yTableNAm"/>
            </w:pPr>
            <w:r>
              <w:t>8.</w:t>
            </w:r>
          </w:p>
        </w:tc>
        <w:tc>
          <w:tcPr>
            <w:tcW w:w="3260" w:type="dxa"/>
            <w:tcBorders>
              <w:top w:val="nil"/>
              <w:left w:val="nil"/>
              <w:bottom w:val="nil"/>
              <w:right w:val="nil"/>
            </w:tcBorders>
            <w:noWrap/>
          </w:tcPr>
          <w:p>
            <w:pPr>
              <w:pStyle w:val="yTableNAm"/>
            </w:pPr>
            <w:r>
              <w:t xml:space="preserve">Further inspection (r. 53A(1))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pPr>
              <w:pStyle w:val="yTableNAm"/>
              <w:tabs>
                <w:tab w:val="clear" w:pos="567"/>
              </w:tabs>
              <w:ind w:right="318"/>
              <w:jc w:val="right"/>
            </w:pPr>
            <w:r>
              <w:t>498.25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otherwise</w:t>
            </w:r>
          </w:p>
        </w:tc>
        <w:tc>
          <w:tcPr>
            <w:tcW w:w="1418" w:type="dxa"/>
            <w:tcBorders>
              <w:top w:val="nil"/>
              <w:left w:val="nil"/>
              <w:bottom w:val="nil"/>
              <w:right w:val="nil"/>
            </w:tcBorders>
            <w:noWrap/>
            <w:vAlign w:val="bottom"/>
          </w:tcPr>
          <w:p>
            <w:pPr>
              <w:pStyle w:val="yTableNAm"/>
              <w:tabs>
                <w:tab w:val="clear" w:pos="567"/>
              </w:tabs>
              <w:ind w:right="318"/>
              <w:jc w:val="right"/>
            </w:pPr>
            <w:r>
              <w:t>182.00</w:t>
            </w:r>
          </w:p>
        </w:tc>
      </w:tr>
      <w:tr>
        <w:trPr>
          <w:cantSplit/>
          <w:jc w:val="center"/>
        </w:trPr>
        <w:tc>
          <w:tcPr>
            <w:tcW w:w="709" w:type="dxa"/>
            <w:tcBorders>
              <w:top w:val="nil"/>
              <w:left w:val="nil"/>
              <w:bottom w:val="nil"/>
              <w:right w:val="nil"/>
            </w:tcBorders>
            <w:noWrap/>
          </w:tcPr>
          <w:p>
            <w:pPr>
              <w:pStyle w:val="yTableNAm"/>
              <w:keepNext/>
            </w:pPr>
            <w:r>
              <w:t>9.</w:t>
            </w:r>
          </w:p>
        </w:tc>
        <w:tc>
          <w:tcPr>
            <w:tcW w:w="3260" w:type="dxa"/>
            <w:tcBorders>
              <w:top w:val="nil"/>
              <w:left w:val="nil"/>
              <w:bottom w:val="nil"/>
              <w:right w:val="nil"/>
            </w:tcBorders>
            <w:noWrap/>
          </w:tcPr>
          <w:p>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pPr>
              <w:pStyle w:val="yTableNAm"/>
              <w:keepNext/>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pPr>
              <w:pStyle w:val="yTableNAm"/>
              <w:tabs>
                <w:tab w:val="clear" w:pos="567"/>
              </w:tabs>
              <w:ind w:right="318"/>
              <w:jc w:val="right"/>
            </w:pPr>
            <w:del w:id="309" w:author="Master Repository Process" w:date="2025-06-27T09:25:00Z">
              <w:r>
                <w:delText>91</w:delText>
              </w:r>
            </w:del>
            <w:ins w:id="310" w:author="Master Repository Process" w:date="2025-06-27T09:25:00Z">
              <w:r>
                <w:t>93</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170.00</w:t>
            </w:r>
          </w:p>
        </w:tc>
      </w:tr>
      <w:tr>
        <w:trPr>
          <w:cantSplit/>
          <w:jc w:val="center"/>
        </w:trPr>
        <w:tc>
          <w:tcPr>
            <w:tcW w:w="709" w:type="dxa"/>
            <w:tcBorders>
              <w:top w:val="nil"/>
              <w:left w:val="nil"/>
              <w:bottom w:val="nil"/>
              <w:right w:val="nil"/>
            </w:tcBorders>
            <w:noWrap/>
          </w:tcPr>
          <w:p>
            <w:pPr>
              <w:pStyle w:val="yTableNAm"/>
              <w:keepNext/>
            </w:pPr>
            <w:r>
              <w:t>10.</w:t>
            </w:r>
          </w:p>
        </w:tc>
        <w:tc>
          <w:tcPr>
            <w:tcW w:w="3260" w:type="dxa"/>
            <w:tcBorders>
              <w:top w:val="nil"/>
              <w:left w:val="nil"/>
              <w:bottom w:val="nil"/>
              <w:right w:val="nil"/>
            </w:tcBorders>
            <w:noWrap/>
          </w:tcPr>
          <w:p>
            <w:pPr>
              <w:pStyle w:val="yTableNAm"/>
              <w:keepNext/>
            </w:pPr>
            <w:r>
              <w:t xml:space="preserve">Replacement document (r. 60(1))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worker’s licence or permit</w:t>
            </w:r>
          </w:p>
        </w:tc>
        <w:tc>
          <w:tcPr>
            <w:tcW w:w="1418" w:type="dxa"/>
            <w:tcBorders>
              <w:top w:val="nil"/>
              <w:left w:val="nil"/>
              <w:bottom w:val="nil"/>
              <w:right w:val="nil"/>
            </w:tcBorders>
            <w:noWrap/>
            <w:vAlign w:val="bottom"/>
          </w:tcPr>
          <w:p>
            <w:pPr>
              <w:pStyle w:val="yTableNAm"/>
              <w:tabs>
                <w:tab w:val="clear" w:pos="567"/>
              </w:tabs>
              <w:ind w:right="318"/>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11.</w:t>
            </w:r>
          </w:p>
        </w:tc>
        <w:tc>
          <w:tcPr>
            <w:tcW w:w="3260" w:type="dxa"/>
            <w:tcBorders>
              <w:top w:val="nil"/>
              <w:left w:val="nil"/>
              <w:bottom w:val="nil"/>
              <w:right w:val="nil"/>
            </w:tcBorders>
            <w:noWrap/>
          </w:tcPr>
          <w:p>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del w:id="311" w:author="Master Repository Process" w:date="2025-06-27T09:25:00Z"/>
        </w:trPr>
        <w:tc>
          <w:tcPr>
            <w:tcW w:w="709" w:type="dxa"/>
            <w:tcBorders>
              <w:top w:val="nil"/>
              <w:left w:val="nil"/>
              <w:bottom w:val="nil"/>
              <w:right w:val="nil"/>
            </w:tcBorders>
            <w:noWrap/>
          </w:tcPr>
          <w:p>
            <w:pPr>
              <w:pStyle w:val="yTableNAm"/>
              <w:rPr>
                <w:del w:id="312" w:author="Master Repository Process" w:date="2025-06-27T09:25:00Z"/>
              </w:rPr>
            </w:pPr>
            <w:del w:id="313" w:author="Master Repository Process" w:date="2025-06-27T09:25:00Z">
              <w:r>
                <w:delText>12.</w:delText>
              </w:r>
            </w:del>
          </w:p>
        </w:tc>
        <w:tc>
          <w:tcPr>
            <w:tcW w:w="3260" w:type="dxa"/>
            <w:tcBorders>
              <w:top w:val="nil"/>
              <w:left w:val="nil"/>
              <w:bottom w:val="nil"/>
              <w:right w:val="nil"/>
            </w:tcBorders>
            <w:noWrap/>
          </w:tcPr>
          <w:p>
            <w:pPr>
              <w:pStyle w:val="yTableNAm"/>
              <w:rPr>
                <w:del w:id="314" w:author="Master Repository Process" w:date="2025-06-27T09:25:00Z"/>
              </w:rPr>
            </w:pPr>
            <w:del w:id="315" w:author="Master Repository Process" w:date="2025-06-27T09:25:00Z">
              <w:r>
                <w:delText>Extract from register</w:delText>
              </w:r>
            </w:del>
          </w:p>
        </w:tc>
        <w:tc>
          <w:tcPr>
            <w:tcW w:w="1418" w:type="dxa"/>
            <w:tcBorders>
              <w:top w:val="nil"/>
              <w:left w:val="nil"/>
              <w:bottom w:val="nil"/>
              <w:right w:val="nil"/>
            </w:tcBorders>
            <w:noWrap/>
            <w:vAlign w:val="bottom"/>
          </w:tcPr>
          <w:p>
            <w:pPr>
              <w:pStyle w:val="yTableNAm"/>
              <w:tabs>
                <w:tab w:val="clear" w:pos="567"/>
              </w:tabs>
              <w:ind w:right="318"/>
              <w:jc w:val="right"/>
              <w:rPr>
                <w:del w:id="316" w:author="Master Repository Process" w:date="2025-06-27T09:25:00Z"/>
              </w:rPr>
            </w:pPr>
            <w:del w:id="317" w:author="Master Repository Process" w:date="2025-06-27T09:25:00Z">
              <w:r>
                <w:delText>72.00</w:delText>
              </w:r>
            </w:del>
          </w:p>
        </w:tc>
      </w:tr>
      <w:tr>
        <w:trPr>
          <w:cantSplit/>
          <w:jc w:val="center"/>
          <w:del w:id="318" w:author="Master Repository Process" w:date="2025-06-27T09:25:00Z"/>
        </w:trPr>
        <w:tc>
          <w:tcPr>
            <w:tcW w:w="709" w:type="dxa"/>
            <w:tcBorders>
              <w:top w:val="nil"/>
              <w:left w:val="nil"/>
              <w:bottom w:val="nil"/>
              <w:right w:val="nil"/>
            </w:tcBorders>
            <w:noWrap/>
          </w:tcPr>
          <w:p>
            <w:pPr>
              <w:pStyle w:val="yTableNAm"/>
              <w:rPr>
                <w:del w:id="319" w:author="Master Repository Process" w:date="2025-06-27T09:25:00Z"/>
              </w:rPr>
            </w:pPr>
            <w:del w:id="320" w:author="Master Repository Process" w:date="2025-06-27T09:25:00Z">
              <w:r>
                <w:delText>13.</w:delText>
              </w:r>
            </w:del>
          </w:p>
        </w:tc>
        <w:tc>
          <w:tcPr>
            <w:tcW w:w="3260" w:type="dxa"/>
            <w:tcBorders>
              <w:top w:val="nil"/>
              <w:left w:val="nil"/>
              <w:bottom w:val="nil"/>
              <w:right w:val="nil"/>
            </w:tcBorders>
            <w:noWrap/>
          </w:tcPr>
          <w:p>
            <w:pPr>
              <w:pStyle w:val="yTableNAm"/>
              <w:rPr>
                <w:del w:id="321" w:author="Master Repository Process" w:date="2025-06-27T09:25:00Z"/>
              </w:rPr>
            </w:pPr>
            <w:del w:id="322" w:author="Master Repository Process" w:date="2025-06-27T09:25:00Z">
              <w:r>
                <w:delText>Copy of register (if available)</w:delText>
              </w:r>
            </w:del>
          </w:p>
        </w:tc>
        <w:tc>
          <w:tcPr>
            <w:tcW w:w="1418" w:type="dxa"/>
            <w:tcBorders>
              <w:top w:val="nil"/>
              <w:left w:val="nil"/>
              <w:bottom w:val="nil"/>
              <w:right w:val="nil"/>
            </w:tcBorders>
            <w:noWrap/>
            <w:vAlign w:val="bottom"/>
          </w:tcPr>
          <w:p>
            <w:pPr>
              <w:pStyle w:val="yTableNAm"/>
              <w:tabs>
                <w:tab w:val="clear" w:pos="567"/>
              </w:tabs>
              <w:ind w:right="318"/>
              <w:jc w:val="right"/>
              <w:rPr>
                <w:del w:id="323" w:author="Master Repository Process" w:date="2025-06-27T09:25:00Z"/>
              </w:rPr>
            </w:pPr>
            <w:del w:id="324" w:author="Master Repository Process" w:date="2025-06-27T09:25:00Z">
              <w:r>
                <w:delText>84.00</w:delText>
              </w:r>
            </w:del>
          </w:p>
        </w:tc>
      </w:tr>
    </w:tbl>
    <w:p>
      <w:pPr>
        <w:pStyle w:val="yFootnotesection"/>
      </w:pPr>
      <w:r>
        <w:tab/>
        <w:t>[Schedule</w:t>
      </w:r>
      <w:del w:id="325" w:author="Master Repository Process" w:date="2025-06-27T09:25:00Z">
        <w:r>
          <w:delText> </w:delText>
        </w:r>
      </w:del>
      <w:ins w:id="326" w:author="Master Repository Process" w:date="2025-06-27T09:25:00Z">
        <w:r>
          <w:t xml:space="preserve"> </w:t>
        </w:r>
      </w:ins>
      <w:r>
        <w:t>1 inserted: SL </w:t>
      </w:r>
      <w:del w:id="327" w:author="Master Repository Process" w:date="2025-06-27T09:25:00Z">
        <w:r>
          <w:delText>2024/96</w:delText>
        </w:r>
      </w:del>
      <w:ins w:id="328" w:author="Master Repository Process" w:date="2025-06-27T09:25:00Z">
        <w:r>
          <w:t>2025/89</w:t>
        </w:r>
      </w:ins>
      <w:r>
        <w:t xml:space="preserve"> r. </w:t>
      </w:r>
      <w:del w:id="329" w:author="Master Repository Process" w:date="2025-06-27T09:25:00Z">
        <w:r>
          <w:delText>24</w:delText>
        </w:r>
      </w:del>
      <w:ins w:id="330" w:author="Master Repository Process" w:date="2025-06-27T09:25:00Z">
        <w:r>
          <w:t>16</w:t>
        </w:r>
      </w:ins>
      <w:r>
        <w:t>.]</w:t>
      </w:r>
    </w:p>
    <w:p>
      <w:pPr>
        <w:pStyle w:val="yScheduleHeading"/>
      </w:pPr>
      <w:bookmarkStart w:id="331" w:name="_Toc201733321"/>
      <w:bookmarkStart w:id="332" w:name="_Toc201733839"/>
      <w:bookmarkStart w:id="333" w:name="_Toc201739846"/>
      <w:bookmarkStart w:id="334" w:name="_Toc200094434"/>
      <w:bookmarkStart w:id="335" w:name="_Toc200094756"/>
      <w:bookmarkStart w:id="336" w:name="_Toc200095090"/>
      <w:bookmarkEnd w:id="282"/>
      <w:r>
        <w:rPr>
          <w:rStyle w:val="CharSchNo"/>
        </w:rPr>
        <w:t>Schedule 2</w:t>
      </w:r>
      <w:r>
        <w:rPr>
          <w:rStyle w:val="CharSDivNo"/>
        </w:rPr>
        <w:t> </w:t>
      </w:r>
      <w:r>
        <w:t>—</w:t>
      </w:r>
      <w:r>
        <w:rPr>
          <w:rStyle w:val="CharSDivText"/>
        </w:rPr>
        <w:t> </w:t>
      </w:r>
      <w:r>
        <w:rPr>
          <w:rStyle w:val="CharSchText"/>
        </w:rPr>
        <w:t>Standards for electrical work</w:t>
      </w:r>
      <w:bookmarkEnd w:id="331"/>
      <w:bookmarkEnd w:id="332"/>
      <w:bookmarkEnd w:id="333"/>
      <w:bookmarkEnd w:id="334"/>
      <w:bookmarkEnd w:id="335"/>
      <w:bookmarkEnd w:id="336"/>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38" w:name="_Toc201733322"/>
      <w:bookmarkStart w:id="339" w:name="_Toc201733840"/>
      <w:bookmarkStart w:id="340" w:name="_Toc201739847"/>
      <w:bookmarkStart w:id="341" w:name="_Toc200094435"/>
      <w:bookmarkStart w:id="342" w:name="_Toc200094757"/>
      <w:bookmarkStart w:id="343" w:name="_Toc200095091"/>
      <w:r>
        <w:t>Notes</w:t>
      </w:r>
      <w:bookmarkEnd w:id="338"/>
      <w:bookmarkEnd w:id="339"/>
      <w:bookmarkEnd w:id="340"/>
      <w:bookmarkEnd w:id="341"/>
      <w:bookmarkEnd w:id="342"/>
      <w:bookmarkEnd w:id="343"/>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del w:id="344" w:author="Master Repository Process" w:date="2025-06-27T09:25:00Z">
        <w:r>
          <w:delText>For provisions that have not yet come into operation see the uncommenced provisions table.</w:delText>
        </w:r>
      </w:del>
    </w:p>
    <w:p>
      <w:pPr>
        <w:pStyle w:val="nHeading3"/>
      </w:pPr>
      <w:bookmarkStart w:id="345" w:name="_Toc201739848"/>
      <w:bookmarkStart w:id="346" w:name="_Toc200095092"/>
      <w:r>
        <w:t>Compilation table</w:t>
      </w:r>
      <w:bookmarkEnd w:id="345"/>
      <w:bookmarkEnd w:id="3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keepNext/>
              <w:spacing w:after="40"/>
            </w:pPr>
            <w:r>
              <w:t>1 Jul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keepNext/>
              <w:spacing w:after="40"/>
            </w:pPr>
            <w:r>
              <w:t>1 Jul 2024 (see r. 2(c))</w:t>
            </w:r>
          </w:p>
        </w:tc>
      </w:tr>
      <w:tr>
        <w:trPr>
          <w:cantSplit/>
        </w:trPr>
        <w:tc>
          <w:tcPr>
            <w:tcW w:w="3118" w:type="dxa"/>
            <w:tcBorders>
              <w:top w:val="nil"/>
              <w:bottom w:val="nil"/>
            </w:tcBorders>
          </w:tcPr>
          <w:p>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pPr>
              <w:pStyle w:val="nTable"/>
              <w:spacing w:after="40"/>
            </w:pPr>
            <w:r>
              <w:t>SL 2024/211 16 Oct 2024</w:t>
            </w:r>
          </w:p>
        </w:tc>
        <w:tc>
          <w:tcPr>
            <w:tcW w:w="2693" w:type="dxa"/>
            <w:tcBorders>
              <w:top w:val="nil"/>
              <w:bottom w:val="nil"/>
            </w:tcBorders>
          </w:tcPr>
          <w:p>
            <w:pPr>
              <w:pStyle w:val="nTable"/>
              <w:keepNext/>
              <w:spacing w:after="40"/>
            </w:pPr>
            <w:r>
              <w:t>17 Oct 2024 (see r. 2(b))</w:t>
            </w:r>
          </w:p>
        </w:tc>
      </w:tr>
    </w:tbl>
    <w:p>
      <w:pPr>
        <w:pStyle w:val="nHeading3"/>
        <w:rPr>
          <w:del w:id="347" w:author="Master Repository Process" w:date="2025-06-27T09:25:00Z"/>
        </w:rPr>
      </w:pPr>
      <w:bookmarkStart w:id="348" w:name="_Toc200095093"/>
      <w:del w:id="349" w:author="Master Repository Process" w:date="2025-06-27T09:25:00Z">
        <w:r>
          <w:delText>Uncommenced provisions table</w:delText>
        </w:r>
        <w:bookmarkEnd w:id="348"/>
      </w:del>
    </w:p>
    <w:p>
      <w:pPr>
        <w:pStyle w:val="nStatement"/>
        <w:keepNext/>
        <w:spacing w:after="240"/>
        <w:rPr>
          <w:del w:id="350" w:author="Master Repository Process" w:date="2025-06-27T09:25:00Z"/>
        </w:rPr>
      </w:pPr>
      <w:del w:id="351" w:author="Master Repository Process" w:date="2025-06-27T09: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52" w:author="Master Repository Process" w:date="2025-06-27T09:25:00Z"/>
        </w:trPr>
        <w:tc>
          <w:tcPr>
            <w:tcW w:w="3118" w:type="dxa"/>
          </w:tcPr>
          <w:p>
            <w:pPr>
              <w:pStyle w:val="nTable"/>
              <w:spacing w:after="40"/>
              <w:rPr>
                <w:del w:id="353" w:author="Master Repository Process" w:date="2025-06-27T09:25:00Z"/>
                <w:b/>
              </w:rPr>
            </w:pPr>
            <w:del w:id="354" w:author="Master Repository Process" w:date="2025-06-27T09:25:00Z">
              <w:r>
                <w:rPr>
                  <w:b/>
                </w:rPr>
                <w:delText>Citation</w:delText>
              </w:r>
            </w:del>
          </w:p>
        </w:tc>
        <w:tc>
          <w:tcPr>
            <w:tcW w:w="1276" w:type="dxa"/>
          </w:tcPr>
          <w:p>
            <w:pPr>
              <w:pStyle w:val="nTable"/>
              <w:spacing w:after="40"/>
              <w:rPr>
                <w:del w:id="355" w:author="Master Repository Process" w:date="2025-06-27T09:25:00Z"/>
                <w:b/>
              </w:rPr>
            </w:pPr>
            <w:del w:id="356" w:author="Master Repository Process" w:date="2025-06-27T09:25:00Z">
              <w:r>
                <w:rPr>
                  <w:b/>
                </w:rPr>
                <w:delText>Published</w:delText>
              </w:r>
            </w:del>
          </w:p>
        </w:tc>
        <w:tc>
          <w:tcPr>
            <w:tcW w:w="2693" w:type="dxa"/>
          </w:tcPr>
          <w:p>
            <w:pPr>
              <w:pStyle w:val="nTable"/>
              <w:spacing w:after="40"/>
              <w:rPr>
                <w:del w:id="357" w:author="Master Repository Process" w:date="2025-06-27T09:25:00Z"/>
                <w:b/>
              </w:rPr>
            </w:pPr>
            <w:del w:id="358" w:author="Master Repository Process" w:date="2025-06-27T09:25: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8</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keepNext/>
              <w:spacing w:after="40"/>
            </w:pPr>
            <w:r>
              <w:t>1 Jul 2025 (see r. 2(b))</w:t>
            </w:r>
          </w:p>
        </w:tc>
      </w:tr>
    </w:tbl>
    <w:p>
      <w:pPr>
        <w:pStyle w:val="nHeading3"/>
      </w:pPr>
      <w:bookmarkStart w:id="359" w:name="_Toc201739849"/>
      <w:bookmarkStart w:id="360" w:name="_Toc200095094"/>
      <w:r>
        <w:t>Other notes</w:t>
      </w:r>
      <w:bookmarkEnd w:id="359"/>
      <w:bookmarkEnd w:id="360"/>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61" w:name="endcomma"/>
      <w:bookmarkEnd w:id="361"/>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7" w:name="Schedule"/>
    <w:bookmarkEnd w:id="3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3" w:name="Coversheet"/>
    <w:bookmarkEnd w:id="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8383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29399</Words>
  <Characters>146702</Characters>
  <Application>Microsoft Office Word</Application>
  <DocSecurity>0</DocSecurity>
  <Lines>4075</Lines>
  <Paragraphs>1956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07-ad0-00 - 07-ae0-00</dc:title>
  <dc:subject/>
  <dc:creator/>
  <cp:keywords/>
  <dc:description/>
  <cp:lastModifiedBy>Master Repository Process</cp:lastModifiedBy>
  <cp:revision>2</cp:revision>
  <cp:lastPrinted>2019-01-07T07:12:00Z</cp:lastPrinted>
  <dcterms:created xsi:type="dcterms:W3CDTF">2025-06-27T01:24:00Z</dcterms:created>
  <dcterms:modified xsi:type="dcterms:W3CDTF">2025-06-27T01:25:00Z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07-ad0-00</vt:lpwstr>
  </property>
  <property fmtid="{D5CDD505-2E9C-101B-9397-08002B2CF9AE}" pid="12" name="FromAsAtDate">
    <vt:lpwstr>11 Jun 2025</vt:lpwstr>
  </property>
  <property fmtid="{D5CDD505-2E9C-101B-9397-08002B2CF9AE}" pid="13" name="ToSuffix">
    <vt:lpwstr>07-ae0-00</vt:lpwstr>
  </property>
  <property fmtid="{D5CDD505-2E9C-101B-9397-08002B2CF9AE}" pid="14" name="ToAsAtDate">
    <vt:lpwstr>01 Jul 2025</vt:lpwstr>
  </property>
</Properties>
</file>