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(Electricity Generation and Retail Corporation) (Charges) By-laws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04-m0-00</w:t>
      </w:r>
      <w:r>
        <w:fldChar w:fldCharType="end"/>
      </w:r>
      <w:r>
        <w:t>] and [</w:t>
      </w:r>
      <w:r>
        <w:fldChar w:fldCharType="begin"/>
      </w:r>
      <w:r>
        <w:instrText xml:space="preserve"> DocProperty ToAsAtDate</w:instrText>
      </w:r>
      <w:r>
        <w:fldChar w:fldCharType="separate"/>
      </w:r>
      <w:r>
        <w:t>01 Jul 2025</w:t>
      </w:r>
      <w:r>
        <w:fldChar w:fldCharType="end"/>
      </w:r>
      <w:r>
        <w:t xml:space="preserve">, </w:t>
      </w:r>
      <w:r>
        <w:fldChar w:fldCharType="begin"/>
      </w:r>
      <w:r>
        <w:instrText xml:space="preserve"> DocProperty ToSuffix</w:instrText>
      </w:r>
      <w:r>
        <w:fldChar w:fldCharType="separate"/>
      </w:r>
      <w:r>
        <w:t>04-n0-00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Energy Operators (Powers) Act 1979</w:t>
      </w:r>
    </w:p>
    <w:p>
      <w:pPr>
        <w:pStyle w:val="NameofActReg"/>
      </w:pPr>
      <w:r>
        <w:t>Energy Operators (Electricity Generation and Retail Corporation) (Charges) By</w:t>
      </w:r>
      <w:r>
        <w:noBreakHyphen/>
        <w:t>laws 2006</w:t>
      </w:r>
    </w:p>
    <w:p>
      <w:pPr>
        <w:pStyle w:val="Heading5"/>
      </w:pPr>
      <w:bookmarkStart w:id="1" w:name="_Toc201762557"/>
      <w:bookmarkStart w:id="2" w:name="_Toc170291789"/>
      <w:r>
        <w:rPr>
          <w:rStyle w:val="CharSectno"/>
        </w:rPr>
        <w:t>1</w:t>
      </w:r>
      <w:r>
        <w:t>.</w:t>
      </w:r>
      <w:r>
        <w:tab/>
        <w:t>Citation</w:t>
      </w:r>
      <w:bookmarkEnd w:id="1"/>
      <w:bookmarkEnd w:id="2"/>
    </w:p>
    <w:p>
      <w:pPr>
        <w:pStyle w:val="Subsection"/>
      </w:pPr>
      <w:r>
        <w:tab/>
      </w:r>
      <w:r>
        <w:tab/>
        <w:t>These by</w:t>
      </w:r>
      <w:r>
        <w:noBreakHyphen/>
        <w:t xml:space="preserve">laws are the </w:t>
      </w:r>
      <w:r>
        <w:rPr>
          <w:i/>
        </w:rPr>
        <w:t>Energy Operators (Electricity Generation and Retail Corporation) (Charges) By</w:t>
      </w:r>
      <w:r>
        <w:rPr>
          <w:i/>
        </w:rPr>
        <w:noBreakHyphen/>
        <w:t>laws 2006</w:t>
      </w:r>
      <w:r>
        <w:t>.</w:t>
      </w:r>
    </w:p>
    <w:p>
      <w:pPr>
        <w:pStyle w:val="Footnotesection"/>
      </w:pPr>
      <w:r>
        <w:tab/>
        <w:t>[By-law 1 amended: Gazette 27 Dec 2013 p. 6477.]</w:t>
      </w:r>
    </w:p>
    <w:p>
      <w:pPr>
        <w:pStyle w:val="Heading5"/>
      </w:pPr>
      <w:bookmarkStart w:id="3" w:name="_Toc201762558"/>
      <w:bookmarkStart w:id="4" w:name="_Toc170291790"/>
      <w:r>
        <w:rPr>
          <w:rStyle w:val="CharSectno"/>
        </w:rPr>
        <w:t>2</w:t>
      </w:r>
      <w:r>
        <w:t>.</w:t>
      </w:r>
      <w:r>
        <w:tab/>
        <w:t>Commencement</w:t>
      </w:r>
      <w:bookmarkEnd w:id="3"/>
      <w:bookmarkEnd w:id="4"/>
    </w:p>
    <w:p>
      <w:pPr>
        <w:pStyle w:val="Subsection"/>
      </w:pPr>
      <w:r>
        <w:tab/>
      </w:r>
      <w:r>
        <w:tab/>
        <w:t>These by</w:t>
      </w:r>
      <w:r>
        <w:noBreakHyphen/>
        <w:t>laws come into operation on 1 April 2006.</w:t>
      </w:r>
    </w:p>
    <w:p>
      <w:pPr>
        <w:pStyle w:val="Heading5"/>
        <w:rPr>
          <w:snapToGrid w:val="0"/>
        </w:rPr>
      </w:pPr>
      <w:bookmarkStart w:id="5" w:name="_Toc201762559"/>
      <w:bookmarkStart w:id="6" w:name="_Toc170291791"/>
      <w:r>
        <w:rPr>
          <w:rStyle w:val="CharSectno"/>
        </w:rPr>
        <w:t>3</w:t>
      </w:r>
      <w:r>
        <w:t>.</w:t>
      </w:r>
      <w:r>
        <w:tab/>
      </w:r>
      <w:r>
        <w:rPr>
          <w:snapToGrid w:val="0"/>
        </w:rPr>
        <w:t>Terms used</w:t>
      </w:r>
      <w:bookmarkEnd w:id="5"/>
      <w:bookmarkEnd w:id="6"/>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4(1)(a);</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b/>
        </w:rPr>
        <w:tab/>
      </w:r>
      <w:r>
        <w:rPr>
          <w:rStyle w:val="CharDefText"/>
        </w:rPr>
        <w:t>half</w:t>
      </w:r>
      <w:r>
        <w:rPr>
          <w:rStyle w:val="CharDefText"/>
        </w:rPr>
        <w:noBreakHyphen/>
        <w:t>hourly maximum demand</w:t>
      </w:r>
      <w:r>
        <w:t xml:space="preserve"> means the maximum demand in kilowatts recorded during the accounting period concerned in any period of half an hour;</w:t>
      </w:r>
    </w:p>
    <w:p>
      <w:pPr>
        <w:pStyle w:val="Defstart"/>
      </w:pPr>
      <w:r>
        <w:tab/>
      </w:r>
      <w:r>
        <w:rPr>
          <w:rStyle w:val="CharDefText"/>
        </w:rPr>
        <w:t>life support customer</w:t>
      </w:r>
      <w:r>
        <w:t xml:space="preserve"> means a customer whose address is registered as a life support equipment address under the code of conduct in force from time to time under the </w:t>
      </w:r>
      <w:r>
        <w:rPr>
          <w:i/>
        </w:rPr>
        <w:t>Electricity Industry Act </w:t>
      </w:r>
      <w:r>
        <w:t>2004 section 79;</w:t>
      </w:r>
    </w:p>
    <w:p>
      <w:pPr>
        <w:pStyle w:val="Defstart"/>
      </w:pPr>
      <w:r>
        <w:tab/>
      </w:r>
      <w:r>
        <w:rPr>
          <w:rStyle w:val="CharDefText"/>
        </w:rPr>
        <w:t>MSLA</w:t>
      </w:r>
      <w:r>
        <w:t xml:space="preserve"> means the model service level agreement approved under the </w:t>
      </w:r>
      <w:r>
        <w:rPr>
          <w:i/>
        </w:rPr>
        <w:t xml:space="preserve">Electricity Industry (Metering) Code 2012 </w:t>
      </w:r>
      <w:r>
        <w:t>by the Economic Regulation Authority, as in force from time to time;</w:t>
      </w:r>
    </w:p>
    <w:p>
      <w:pPr>
        <w:pStyle w:val="Defstart"/>
      </w:pPr>
      <w:r>
        <w:rPr>
          <w:b/>
        </w:rPr>
        <w:tab/>
      </w:r>
      <w:r>
        <w:rPr>
          <w:rStyle w:val="CharDefText"/>
        </w:rPr>
        <w:t>off peak</w:t>
      </w:r>
      <w:r>
        <w:t xml:space="preserve"> means any period other than on peak;</w:t>
      </w:r>
    </w:p>
    <w:p>
      <w:pPr>
        <w:pStyle w:val="Defstart"/>
      </w:pPr>
      <w:r>
        <w:rPr>
          <w:b/>
        </w:rPr>
        <w:lastRenderedPageBreak/>
        <w:tab/>
      </w:r>
      <w:r>
        <w:rPr>
          <w:rStyle w:val="CharDefText"/>
        </w:rPr>
        <w:t>on peak</w:t>
      </w:r>
      <w:r>
        <w:t xml:space="preserve"> means the periods between 8.00 a.m. and 10.00 p.m. Monday to Friday;</w:t>
      </w:r>
    </w:p>
    <w:p>
      <w:pPr>
        <w:pStyle w:val="Defstart"/>
      </w:pPr>
      <w:r>
        <w:tab/>
      </w:r>
      <w:r>
        <w:rPr>
          <w:rStyle w:val="CharDefText"/>
        </w:rPr>
        <w:t>permitted surcharge</w:t>
      </w:r>
      <w:r>
        <w:t>, in relation to a payment, has the meaning given in RBA Standard No. 3 of 2016;</w:t>
      </w:r>
    </w:p>
    <w:p>
      <w:pPr>
        <w:pStyle w:val="Defstart"/>
      </w:pPr>
      <w:r>
        <w:tab/>
      </w:r>
      <w:r>
        <w:rPr>
          <w:rStyle w:val="CharDefText"/>
        </w:rPr>
        <w:t>RBA cash rate</w:t>
      </w:r>
      <w:r>
        <w:t xml:space="preserve"> means the percentage (or maximum percentage) specified by the Reserve Bank of Australia as the Cash Rate Target;</w:t>
      </w:r>
    </w:p>
    <w:p>
      <w:pPr>
        <w:pStyle w:val="Defstart"/>
      </w:pPr>
      <w:r>
        <w:tab/>
      </w:r>
      <w:r>
        <w:rPr>
          <w:rStyle w:val="CharDefText"/>
        </w:rPr>
        <w:t>RBA Standard No. 3 of 2016</w:t>
      </w:r>
      <w:r>
        <w:t xml:space="preserve"> means the standard titled Standard No. 3 of 2016: Scheme Rules Relating to Merchant Pricing for Credit, Debit and Prepaid Card Transactions determined by the Reserve Bank of Australia under the </w:t>
      </w:r>
      <w:r>
        <w:rPr>
          <w:i/>
        </w:rPr>
        <w:t>Payment Systems (Regulation) Act 1998</w:t>
      </w:r>
      <w:r>
        <w:t xml:space="preserve"> (Commonwealth) section 18, as in force from time to time;</w:t>
      </w:r>
    </w:p>
    <w:p>
      <w:pPr>
        <w:pStyle w:val="Defstart"/>
      </w:pPr>
      <w:r>
        <w:rPr>
          <w:b/>
        </w:rPr>
        <w:tab/>
      </w:r>
      <w:r>
        <w:rPr>
          <w:rStyle w:val="CharDefText"/>
        </w:rPr>
        <w:t>residential tarif</w:t>
      </w:r>
      <w:r>
        <w:rPr>
          <w:rStyle w:val="CharDefText"/>
          <w:rFonts w:ascii="Times" w:hAnsi="Times"/>
          <w:spacing w:val="40"/>
        </w:rPr>
        <w:t>f</w:t>
      </w:r>
      <w:r>
        <w:t xml:space="preserve"> means Tariff A1 or B1;</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Gazette 30 Mar 2009 p. 970; 29 Jun 2012 p. 2914; 27 Dec 2013 p. 6477; 22 Aug 2014 p. 3024; 16 Feb 2018 p. 470; 21 Jun 2019 p. 2119.]</w:t>
      </w:r>
    </w:p>
    <w:p>
      <w:pPr>
        <w:pStyle w:val="Ednotesection"/>
      </w:pPr>
      <w:r>
        <w:t>[</w:t>
      </w:r>
      <w:r>
        <w:rPr>
          <w:b/>
          <w:bCs/>
        </w:rPr>
        <w:t>3A.</w:t>
      </w:r>
      <w:r>
        <w:tab/>
        <w:t>Deleted: Gazette 26 Mar 2010 p. 1136.]</w:t>
      </w:r>
    </w:p>
    <w:p>
      <w:pPr>
        <w:pStyle w:val="Ednotesection"/>
      </w:pPr>
      <w:r>
        <w:t>[</w:t>
      </w:r>
      <w:r>
        <w:rPr>
          <w:b/>
          <w:bCs/>
        </w:rPr>
        <w:t>4A.</w:t>
      </w:r>
      <w:r>
        <w:tab/>
        <w:t>Deleted: Gazette 22 Aug 2014 p. 3024.]</w:t>
      </w:r>
    </w:p>
    <w:p>
      <w:pPr>
        <w:pStyle w:val="Heading5"/>
        <w:rPr>
          <w:snapToGrid w:val="0"/>
        </w:rPr>
      </w:pPr>
      <w:bookmarkStart w:id="7" w:name="_Toc201762560"/>
      <w:bookmarkStart w:id="8" w:name="_Toc170291792"/>
      <w:r>
        <w:rPr>
          <w:rStyle w:val="CharSectno"/>
        </w:rPr>
        <w:t>4</w:t>
      </w:r>
      <w:r>
        <w:t>.</w:t>
      </w:r>
      <w:r>
        <w:tab/>
      </w:r>
      <w:r>
        <w:rPr>
          <w:snapToGrid w:val="0"/>
        </w:rPr>
        <w:t>Electricity charges payable by consumers (Sch. 1, Sch. 2)</w:t>
      </w:r>
      <w:bookmarkEnd w:id="7"/>
      <w:bookmarkEnd w:id="8"/>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w:t>
      </w:r>
      <w:r>
        <w:t>1</w:t>
      </w:r>
      <w:r>
        <w:rPr>
          <w:snapToGrid w:val="0"/>
        </w:rPr>
        <w:t>.</w:t>
      </w:r>
    </w:p>
    <w:p>
      <w:pPr>
        <w:pStyle w:val="Subsection"/>
      </w:pPr>
      <w:r>
        <w:tab/>
        <w:t>(2)</w:t>
      </w:r>
      <w:r>
        <w:tab/>
        <w:t>The charges to be paid by consumers for the unmetered supply of street lighting by the corporation are those specified in Schedule 2 Division 1.</w:t>
      </w:r>
    </w:p>
    <w:p>
      <w:pPr>
        <w:pStyle w:val="Subsection"/>
      </w:pPr>
      <w:r>
        <w:lastRenderedPageBreak/>
        <w:tab/>
        <w:t>(3)</w:t>
      </w:r>
      <w:r>
        <w:tab/>
        <w:t>The charges to be paid by consumers for the unmetered supply of electricity except street lighting by the corporation are those specified in, or calculated in accordance with, Schedule 2 Division 2.</w:t>
      </w:r>
    </w:p>
    <w:p>
      <w:pPr>
        <w:pStyle w:val="Footnotesection"/>
      </w:pPr>
      <w:r>
        <w:tab/>
        <w:t>[By</w:t>
      </w:r>
      <w:r>
        <w:noBreakHyphen/>
        <w:t>law 4 amended: Gazette 30 Aug 2013 p. 4097-8.]</w:t>
      </w:r>
    </w:p>
    <w:p>
      <w:pPr>
        <w:pStyle w:val="Heading5"/>
      </w:pPr>
      <w:bookmarkStart w:id="9" w:name="_Toc201762561"/>
      <w:bookmarkStart w:id="10" w:name="_Toc170291793"/>
      <w:r>
        <w:rPr>
          <w:rStyle w:val="CharSectno"/>
        </w:rPr>
        <w:t>5</w:t>
      </w:r>
      <w:r>
        <w:t>.</w:t>
      </w:r>
      <w:r>
        <w:tab/>
        <w:t>Residential tariffs, when applicable</w:t>
      </w:r>
      <w:bookmarkEnd w:id="9"/>
      <w:bookmarkEnd w:id="10"/>
    </w:p>
    <w:p>
      <w:pPr>
        <w:pStyle w:val="Subsection"/>
        <w:rPr>
          <w:snapToGrid w:val="0"/>
        </w:rPr>
      </w:pPr>
      <w:r>
        <w:rPr>
          <w:snapToGrid w:val="0"/>
        </w:rPr>
        <w:tab/>
        <w:t>(1)</w:t>
      </w:r>
      <w:r>
        <w:rPr>
          <w:snapToGrid w:val="0"/>
        </w:rPr>
        <w:tab/>
        <w:t>A consumer is entitled to be supplied on the basis of a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a residential tariff may be applied if the premises or any part of the premises is independently supplied and separately metered solely for the purpose of a residential supply.</w:t>
      </w:r>
    </w:p>
    <w:p>
      <w:pPr>
        <w:pStyle w:val="Heading5"/>
        <w:spacing w:before="180"/>
      </w:pPr>
      <w:bookmarkStart w:id="11" w:name="_Toc201762562"/>
      <w:bookmarkStart w:id="12" w:name="_Toc170291794"/>
      <w:r>
        <w:rPr>
          <w:rStyle w:val="CharSectno"/>
        </w:rPr>
        <w:t>6</w:t>
      </w:r>
      <w:r>
        <w:t>.</w:t>
      </w:r>
      <w:r>
        <w:tab/>
        <w:t>Subsidiary meters, rental for (Sch. 3)</w:t>
      </w:r>
      <w:bookmarkEnd w:id="11"/>
      <w:bookmarkEnd w:id="12"/>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a residential tariff.</w:t>
      </w:r>
    </w:p>
    <w:p>
      <w:pPr>
        <w:pStyle w:val="Heading5"/>
      </w:pPr>
      <w:bookmarkStart w:id="13" w:name="_Toc201762563"/>
      <w:bookmarkStart w:id="14" w:name="_Toc170291795"/>
      <w:r>
        <w:rPr>
          <w:rStyle w:val="CharSectno"/>
        </w:rPr>
        <w:t>7</w:t>
      </w:r>
      <w:r>
        <w:t>.</w:t>
      </w:r>
      <w:r>
        <w:tab/>
        <w:t>Fees (Sch. 4)</w:t>
      </w:r>
      <w:bookmarkEnd w:id="13"/>
      <w:bookmarkEnd w:id="14"/>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pPr>
      <w:bookmarkStart w:id="15" w:name="_Toc201762564"/>
      <w:bookmarkStart w:id="16" w:name="_Toc170291796"/>
      <w:r>
        <w:rPr>
          <w:rStyle w:val="CharSectno"/>
        </w:rPr>
        <w:t>8</w:t>
      </w:r>
      <w:r>
        <w:t>.</w:t>
      </w:r>
      <w:r>
        <w:tab/>
        <w:t>When charges payable; interest on unpaid charges</w:t>
      </w:r>
      <w:bookmarkEnd w:id="15"/>
      <w:bookmarkEnd w:id="16"/>
    </w:p>
    <w:p>
      <w:pPr>
        <w:pStyle w:val="Subsection"/>
        <w:keepNext/>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Gazette 30 Mar 2009 p. 970.]</w:t>
      </w:r>
    </w:p>
    <w:p>
      <w:pPr>
        <w:pStyle w:val="Heading5"/>
        <w:rPr>
          <w:ins w:id="17" w:author="Master Repository Process" w:date="2025-06-27T09:29:00Z"/>
        </w:rPr>
      </w:pPr>
      <w:bookmarkStart w:id="18" w:name="_Toc201748180"/>
      <w:bookmarkStart w:id="19" w:name="_Toc201748424"/>
      <w:bookmarkStart w:id="20" w:name="_Toc201762565"/>
      <w:bookmarkStart w:id="21" w:name="_Hlk201753178"/>
      <w:del w:id="22" w:author="Master Repository Process" w:date="2025-06-27T09:29:00Z">
        <w:r>
          <w:delText>[</w:delText>
        </w:r>
        <w:r>
          <w:rPr>
            <w:bCs/>
          </w:rPr>
          <w:delText>9.</w:delText>
        </w:r>
        <w:r>
          <w:tab/>
          <w:delText>Deleted: Gazette 21 Sep 2012 p. 4424</w:delText>
        </w:r>
      </w:del>
      <w:ins w:id="23" w:author="Master Repository Process" w:date="2025-06-27T09:29:00Z">
        <w:r>
          <w:rPr>
            <w:rStyle w:val="CharSectno"/>
          </w:rPr>
          <w:t>9</w:t>
        </w:r>
        <w:r>
          <w:t>.</w:t>
        </w:r>
        <w:r>
          <w:tab/>
          <w:t>Reduced fee for meter testing</w:t>
        </w:r>
        <w:bookmarkEnd w:id="18"/>
        <w:bookmarkEnd w:id="19"/>
        <w:bookmarkEnd w:id="20"/>
      </w:ins>
    </w:p>
    <w:p>
      <w:pPr>
        <w:pStyle w:val="Subsection"/>
        <w:rPr>
          <w:ins w:id="24" w:author="Master Repository Process" w:date="2025-06-27T09:29:00Z"/>
        </w:rPr>
      </w:pPr>
      <w:ins w:id="25" w:author="Master Repository Process" w:date="2025-06-27T09:29:00Z">
        <w:r>
          <w:tab/>
          <w:t>(1)</w:t>
        </w:r>
        <w:r>
          <w:tab/>
          <w:t>In this by</w:t>
        </w:r>
        <w:r>
          <w:noBreakHyphen/>
          <w:t xml:space="preserve">law — </w:t>
        </w:r>
      </w:ins>
    </w:p>
    <w:p>
      <w:pPr>
        <w:pStyle w:val="Defstart"/>
        <w:rPr>
          <w:ins w:id="26" w:author="Master Repository Process" w:date="2025-06-27T09:29:00Z"/>
        </w:rPr>
      </w:pPr>
      <w:ins w:id="27" w:author="Master Repository Process" w:date="2025-06-27T09:29:00Z">
        <w:r>
          <w:tab/>
        </w:r>
        <w:r>
          <w:rPr>
            <w:rStyle w:val="CharDefText"/>
          </w:rPr>
          <w:t>Centrelink</w:t>
        </w:r>
        <w:r>
          <w:t xml:space="preserve"> means the agency of the Commonwealth principally assisting in the administration of the </w:t>
        </w:r>
        <w:r>
          <w:rPr>
            <w:i/>
            <w:iCs/>
          </w:rPr>
          <w:t>Human Services (Centrelink) Act 1997</w:t>
        </w:r>
        <w:r>
          <w:t xml:space="preserve"> (Commonwealth);</w:t>
        </w:r>
      </w:ins>
    </w:p>
    <w:p>
      <w:pPr>
        <w:pStyle w:val="Defstart"/>
        <w:rPr>
          <w:ins w:id="28" w:author="Master Repository Process" w:date="2025-06-27T09:29:00Z"/>
        </w:rPr>
      </w:pPr>
      <w:ins w:id="29" w:author="Master Repository Process" w:date="2025-06-27T09:29:00Z">
        <w:r>
          <w:tab/>
        </w:r>
        <w:r>
          <w:rPr>
            <w:rStyle w:val="CharDefText"/>
          </w:rPr>
          <w:t>eligible individual</w:t>
        </w:r>
        <w:r>
          <w:t xml:space="preserve"> means an individual who satisfies the corporation that the individual —</w:t>
        </w:r>
      </w:ins>
    </w:p>
    <w:p>
      <w:pPr>
        <w:pStyle w:val="Defpara"/>
        <w:rPr>
          <w:ins w:id="30" w:author="Master Repository Process" w:date="2025-06-27T09:29:00Z"/>
        </w:rPr>
      </w:pPr>
      <w:ins w:id="31" w:author="Master Repository Process" w:date="2025-06-27T09:29:00Z">
        <w:r>
          <w:tab/>
          <w:t>(a)</w:t>
        </w:r>
        <w:r>
          <w:tab/>
          <w:t>holds either or both of the following cards issued by Centrelink —</w:t>
        </w:r>
      </w:ins>
    </w:p>
    <w:p>
      <w:pPr>
        <w:pStyle w:val="Defsubpara"/>
        <w:rPr>
          <w:ins w:id="32" w:author="Master Repository Process" w:date="2025-06-27T09:29:00Z"/>
        </w:rPr>
      </w:pPr>
      <w:ins w:id="33" w:author="Master Repository Process" w:date="2025-06-27T09:29:00Z">
        <w:r>
          <w:tab/>
          <w:t>(i)</w:t>
        </w:r>
        <w:r>
          <w:tab/>
          <w:t>a health care card;</w:t>
        </w:r>
      </w:ins>
    </w:p>
    <w:p>
      <w:pPr>
        <w:pStyle w:val="Defsubpara"/>
        <w:rPr>
          <w:ins w:id="34" w:author="Master Repository Process" w:date="2025-06-27T09:29:00Z"/>
        </w:rPr>
      </w:pPr>
      <w:ins w:id="35" w:author="Master Repository Process" w:date="2025-06-27T09:29:00Z">
        <w:r>
          <w:tab/>
          <w:t>(ii)</w:t>
        </w:r>
        <w:r>
          <w:tab/>
          <w:t>a pensioner concession card;</w:t>
        </w:r>
      </w:ins>
    </w:p>
    <w:p>
      <w:pPr>
        <w:pStyle w:val="Defpara"/>
        <w:rPr>
          <w:ins w:id="36" w:author="Master Repository Process" w:date="2025-06-27T09:29:00Z"/>
        </w:rPr>
      </w:pPr>
      <w:ins w:id="37" w:author="Master Repository Process" w:date="2025-06-27T09:29:00Z">
        <w:r>
          <w:tab/>
        </w:r>
        <w:r>
          <w:tab/>
          <w:t>or</w:t>
        </w:r>
      </w:ins>
    </w:p>
    <w:p>
      <w:pPr>
        <w:pStyle w:val="Defpara"/>
        <w:rPr>
          <w:ins w:id="38" w:author="Master Repository Process" w:date="2025-06-27T09:29:00Z"/>
        </w:rPr>
      </w:pPr>
      <w:ins w:id="39" w:author="Master Repository Process" w:date="2025-06-27T09:29:00Z">
        <w:r>
          <w:tab/>
          <w:t>(b)</w:t>
        </w:r>
        <w:r>
          <w:tab/>
          <w:t xml:space="preserve">holds either or both of the following cards issued by the Department of Veterans’ Affairs of the Commonwealth — </w:t>
        </w:r>
      </w:ins>
    </w:p>
    <w:p>
      <w:pPr>
        <w:pStyle w:val="Defsubpara"/>
        <w:rPr>
          <w:ins w:id="40" w:author="Master Repository Process" w:date="2025-06-27T09:29:00Z"/>
        </w:rPr>
      </w:pPr>
      <w:ins w:id="41" w:author="Master Repository Process" w:date="2025-06-27T09:29:00Z">
        <w:r>
          <w:tab/>
          <w:t>(i)</w:t>
        </w:r>
        <w:r>
          <w:tab/>
          <w:t>a gold card;</w:t>
        </w:r>
      </w:ins>
    </w:p>
    <w:p>
      <w:pPr>
        <w:pStyle w:val="Defsubpara"/>
        <w:rPr>
          <w:ins w:id="42" w:author="Master Repository Process" w:date="2025-06-27T09:29:00Z"/>
        </w:rPr>
      </w:pPr>
      <w:ins w:id="43" w:author="Master Repository Process" w:date="2025-06-27T09:29:00Z">
        <w:r>
          <w:tab/>
          <w:t>(ii)</w:t>
        </w:r>
        <w:r>
          <w:tab/>
          <w:t>a pensioner concession card;</w:t>
        </w:r>
      </w:ins>
    </w:p>
    <w:p>
      <w:pPr>
        <w:pStyle w:val="Defstart"/>
        <w:rPr>
          <w:ins w:id="44" w:author="Master Repository Process" w:date="2025-06-27T09:29:00Z"/>
        </w:rPr>
      </w:pPr>
      <w:ins w:id="45" w:author="Master Repository Process" w:date="2025-06-27T09:29:00Z">
        <w:r>
          <w:tab/>
        </w:r>
        <w:r>
          <w:rPr>
            <w:rStyle w:val="CharDefText"/>
          </w:rPr>
          <w:t>gold card</w:t>
        </w:r>
        <w:r>
          <w:t xml:space="preserve"> has the meaning given in the </w:t>
        </w:r>
        <w:r>
          <w:rPr>
            <w:i/>
            <w:iCs/>
          </w:rPr>
          <w:t>Veterans’ Entitlements Act 1986</w:t>
        </w:r>
        <w:r>
          <w:t xml:space="preserve"> (Commonwealth) section 118P(3).</w:t>
        </w:r>
      </w:ins>
    </w:p>
    <w:p>
      <w:pPr>
        <w:pStyle w:val="Subsection"/>
        <w:rPr>
          <w:ins w:id="46" w:author="Master Repository Process" w:date="2025-06-27T09:29:00Z"/>
        </w:rPr>
      </w:pPr>
      <w:ins w:id="47" w:author="Master Repository Process" w:date="2025-06-27T09:29:00Z">
        <w:r>
          <w:tab/>
          <w:t>(2)</w:t>
        </w:r>
        <w:r>
          <w:tab/>
          <w:t>An eligible individual is entitled to pay the reduced meter testing fee specified in Schedule 4 item 4(b).</w:t>
        </w:r>
      </w:ins>
    </w:p>
    <w:bookmarkEnd w:id="21"/>
    <w:p>
      <w:pPr>
        <w:pStyle w:val="Footnotesection"/>
      </w:pPr>
      <w:ins w:id="48" w:author="Master Repository Process" w:date="2025-06-27T09:29:00Z">
        <w:r>
          <w:tab/>
          <w:t>[By</w:t>
        </w:r>
        <w:r>
          <w:noBreakHyphen/>
          <w:t>law 9 inserted: SL 2025/124 bl. 4</w:t>
        </w:r>
      </w:ins>
      <w:r>
        <w:t>.]</w:t>
      </w:r>
    </w:p>
    <w:p>
      <w:pPr>
        <w:pStyle w:val="Heading5"/>
      </w:pPr>
      <w:bookmarkStart w:id="49" w:name="_Toc201762566"/>
      <w:bookmarkStart w:id="50" w:name="_Toc170291797"/>
      <w:r>
        <w:rPr>
          <w:rStyle w:val="CharSectno"/>
        </w:rPr>
        <w:t>10</w:t>
      </w:r>
      <w:r>
        <w:t>.</w:t>
      </w:r>
      <w:r>
        <w:tab/>
        <w:t>Calculation of charges</w:t>
      </w:r>
      <w:bookmarkEnd w:id="49"/>
      <w:bookmarkEnd w:id="50"/>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Ednotesubsection"/>
      </w:pPr>
      <w:r>
        <w:tab/>
        <w:t>[(2)</w:t>
      </w:r>
      <w:r>
        <w:tab/>
        <w:t>deleted]</w:t>
      </w:r>
    </w:p>
    <w:p>
      <w:pPr>
        <w:pStyle w:val="Footnotesection"/>
      </w:pPr>
      <w:r>
        <w:tab/>
        <w:t>[By</w:t>
      </w:r>
      <w:r>
        <w:noBreakHyphen/>
        <w:t>law 10 amended: Gazette 21 Jun 2019 p. 2120.]</w:t>
      </w:r>
    </w:p>
    <w:p>
      <w:pPr>
        <w:pStyle w:val="Heading5"/>
      </w:pPr>
      <w:bookmarkStart w:id="51" w:name="_Toc201762567"/>
      <w:bookmarkStart w:id="52" w:name="_Toc170291798"/>
      <w:r>
        <w:rPr>
          <w:rStyle w:val="CharSectno"/>
        </w:rPr>
        <w:t>11</w:t>
      </w:r>
      <w:r>
        <w:t>.</w:t>
      </w:r>
      <w:r>
        <w:tab/>
        <w:t>Changes to rate of charges, adjustment for</w:t>
      </w:r>
      <w:bookmarkEnd w:id="51"/>
      <w:bookmarkEnd w:id="52"/>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53" w:name="_Toc201762568"/>
      <w:bookmarkStart w:id="54" w:name="_Toc170291799"/>
      <w:r>
        <w:rPr>
          <w:rStyle w:val="CharSectno"/>
        </w:rPr>
        <w:t>12</w:t>
      </w:r>
      <w:r>
        <w:t>.</w:t>
      </w:r>
      <w:r>
        <w:tab/>
        <w:t>Interest rate prescribed (Act s. 62(16))</w:t>
      </w:r>
      <w:bookmarkEnd w:id="53"/>
      <w:bookmarkEnd w:id="54"/>
    </w:p>
    <w:p>
      <w:pPr>
        <w:pStyle w:val="Subsection"/>
        <w:keepNext/>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Gazette 30 Mar 2009 p. 970</w:t>
      </w:r>
      <w:r>
        <w:noBreakHyphen/>
        <w:t>1.]</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55" w:name="_Toc201748182"/>
      <w:bookmarkStart w:id="56" w:name="_Toc201748237"/>
      <w:bookmarkStart w:id="57" w:name="_Toc201748426"/>
      <w:bookmarkStart w:id="58" w:name="_Toc201755158"/>
      <w:bookmarkStart w:id="59" w:name="_Toc201755448"/>
      <w:bookmarkStart w:id="60" w:name="_Toc201762569"/>
      <w:bookmarkStart w:id="61" w:name="_Toc169167888"/>
      <w:bookmarkStart w:id="62" w:name="_Toc169167983"/>
      <w:bookmarkStart w:id="63" w:name="_Toc169168136"/>
      <w:bookmarkStart w:id="64" w:name="_Toc169168509"/>
      <w:bookmarkStart w:id="65" w:name="_Toc169170340"/>
      <w:bookmarkStart w:id="66" w:name="_Toc169170631"/>
      <w:bookmarkStart w:id="67" w:name="_Toc170208318"/>
      <w:bookmarkStart w:id="68" w:name="_Toc170210817"/>
      <w:bookmarkStart w:id="69" w:name="_Toc170291800"/>
      <w:bookmarkStart w:id="70" w:name="_Hlk201753513"/>
      <w:bookmarkStart w:id="71" w:name="_Toc170205802"/>
      <w:bookmarkStart w:id="72" w:name="_Toc170205881"/>
      <w:r>
        <w:rPr>
          <w:rStyle w:val="CharSchNo"/>
        </w:rPr>
        <w:t>Schedule 1</w:t>
      </w:r>
      <w:r>
        <w:t> — </w:t>
      </w:r>
      <w:r>
        <w:rPr>
          <w:rStyle w:val="CharSchText"/>
        </w:rPr>
        <w:t>Supply charges</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yShoulderClause"/>
      </w:pPr>
      <w:bookmarkStart w:id="73" w:name="_Hlk201753396"/>
      <w:r>
        <w:t>[bl. 3, 4(1) and 10(1)]</w:t>
      </w:r>
      <w:bookmarkEnd w:id="73"/>
    </w:p>
    <w:p>
      <w:pPr>
        <w:pStyle w:val="yFootnoteheading"/>
      </w:pPr>
      <w:bookmarkStart w:id="74" w:name="_Toc201748183"/>
      <w:bookmarkStart w:id="75" w:name="_Toc201748427"/>
      <w:bookmarkStart w:id="76" w:name="_Hlk201753437"/>
      <w:r>
        <w:tab/>
        <w:t>[Heading inserted: SL </w:t>
      </w:r>
      <w:del w:id="77" w:author="Master Repository Process" w:date="2025-06-27T09:29:00Z">
        <w:r>
          <w:delText>2024/102</w:delText>
        </w:r>
      </w:del>
      <w:ins w:id="78" w:author="Master Repository Process" w:date="2025-06-27T09:29:00Z">
        <w:r>
          <w:t>2025/124</w:t>
        </w:r>
      </w:ins>
      <w:r>
        <w:t xml:space="preserve"> bl. </w:t>
      </w:r>
      <w:del w:id="79" w:author="Master Repository Process" w:date="2025-06-27T09:29:00Z">
        <w:r>
          <w:delText>4</w:delText>
        </w:r>
      </w:del>
      <w:ins w:id="80" w:author="Master Repository Process" w:date="2025-06-27T09:29:00Z">
        <w:r>
          <w:t>5</w:t>
        </w:r>
      </w:ins>
      <w:r>
        <w:t>.]</w:t>
      </w:r>
    </w:p>
    <w:p>
      <w:pPr>
        <w:pStyle w:val="yHeading5"/>
      </w:pPr>
      <w:bookmarkStart w:id="81" w:name="_Toc201762570"/>
      <w:bookmarkStart w:id="82" w:name="_Toc169167889"/>
      <w:bookmarkStart w:id="83" w:name="_Toc169170632"/>
      <w:bookmarkStart w:id="84" w:name="_Toc170291801"/>
      <w:r>
        <w:rPr>
          <w:rStyle w:val="CharSClsNo"/>
        </w:rPr>
        <w:t>1</w:t>
      </w:r>
      <w:r>
        <w:t>.</w:t>
      </w:r>
      <w:r>
        <w:tab/>
        <w:t>Tariff L1 (general supply — low/medium voltage tariff)</w:t>
      </w:r>
      <w:bookmarkEnd w:id="74"/>
      <w:bookmarkEnd w:id="75"/>
      <w:bookmarkEnd w:id="81"/>
      <w:bookmarkEnd w:id="82"/>
      <w:bookmarkEnd w:id="83"/>
      <w:bookmarkEnd w:id="84"/>
    </w:p>
    <w:p>
      <w:pPr>
        <w:pStyle w:val="ySubsection"/>
      </w:pPr>
      <w:r>
        <w:tab/>
        <w:t>(1)</w:t>
      </w:r>
      <w:r>
        <w:tab/>
        <w:t>Tariff L1 is available for low/medium voltage supply.</w:t>
      </w:r>
    </w:p>
    <w:p>
      <w:pPr>
        <w:pStyle w:val="ySubsection"/>
      </w:pPr>
      <w:r>
        <w:tab/>
        <w:t>(2)</w:t>
      </w:r>
      <w:r>
        <w:tab/>
        <w:t xml:space="preserve">Tariff L1 comprises — </w:t>
      </w:r>
    </w:p>
    <w:p>
      <w:pPr>
        <w:pStyle w:val="yIndenta"/>
      </w:pPr>
      <w:r>
        <w:tab/>
        <w:t>(a)</w:t>
      </w:r>
      <w:r>
        <w:tab/>
        <w:t>a fixed charge at the rate of $2.</w:t>
      </w:r>
      <w:del w:id="85" w:author="Master Repository Process" w:date="2025-06-27T09:29:00Z">
        <w:r>
          <w:delText>0213</w:delText>
        </w:r>
      </w:del>
      <w:ins w:id="86" w:author="Master Repository Process" w:date="2025-06-27T09:29:00Z">
        <w:r>
          <w:t>0718</w:t>
        </w:r>
      </w:ins>
      <w:r>
        <w:t xml:space="preserve"> per day; and</w:t>
      </w:r>
    </w:p>
    <w:p>
      <w:pPr>
        <w:pStyle w:val="yIndenta"/>
      </w:pPr>
      <w:r>
        <w:tab/>
        <w:t>(b)</w:t>
      </w:r>
      <w:r>
        <w:tab/>
        <w:t xml:space="preserve">a charge for metered consumption at the rate of — </w:t>
      </w:r>
    </w:p>
    <w:p>
      <w:pPr>
        <w:pStyle w:val="yIndenti0"/>
      </w:pPr>
      <w:r>
        <w:tab/>
        <w:t>(i)</w:t>
      </w:r>
      <w:r>
        <w:tab/>
      </w:r>
      <w:del w:id="87" w:author="Master Repository Process" w:date="2025-06-27T09:29:00Z">
        <w:r>
          <w:delText>31.4548</w:delText>
        </w:r>
      </w:del>
      <w:ins w:id="88" w:author="Master Repository Process" w:date="2025-06-27T09:29:00Z">
        <w:r>
          <w:t>32.2412</w:t>
        </w:r>
      </w:ins>
      <w:r>
        <w:t xml:space="preserve"> cents per unit for the first 1 650 units per day; and</w:t>
      </w:r>
    </w:p>
    <w:p>
      <w:pPr>
        <w:pStyle w:val="yIndenti0"/>
      </w:pPr>
      <w:r>
        <w:tab/>
        <w:t>(ii)</w:t>
      </w:r>
      <w:r>
        <w:tab/>
      </w:r>
      <w:del w:id="89" w:author="Master Repository Process" w:date="2025-06-27T09:29:00Z">
        <w:r>
          <w:delText>35.4642</w:delText>
        </w:r>
      </w:del>
      <w:ins w:id="90" w:author="Master Repository Process" w:date="2025-06-27T09:29:00Z">
        <w:r>
          <w:t>36.3508</w:t>
        </w:r>
      </w:ins>
      <w:r>
        <w:t xml:space="preserve"> cents per unit for all units exceeding 1 650 units per day.</w:t>
      </w:r>
    </w:p>
    <w:p>
      <w:pPr>
        <w:pStyle w:val="ySubsection"/>
      </w:pPr>
      <w:r>
        <w:tab/>
        <w:t>(3)</w:t>
      </w:r>
      <w:r>
        <w:tab/>
        <w:t>Tariff L1 is available subject to the condition that the consumer satisfies the corporation that the amount of electricity supplied to the consumer’s premises will be less than 50 MW hours per annum.</w:t>
      </w:r>
    </w:p>
    <w:p>
      <w:pPr>
        <w:pStyle w:val="yFootnotesection"/>
      </w:pPr>
      <w:bookmarkStart w:id="91" w:name="_Toc201748184"/>
      <w:bookmarkStart w:id="92" w:name="_Toc201748428"/>
      <w:r>
        <w:tab/>
        <w:t>[Clause 1 inserted: SL </w:t>
      </w:r>
      <w:del w:id="93" w:author="Master Repository Process" w:date="2025-06-27T09:29:00Z">
        <w:r>
          <w:delText>2024/102</w:delText>
        </w:r>
      </w:del>
      <w:ins w:id="94" w:author="Master Repository Process" w:date="2025-06-27T09:29:00Z">
        <w:r>
          <w:t>2025/124</w:t>
        </w:r>
      </w:ins>
      <w:r>
        <w:t xml:space="preserve"> bl. </w:t>
      </w:r>
      <w:del w:id="95" w:author="Master Repository Process" w:date="2025-06-27T09:29:00Z">
        <w:r>
          <w:delText>4</w:delText>
        </w:r>
      </w:del>
      <w:ins w:id="96" w:author="Master Repository Process" w:date="2025-06-27T09:29:00Z">
        <w:r>
          <w:t>5</w:t>
        </w:r>
      </w:ins>
      <w:r>
        <w:t>.]</w:t>
      </w:r>
    </w:p>
    <w:p>
      <w:pPr>
        <w:pStyle w:val="yHeading5"/>
      </w:pPr>
      <w:bookmarkStart w:id="97" w:name="_Toc201762571"/>
      <w:bookmarkStart w:id="98" w:name="_Toc169167890"/>
      <w:bookmarkStart w:id="99" w:name="_Toc169170633"/>
      <w:bookmarkStart w:id="100" w:name="_Toc170291802"/>
      <w:r>
        <w:rPr>
          <w:rStyle w:val="CharSClsNo"/>
        </w:rPr>
        <w:t>2</w:t>
      </w:r>
      <w:r>
        <w:t>.</w:t>
      </w:r>
      <w:r>
        <w:tab/>
        <w:t>Tariff L3 (general supply — low/medium voltage tariff)</w:t>
      </w:r>
      <w:bookmarkEnd w:id="91"/>
      <w:bookmarkEnd w:id="92"/>
      <w:bookmarkEnd w:id="97"/>
      <w:bookmarkEnd w:id="98"/>
      <w:bookmarkEnd w:id="99"/>
      <w:bookmarkEnd w:id="100"/>
      <w:r>
        <w:t xml:space="preserve"> </w:t>
      </w:r>
    </w:p>
    <w:p>
      <w:pPr>
        <w:pStyle w:val="ySubsection"/>
      </w:pPr>
      <w:r>
        <w:tab/>
        <w:t>(1)</w:t>
      </w:r>
      <w:r>
        <w:tab/>
        <w:t>Tariff L3 is available for low/medium voltage supply.</w:t>
      </w:r>
    </w:p>
    <w:p>
      <w:pPr>
        <w:pStyle w:val="ySubsection"/>
      </w:pPr>
      <w:r>
        <w:tab/>
        <w:t>(2)</w:t>
      </w:r>
      <w:r>
        <w:tab/>
        <w:t xml:space="preserve">Tariff L3 comprises — </w:t>
      </w:r>
    </w:p>
    <w:p>
      <w:pPr>
        <w:pStyle w:val="yIndenta"/>
      </w:pPr>
      <w:r>
        <w:tab/>
        <w:t>(a)</w:t>
      </w:r>
      <w:r>
        <w:tab/>
        <w:t>a fixed charge at the rate of $1.</w:t>
      </w:r>
      <w:del w:id="101" w:author="Master Repository Process" w:date="2025-06-27T09:29:00Z">
        <w:r>
          <w:delText>7886</w:delText>
        </w:r>
      </w:del>
      <w:ins w:id="102" w:author="Master Repository Process" w:date="2025-06-27T09:29:00Z">
        <w:r>
          <w:t>8796</w:t>
        </w:r>
      </w:ins>
      <w:r>
        <w:t xml:space="preserve"> per day; and</w:t>
      </w:r>
    </w:p>
    <w:p>
      <w:pPr>
        <w:pStyle w:val="yIndenta"/>
      </w:pPr>
      <w:r>
        <w:tab/>
        <w:t>(b)</w:t>
      </w:r>
      <w:r>
        <w:tab/>
        <w:t xml:space="preserve">a charge for metered consumption at the rate of — </w:t>
      </w:r>
    </w:p>
    <w:p>
      <w:pPr>
        <w:pStyle w:val="yIndenti0"/>
      </w:pPr>
      <w:r>
        <w:tab/>
        <w:t>(i)</w:t>
      </w:r>
      <w:r>
        <w:tab/>
      </w:r>
      <w:del w:id="103" w:author="Master Repository Process" w:date="2025-06-27T09:29:00Z">
        <w:r>
          <w:delText>36.3291</w:delText>
        </w:r>
      </w:del>
      <w:ins w:id="104" w:author="Master Repository Process" w:date="2025-06-27T09:29:00Z">
        <w:r>
          <w:t>38.1783</w:t>
        </w:r>
      </w:ins>
      <w:r>
        <w:rPr>
          <w:szCs w:val="22"/>
        </w:rPr>
        <w:t xml:space="preserve"> </w:t>
      </w:r>
      <w:r>
        <w:t>cents per unit for the first 1 650 units per day; and</w:t>
      </w:r>
    </w:p>
    <w:p>
      <w:pPr>
        <w:pStyle w:val="yIndenti0"/>
      </w:pPr>
      <w:r>
        <w:tab/>
        <w:t>(ii)</w:t>
      </w:r>
      <w:r>
        <w:tab/>
      </w:r>
      <w:del w:id="105" w:author="Master Repository Process" w:date="2025-06-27T09:29:00Z">
        <w:r>
          <w:delText>30.8265</w:delText>
        </w:r>
      </w:del>
      <w:ins w:id="106" w:author="Master Repository Process" w:date="2025-06-27T09:29:00Z">
        <w:r>
          <w:t>32.3956</w:t>
        </w:r>
      </w:ins>
      <w:r>
        <w:rPr>
          <w:szCs w:val="22"/>
        </w:rPr>
        <w:t xml:space="preserve"> </w:t>
      </w:r>
      <w:r>
        <w:t>cents per unit for all units exceeding 1 650 units per day.</w:t>
      </w:r>
    </w:p>
    <w:p>
      <w:pPr>
        <w:pStyle w:val="ySubsection"/>
      </w:pPr>
      <w:r>
        <w:tab/>
        <w:t>(3)</w:t>
      </w:r>
      <w:r>
        <w:tab/>
        <w:t>Tariff L3 is available subject to the condition that the consumer satisfies the corporation that the amount of electricity supplied to the consumer’s premises will be 50 MW hours or more per annum.</w:t>
      </w:r>
    </w:p>
    <w:p>
      <w:pPr>
        <w:pStyle w:val="yFootnotesection"/>
      </w:pPr>
      <w:bookmarkStart w:id="107" w:name="_Toc201748185"/>
      <w:bookmarkStart w:id="108" w:name="_Toc201748429"/>
      <w:r>
        <w:tab/>
        <w:t>[Clause 2 inserted: SL </w:t>
      </w:r>
      <w:del w:id="109" w:author="Master Repository Process" w:date="2025-06-27T09:29:00Z">
        <w:r>
          <w:delText>2024/102</w:delText>
        </w:r>
      </w:del>
      <w:ins w:id="110" w:author="Master Repository Process" w:date="2025-06-27T09:29:00Z">
        <w:r>
          <w:t>2025/124</w:t>
        </w:r>
      </w:ins>
      <w:r>
        <w:t xml:space="preserve"> bl. </w:t>
      </w:r>
      <w:del w:id="111" w:author="Master Repository Process" w:date="2025-06-27T09:29:00Z">
        <w:r>
          <w:delText>4</w:delText>
        </w:r>
      </w:del>
      <w:ins w:id="112" w:author="Master Repository Process" w:date="2025-06-27T09:29:00Z">
        <w:r>
          <w:t>5</w:t>
        </w:r>
      </w:ins>
      <w:r>
        <w:t>.]</w:t>
      </w:r>
    </w:p>
    <w:p>
      <w:pPr>
        <w:pStyle w:val="yHeading5"/>
      </w:pPr>
      <w:bookmarkStart w:id="113" w:name="_Toc201762572"/>
      <w:bookmarkStart w:id="114" w:name="_Toc169167891"/>
      <w:bookmarkStart w:id="115" w:name="_Toc169170634"/>
      <w:bookmarkStart w:id="116" w:name="_Toc170291803"/>
      <w:r>
        <w:rPr>
          <w:rStyle w:val="CharSClsNo"/>
        </w:rPr>
        <w:t>3</w:t>
      </w:r>
      <w:r>
        <w:t>.</w:t>
      </w:r>
      <w:r>
        <w:tab/>
        <w:t>Tariff R1 (time</w:t>
      </w:r>
      <w:r>
        <w:noBreakHyphen/>
        <w:t>of</w:t>
      </w:r>
      <w:r>
        <w:noBreakHyphen/>
        <w:t>use tariff — low/medium voltage tariff)</w:t>
      </w:r>
      <w:bookmarkEnd w:id="107"/>
      <w:bookmarkEnd w:id="108"/>
      <w:bookmarkEnd w:id="113"/>
      <w:bookmarkEnd w:id="114"/>
      <w:bookmarkEnd w:id="115"/>
      <w:bookmarkEnd w:id="116"/>
    </w:p>
    <w:p>
      <w:pPr>
        <w:pStyle w:val="ySubsection"/>
      </w:pPr>
      <w:r>
        <w:tab/>
        <w:t>(1)</w:t>
      </w:r>
      <w:r>
        <w:tab/>
        <w:t>Tariff R1 is available for low/medium voltage supply.</w:t>
      </w:r>
    </w:p>
    <w:p>
      <w:pPr>
        <w:pStyle w:val="ySubsection"/>
      </w:pPr>
      <w:r>
        <w:tab/>
        <w:t>(2)</w:t>
      </w:r>
      <w:r>
        <w:tab/>
        <w:t>Tariff R1 comprises —</w:t>
      </w:r>
    </w:p>
    <w:p>
      <w:pPr>
        <w:pStyle w:val="yIndenta"/>
      </w:pPr>
      <w:r>
        <w:tab/>
        <w:t>(a)</w:t>
      </w:r>
      <w:r>
        <w:tab/>
        <w:t>a fixed charge at the rate of $3.</w:t>
      </w:r>
      <w:del w:id="117" w:author="Master Repository Process" w:date="2025-06-27T09:29:00Z">
        <w:r>
          <w:delText>7796</w:delText>
        </w:r>
      </w:del>
      <w:ins w:id="118" w:author="Master Repository Process" w:date="2025-06-27T09:29:00Z">
        <w:r>
          <w:t>8741</w:t>
        </w:r>
      </w:ins>
      <w:r>
        <w:t xml:space="preserve"> per day; and</w:t>
      </w:r>
    </w:p>
    <w:p>
      <w:pPr>
        <w:pStyle w:val="yIndenta"/>
      </w:pPr>
      <w:r>
        <w:tab/>
        <w:t>(b)</w:t>
      </w:r>
      <w:r>
        <w:tab/>
        <w:t>an energy charge consisting of — </w:t>
      </w:r>
    </w:p>
    <w:p>
      <w:pPr>
        <w:pStyle w:val="yIndenti0"/>
      </w:pPr>
      <w:r>
        <w:tab/>
        <w:t>(i)</w:t>
      </w:r>
      <w:r>
        <w:tab/>
        <w:t xml:space="preserve">an on peak energy charge at the rate of </w:t>
      </w:r>
      <w:del w:id="119" w:author="Master Repository Process" w:date="2025-06-27T09:29:00Z">
        <w:r>
          <w:delText>40.9930</w:delText>
        </w:r>
      </w:del>
      <w:ins w:id="120" w:author="Master Repository Process" w:date="2025-06-27T09:29:00Z">
        <w:r>
          <w:t>42.0178</w:t>
        </w:r>
      </w:ins>
      <w:r>
        <w:t xml:space="preserve"> cents per unit; and</w:t>
      </w:r>
    </w:p>
    <w:p>
      <w:pPr>
        <w:pStyle w:val="yIndenti0"/>
      </w:pPr>
      <w:r>
        <w:tab/>
        <w:t>(ii)</w:t>
      </w:r>
      <w:r>
        <w:tab/>
        <w:t>an off peak energy charge at the rate of 12.</w:t>
      </w:r>
      <w:del w:id="121" w:author="Master Repository Process" w:date="2025-06-27T09:29:00Z">
        <w:r>
          <w:delText>2978</w:delText>
        </w:r>
      </w:del>
      <w:ins w:id="122" w:author="Master Repository Process" w:date="2025-06-27T09:29:00Z">
        <w:r>
          <w:t>6052</w:t>
        </w:r>
      </w:ins>
      <w:r>
        <w:t xml:space="preserve"> cents per unit.</w:t>
      </w:r>
    </w:p>
    <w:p>
      <w:pPr>
        <w:pStyle w:val="ySubsection"/>
      </w:pPr>
      <w:r>
        <w:tab/>
        <w:t>(3)</w:t>
      </w:r>
      <w:r>
        <w:tab/>
        <w:t>Tariff R1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10;</w:t>
      </w:r>
    </w:p>
    <w:p>
      <w:pPr>
        <w:pStyle w:val="yIndenta"/>
      </w:pPr>
      <w:r>
        <w:tab/>
        <w:t>(c)</w:t>
      </w:r>
      <w:r>
        <w:tab/>
        <w:t>the consumer satisfies the corporation that the amount of electricity supplied to the consumer’s premises will be less than 50 MW hours per annum.</w:t>
      </w:r>
    </w:p>
    <w:p>
      <w:pPr>
        <w:pStyle w:val="yFootnotesection"/>
      </w:pPr>
      <w:bookmarkStart w:id="123" w:name="_Toc201748186"/>
      <w:bookmarkStart w:id="124" w:name="_Toc201748430"/>
      <w:r>
        <w:tab/>
        <w:t>[Clause 3 inserted: SL </w:t>
      </w:r>
      <w:del w:id="125" w:author="Master Repository Process" w:date="2025-06-27T09:29:00Z">
        <w:r>
          <w:delText>2024/102</w:delText>
        </w:r>
      </w:del>
      <w:ins w:id="126" w:author="Master Repository Process" w:date="2025-06-27T09:29:00Z">
        <w:r>
          <w:t>2025/124</w:t>
        </w:r>
      </w:ins>
      <w:r>
        <w:t xml:space="preserve"> bl. </w:t>
      </w:r>
      <w:del w:id="127" w:author="Master Repository Process" w:date="2025-06-27T09:29:00Z">
        <w:r>
          <w:delText>4</w:delText>
        </w:r>
      </w:del>
      <w:ins w:id="128" w:author="Master Repository Process" w:date="2025-06-27T09:29:00Z">
        <w:r>
          <w:t>5</w:t>
        </w:r>
      </w:ins>
      <w:r>
        <w:t>.]</w:t>
      </w:r>
    </w:p>
    <w:p>
      <w:pPr>
        <w:pStyle w:val="yHeading5"/>
      </w:pPr>
      <w:bookmarkStart w:id="129" w:name="_Toc201762573"/>
      <w:bookmarkStart w:id="130" w:name="_Toc169167892"/>
      <w:bookmarkStart w:id="131" w:name="_Toc169170635"/>
      <w:bookmarkStart w:id="132" w:name="_Toc170291804"/>
      <w:r>
        <w:rPr>
          <w:rStyle w:val="CharSClsNo"/>
        </w:rPr>
        <w:t>4</w:t>
      </w:r>
      <w:r>
        <w:t>.</w:t>
      </w:r>
      <w:r>
        <w:tab/>
        <w:t>Tariff R3 (time</w:t>
      </w:r>
      <w:r>
        <w:noBreakHyphen/>
        <w:t>of</w:t>
      </w:r>
      <w:r>
        <w:noBreakHyphen/>
        <w:t>use tariff — low/medium voltage tariff)</w:t>
      </w:r>
      <w:bookmarkEnd w:id="123"/>
      <w:bookmarkEnd w:id="124"/>
      <w:bookmarkEnd w:id="129"/>
      <w:bookmarkEnd w:id="130"/>
      <w:bookmarkEnd w:id="131"/>
      <w:bookmarkEnd w:id="132"/>
    </w:p>
    <w:p>
      <w:pPr>
        <w:pStyle w:val="ySubsection"/>
      </w:pPr>
      <w:r>
        <w:tab/>
        <w:t>(1)</w:t>
      </w:r>
      <w:r>
        <w:tab/>
        <w:t>Tariff R3 is available for low/medium voltage supply.</w:t>
      </w:r>
    </w:p>
    <w:p>
      <w:pPr>
        <w:pStyle w:val="ySubsection"/>
      </w:pPr>
      <w:r>
        <w:tab/>
        <w:t>(2)</w:t>
      </w:r>
      <w:r>
        <w:tab/>
        <w:t>Tariff R3 comprises —</w:t>
      </w:r>
    </w:p>
    <w:p>
      <w:pPr>
        <w:pStyle w:val="yIndenta"/>
      </w:pPr>
      <w:r>
        <w:tab/>
        <w:t>(a)</w:t>
      </w:r>
      <w:r>
        <w:tab/>
        <w:t xml:space="preserve">a fixed charge at the rate of </w:t>
      </w:r>
      <w:r>
        <w:rPr>
          <w:szCs w:val="22"/>
        </w:rPr>
        <w:t>$</w:t>
      </w:r>
      <w:del w:id="133" w:author="Master Repository Process" w:date="2025-06-27T09:29:00Z">
        <w:r>
          <w:rPr>
            <w:szCs w:val="22"/>
          </w:rPr>
          <w:delText>3.6995</w:delText>
        </w:r>
      </w:del>
      <w:ins w:id="134" w:author="Master Repository Process" w:date="2025-06-27T09:29:00Z">
        <w:r>
          <w:rPr>
            <w:szCs w:val="22"/>
          </w:rPr>
          <w:t>4.0735</w:t>
        </w:r>
      </w:ins>
      <w:r>
        <w:t xml:space="preserve"> per day; and</w:t>
      </w:r>
    </w:p>
    <w:p>
      <w:pPr>
        <w:pStyle w:val="yIndenta"/>
      </w:pPr>
      <w:r>
        <w:tab/>
        <w:t>(b)</w:t>
      </w:r>
      <w:r>
        <w:tab/>
        <w:t>an energy charge consisting of — </w:t>
      </w:r>
    </w:p>
    <w:p>
      <w:pPr>
        <w:pStyle w:val="yIndenti0"/>
      </w:pPr>
      <w:r>
        <w:tab/>
        <w:t>(i)</w:t>
      </w:r>
      <w:r>
        <w:tab/>
        <w:t xml:space="preserve">an on peak energy charge at the rate of </w:t>
      </w:r>
      <w:del w:id="135" w:author="Master Repository Process" w:date="2025-06-27T09:29:00Z">
        <w:r>
          <w:delText>53.9636</w:delText>
        </w:r>
      </w:del>
      <w:ins w:id="136" w:author="Master Repository Process" w:date="2025-06-27T09:29:00Z">
        <w:r>
          <w:t>59.4193</w:t>
        </w:r>
      </w:ins>
      <w:r>
        <w:rPr>
          <w:szCs w:val="22"/>
        </w:rPr>
        <w:t xml:space="preserve"> </w:t>
      </w:r>
      <w:r>
        <w:t>cents per unit; and</w:t>
      </w:r>
    </w:p>
    <w:p>
      <w:pPr>
        <w:pStyle w:val="yIndenti0"/>
      </w:pPr>
      <w:r>
        <w:tab/>
        <w:t>(ii)</w:t>
      </w:r>
      <w:r>
        <w:tab/>
        <w:t xml:space="preserve">an off peak energy charge at the rate of </w:t>
      </w:r>
      <w:del w:id="137" w:author="Master Repository Process" w:date="2025-06-27T09:29:00Z">
        <w:r>
          <w:delText>16.2107</w:delText>
        </w:r>
      </w:del>
      <w:ins w:id="138" w:author="Master Repository Process" w:date="2025-06-27T09:29:00Z">
        <w:r>
          <w:t>17.8496</w:t>
        </w:r>
      </w:ins>
      <w:r>
        <w:rPr>
          <w:szCs w:val="22"/>
        </w:rPr>
        <w:t xml:space="preserve"> </w:t>
      </w:r>
      <w:r>
        <w:t>cents per unit.</w:t>
      </w:r>
    </w:p>
    <w:p>
      <w:pPr>
        <w:pStyle w:val="ySubsection"/>
      </w:pPr>
      <w:r>
        <w:tab/>
        <w:t>(3)</w:t>
      </w:r>
      <w:r>
        <w:tab/>
        <w:t>Tariff R3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10;</w:t>
      </w:r>
    </w:p>
    <w:p>
      <w:pPr>
        <w:pStyle w:val="yIndenta"/>
      </w:pPr>
      <w:r>
        <w:tab/>
        <w:t>(c)</w:t>
      </w:r>
      <w:r>
        <w:tab/>
        <w:t>the consumer satisfies the corporation that the amount of electricity supplied to the consumer’s premises will be 50 MW hours or more per annum.</w:t>
      </w:r>
    </w:p>
    <w:p>
      <w:pPr>
        <w:pStyle w:val="yFootnotesection"/>
      </w:pPr>
      <w:bookmarkStart w:id="139" w:name="_Toc201748187"/>
      <w:bookmarkStart w:id="140" w:name="_Toc201748431"/>
      <w:r>
        <w:tab/>
        <w:t>[Clause 4 inserted: SL </w:t>
      </w:r>
      <w:del w:id="141" w:author="Master Repository Process" w:date="2025-06-27T09:29:00Z">
        <w:r>
          <w:delText>2024/102</w:delText>
        </w:r>
      </w:del>
      <w:ins w:id="142" w:author="Master Repository Process" w:date="2025-06-27T09:29:00Z">
        <w:r>
          <w:t>2025/124</w:t>
        </w:r>
      </w:ins>
      <w:r>
        <w:t xml:space="preserve"> bl. </w:t>
      </w:r>
      <w:del w:id="143" w:author="Master Repository Process" w:date="2025-06-27T09:29:00Z">
        <w:r>
          <w:delText>4</w:delText>
        </w:r>
      </w:del>
      <w:ins w:id="144" w:author="Master Repository Process" w:date="2025-06-27T09:29:00Z">
        <w:r>
          <w:t>5</w:t>
        </w:r>
      </w:ins>
      <w:r>
        <w:t>.]</w:t>
      </w:r>
    </w:p>
    <w:p>
      <w:pPr>
        <w:pStyle w:val="yHeading5"/>
      </w:pPr>
      <w:bookmarkStart w:id="145" w:name="_Toc201762574"/>
      <w:bookmarkStart w:id="146" w:name="_Toc169167893"/>
      <w:bookmarkStart w:id="147" w:name="_Toc169170636"/>
      <w:bookmarkStart w:id="148" w:name="_Toc170291805"/>
      <w:r>
        <w:rPr>
          <w:rStyle w:val="CharSClsNo"/>
        </w:rPr>
        <w:t>5</w:t>
      </w:r>
      <w:r>
        <w:t>.</w:t>
      </w:r>
      <w:r>
        <w:tab/>
        <w:t>Standby charges</w:t>
      </w:r>
      <w:bookmarkEnd w:id="139"/>
      <w:bookmarkEnd w:id="140"/>
      <w:bookmarkEnd w:id="145"/>
      <w:bookmarkEnd w:id="146"/>
      <w:bookmarkEnd w:id="147"/>
      <w:bookmarkEnd w:id="148"/>
    </w:p>
    <w:p>
      <w:pPr>
        <w:pStyle w:val="ySubsection"/>
      </w:pPr>
      <w:r>
        <w:tab/>
        <w:t>(1)</w:t>
      </w:r>
      <w:r>
        <w:tab/>
        <w:t>Standby charges are applicable to consumers with their own generation and supplied on Tariff L1, L3, R1 or R3 and are payable in addition to those tariffs.</w:t>
      </w:r>
    </w:p>
    <w:p>
      <w:pPr>
        <w:pStyle w:val="ySubsection"/>
      </w:pPr>
      <w:r>
        <w:tab/>
        <w:t>(2)</w:t>
      </w:r>
      <w:r>
        <w:tab/>
        <w:t>In the case of Tariff L1, L3, R1 or R3, the standby charge is 5.7200 cents per day per kW based on the difference between total half</w:t>
      </w:r>
      <w:r>
        <w:noBreakHyphen/>
        <w:t>hourly maximum demand and normal half</w:t>
      </w:r>
      <w:r>
        <w:noBreakHyphen/>
        <w:t>hourly maximum demand.</w:t>
      </w:r>
    </w:p>
    <w:p>
      <w:pPr>
        <w:pStyle w:val="ySubsection"/>
      </w:pPr>
      <w:r>
        <w:tab/>
        <w:t>(3)</w:t>
      </w:r>
      <w:r>
        <w:tab/>
        <w:t>The normal half</w:t>
      </w:r>
      <w:r>
        <w:noBreakHyphen/>
        <w:t>hourly maximum demand must be assessed by the corporation and based on loading normally supplied from the corporation’s supply.</w:t>
      </w:r>
    </w:p>
    <w:p>
      <w:pPr>
        <w:pStyle w:val="ySubsection"/>
      </w:pPr>
      <w:r>
        <w:tab/>
        <w:t>(4)</w:t>
      </w:r>
      <w:r>
        <w:tab/>
        <w:t>Notwithstanding the corporation’s assessment, in any accounting period the normal half</w:t>
      </w:r>
      <w:r>
        <w:noBreakHyphen/>
        <w:t>hourly maximum demand is taken to be not less than — </w:t>
      </w:r>
    </w:p>
    <w:p>
      <w:pPr>
        <w:pStyle w:val="Equation"/>
        <w:spacing w:before="120"/>
        <w:ind w:left="1418"/>
        <w:rPr>
          <w:sz w:val="22"/>
          <w:szCs w:val="22"/>
        </w:rPr>
      </w:pPr>
      <m:oMathPara>
        <m:oMath>
          <m:f>
            <m:fPr>
              <m:ctrlPr>
                <w:rPr>
                  <w:rFonts w:ascii="Cambria Math" w:hAnsi="Cambria Math"/>
                  <w:i/>
                  <w:sz w:val="22"/>
                  <w:szCs w:val="22"/>
                </w:rPr>
              </m:ctrlPr>
            </m:fPr>
            <m:num>
              <m:r>
                <m:rPr>
                  <m:sty m:val="p"/>
                </m:rPr>
                <w:rPr>
                  <w:rFonts w:ascii="Cambria Math" w:hAnsi="Cambria Math"/>
                  <w:sz w:val="22"/>
                  <w:szCs w:val="22"/>
                </w:rPr>
                <m:t>kWh registered for the accounting period</m:t>
              </m:r>
            </m:num>
            <m:den>
              <m:r>
                <m:rPr>
                  <m:sty m:val="p"/>
                </m:rPr>
                <w:rPr>
                  <w:rFonts w:ascii="Cambria Math" w:hAnsi="Cambria Math"/>
                  <w:sz w:val="22"/>
                  <w:szCs w:val="22"/>
                </w:rPr>
                <m:t>24 ×</m:t>
              </m:r>
              <m:d>
                <m:dPr>
                  <m:ctrlPr>
                    <w:rPr>
                      <w:rFonts w:ascii="Cambria Math" w:hAnsi="Cambria Math"/>
                      <w:sz w:val="22"/>
                      <w:szCs w:val="22"/>
                    </w:rPr>
                  </m:ctrlPr>
                </m:dPr>
                <m:e>
                  <m:r>
                    <m:rPr>
                      <m:sty m:val="p"/>
                    </m:rPr>
                    <w:rPr>
                      <w:rFonts w:ascii="Cambria Math" w:hAnsi="Cambria Math"/>
                      <w:sz w:val="22"/>
                      <w:szCs w:val="22"/>
                    </w:rPr>
                    <m:t>number of days in the accounting period</m:t>
                  </m:r>
                </m:e>
              </m:d>
              <m:r>
                <w:rPr>
                  <w:rFonts w:ascii="Cambria Math" w:hAnsi="Cambria Math"/>
                  <w:sz w:val="22"/>
                  <w:szCs w:val="22"/>
                </w:rPr>
                <m:t xml:space="preserve"> ×0.4</m:t>
              </m:r>
            </m:den>
          </m:f>
        </m:oMath>
      </m:oMathPara>
    </w:p>
    <w:p>
      <w:pPr>
        <w:pStyle w:val="ySubsection"/>
      </w:pPr>
      <w:r>
        <w:tab/>
        <w:t>(5)</w:t>
      </w:r>
      <w:r>
        <w:tab/>
        <w:t>The total half</w:t>
      </w:r>
      <w:r>
        <w:noBreakHyphen/>
        <w:t>hourly maximum demand must be assessed by the corporation as the consumer’s expected half</w:t>
      </w:r>
      <w:r>
        <w:noBreakHyphen/>
        <w:t>hourly minimum demand on the corporation’s system without the consumer’s generation equipment in operation.</w:t>
      </w:r>
    </w:p>
    <w:p>
      <w:pPr>
        <w:pStyle w:val="ySubsection"/>
      </w:pPr>
      <w:r>
        <w:tab/>
        <w:t>(6)</w:t>
      </w:r>
      <w:r>
        <w:tab/>
        <w:t>The difference between total half</w:t>
      </w:r>
      <w:r>
        <w:noBreakHyphen/>
        <w:t>hourly maximum demand and normal half</w:t>
      </w:r>
      <w:r>
        <w:noBreakHyphen/>
        <w:t>hourly maximum demand must not exceed —</w:t>
      </w:r>
    </w:p>
    <w:p>
      <w:pPr>
        <w:pStyle w:val="yIndenta"/>
      </w:pPr>
      <w:r>
        <w:tab/>
        <w:t>(a)</w:t>
      </w:r>
      <w:r>
        <w:tab/>
        <w:t>the capacity of the consumer’s generation equipment; or</w:t>
      </w:r>
    </w:p>
    <w:p>
      <w:pPr>
        <w:pStyle w:val="yIndenta"/>
      </w:pPr>
      <w:r>
        <w:tab/>
        <w:t>(b)</w:t>
      </w:r>
      <w:r>
        <w:tab/>
        <w:t>the expected maximum loading of such generation equipment, as assessed by the corporation.</w:t>
      </w:r>
    </w:p>
    <w:p>
      <w:pPr>
        <w:pStyle w:val="ySubsection"/>
      </w:pPr>
      <w:r>
        <w:tab/>
        <w:t>(7)</w:t>
      </w:r>
      <w:r>
        <w:tab/>
        <w:t xml:space="preserve">The provision of a standby service is subject to the following conditions — </w:t>
      </w:r>
    </w:p>
    <w:p>
      <w:pPr>
        <w:pStyle w:val="yIndenta"/>
      </w:pPr>
      <w:r>
        <w:tab/>
        <w:t>(a)</w:t>
      </w:r>
      <w:r>
        <w:tab/>
        <w:t>the consumer must pay for the cost of all additional mains and equipment necessary to provide the standby service;</w:t>
      </w:r>
    </w:p>
    <w:p>
      <w:pPr>
        <w:pStyle w:val="yIndenta"/>
      </w:pPr>
      <w:r>
        <w:tab/>
        <w:t>(b)</w:t>
      </w:r>
      <w:r>
        <w:tab/>
        <w:t>the standby service agreement must be for a minimum period of 12 months;</w:t>
      </w:r>
    </w:p>
    <w:p>
      <w:pPr>
        <w:pStyle w:val="yIndenta"/>
      </w:pPr>
      <w:r>
        <w:tab/>
        <w:t>(c)</w:t>
      </w:r>
      <w:r>
        <w:tab/>
        <w:t>the consumer must give 6 months’ notice in writing to the corporation of intention to terminate the standby service agreement.</w:t>
      </w:r>
    </w:p>
    <w:p>
      <w:pPr>
        <w:pStyle w:val="yFootnotesection"/>
      </w:pPr>
      <w:bookmarkStart w:id="149" w:name="_Toc201748188"/>
      <w:bookmarkStart w:id="150" w:name="_Toc201748432"/>
      <w:r>
        <w:tab/>
        <w:t>[Clause 5 inserted: SL </w:t>
      </w:r>
      <w:del w:id="151" w:author="Master Repository Process" w:date="2025-06-27T09:29:00Z">
        <w:r>
          <w:delText>2024/102</w:delText>
        </w:r>
      </w:del>
      <w:ins w:id="152" w:author="Master Repository Process" w:date="2025-06-27T09:29:00Z">
        <w:r>
          <w:t>2025/124</w:t>
        </w:r>
      </w:ins>
      <w:r>
        <w:t xml:space="preserve"> bl. </w:t>
      </w:r>
      <w:del w:id="153" w:author="Master Repository Process" w:date="2025-06-27T09:29:00Z">
        <w:r>
          <w:delText>4</w:delText>
        </w:r>
      </w:del>
      <w:ins w:id="154" w:author="Master Repository Process" w:date="2025-06-27T09:29:00Z">
        <w:r>
          <w:t>5</w:t>
        </w:r>
      </w:ins>
      <w:r>
        <w:t>.]</w:t>
      </w:r>
    </w:p>
    <w:p>
      <w:pPr>
        <w:pStyle w:val="yHeading5"/>
      </w:pPr>
      <w:bookmarkStart w:id="155" w:name="_Toc201762575"/>
      <w:bookmarkStart w:id="156" w:name="_Toc169167894"/>
      <w:bookmarkStart w:id="157" w:name="_Toc169170637"/>
      <w:bookmarkStart w:id="158" w:name="_Toc170291806"/>
      <w:r>
        <w:rPr>
          <w:rStyle w:val="CharSClsNo"/>
        </w:rPr>
        <w:t>6</w:t>
      </w:r>
      <w:r>
        <w:t>.</w:t>
      </w:r>
      <w:r>
        <w:tab/>
        <w:t>Tariff A1 (residential tariff)</w:t>
      </w:r>
      <w:bookmarkEnd w:id="149"/>
      <w:bookmarkEnd w:id="150"/>
      <w:bookmarkEnd w:id="155"/>
      <w:bookmarkEnd w:id="156"/>
      <w:bookmarkEnd w:id="157"/>
      <w:bookmarkEnd w:id="158"/>
    </w:p>
    <w:p>
      <w:pPr>
        <w:pStyle w:val="ySubsection"/>
      </w:pPr>
      <w:r>
        <w:tab/>
        <w:t>(1)</w:t>
      </w:r>
      <w:r>
        <w:tab/>
        <w:t>Tariff A1 is available for residential use only.</w:t>
      </w:r>
    </w:p>
    <w:p>
      <w:pPr>
        <w:pStyle w:val="ySubsection"/>
      </w:pPr>
      <w:r>
        <w:tab/>
        <w:t>(2)</w:t>
      </w:r>
      <w:r>
        <w:tab/>
        <w:t xml:space="preserve">Tariff A1 comprises — </w:t>
      </w:r>
    </w:p>
    <w:p>
      <w:pPr>
        <w:pStyle w:val="yIndenta"/>
      </w:pPr>
      <w:r>
        <w:tab/>
        <w:t>(a)</w:t>
      </w:r>
      <w:r>
        <w:tab/>
        <w:t>a fixed charge at the rate of $1.</w:t>
      </w:r>
      <w:del w:id="159" w:author="Master Repository Process" w:date="2025-06-27T09:29:00Z">
        <w:r>
          <w:delText>1322</w:delText>
        </w:r>
      </w:del>
      <w:ins w:id="160" w:author="Master Repository Process" w:date="2025-06-27T09:29:00Z">
        <w:r>
          <w:t>1605</w:t>
        </w:r>
      </w:ins>
      <w:r>
        <w:t xml:space="preserve"> per day or, for multiple dwellings supplied through 1 metered supply point, a fixed charge at the rate of —</w:t>
      </w:r>
    </w:p>
    <w:p>
      <w:pPr>
        <w:pStyle w:val="yIndenti0"/>
      </w:pPr>
      <w:r>
        <w:tab/>
        <w:t>(i)</w:t>
      </w:r>
      <w:r>
        <w:tab/>
        <w:t>$1.</w:t>
      </w:r>
      <w:del w:id="161" w:author="Master Repository Process" w:date="2025-06-27T09:29:00Z">
        <w:r>
          <w:delText>1322</w:delText>
        </w:r>
      </w:del>
      <w:ins w:id="162" w:author="Master Repository Process" w:date="2025-06-27T09:29:00Z">
        <w:r>
          <w:t>1605</w:t>
        </w:r>
      </w:ins>
      <w:r>
        <w:t xml:space="preserve"> per day for the first dwelling; and</w:t>
      </w:r>
    </w:p>
    <w:p>
      <w:pPr>
        <w:pStyle w:val="yIndenti0"/>
      </w:pPr>
      <w:r>
        <w:tab/>
        <w:t>(ii)</w:t>
      </w:r>
      <w:r>
        <w:tab/>
      </w:r>
      <w:del w:id="163" w:author="Master Repository Process" w:date="2025-06-27T09:29:00Z">
        <w:r>
          <w:delText>45.0158</w:delText>
        </w:r>
      </w:del>
      <w:ins w:id="164" w:author="Master Repository Process" w:date="2025-06-27T09:29:00Z">
        <w:r>
          <w:t>46.1412</w:t>
        </w:r>
      </w:ins>
      <w:r>
        <w:t xml:space="preserve"> cents per day for each additional dwelling;</w:t>
      </w:r>
    </w:p>
    <w:p>
      <w:pPr>
        <w:pStyle w:val="yIndenta"/>
      </w:pPr>
      <w:r>
        <w:tab/>
      </w:r>
      <w:r>
        <w:tab/>
        <w:t>and</w:t>
      </w:r>
    </w:p>
    <w:p>
      <w:pPr>
        <w:pStyle w:val="yIndenta"/>
      </w:pPr>
      <w:r>
        <w:tab/>
        <w:t>(b)</w:t>
      </w:r>
      <w:r>
        <w:tab/>
        <w:t xml:space="preserve">a charge for metered consumption at the rate of </w:t>
      </w:r>
      <w:del w:id="165" w:author="Master Repository Process" w:date="2025-06-27T09:29:00Z">
        <w:r>
          <w:delText>31.5823</w:delText>
        </w:r>
      </w:del>
      <w:ins w:id="166" w:author="Master Repository Process" w:date="2025-06-27T09:29:00Z">
        <w:r>
          <w:t>32.3719</w:t>
        </w:r>
      </w:ins>
      <w:r>
        <w:t xml:space="preserve"> cents per unit.</w:t>
      </w:r>
    </w:p>
    <w:p>
      <w:pPr>
        <w:pStyle w:val="yFootnotesection"/>
      </w:pPr>
      <w:bookmarkStart w:id="167" w:name="_Toc201748189"/>
      <w:bookmarkStart w:id="168" w:name="_Toc201748433"/>
      <w:r>
        <w:tab/>
        <w:t>[Clause 6 inserted: SL </w:t>
      </w:r>
      <w:del w:id="169" w:author="Master Repository Process" w:date="2025-06-27T09:29:00Z">
        <w:r>
          <w:delText>2024/102</w:delText>
        </w:r>
      </w:del>
      <w:ins w:id="170" w:author="Master Repository Process" w:date="2025-06-27T09:29:00Z">
        <w:r>
          <w:t>2025/124</w:t>
        </w:r>
      </w:ins>
      <w:r>
        <w:t xml:space="preserve"> bl. </w:t>
      </w:r>
      <w:del w:id="171" w:author="Master Repository Process" w:date="2025-06-27T09:29:00Z">
        <w:r>
          <w:delText>4</w:delText>
        </w:r>
      </w:del>
      <w:ins w:id="172" w:author="Master Repository Process" w:date="2025-06-27T09:29:00Z">
        <w:r>
          <w:t>5</w:t>
        </w:r>
      </w:ins>
      <w:r>
        <w:t>.]</w:t>
      </w:r>
    </w:p>
    <w:p>
      <w:pPr>
        <w:pStyle w:val="yHeading5"/>
      </w:pPr>
      <w:bookmarkStart w:id="173" w:name="_Toc201762576"/>
      <w:bookmarkStart w:id="174" w:name="_Toc169167895"/>
      <w:bookmarkStart w:id="175" w:name="_Toc169170638"/>
      <w:bookmarkStart w:id="176" w:name="_Toc170291807"/>
      <w:r>
        <w:rPr>
          <w:rStyle w:val="CharSClsNo"/>
        </w:rPr>
        <w:t>7</w:t>
      </w:r>
      <w:r>
        <w:t>.</w:t>
      </w:r>
      <w:r>
        <w:tab/>
        <w:t>Tariff B1 (residential water heating tariff)</w:t>
      </w:r>
      <w:bookmarkEnd w:id="167"/>
      <w:bookmarkEnd w:id="168"/>
      <w:bookmarkEnd w:id="173"/>
      <w:bookmarkEnd w:id="174"/>
      <w:bookmarkEnd w:id="175"/>
      <w:bookmarkEnd w:id="176"/>
    </w:p>
    <w:p>
      <w:pPr>
        <w:pStyle w:val="ySubsection"/>
      </w:pPr>
      <w:r>
        <w:tab/>
        <w:t>(1)</w:t>
      </w:r>
      <w:r>
        <w:tab/>
        <w:t>Tariff B1 is available for residential water heating during a 6 hour period between the hours of 11 pm and 6 am for installations approved by the corporation. Other single phase hardwired appliances may be connected in conjunction with the water heater.</w:t>
      </w:r>
    </w:p>
    <w:p>
      <w:pPr>
        <w:pStyle w:val="ySubsection"/>
      </w:pPr>
      <w:r>
        <w:tab/>
        <w:t>(2)</w:t>
      </w:r>
      <w:r>
        <w:tab/>
        <w:t xml:space="preserve">Tariff B1 comprises — </w:t>
      </w:r>
    </w:p>
    <w:p>
      <w:pPr>
        <w:pStyle w:val="yIndenta"/>
      </w:pPr>
      <w:r>
        <w:tab/>
        <w:t>(a)</w:t>
      </w:r>
      <w:r>
        <w:tab/>
        <w:t xml:space="preserve">a fixed charge at the rate of </w:t>
      </w:r>
      <w:del w:id="177" w:author="Master Repository Process" w:date="2025-06-27T09:29:00Z">
        <w:r>
          <w:delText>23.8547</w:delText>
        </w:r>
      </w:del>
      <w:ins w:id="178" w:author="Master Repository Process" w:date="2025-06-27T09:29:00Z">
        <w:r>
          <w:t>24.4511</w:t>
        </w:r>
      </w:ins>
      <w:r>
        <w:t xml:space="preserve"> cents per day or, for multiple dwellings supplied through 1 metered supply point, a fixed charge at the rate of </w:t>
      </w:r>
      <w:del w:id="179" w:author="Master Repository Process" w:date="2025-06-27T09:29:00Z">
        <w:r>
          <w:delText>23.8547</w:delText>
        </w:r>
      </w:del>
      <w:ins w:id="180" w:author="Master Repository Process" w:date="2025-06-27T09:29:00Z">
        <w:r>
          <w:t>24.4511</w:t>
        </w:r>
      </w:ins>
      <w:r>
        <w:t xml:space="preserve"> cents per day for each dwelling; and</w:t>
      </w:r>
    </w:p>
    <w:p>
      <w:pPr>
        <w:pStyle w:val="yIndenta"/>
      </w:pPr>
      <w:r>
        <w:tab/>
        <w:t>(b)</w:t>
      </w:r>
      <w:r>
        <w:tab/>
        <w:t>a charge for metered consumption at the rate of 13.</w:t>
      </w:r>
      <w:del w:id="181" w:author="Master Repository Process" w:date="2025-06-27T09:29:00Z">
        <w:r>
          <w:delText>1783</w:delText>
        </w:r>
      </w:del>
      <w:ins w:id="182" w:author="Master Repository Process" w:date="2025-06-27T09:29:00Z">
        <w:r>
          <w:t>5078</w:t>
        </w:r>
      </w:ins>
      <w:r>
        <w:t xml:space="preserve"> cents per unit.</w:t>
      </w:r>
    </w:p>
    <w:p>
      <w:pPr>
        <w:pStyle w:val="yFootnotesection"/>
      </w:pPr>
      <w:bookmarkStart w:id="183" w:name="_Toc201748190"/>
      <w:bookmarkStart w:id="184" w:name="_Toc201748434"/>
      <w:r>
        <w:tab/>
        <w:t>[Clause 7 inserted: SL </w:t>
      </w:r>
      <w:del w:id="185" w:author="Master Repository Process" w:date="2025-06-27T09:29:00Z">
        <w:r>
          <w:delText>2024/102</w:delText>
        </w:r>
      </w:del>
      <w:ins w:id="186" w:author="Master Repository Process" w:date="2025-06-27T09:29:00Z">
        <w:r>
          <w:t>2025/124</w:t>
        </w:r>
      </w:ins>
      <w:r>
        <w:t xml:space="preserve"> bl. </w:t>
      </w:r>
      <w:del w:id="187" w:author="Master Repository Process" w:date="2025-06-27T09:29:00Z">
        <w:r>
          <w:delText>4</w:delText>
        </w:r>
      </w:del>
      <w:ins w:id="188" w:author="Master Repository Process" w:date="2025-06-27T09:29:00Z">
        <w:r>
          <w:t>5</w:t>
        </w:r>
      </w:ins>
      <w:r>
        <w:t>.]</w:t>
      </w:r>
    </w:p>
    <w:p>
      <w:pPr>
        <w:pStyle w:val="yHeading5"/>
      </w:pPr>
      <w:bookmarkStart w:id="189" w:name="_Toc201762577"/>
      <w:bookmarkStart w:id="190" w:name="_Toc169167896"/>
      <w:bookmarkStart w:id="191" w:name="_Toc169170639"/>
      <w:bookmarkStart w:id="192" w:name="_Toc170291808"/>
      <w:r>
        <w:rPr>
          <w:rStyle w:val="CharSClsNo"/>
        </w:rPr>
        <w:t>8</w:t>
      </w:r>
      <w:r>
        <w:t>.</w:t>
      </w:r>
      <w:r>
        <w:tab/>
        <w:t>Tariff C1 (special community service tariff)</w:t>
      </w:r>
      <w:bookmarkEnd w:id="183"/>
      <w:bookmarkEnd w:id="184"/>
      <w:bookmarkEnd w:id="189"/>
      <w:bookmarkEnd w:id="190"/>
      <w:bookmarkEnd w:id="191"/>
      <w:bookmarkEnd w:id="192"/>
    </w:p>
    <w:p>
      <w:pPr>
        <w:pStyle w:val="ySubsection"/>
      </w:pPr>
      <w:r>
        <w:tab/>
        <w:t>(1)</w:t>
      </w:r>
      <w:r>
        <w:tab/>
        <w:t>Tariff C1 is available for</w:t>
      </w:r>
      <w:del w:id="193" w:author="Master Repository Process" w:date="2025-06-27T09:29:00Z">
        <w:r>
          <w:delText xml:space="preserve"> small</w:delText>
        </w:r>
      </w:del>
      <w:r>
        <w:t xml:space="preserve"> voluntary and charitable organisations, subject to the conditions listed in subclause (3).</w:t>
      </w:r>
    </w:p>
    <w:p>
      <w:pPr>
        <w:pStyle w:val="ySubsection"/>
      </w:pPr>
      <w:r>
        <w:tab/>
        <w:t>(2)</w:t>
      </w:r>
      <w:r>
        <w:tab/>
        <w:t xml:space="preserve">Tariff C1 comprises — </w:t>
      </w:r>
    </w:p>
    <w:p>
      <w:pPr>
        <w:pStyle w:val="yIndenta"/>
      </w:pPr>
      <w:r>
        <w:tab/>
        <w:t>(a)</w:t>
      </w:r>
      <w:r>
        <w:tab/>
        <w:t>a fixed charge at the rate of $1.</w:t>
      </w:r>
      <w:del w:id="194" w:author="Master Repository Process" w:date="2025-06-27T09:29:00Z">
        <w:r>
          <w:delText>0927</w:delText>
        </w:r>
      </w:del>
      <w:ins w:id="195" w:author="Master Repository Process" w:date="2025-06-27T09:29:00Z">
        <w:r>
          <w:t>1200</w:t>
        </w:r>
      </w:ins>
      <w:r>
        <w:t xml:space="preserve"> per day; and</w:t>
      </w:r>
    </w:p>
    <w:p>
      <w:pPr>
        <w:pStyle w:val="yIndenta"/>
      </w:pPr>
      <w:r>
        <w:tab/>
        <w:t>(b)</w:t>
      </w:r>
      <w:r>
        <w:tab/>
        <w:t xml:space="preserve">a charge for metered consumption at the rate of — </w:t>
      </w:r>
    </w:p>
    <w:p>
      <w:pPr>
        <w:pStyle w:val="yIndenti0"/>
      </w:pPr>
      <w:r>
        <w:tab/>
        <w:t>(i)</w:t>
      </w:r>
      <w:r>
        <w:tab/>
      </w:r>
      <w:del w:id="196" w:author="Master Repository Process" w:date="2025-06-27T09:29:00Z">
        <w:r>
          <w:delText>25.5261</w:delText>
        </w:r>
      </w:del>
      <w:ins w:id="197" w:author="Master Repository Process" w:date="2025-06-27T09:29:00Z">
        <w:r>
          <w:t>26.1643</w:t>
        </w:r>
      </w:ins>
      <w:r>
        <w:t xml:space="preserve"> cents per unit for the first 20</w:t>
      </w:r>
      <w:del w:id="198" w:author="Master Repository Process" w:date="2025-06-27T09:29:00Z">
        <w:r>
          <w:delText xml:space="preserve"> </w:delText>
        </w:r>
      </w:del>
      <w:ins w:id="199" w:author="Master Repository Process" w:date="2025-06-27T09:29:00Z">
        <w:r>
          <w:t> </w:t>
        </w:r>
      </w:ins>
      <w:r>
        <w:t>units per day; and</w:t>
      </w:r>
    </w:p>
    <w:p>
      <w:pPr>
        <w:pStyle w:val="yIndenti0"/>
      </w:pPr>
      <w:r>
        <w:tab/>
        <w:t>(ii)</w:t>
      </w:r>
      <w:r>
        <w:tab/>
        <w:t>27.</w:t>
      </w:r>
      <w:del w:id="200" w:author="Master Repository Process" w:date="2025-06-27T09:29:00Z">
        <w:r>
          <w:delText>2347</w:delText>
        </w:r>
      </w:del>
      <w:ins w:id="201" w:author="Master Repository Process" w:date="2025-06-27T09:29:00Z">
        <w:r>
          <w:t>9156</w:t>
        </w:r>
      </w:ins>
      <w:r>
        <w:t xml:space="preserve"> cents per unit for the next 1 630 units per day; and</w:t>
      </w:r>
    </w:p>
    <w:p>
      <w:pPr>
        <w:pStyle w:val="yIndenti0"/>
      </w:pPr>
      <w:r>
        <w:tab/>
        <w:t>(iii)</w:t>
      </w:r>
      <w:r>
        <w:tab/>
      </w:r>
      <w:del w:id="202" w:author="Master Repository Process" w:date="2025-06-27T09:29:00Z">
        <w:r>
          <w:delText>25.9779</w:delText>
        </w:r>
      </w:del>
      <w:ins w:id="203" w:author="Master Repository Process" w:date="2025-06-27T09:29:00Z">
        <w:r>
          <w:t>26.6273</w:t>
        </w:r>
      </w:ins>
      <w:r>
        <w:t xml:space="preserve"> cents per unit for all units exceeding 1 650 units per day.</w:t>
      </w:r>
    </w:p>
    <w:p>
      <w:pPr>
        <w:pStyle w:val="ySubsection"/>
      </w:pPr>
      <w:r>
        <w:tab/>
        <w:t>(3)</w:t>
      </w:r>
      <w:r>
        <w:tab/>
        <w:t xml:space="preserve">Tariff C1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rPr>
        <w:t>Income Tax Assessment Act 1997</w:t>
      </w:r>
      <w:r>
        <w:rPr>
          <w:iCs/>
        </w:rPr>
        <w:t xml:space="preserve"> </w:t>
      </w:r>
      <w:r>
        <w:t>(Commonwealth)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entity mentioned in paragraph (e).</w:t>
      </w:r>
    </w:p>
    <w:p>
      <w:pPr>
        <w:pStyle w:val="ySubsection"/>
      </w:pPr>
      <w:r>
        <w:tab/>
        <w:t>(4)</w:t>
      </w:r>
      <w:r>
        <w:tab/>
        <w:t>A consumer seeking supply under Tariff C1 must make an application to the corporation in writing accompanied by evidence which clearly demonstrates that the consumer meets all the conditions listed in subclause (3).</w:t>
      </w:r>
    </w:p>
    <w:p>
      <w:pPr>
        <w:pStyle w:val="yFootnotesection"/>
      </w:pPr>
      <w:bookmarkStart w:id="204" w:name="_Toc201748191"/>
      <w:bookmarkStart w:id="205" w:name="_Toc201748435"/>
      <w:r>
        <w:tab/>
        <w:t>[Clause 8 inserted: SL </w:t>
      </w:r>
      <w:del w:id="206" w:author="Master Repository Process" w:date="2025-06-27T09:29:00Z">
        <w:r>
          <w:delText>2024/102</w:delText>
        </w:r>
      </w:del>
      <w:ins w:id="207" w:author="Master Repository Process" w:date="2025-06-27T09:29:00Z">
        <w:r>
          <w:t>2025/124</w:t>
        </w:r>
      </w:ins>
      <w:r>
        <w:t xml:space="preserve"> bl. </w:t>
      </w:r>
      <w:del w:id="208" w:author="Master Repository Process" w:date="2025-06-27T09:29:00Z">
        <w:r>
          <w:delText>4</w:delText>
        </w:r>
      </w:del>
      <w:ins w:id="209" w:author="Master Repository Process" w:date="2025-06-27T09:29:00Z">
        <w:r>
          <w:t>5</w:t>
        </w:r>
      </w:ins>
      <w:r>
        <w:t>.]</w:t>
      </w:r>
    </w:p>
    <w:p>
      <w:pPr>
        <w:pStyle w:val="yHeading5"/>
      </w:pPr>
      <w:bookmarkStart w:id="210" w:name="_Toc201762578"/>
      <w:bookmarkStart w:id="211" w:name="_Toc169167897"/>
      <w:bookmarkStart w:id="212" w:name="_Toc169170640"/>
      <w:bookmarkStart w:id="213" w:name="_Toc170291809"/>
      <w:r>
        <w:rPr>
          <w:rStyle w:val="CharSClsNo"/>
        </w:rPr>
        <w:t>9</w:t>
      </w:r>
      <w:r>
        <w:t>.</w:t>
      </w:r>
      <w:r>
        <w:tab/>
        <w:t>Tariff D1 (special tariff for certain premises)</w:t>
      </w:r>
      <w:bookmarkEnd w:id="204"/>
      <w:bookmarkEnd w:id="205"/>
      <w:bookmarkEnd w:id="210"/>
      <w:bookmarkEnd w:id="211"/>
      <w:bookmarkEnd w:id="212"/>
      <w:bookmarkEnd w:id="213"/>
    </w:p>
    <w:p>
      <w:pPr>
        <w:pStyle w:val="ySubsection"/>
      </w:pPr>
      <w:r>
        <w:tab/>
        <w:t>(1)</w:t>
      </w:r>
      <w:r>
        <w:tab/>
        <w:t>Tariff D1 is available for premises wholly used by a charitable or benevolent organisation for providing residential accommodation other than for commercial gain, being premises for which Tariff A1 is not available.</w:t>
      </w:r>
    </w:p>
    <w:p>
      <w:pPr>
        <w:pStyle w:val="ySubsection"/>
      </w:pPr>
      <w:r>
        <w:tab/>
        <w:t>(2)</w:t>
      </w:r>
      <w:r>
        <w:tab/>
        <w:t xml:space="preserve">Tariff D1 comprises — </w:t>
      </w:r>
    </w:p>
    <w:p>
      <w:pPr>
        <w:pStyle w:val="yIndenta"/>
      </w:pPr>
      <w:r>
        <w:tab/>
        <w:t>(a)</w:t>
      </w:r>
      <w:r>
        <w:tab/>
        <w:t>a fixed charge at the rate of $1.</w:t>
      </w:r>
      <w:del w:id="214" w:author="Master Repository Process" w:date="2025-06-27T09:29:00Z">
        <w:r>
          <w:delText>0776</w:delText>
        </w:r>
      </w:del>
      <w:ins w:id="215" w:author="Master Repository Process" w:date="2025-06-27T09:29:00Z">
        <w:r>
          <w:t>1045</w:t>
        </w:r>
      </w:ins>
      <w:r>
        <w:t xml:space="preserve"> per day; and</w:t>
      </w:r>
    </w:p>
    <w:p>
      <w:pPr>
        <w:pStyle w:val="yIndenta"/>
      </w:pPr>
      <w:r>
        <w:tab/>
        <w:t>(b)</w:t>
      </w:r>
      <w:r>
        <w:tab/>
        <w:t xml:space="preserve">if under subclause (3) there is taken to be more than 1 equivalent domestic residence in the premises, a charge of </w:t>
      </w:r>
      <w:del w:id="216" w:author="Master Repository Process" w:date="2025-06-27T09:29:00Z">
        <w:r>
          <w:delText>39.9536</w:delText>
        </w:r>
      </w:del>
      <w:ins w:id="217" w:author="Master Repository Process" w:date="2025-06-27T09:29:00Z">
        <w:r>
          <w:t>40.9524</w:t>
        </w:r>
      </w:ins>
      <w:r>
        <w:t xml:space="preserve"> cents per day for each equivalent domestic residence except the first that is taken to be in the premises; and</w:t>
      </w:r>
    </w:p>
    <w:p>
      <w:pPr>
        <w:pStyle w:val="yIndenta"/>
      </w:pPr>
      <w:r>
        <w:tab/>
        <w:t>(c)</w:t>
      </w:r>
      <w:r>
        <w:tab/>
        <w:t xml:space="preserve">a charge for metered consumption at the rate of </w:t>
      </w:r>
      <w:del w:id="218" w:author="Master Repository Process" w:date="2025-06-27T09:29:00Z">
        <w:r>
          <w:delText>27.3798</w:delText>
        </w:r>
      </w:del>
      <w:ins w:id="219" w:author="Master Repository Process" w:date="2025-06-27T09:29:00Z">
        <w:r>
          <w:t>28.0643</w:t>
        </w:r>
      </w:ins>
      <w:r>
        <w:t xml:space="preserve"> cents per unit.</w:t>
      </w:r>
    </w:p>
    <w:p>
      <w:pPr>
        <w:pStyle w:val="ySubsection"/>
      </w:pPr>
      <w:r>
        <w:tab/>
        <w:t>(3)</w:t>
      </w:r>
      <w:r>
        <w:tab/>
        <w:t>The number of equivalent domestic residences taken to be in particular premises is ascertained by dividing the facility’s total bed capacity by 5 and, where the quotient is not a whole number, by increasing it to the next highest whole number.</w:t>
      </w:r>
    </w:p>
    <w:p>
      <w:pPr>
        <w:pStyle w:val="yFootnotesection"/>
      </w:pPr>
      <w:bookmarkStart w:id="220" w:name="_Toc201748192"/>
      <w:bookmarkStart w:id="221" w:name="_Toc201748436"/>
      <w:r>
        <w:tab/>
        <w:t>[Clause 9 inserted: SL </w:t>
      </w:r>
      <w:del w:id="222" w:author="Master Repository Process" w:date="2025-06-27T09:29:00Z">
        <w:r>
          <w:delText>2024/102</w:delText>
        </w:r>
      </w:del>
      <w:ins w:id="223" w:author="Master Repository Process" w:date="2025-06-27T09:29:00Z">
        <w:r>
          <w:t>2025/124</w:t>
        </w:r>
      </w:ins>
      <w:r>
        <w:t xml:space="preserve"> bl. </w:t>
      </w:r>
      <w:del w:id="224" w:author="Master Repository Process" w:date="2025-06-27T09:29:00Z">
        <w:r>
          <w:delText>4</w:delText>
        </w:r>
      </w:del>
      <w:ins w:id="225" w:author="Master Repository Process" w:date="2025-06-27T09:29:00Z">
        <w:r>
          <w:t>5</w:t>
        </w:r>
      </w:ins>
      <w:r>
        <w:t>.]</w:t>
      </w:r>
    </w:p>
    <w:p>
      <w:pPr>
        <w:pStyle w:val="yHeading5"/>
      </w:pPr>
      <w:bookmarkStart w:id="226" w:name="_Toc201762579"/>
      <w:bookmarkStart w:id="227" w:name="_Toc169167898"/>
      <w:bookmarkStart w:id="228" w:name="_Toc169170641"/>
      <w:bookmarkStart w:id="229" w:name="_Toc170291810"/>
      <w:r>
        <w:rPr>
          <w:rStyle w:val="CharSClsNo"/>
        </w:rPr>
        <w:t>10</w:t>
      </w:r>
      <w:r>
        <w:t>.</w:t>
      </w:r>
      <w:r>
        <w:tab/>
        <w:t>Tariff K1 (general supply with residential tariff)</w:t>
      </w:r>
      <w:bookmarkEnd w:id="220"/>
      <w:bookmarkEnd w:id="221"/>
      <w:bookmarkEnd w:id="226"/>
      <w:bookmarkEnd w:id="227"/>
      <w:bookmarkEnd w:id="228"/>
      <w:bookmarkEnd w:id="229"/>
    </w:p>
    <w:p>
      <w:pPr>
        <w:pStyle w:val="ySubsection"/>
      </w:pPr>
      <w:r>
        <w:tab/>
        <w:t>(1)</w:t>
      </w:r>
      <w:r>
        <w:tab/>
        <w:t>Tariff K1 is available for premises where the circuit wiring is not separate and the electricity is used partly for general purposes and partly for residential purposes.</w:t>
      </w:r>
    </w:p>
    <w:p>
      <w:pPr>
        <w:pStyle w:val="ySubsection"/>
      </w:pPr>
      <w:r>
        <w:tab/>
        <w:t>(2)</w:t>
      </w:r>
      <w:r>
        <w:tab/>
        <w:t xml:space="preserve">Tariff K1 comprises — </w:t>
      </w:r>
    </w:p>
    <w:p>
      <w:pPr>
        <w:pStyle w:val="yIndenta"/>
      </w:pPr>
      <w:r>
        <w:tab/>
        <w:t>(a)</w:t>
      </w:r>
      <w:r>
        <w:tab/>
        <w:t>a fixed charge at the rate of $</w:t>
      </w:r>
      <w:del w:id="230" w:author="Master Repository Process" w:date="2025-06-27T09:29:00Z">
        <w:r>
          <w:delText>1.9979</w:delText>
        </w:r>
      </w:del>
      <w:ins w:id="231" w:author="Master Repository Process" w:date="2025-06-27T09:29:00Z">
        <w:r>
          <w:t>2.0478</w:t>
        </w:r>
      </w:ins>
      <w:r>
        <w:t xml:space="preserve"> per day; and</w:t>
      </w:r>
    </w:p>
    <w:p>
      <w:pPr>
        <w:pStyle w:val="yIndenta"/>
      </w:pPr>
      <w:r>
        <w:tab/>
        <w:t>(b)</w:t>
      </w:r>
      <w:r>
        <w:tab/>
        <w:t>a charge for metered consumption at the rate of —</w:t>
      </w:r>
    </w:p>
    <w:p>
      <w:pPr>
        <w:pStyle w:val="yIndenti0"/>
      </w:pPr>
      <w:r>
        <w:tab/>
        <w:t>(i)</w:t>
      </w:r>
      <w:r>
        <w:tab/>
      </w:r>
      <w:del w:id="232" w:author="Master Repository Process" w:date="2025-06-27T09:29:00Z">
        <w:r>
          <w:delText>32.9933</w:delText>
        </w:r>
      </w:del>
      <w:ins w:id="233" w:author="Master Repository Process" w:date="2025-06-27T09:29:00Z">
        <w:r>
          <w:t>33.8181</w:t>
        </w:r>
      </w:ins>
      <w:r>
        <w:t xml:space="preserve"> cents per unit for the first 20</w:t>
      </w:r>
      <w:del w:id="234" w:author="Master Repository Process" w:date="2025-06-27T09:29:00Z">
        <w:r>
          <w:delText xml:space="preserve"> </w:delText>
        </w:r>
      </w:del>
      <w:ins w:id="235" w:author="Master Repository Process" w:date="2025-06-27T09:29:00Z">
        <w:r>
          <w:t> </w:t>
        </w:r>
      </w:ins>
      <w:r>
        <w:t>units per day; and</w:t>
      </w:r>
    </w:p>
    <w:p>
      <w:pPr>
        <w:pStyle w:val="yIndenti0"/>
      </w:pPr>
      <w:r>
        <w:tab/>
        <w:t>(ii)</w:t>
      </w:r>
      <w:r>
        <w:tab/>
        <w:t>31.</w:t>
      </w:r>
      <w:del w:id="236" w:author="Master Repository Process" w:date="2025-06-27T09:29:00Z">
        <w:r>
          <w:delText>0918</w:delText>
        </w:r>
      </w:del>
      <w:ins w:id="237" w:author="Master Repository Process" w:date="2025-06-27T09:29:00Z">
        <w:r>
          <w:t>8691</w:t>
        </w:r>
      </w:ins>
      <w:r>
        <w:t xml:space="preserve"> cents per unit for the next 1 630 units per day; and</w:t>
      </w:r>
    </w:p>
    <w:p>
      <w:pPr>
        <w:pStyle w:val="yIndenti0"/>
      </w:pPr>
      <w:r>
        <w:tab/>
        <w:t>(iii)</w:t>
      </w:r>
      <w:r>
        <w:tab/>
        <w:t>35.</w:t>
      </w:r>
      <w:del w:id="238" w:author="Master Repository Process" w:date="2025-06-27T09:29:00Z">
        <w:r>
          <w:delText>0549</w:delText>
        </w:r>
      </w:del>
      <w:ins w:id="239" w:author="Master Repository Process" w:date="2025-06-27T09:29:00Z">
        <w:r>
          <w:t>9313</w:t>
        </w:r>
      </w:ins>
      <w:r>
        <w:t xml:space="preserve"> cents per unit for all units exceeding 1 650</w:t>
      </w:r>
      <w:del w:id="240" w:author="Master Repository Process" w:date="2025-06-27T09:29:00Z">
        <w:r>
          <w:delText xml:space="preserve"> </w:delText>
        </w:r>
      </w:del>
      <w:ins w:id="241" w:author="Master Repository Process" w:date="2025-06-27T09:29:00Z">
        <w:r>
          <w:t> </w:t>
        </w:r>
      </w:ins>
      <w:r>
        <w:t>units per day.</w:t>
      </w:r>
      <w:bookmarkEnd w:id="76"/>
    </w:p>
    <w:bookmarkEnd w:id="70"/>
    <w:p>
      <w:pPr>
        <w:pStyle w:val="yFootnotesection"/>
      </w:pPr>
      <w:r>
        <w:tab/>
        <w:t>[Clause 10 inserted: SL </w:t>
      </w:r>
      <w:del w:id="242" w:author="Master Repository Process" w:date="2025-06-27T09:29:00Z">
        <w:r>
          <w:delText>2024/102</w:delText>
        </w:r>
      </w:del>
      <w:ins w:id="243" w:author="Master Repository Process" w:date="2025-06-27T09:29:00Z">
        <w:r>
          <w:t>2025/124</w:t>
        </w:r>
      </w:ins>
      <w:r>
        <w:t xml:space="preserve"> bl. </w:t>
      </w:r>
      <w:del w:id="244" w:author="Master Repository Process" w:date="2025-06-27T09:29:00Z">
        <w:r>
          <w:delText>4</w:delText>
        </w:r>
      </w:del>
      <w:ins w:id="245" w:author="Master Repository Process" w:date="2025-06-27T09:29:00Z">
        <w:r>
          <w:t>5</w:t>
        </w:r>
      </w:ins>
      <w:r>
        <w:t>.]</w:t>
      </w:r>
      <w:bookmarkEnd w:id="71"/>
      <w:bookmarkEnd w:id="72"/>
    </w:p>
    <w:p>
      <w:pPr>
        <w:rPr>
          <w:iCs/>
          <w:snapToGrid w:val="0"/>
          <w:sz w:val="22"/>
        </w:rPr>
        <w:sectPr>
          <w:headerReference w:type="even" r:id="rId20"/>
          <w:headerReference w:type="default" r:id="rId21"/>
          <w:pgSz w:w="11907" w:h="16840" w:code="9"/>
          <w:pgMar w:top="2381" w:right="2410" w:bottom="3544" w:left="2410" w:header="720" w:footer="3544" w:gutter="0"/>
          <w:cols w:space="720"/>
        </w:sectPr>
      </w:pPr>
    </w:p>
    <w:p>
      <w:pPr>
        <w:pStyle w:val="yScheduleHeading"/>
      </w:pPr>
      <w:bookmarkStart w:id="246" w:name="_Toc201748193"/>
      <w:bookmarkStart w:id="247" w:name="_Toc201748248"/>
      <w:bookmarkStart w:id="248" w:name="_Toc201748437"/>
      <w:bookmarkStart w:id="249" w:name="_Toc201755169"/>
      <w:bookmarkStart w:id="250" w:name="_Toc201755459"/>
      <w:bookmarkStart w:id="251" w:name="_Toc201762580"/>
      <w:bookmarkStart w:id="252" w:name="_Toc169167899"/>
      <w:bookmarkStart w:id="253" w:name="_Toc169167994"/>
      <w:bookmarkStart w:id="254" w:name="_Toc169168147"/>
      <w:bookmarkStart w:id="255" w:name="_Toc169168520"/>
      <w:bookmarkStart w:id="256" w:name="_Toc169170351"/>
      <w:bookmarkStart w:id="257" w:name="_Toc169170642"/>
      <w:bookmarkStart w:id="258" w:name="_Toc170208329"/>
      <w:bookmarkStart w:id="259" w:name="_Toc170210828"/>
      <w:bookmarkStart w:id="260" w:name="_Toc170291811"/>
      <w:bookmarkStart w:id="261" w:name="_Hlk201753569"/>
      <w:bookmarkStart w:id="262" w:name="_Toc170205813"/>
      <w:bookmarkStart w:id="263" w:name="_Toc170205892"/>
      <w:r>
        <w:rPr>
          <w:rStyle w:val="CharSchNo"/>
        </w:rPr>
        <w:t>Schedule 2</w:t>
      </w:r>
      <w:r>
        <w:t> — </w:t>
      </w:r>
      <w:r>
        <w:rPr>
          <w:rStyle w:val="CharSchText"/>
        </w:rPr>
        <w:t>Unmetered supply</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yShoulderClause"/>
      </w:pPr>
      <w:r>
        <w:t>[bl. 4(2) and (3)]</w:t>
      </w:r>
    </w:p>
    <w:p>
      <w:pPr>
        <w:pStyle w:val="yFootnoteheading"/>
      </w:pPr>
      <w:bookmarkStart w:id="264" w:name="_Toc201748194"/>
      <w:bookmarkStart w:id="265" w:name="_Toc201748249"/>
      <w:bookmarkStart w:id="266" w:name="_Toc201748438"/>
      <w:r>
        <w:tab/>
        <w:t>[Heading inserted: SL </w:t>
      </w:r>
      <w:del w:id="267" w:author="Master Repository Process" w:date="2025-06-27T09:29:00Z">
        <w:r>
          <w:delText>2024/102</w:delText>
        </w:r>
      </w:del>
      <w:ins w:id="268" w:author="Master Repository Process" w:date="2025-06-27T09:29:00Z">
        <w:r>
          <w:t>2025/124</w:t>
        </w:r>
      </w:ins>
      <w:r>
        <w:t xml:space="preserve"> bl. </w:t>
      </w:r>
      <w:del w:id="269" w:author="Master Repository Process" w:date="2025-06-27T09:29:00Z">
        <w:r>
          <w:delText>4</w:delText>
        </w:r>
      </w:del>
      <w:ins w:id="270" w:author="Master Repository Process" w:date="2025-06-27T09:29:00Z">
        <w:r>
          <w:t>5</w:t>
        </w:r>
      </w:ins>
      <w:r>
        <w:t>.]</w:t>
      </w:r>
    </w:p>
    <w:p>
      <w:pPr>
        <w:pStyle w:val="yHeading3"/>
      </w:pPr>
      <w:bookmarkStart w:id="271" w:name="_Toc201755170"/>
      <w:bookmarkStart w:id="272" w:name="_Toc201755460"/>
      <w:bookmarkStart w:id="273" w:name="_Toc201762581"/>
      <w:bookmarkStart w:id="274" w:name="_Toc169167900"/>
      <w:bookmarkStart w:id="275" w:name="_Toc169167995"/>
      <w:bookmarkStart w:id="276" w:name="_Toc169168148"/>
      <w:bookmarkStart w:id="277" w:name="_Toc169168521"/>
      <w:bookmarkStart w:id="278" w:name="_Toc169170352"/>
      <w:bookmarkStart w:id="279" w:name="_Toc169170643"/>
      <w:bookmarkStart w:id="280" w:name="_Toc170208330"/>
      <w:bookmarkStart w:id="281" w:name="_Toc170210829"/>
      <w:bookmarkStart w:id="282" w:name="_Toc170291812"/>
      <w:r>
        <w:rPr>
          <w:rStyle w:val="CharSDivNo"/>
        </w:rPr>
        <w:t>Division 1</w:t>
      </w:r>
      <w:r>
        <w:rPr>
          <w:b w:val="0"/>
        </w:rPr>
        <w:t> — </w:t>
      </w:r>
      <w:r>
        <w:rPr>
          <w:rStyle w:val="CharSDivText"/>
        </w:rPr>
        <w:t>Street lighting</w:t>
      </w:r>
      <w:bookmarkEnd w:id="264"/>
      <w:bookmarkEnd w:id="265"/>
      <w:bookmarkEnd w:id="266"/>
      <w:bookmarkEnd w:id="271"/>
      <w:bookmarkEnd w:id="272"/>
      <w:bookmarkEnd w:id="273"/>
      <w:bookmarkEnd w:id="274"/>
      <w:bookmarkEnd w:id="275"/>
      <w:bookmarkEnd w:id="276"/>
      <w:bookmarkEnd w:id="277"/>
      <w:bookmarkEnd w:id="278"/>
      <w:bookmarkEnd w:id="279"/>
      <w:bookmarkEnd w:id="280"/>
      <w:bookmarkEnd w:id="281"/>
      <w:bookmarkEnd w:id="282"/>
    </w:p>
    <w:p>
      <w:pPr>
        <w:pStyle w:val="yFootnoteheading"/>
      </w:pPr>
      <w:r>
        <w:tab/>
        <w:t>[Heading inserted: SL </w:t>
      </w:r>
      <w:del w:id="283" w:author="Master Repository Process" w:date="2025-06-27T09:29:00Z">
        <w:r>
          <w:delText>2024/102</w:delText>
        </w:r>
      </w:del>
      <w:ins w:id="284" w:author="Master Repository Process" w:date="2025-06-27T09:29:00Z">
        <w:r>
          <w:t>2025/124</w:t>
        </w:r>
      </w:ins>
      <w:r>
        <w:t xml:space="preserve"> bl. </w:t>
      </w:r>
      <w:del w:id="285" w:author="Master Repository Process" w:date="2025-06-27T09:29:00Z">
        <w:r>
          <w:delText>4</w:delText>
        </w:r>
      </w:del>
      <w:ins w:id="286" w:author="Master Repository Process" w:date="2025-06-27T09:29:00Z">
        <w:r>
          <w:t>5</w:t>
        </w:r>
      </w:ins>
      <w:r>
        <w:t>.]</w:t>
      </w:r>
    </w:p>
    <w:tbl>
      <w:tblPr>
        <w:tblW w:w="6804" w:type="dxa"/>
        <w:tblInd w:w="212" w:type="dxa"/>
        <w:tblLayout w:type="fixed"/>
        <w:tblCellMar>
          <w:left w:w="70" w:type="dxa"/>
          <w:right w:w="70" w:type="dxa"/>
        </w:tblCellMar>
        <w:tblLook w:val="0000" w:firstRow="0" w:lastRow="0" w:firstColumn="0" w:lastColumn="0" w:noHBand="0" w:noVBand="0"/>
      </w:tblPr>
      <w:tblGrid>
        <w:gridCol w:w="567"/>
        <w:gridCol w:w="709"/>
        <w:gridCol w:w="142"/>
        <w:gridCol w:w="1142"/>
        <w:gridCol w:w="63"/>
        <w:gridCol w:w="70"/>
        <w:gridCol w:w="1229"/>
        <w:gridCol w:w="1512"/>
        <w:gridCol w:w="1370"/>
      </w:tblGrid>
      <w:tr>
        <w:trPr>
          <w:cantSplit/>
          <w:tblHeader/>
        </w:trPr>
        <w:tc>
          <w:tcPr>
            <w:tcW w:w="567" w:type="dxa"/>
            <w:tcBorders>
              <w:top w:val="single" w:sz="4" w:space="0" w:color="auto"/>
              <w:bottom w:val="single" w:sz="4" w:space="0" w:color="auto"/>
            </w:tcBorders>
            <w:noWrap/>
          </w:tcPr>
          <w:p>
            <w:pPr>
              <w:pStyle w:val="yTableNAm"/>
            </w:pPr>
            <w:r>
              <w:rPr>
                <w:b/>
                <w:bCs/>
                <w:sz w:val="16"/>
                <w:szCs w:val="16"/>
              </w:rPr>
              <w:t>Item</w:t>
            </w:r>
          </w:p>
        </w:tc>
        <w:tc>
          <w:tcPr>
            <w:tcW w:w="851" w:type="dxa"/>
            <w:gridSpan w:val="2"/>
            <w:tcBorders>
              <w:top w:val="single" w:sz="4" w:space="0" w:color="auto"/>
              <w:bottom w:val="single" w:sz="4" w:space="0" w:color="auto"/>
            </w:tcBorders>
            <w:noWrap/>
          </w:tcPr>
          <w:p>
            <w:pPr>
              <w:pStyle w:val="yTableNAm"/>
            </w:pPr>
            <w:r>
              <w:rPr>
                <w:b/>
                <w:bCs/>
                <w:sz w:val="16"/>
                <w:szCs w:val="16"/>
              </w:rPr>
              <w:t>Wattage</w:t>
            </w:r>
          </w:p>
        </w:tc>
        <w:tc>
          <w:tcPr>
            <w:tcW w:w="1142" w:type="dxa"/>
            <w:tcBorders>
              <w:top w:val="single" w:sz="4" w:space="0" w:color="auto"/>
              <w:bottom w:val="single" w:sz="4" w:space="0" w:color="auto"/>
            </w:tcBorders>
            <w:noWrap/>
          </w:tcPr>
          <w:p>
            <w:pPr>
              <w:pStyle w:val="yTableNAm"/>
            </w:pPr>
            <w:r>
              <w:rPr>
                <w:b/>
                <w:bCs/>
                <w:sz w:val="16"/>
                <w:szCs w:val="16"/>
              </w:rPr>
              <w:t>Type</w:t>
            </w:r>
          </w:p>
        </w:tc>
        <w:tc>
          <w:tcPr>
            <w:tcW w:w="1362" w:type="dxa"/>
            <w:gridSpan w:val="3"/>
            <w:tcBorders>
              <w:top w:val="single" w:sz="4" w:space="0" w:color="auto"/>
              <w:bottom w:val="single" w:sz="4" w:space="0" w:color="auto"/>
            </w:tcBorders>
            <w:noWrap/>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noWrap/>
          </w:tcPr>
          <w:p>
            <w:pPr>
              <w:pStyle w:val="yTableNAm"/>
            </w:pPr>
            <w:r>
              <w:rPr>
                <w:b/>
                <w:bCs/>
                <w:spacing w:val="-8"/>
                <w:sz w:val="16"/>
                <w:szCs w:val="16"/>
              </w:rPr>
              <w:t>1.15 am Switch</w:t>
            </w:r>
            <w:r>
              <w:rPr>
                <w:b/>
                <w:bCs/>
                <w:spacing w:val="-8"/>
                <w:sz w:val="16"/>
                <w:szCs w:val="16"/>
              </w:rPr>
              <w:noBreakHyphen/>
              <w:t>off cents per day</w:t>
            </w:r>
          </w:p>
        </w:tc>
        <w:tc>
          <w:tcPr>
            <w:tcW w:w="1370" w:type="dxa"/>
            <w:tcBorders>
              <w:top w:val="single" w:sz="4" w:space="0" w:color="auto"/>
              <w:bottom w:val="single" w:sz="4" w:space="0" w:color="auto"/>
            </w:tcBorders>
            <w:noWrap/>
          </w:tcPr>
          <w:p>
            <w:pPr>
              <w:pStyle w:val="yTableNAm"/>
            </w:pPr>
            <w:r>
              <w:rPr>
                <w:b/>
                <w:bCs/>
                <w:spacing w:val="-8"/>
                <w:sz w:val="16"/>
                <w:szCs w:val="16"/>
              </w:rPr>
              <w:t>Dawn Switch</w:t>
            </w:r>
            <w:r>
              <w:rPr>
                <w:b/>
                <w:bCs/>
                <w:spacing w:val="-8"/>
                <w:sz w:val="16"/>
                <w:szCs w:val="16"/>
              </w:rPr>
              <w:noBreakHyphen/>
              <w:t>off cents per day</w:t>
            </w:r>
          </w:p>
        </w:tc>
      </w:tr>
      <w:tr>
        <w:trPr>
          <w:cantSplit/>
        </w:trPr>
        <w:tc>
          <w:tcPr>
            <w:tcW w:w="6804" w:type="dxa"/>
            <w:gridSpan w:val="9"/>
            <w:noWrap/>
          </w:tcPr>
          <w:p>
            <w:pPr>
              <w:pStyle w:val="yTableNAm"/>
            </w:pPr>
            <w:r>
              <w:rPr>
                <w:b/>
                <w:i/>
                <w:iCs/>
                <w:sz w:val="16"/>
                <w:szCs w:val="16"/>
              </w:rPr>
              <w:t>Street lighting on current offer and for existing services</w:t>
            </w:r>
          </w:p>
        </w:tc>
      </w:tr>
      <w:tr>
        <w:trPr>
          <w:cantSplit/>
        </w:trPr>
        <w:tc>
          <w:tcPr>
            <w:tcW w:w="567" w:type="dxa"/>
            <w:noWrap/>
          </w:tcPr>
          <w:p>
            <w:pPr>
              <w:pStyle w:val="yTableNAm"/>
              <w:rPr>
                <w:sz w:val="18"/>
                <w:szCs w:val="18"/>
              </w:rPr>
            </w:pPr>
            <w:r>
              <w:rPr>
                <w:sz w:val="18"/>
                <w:szCs w:val="18"/>
              </w:rPr>
              <w:t>Z.01</w:t>
            </w:r>
          </w:p>
        </w:tc>
        <w:tc>
          <w:tcPr>
            <w:tcW w:w="709" w:type="dxa"/>
            <w:noWrap/>
          </w:tcPr>
          <w:p>
            <w:pPr>
              <w:pStyle w:val="yTableNAm"/>
              <w:rPr>
                <w:sz w:val="18"/>
                <w:szCs w:val="18"/>
              </w:rPr>
            </w:pPr>
            <w:r>
              <w:rPr>
                <w:sz w:val="18"/>
                <w:szCs w:val="18"/>
              </w:rPr>
              <w:t>50</w:t>
            </w:r>
          </w:p>
        </w:tc>
        <w:tc>
          <w:tcPr>
            <w:tcW w:w="1417" w:type="dxa"/>
            <w:gridSpan w:val="4"/>
            <w:noWrap/>
          </w:tcPr>
          <w:p>
            <w:pPr>
              <w:pStyle w:val="yTableNAm"/>
              <w:rPr>
                <w:sz w:val="18"/>
                <w:szCs w:val="18"/>
              </w:rPr>
            </w:pPr>
            <w:r>
              <w:rPr>
                <w:sz w:val="18"/>
                <w:szCs w:val="18"/>
              </w:rPr>
              <w:t>Mercury vapour</w:t>
            </w:r>
          </w:p>
        </w:tc>
        <w:tc>
          <w:tcPr>
            <w:tcW w:w="1229" w:type="dxa"/>
            <w:noWrap/>
          </w:tcPr>
          <w:p>
            <w:pPr>
              <w:pStyle w:val="yTableNAm"/>
              <w:jc w:val="right"/>
              <w:rPr>
                <w:sz w:val="18"/>
                <w:szCs w:val="18"/>
              </w:rPr>
            </w:pPr>
            <w:del w:id="287" w:author="Master Repository Process" w:date="2025-06-27T09:29:00Z">
              <w:r>
                <w:rPr>
                  <w:sz w:val="18"/>
                  <w:szCs w:val="18"/>
                </w:rPr>
                <w:delText>35.4400</w:delText>
              </w:r>
            </w:del>
            <w:ins w:id="288" w:author="Master Repository Process" w:date="2025-06-27T09:29:00Z">
              <w:r>
                <w:rPr>
                  <w:sz w:val="18"/>
                  <w:szCs w:val="18"/>
                </w:rPr>
                <w:t>37.4034</w:t>
              </w:r>
            </w:ins>
          </w:p>
        </w:tc>
        <w:tc>
          <w:tcPr>
            <w:tcW w:w="1512" w:type="dxa"/>
            <w:noWrap/>
          </w:tcPr>
          <w:p>
            <w:pPr>
              <w:pStyle w:val="yTableNAm"/>
              <w:jc w:val="right"/>
              <w:rPr>
                <w:sz w:val="18"/>
                <w:szCs w:val="18"/>
              </w:rPr>
            </w:pPr>
            <w:del w:id="289" w:author="Master Repository Process" w:date="2025-06-27T09:29:00Z">
              <w:r>
                <w:rPr>
                  <w:sz w:val="18"/>
                  <w:szCs w:val="18"/>
                </w:rPr>
                <w:delText>36.6269</w:delText>
              </w:r>
            </w:del>
            <w:ins w:id="290" w:author="Master Repository Process" w:date="2025-06-27T09:29:00Z">
              <w:r>
                <w:rPr>
                  <w:sz w:val="18"/>
                  <w:szCs w:val="18"/>
                </w:rPr>
                <w:t>38.6560</w:t>
              </w:r>
            </w:ins>
          </w:p>
        </w:tc>
        <w:tc>
          <w:tcPr>
            <w:tcW w:w="1370" w:type="dxa"/>
            <w:noWrap/>
          </w:tcPr>
          <w:p>
            <w:pPr>
              <w:pStyle w:val="yTableNAm"/>
              <w:jc w:val="right"/>
              <w:rPr>
                <w:sz w:val="18"/>
                <w:szCs w:val="18"/>
              </w:rPr>
            </w:pPr>
            <w:del w:id="291" w:author="Master Repository Process" w:date="2025-06-27T09:29:00Z">
              <w:r>
                <w:rPr>
                  <w:sz w:val="18"/>
                  <w:szCs w:val="18"/>
                </w:rPr>
                <w:delText>41.1372</w:delText>
              </w:r>
            </w:del>
            <w:ins w:id="292" w:author="Master Repository Process" w:date="2025-06-27T09:29:00Z">
              <w:r>
                <w:rPr>
                  <w:sz w:val="18"/>
                  <w:szCs w:val="18"/>
                </w:rPr>
                <w:t>43.4162</w:t>
              </w:r>
            </w:ins>
          </w:p>
        </w:tc>
      </w:tr>
      <w:tr>
        <w:trPr>
          <w:cantSplit/>
        </w:trPr>
        <w:tc>
          <w:tcPr>
            <w:tcW w:w="567" w:type="dxa"/>
            <w:noWrap/>
          </w:tcPr>
          <w:p>
            <w:pPr>
              <w:pStyle w:val="yTableNAm"/>
              <w:rPr>
                <w:sz w:val="18"/>
                <w:szCs w:val="18"/>
              </w:rPr>
            </w:pPr>
            <w:r>
              <w:rPr>
                <w:sz w:val="18"/>
                <w:szCs w:val="18"/>
              </w:rPr>
              <w:t>Z.02</w:t>
            </w:r>
          </w:p>
        </w:tc>
        <w:tc>
          <w:tcPr>
            <w:tcW w:w="709" w:type="dxa"/>
            <w:noWrap/>
          </w:tcPr>
          <w:p>
            <w:pPr>
              <w:pStyle w:val="yTableNAm"/>
              <w:rPr>
                <w:sz w:val="18"/>
                <w:szCs w:val="18"/>
              </w:rPr>
            </w:pPr>
            <w:r>
              <w:rPr>
                <w:sz w:val="18"/>
                <w:szCs w:val="18"/>
              </w:rPr>
              <w:t>80</w:t>
            </w:r>
          </w:p>
        </w:tc>
        <w:tc>
          <w:tcPr>
            <w:tcW w:w="1417" w:type="dxa"/>
            <w:gridSpan w:val="4"/>
            <w:noWrap/>
          </w:tcPr>
          <w:p>
            <w:pPr>
              <w:pStyle w:val="yTableNAm"/>
              <w:rPr>
                <w:sz w:val="18"/>
                <w:szCs w:val="18"/>
              </w:rPr>
            </w:pPr>
            <w:r>
              <w:rPr>
                <w:sz w:val="18"/>
                <w:szCs w:val="18"/>
              </w:rPr>
              <w:t>Mercury vapour</w:t>
            </w:r>
          </w:p>
        </w:tc>
        <w:tc>
          <w:tcPr>
            <w:tcW w:w="1229" w:type="dxa"/>
            <w:noWrap/>
          </w:tcPr>
          <w:p>
            <w:pPr>
              <w:pStyle w:val="yTableNAm"/>
              <w:jc w:val="right"/>
              <w:rPr>
                <w:sz w:val="18"/>
                <w:szCs w:val="18"/>
              </w:rPr>
            </w:pPr>
            <w:del w:id="293" w:author="Master Repository Process" w:date="2025-06-27T09:29:00Z">
              <w:r>
                <w:rPr>
                  <w:sz w:val="18"/>
                  <w:szCs w:val="18"/>
                </w:rPr>
                <w:delText>45.7818</w:delText>
              </w:r>
            </w:del>
            <w:ins w:id="294" w:author="Master Repository Process" w:date="2025-06-27T09:29:00Z">
              <w:r>
                <w:rPr>
                  <w:sz w:val="18"/>
                  <w:szCs w:val="18"/>
                </w:rPr>
                <w:t>48.3181</w:t>
              </w:r>
            </w:ins>
          </w:p>
        </w:tc>
        <w:tc>
          <w:tcPr>
            <w:tcW w:w="1512" w:type="dxa"/>
            <w:noWrap/>
          </w:tcPr>
          <w:p>
            <w:pPr>
              <w:pStyle w:val="yTableNAm"/>
              <w:jc w:val="right"/>
              <w:rPr>
                <w:sz w:val="18"/>
                <w:szCs w:val="18"/>
              </w:rPr>
            </w:pPr>
            <w:del w:id="295" w:author="Master Repository Process" w:date="2025-06-27T09:29:00Z">
              <w:r>
                <w:rPr>
                  <w:sz w:val="18"/>
                  <w:szCs w:val="18"/>
                </w:rPr>
                <w:delText>47.6809</w:delText>
              </w:r>
            </w:del>
            <w:ins w:id="296" w:author="Master Repository Process" w:date="2025-06-27T09:29:00Z">
              <w:r>
                <w:rPr>
                  <w:sz w:val="18"/>
                  <w:szCs w:val="18"/>
                </w:rPr>
                <w:t>50.3224</w:t>
              </w:r>
            </w:ins>
          </w:p>
        </w:tc>
        <w:tc>
          <w:tcPr>
            <w:tcW w:w="1370" w:type="dxa"/>
            <w:noWrap/>
          </w:tcPr>
          <w:p>
            <w:pPr>
              <w:pStyle w:val="yTableNAm"/>
              <w:jc w:val="right"/>
              <w:rPr>
                <w:sz w:val="18"/>
                <w:szCs w:val="18"/>
              </w:rPr>
            </w:pPr>
            <w:del w:id="297" w:author="Master Repository Process" w:date="2025-06-27T09:29:00Z">
              <w:r>
                <w:rPr>
                  <w:sz w:val="18"/>
                  <w:szCs w:val="18"/>
                </w:rPr>
                <w:delText>54.8974</w:delText>
              </w:r>
            </w:del>
            <w:ins w:id="298" w:author="Master Repository Process" w:date="2025-06-27T09:29:00Z">
              <w:r>
                <w:rPr>
                  <w:sz w:val="18"/>
                  <w:szCs w:val="18"/>
                </w:rPr>
                <w:t>57.9387</w:t>
              </w:r>
            </w:ins>
          </w:p>
        </w:tc>
      </w:tr>
      <w:tr>
        <w:trPr>
          <w:cantSplit/>
        </w:trPr>
        <w:tc>
          <w:tcPr>
            <w:tcW w:w="567" w:type="dxa"/>
            <w:noWrap/>
          </w:tcPr>
          <w:p>
            <w:pPr>
              <w:pStyle w:val="yTableNAm"/>
              <w:rPr>
                <w:sz w:val="18"/>
                <w:szCs w:val="18"/>
              </w:rPr>
            </w:pPr>
            <w:r>
              <w:rPr>
                <w:sz w:val="18"/>
                <w:szCs w:val="18"/>
              </w:rPr>
              <w:t>Z.03</w:t>
            </w:r>
          </w:p>
        </w:tc>
        <w:tc>
          <w:tcPr>
            <w:tcW w:w="709" w:type="dxa"/>
            <w:noWrap/>
          </w:tcPr>
          <w:p>
            <w:pPr>
              <w:pStyle w:val="yTableNAm"/>
              <w:rPr>
                <w:sz w:val="18"/>
                <w:szCs w:val="18"/>
              </w:rPr>
            </w:pPr>
            <w:r>
              <w:rPr>
                <w:sz w:val="18"/>
                <w:szCs w:val="18"/>
              </w:rPr>
              <w:t>125</w:t>
            </w:r>
          </w:p>
        </w:tc>
        <w:tc>
          <w:tcPr>
            <w:tcW w:w="1417" w:type="dxa"/>
            <w:gridSpan w:val="4"/>
            <w:noWrap/>
          </w:tcPr>
          <w:p>
            <w:pPr>
              <w:pStyle w:val="yTableNAm"/>
              <w:rPr>
                <w:sz w:val="18"/>
                <w:szCs w:val="18"/>
              </w:rPr>
            </w:pPr>
            <w:r>
              <w:rPr>
                <w:sz w:val="18"/>
                <w:szCs w:val="18"/>
              </w:rPr>
              <w:t>Mercury vapour</w:t>
            </w:r>
          </w:p>
        </w:tc>
        <w:tc>
          <w:tcPr>
            <w:tcW w:w="1229" w:type="dxa"/>
            <w:noWrap/>
          </w:tcPr>
          <w:p>
            <w:pPr>
              <w:pStyle w:val="yTableNAm"/>
              <w:jc w:val="right"/>
              <w:rPr>
                <w:sz w:val="18"/>
                <w:szCs w:val="18"/>
              </w:rPr>
            </w:pPr>
            <w:del w:id="299" w:author="Master Repository Process" w:date="2025-06-27T09:29:00Z">
              <w:r>
                <w:rPr>
                  <w:sz w:val="18"/>
                  <w:szCs w:val="18"/>
                </w:rPr>
                <w:delText>56.2423</w:delText>
              </w:r>
            </w:del>
            <w:ins w:id="300" w:author="Master Repository Process" w:date="2025-06-27T09:29:00Z">
              <w:r>
                <w:rPr>
                  <w:sz w:val="18"/>
                  <w:szCs w:val="18"/>
                </w:rPr>
                <w:t>59.3581</w:t>
              </w:r>
            </w:ins>
          </w:p>
        </w:tc>
        <w:tc>
          <w:tcPr>
            <w:tcW w:w="1512" w:type="dxa"/>
            <w:noWrap/>
          </w:tcPr>
          <w:p>
            <w:pPr>
              <w:pStyle w:val="yTableNAm"/>
              <w:jc w:val="right"/>
              <w:rPr>
                <w:sz w:val="18"/>
                <w:szCs w:val="18"/>
              </w:rPr>
            </w:pPr>
            <w:del w:id="301" w:author="Master Repository Process" w:date="2025-06-27T09:29:00Z">
              <w:r>
                <w:rPr>
                  <w:sz w:val="18"/>
                  <w:szCs w:val="18"/>
                </w:rPr>
                <w:delText>59.2096</w:delText>
              </w:r>
            </w:del>
            <w:ins w:id="302" w:author="Master Repository Process" w:date="2025-06-27T09:29:00Z">
              <w:r>
                <w:rPr>
                  <w:sz w:val="18"/>
                  <w:szCs w:val="18"/>
                </w:rPr>
                <w:t>62.4898</w:t>
              </w:r>
            </w:ins>
          </w:p>
        </w:tc>
        <w:tc>
          <w:tcPr>
            <w:tcW w:w="1370" w:type="dxa"/>
            <w:noWrap/>
          </w:tcPr>
          <w:p>
            <w:pPr>
              <w:pStyle w:val="yTableNAm"/>
              <w:jc w:val="right"/>
              <w:rPr>
                <w:sz w:val="18"/>
                <w:szCs w:val="18"/>
              </w:rPr>
            </w:pPr>
            <w:del w:id="303" w:author="Master Repository Process" w:date="2025-06-27T09:29:00Z">
              <w:r>
                <w:rPr>
                  <w:sz w:val="18"/>
                  <w:szCs w:val="18"/>
                </w:rPr>
                <w:delText>70.4854</w:delText>
              </w:r>
            </w:del>
            <w:ins w:id="304" w:author="Master Repository Process" w:date="2025-06-27T09:29:00Z">
              <w:r>
                <w:rPr>
                  <w:sz w:val="18"/>
                  <w:szCs w:val="18"/>
                </w:rPr>
                <w:t>74.3903</w:t>
              </w:r>
            </w:ins>
          </w:p>
        </w:tc>
      </w:tr>
      <w:tr>
        <w:trPr>
          <w:cantSplit/>
        </w:trPr>
        <w:tc>
          <w:tcPr>
            <w:tcW w:w="567" w:type="dxa"/>
            <w:noWrap/>
          </w:tcPr>
          <w:p>
            <w:pPr>
              <w:pStyle w:val="yTableNAm"/>
              <w:rPr>
                <w:sz w:val="18"/>
                <w:szCs w:val="18"/>
              </w:rPr>
            </w:pPr>
            <w:r>
              <w:rPr>
                <w:sz w:val="18"/>
                <w:szCs w:val="18"/>
              </w:rPr>
              <w:t>Z.07</w:t>
            </w:r>
          </w:p>
        </w:tc>
        <w:tc>
          <w:tcPr>
            <w:tcW w:w="709" w:type="dxa"/>
            <w:noWrap/>
          </w:tcPr>
          <w:p>
            <w:pPr>
              <w:pStyle w:val="yTableNAm"/>
              <w:rPr>
                <w:sz w:val="18"/>
                <w:szCs w:val="18"/>
              </w:rPr>
            </w:pPr>
            <w:r>
              <w:rPr>
                <w:sz w:val="18"/>
                <w:szCs w:val="18"/>
              </w:rPr>
              <w:t>250</w:t>
            </w:r>
          </w:p>
        </w:tc>
        <w:tc>
          <w:tcPr>
            <w:tcW w:w="1417" w:type="dxa"/>
            <w:gridSpan w:val="4"/>
            <w:noWrap/>
          </w:tcPr>
          <w:p>
            <w:pPr>
              <w:pStyle w:val="yTableNAm"/>
              <w:rPr>
                <w:sz w:val="18"/>
                <w:szCs w:val="18"/>
              </w:rPr>
            </w:pPr>
            <w:r>
              <w:rPr>
                <w:sz w:val="18"/>
                <w:szCs w:val="18"/>
              </w:rPr>
              <w:t>Mercury vapour</w:t>
            </w:r>
          </w:p>
        </w:tc>
        <w:tc>
          <w:tcPr>
            <w:tcW w:w="1229" w:type="dxa"/>
            <w:noWrap/>
          </w:tcPr>
          <w:p>
            <w:pPr>
              <w:pStyle w:val="yTableNAm"/>
              <w:jc w:val="right"/>
              <w:rPr>
                <w:sz w:val="18"/>
                <w:szCs w:val="18"/>
              </w:rPr>
            </w:pPr>
            <w:del w:id="305" w:author="Master Repository Process" w:date="2025-06-27T09:29:00Z">
              <w:r>
                <w:rPr>
                  <w:sz w:val="18"/>
                  <w:szCs w:val="18"/>
                </w:rPr>
                <w:delText>80.6260</w:delText>
              </w:r>
            </w:del>
            <w:ins w:id="306" w:author="Master Repository Process" w:date="2025-06-27T09:29:00Z">
              <w:r>
                <w:rPr>
                  <w:sz w:val="18"/>
                  <w:szCs w:val="18"/>
                </w:rPr>
                <w:t>85.0927</w:t>
              </w:r>
            </w:ins>
          </w:p>
        </w:tc>
        <w:tc>
          <w:tcPr>
            <w:tcW w:w="1512" w:type="dxa"/>
            <w:noWrap/>
          </w:tcPr>
          <w:p>
            <w:pPr>
              <w:pStyle w:val="yTableNAm"/>
              <w:jc w:val="right"/>
              <w:rPr>
                <w:sz w:val="18"/>
                <w:szCs w:val="18"/>
              </w:rPr>
            </w:pPr>
            <w:del w:id="307" w:author="Master Repository Process" w:date="2025-06-27T09:29:00Z">
              <w:r>
                <w:rPr>
                  <w:sz w:val="18"/>
                  <w:szCs w:val="18"/>
                </w:rPr>
                <w:delText>86.5607</w:delText>
              </w:r>
            </w:del>
            <w:ins w:id="308" w:author="Master Repository Process" w:date="2025-06-27T09:29:00Z">
              <w:r>
                <w:rPr>
                  <w:sz w:val="18"/>
                  <w:szCs w:val="18"/>
                </w:rPr>
                <w:t>91.3562</w:t>
              </w:r>
            </w:ins>
          </w:p>
        </w:tc>
        <w:tc>
          <w:tcPr>
            <w:tcW w:w="1370" w:type="dxa"/>
            <w:noWrap/>
          </w:tcPr>
          <w:p>
            <w:pPr>
              <w:pStyle w:val="yTableNAm"/>
              <w:jc w:val="right"/>
              <w:rPr>
                <w:sz w:val="18"/>
                <w:szCs w:val="18"/>
              </w:rPr>
            </w:pPr>
            <w:del w:id="309" w:author="Master Repository Process" w:date="2025-06-27T09:29:00Z">
              <w:r>
                <w:rPr>
                  <w:sz w:val="18"/>
                  <w:szCs w:val="18"/>
                </w:rPr>
                <w:delText>109.1123</w:delText>
              </w:r>
            </w:del>
            <w:ins w:id="310" w:author="Master Repository Process" w:date="2025-06-27T09:29:00Z">
              <w:r>
                <w:rPr>
                  <w:sz w:val="18"/>
                  <w:szCs w:val="18"/>
                </w:rPr>
                <w:t>115.1571</w:t>
              </w:r>
            </w:ins>
          </w:p>
        </w:tc>
      </w:tr>
      <w:tr>
        <w:trPr>
          <w:cantSplit/>
        </w:trPr>
        <w:tc>
          <w:tcPr>
            <w:tcW w:w="567" w:type="dxa"/>
            <w:noWrap/>
          </w:tcPr>
          <w:p>
            <w:pPr>
              <w:pStyle w:val="yTableNAm"/>
              <w:rPr>
                <w:sz w:val="18"/>
                <w:szCs w:val="18"/>
              </w:rPr>
            </w:pPr>
            <w:r>
              <w:rPr>
                <w:sz w:val="18"/>
                <w:szCs w:val="18"/>
              </w:rPr>
              <w:t>Z.10</w:t>
            </w:r>
          </w:p>
        </w:tc>
        <w:tc>
          <w:tcPr>
            <w:tcW w:w="709" w:type="dxa"/>
            <w:noWrap/>
          </w:tcPr>
          <w:p>
            <w:pPr>
              <w:pStyle w:val="yTableNAm"/>
              <w:rPr>
                <w:sz w:val="18"/>
                <w:szCs w:val="18"/>
              </w:rPr>
            </w:pPr>
            <w:r>
              <w:rPr>
                <w:sz w:val="18"/>
                <w:szCs w:val="18"/>
              </w:rPr>
              <w:t>400</w:t>
            </w:r>
          </w:p>
        </w:tc>
        <w:tc>
          <w:tcPr>
            <w:tcW w:w="1417" w:type="dxa"/>
            <w:gridSpan w:val="4"/>
            <w:noWrap/>
          </w:tcPr>
          <w:p>
            <w:pPr>
              <w:pStyle w:val="yTableNAm"/>
              <w:rPr>
                <w:sz w:val="18"/>
                <w:szCs w:val="18"/>
              </w:rPr>
            </w:pPr>
            <w:r>
              <w:rPr>
                <w:sz w:val="18"/>
                <w:szCs w:val="18"/>
              </w:rPr>
              <w:t>Mercury vapour</w:t>
            </w:r>
          </w:p>
        </w:tc>
        <w:tc>
          <w:tcPr>
            <w:tcW w:w="1229" w:type="dxa"/>
            <w:noWrap/>
          </w:tcPr>
          <w:p>
            <w:pPr>
              <w:pStyle w:val="yTableNAm"/>
              <w:jc w:val="right"/>
              <w:rPr>
                <w:sz w:val="18"/>
                <w:szCs w:val="18"/>
              </w:rPr>
            </w:pPr>
            <w:del w:id="311" w:author="Master Repository Process" w:date="2025-06-27T09:29:00Z">
              <w:r>
                <w:rPr>
                  <w:sz w:val="18"/>
                  <w:szCs w:val="18"/>
                </w:rPr>
                <w:delText>93.4760</w:delText>
              </w:r>
            </w:del>
            <w:ins w:id="312" w:author="Master Repository Process" w:date="2025-06-27T09:29:00Z">
              <w:r>
                <w:rPr>
                  <w:sz w:val="18"/>
                  <w:szCs w:val="18"/>
                </w:rPr>
                <w:t>98.6546</w:t>
              </w:r>
            </w:ins>
          </w:p>
        </w:tc>
        <w:tc>
          <w:tcPr>
            <w:tcW w:w="1512" w:type="dxa"/>
            <w:noWrap/>
          </w:tcPr>
          <w:p>
            <w:pPr>
              <w:pStyle w:val="yTableNAm"/>
              <w:jc w:val="right"/>
              <w:rPr>
                <w:sz w:val="18"/>
                <w:szCs w:val="18"/>
              </w:rPr>
            </w:pPr>
            <w:del w:id="313" w:author="Master Repository Process" w:date="2025-06-27T09:29:00Z">
              <w:r>
                <w:rPr>
                  <w:sz w:val="18"/>
                  <w:szCs w:val="18"/>
                </w:rPr>
                <w:delText>97.2915</w:delText>
              </w:r>
            </w:del>
            <w:ins w:id="314" w:author="Master Repository Process" w:date="2025-06-27T09:29:00Z">
              <w:r>
                <w:rPr>
                  <w:sz w:val="18"/>
                  <w:szCs w:val="18"/>
                </w:rPr>
                <w:t>102.6814</w:t>
              </w:r>
            </w:ins>
          </w:p>
        </w:tc>
        <w:tc>
          <w:tcPr>
            <w:tcW w:w="1370" w:type="dxa"/>
            <w:noWrap/>
          </w:tcPr>
          <w:p>
            <w:pPr>
              <w:pStyle w:val="yTableNAm"/>
              <w:jc w:val="right"/>
              <w:rPr>
                <w:sz w:val="18"/>
                <w:szCs w:val="18"/>
              </w:rPr>
            </w:pPr>
            <w:del w:id="315" w:author="Master Repository Process" w:date="2025-06-27T09:29:00Z">
              <w:r>
                <w:rPr>
                  <w:sz w:val="18"/>
                  <w:szCs w:val="18"/>
                </w:rPr>
                <w:delText>143.6359</w:delText>
              </w:r>
            </w:del>
            <w:ins w:id="316" w:author="Master Repository Process" w:date="2025-06-27T09:29:00Z">
              <w:r>
                <w:rPr>
                  <w:sz w:val="18"/>
                  <w:szCs w:val="18"/>
                </w:rPr>
                <w:t>151.5933</w:t>
              </w:r>
            </w:ins>
          </w:p>
        </w:tc>
      </w:tr>
      <w:tr>
        <w:trPr>
          <w:cantSplit/>
        </w:trPr>
        <w:tc>
          <w:tcPr>
            <w:tcW w:w="567" w:type="dxa"/>
            <w:noWrap/>
          </w:tcPr>
          <w:p>
            <w:pPr>
              <w:pStyle w:val="yTableNAm"/>
              <w:rPr>
                <w:sz w:val="18"/>
                <w:szCs w:val="18"/>
              </w:rPr>
            </w:pPr>
            <w:r>
              <w:rPr>
                <w:sz w:val="18"/>
                <w:szCs w:val="18"/>
              </w:rPr>
              <w:t>Z.13</w:t>
            </w:r>
          </w:p>
        </w:tc>
        <w:tc>
          <w:tcPr>
            <w:tcW w:w="709" w:type="dxa"/>
            <w:noWrap/>
          </w:tcPr>
          <w:p>
            <w:pPr>
              <w:pStyle w:val="yTableNAm"/>
              <w:rPr>
                <w:sz w:val="18"/>
                <w:szCs w:val="18"/>
              </w:rPr>
            </w:pPr>
            <w:r>
              <w:rPr>
                <w:sz w:val="18"/>
                <w:szCs w:val="18"/>
              </w:rPr>
              <w:t>150</w:t>
            </w:r>
          </w:p>
        </w:tc>
        <w:tc>
          <w:tcPr>
            <w:tcW w:w="1417" w:type="dxa"/>
            <w:gridSpan w:val="4"/>
            <w:noWrap/>
          </w:tcPr>
          <w:p>
            <w:pPr>
              <w:pStyle w:val="yTableNAm"/>
              <w:rPr>
                <w:sz w:val="18"/>
                <w:szCs w:val="18"/>
              </w:rPr>
            </w:pPr>
            <w:r>
              <w:rPr>
                <w:sz w:val="18"/>
                <w:szCs w:val="18"/>
              </w:rPr>
              <w:t>High pressure sodium</w:t>
            </w:r>
          </w:p>
        </w:tc>
        <w:tc>
          <w:tcPr>
            <w:tcW w:w="1229" w:type="dxa"/>
            <w:noWrap/>
          </w:tcPr>
          <w:p>
            <w:pPr>
              <w:pStyle w:val="yTableNAm"/>
              <w:jc w:val="right"/>
              <w:rPr>
                <w:sz w:val="18"/>
                <w:szCs w:val="18"/>
              </w:rPr>
            </w:pPr>
            <w:del w:id="317" w:author="Master Repository Process" w:date="2025-06-27T09:29:00Z">
              <w:r>
                <w:rPr>
                  <w:sz w:val="18"/>
                  <w:szCs w:val="18"/>
                </w:rPr>
                <w:delText>61.7481</w:delText>
              </w:r>
            </w:del>
            <w:ins w:id="318" w:author="Master Repository Process" w:date="2025-06-27T09:29:00Z">
              <w:r>
                <w:rPr>
                  <w:sz w:val="18"/>
                  <w:szCs w:val="18"/>
                </w:rPr>
                <w:t>65.1689</w:t>
              </w:r>
            </w:ins>
          </w:p>
        </w:tc>
        <w:tc>
          <w:tcPr>
            <w:tcW w:w="1512" w:type="dxa"/>
            <w:noWrap/>
          </w:tcPr>
          <w:p>
            <w:pPr>
              <w:pStyle w:val="yTableNAm"/>
              <w:jc w:val="right"/>
              <w:rPr>
                <w:sz w:val="18"/>
                <w:szCs w:val="18"/>
              </w:rPr>
            </w:pPr>
            <w:del w:id="319" w:author="Master Repository Process" w:date="2025-06-27T09:29:00Z">
              <w:r>
                <w:rPr>
                  <w:sz w:val="18"/>
                  <w:szCs w:val="18"/>
                </w:rPr>
                <w:delText>65.3090</w:delText>
              </w:r>
            </w:del>
            <w:ins w:id="320" w:author="Master Repository Process" w:date="2025-06-27T09:29:00Z">
              <w:r>
                <w:rPr>
                  <w:sz w:val="18"/>
                  <w:szCs w:val="18"/>
                </w:rPr>
                <w:t>68.9271</w:t>
              </w:r>
            </w:ins>
          </w:p>
        </w:tc>
        <w:tc>
          <w:tcPr>
            <w:tcW w:w="1370" w:type="dxa"/>
            <w:noWrap/>
          </w:tcPr>
          <w:p>
            <w:pPr>
              <w:pStyle w:val="yTableNAm"/>
              <w:jc w:val="right"/>
              <w:rPr>
                <w:sz w:val="18"/>
                <w:szCs w:val="18"/>
              </w:rPr>
            </w:pPr>
            <w:del w:id="321" w:author="Master Repository Process" w:date="2025-06-27T09:29:00Z">
              <w:r>
                <w:rPr>
                  <w:sz w:val="18"/>
                  <w:szCs w:val="18"/>
                </w:rPr>
                <w:delText>78.8397</w:delText>
              </w:r>
            </w:del>
            <w:ins w:id="322" w:author="Master Repository Process" w:date="2025-06-27T09:29:00Z">
              <w:r>
                <w:rPr>
                  <w:sz w:val="18"/>
                  <w:szCs w:val="18"/>
                </w:rPr>
                <w:t>83.2074</w:t>
              </w:r>
            </w:ins>
          </w:p>
        </w:tc>
      </w:tr>
      <w:tr>
        <w:trPr>
          <w:cantSplit/>
        </w:trPr>
        <w:tc>
          <w:tcPr>
            <w:tcW w:w="567" w:type="dxa"/>
            <w:noWrap/>
          </w:tcPr>
          <w:p>
            <w:pPr>
              <w:pStyle w:val="yTableNAm"/>
              <w:rPr>
                <w:sz w:val="18"/>
                <w:szCs w:val="18"/>
              </w:rPr>
            </w:pPr>
            <w:r>
              <w:rPr>
                <w:sz w:val="18"/>
                <w:szCs w:val="18"/>
              </w:rPr>
              <w:t>Z.15</w:t>
            </w:r>
          </w:p>
        </w:tc>
        <w:tc>
          <w:tcPr>
            <w:tcW w:w="709" w:type="dxa"/>
            <w:noWrap/>
          </w:tcPr>
          <w:p>
            <w:pPr>
              <w:pStyle w:val="yTableNAm"/>
              <w:rPr>
                <w:sz w:val="18"/>
                <w:szCs w:val="18"/>
              </w:rPr>
            </w:pPr>
            <w:r>
              <w:rPr>
                <w:sz w:val="18"/>
                <w:szCs w:val="18"/>
              </w:rPr>
              <w:t>250</w:t>
            </w:r>
          </w:p>
        </w:tc>
        <w:tc>
          <w:tcPr>
            <w:tcW w:w="1417" w:type="dxa"/>
            <w:gridSpan w:val="4"/>
            <w:noWrap/>
          </w:tcPr>
          <w:p>
            <w:pPr>
              <w:pStyle w:val="yTableNAm"/>
              <w:rPr>
                <w:sz w:val="18"/>
                <w:szCs w:val="18"/>
              </w:rPr>
            </w:pPr>
            <w:r>
              <w:rPr>
                <w:sz w:val="18"/>
                <w:szCs w:val="18"/>
              </w:rPr>
              <w:t>High pressure sodium</w:t>
            </w:r>
          </w:p>
        </w:tc>
        <w:tc>
          <w:tcPr>
            <w:tcW w:w="1229" w:type="dxa"/>
            <w:noWrap/>
          </w:tcPr>
          <w:p>
            <w:pPr>
              <w:pStyle w:val="yTableNAm"/>
              <w:jc w:val="right"/>
              <w:rPr>
                <w:sz w:val="18"/>
                <w:szCs w:val="18"/>
              </w:rPr>
            </w:pPr>
            <w:del w:id="323" w:author="Master Repository Process" w:date="2025-06-27T09:29:00Z">
              <w:r>
                <w:rPr>
                  <w:sz w:val="18"/>
                  <w:szCs w:val="18"/>
                </w:rPr>
                <w:delText>71.8322</w:delText>
              </w:r>
            </w:del>
            <w:ins w:id="324" w:author="Master Repository Process" w:date="2025-06-27T09:29:00Z">
              <w:r>
                <w:rPr>
                  <w:sz w:val="18"/>
                  <w:szCs w:val="18"/>
                </w:rPr>
                <w:t>75.8117</w:t>
              </w:r>
            </w:ins>
          </w:p>
        </w:tc>
        <w:tc>
          <w:tcPr>
            <w:tcW w:w="1512" w:type="dxa"/>
            <w:noWrap/>
          </w:tcPr>
          <w:p>
            <w:pPr>
              <w:pStyle w:val="yTableNAm"/>
              <w:jc w:val="right"/>
              <w:rPr>
                <w:sz w:val="18"/>
                <w:szCs w:val="18"/>
              </w:rPr>
            </w:pPr>
            <w:del w:id="325" w:author="Master Repository Process" w:date="2025-06-27T09:29:00Z">
              <w:r>
                <w:rPr>
                  <w:sz w:val="18"/>
                  <w:szCs w:val="18"/>
                </w:rPr>
                <w:delText>77.7669</w:delText>
              </w:r>
            </w:del>
            <w:ins w:id="326" w:author="Master Repository Process" w:date="2025-06-27T09:29:00Z">
              <w:r>
                <w:rPr>
                  <w:sz w:val="18"/>
                  <w:szCs w:val="18"/>
                </w:rPr>
                <w:t>82.0752</w:t>
              </w:r>
            </w:ins>
          </w:p>
        </w:tc>
        <w:tc>
          <w:tcPr>
            <w:tcW w:w="1370" w:type="dxa"/>
            <w:noWrap/>
          </w:tcPr>
          <w:p>
            <w:pPr>
              <w:pStyle w:val="yTableNAm"/>
              <w:jc w:val="right"/>
              <w:rPr>
                <w:sz w:val="18"/>
                <w:szCs w:val="18"/>
              </w:rPr>
            </w:pPr>
            <w:del w:id="327" w:author="Master Repository Process" w:date="2025-06-27T09:29:00Z">
              <w:r>
                <w:rPr>
                  <w:sz w:val="18"/>
                  <w:szCs w:val="18"/>
                </w:rPr>
                <w:delText>100.3185</w:delText>
              </w:r>
            </w:del>
            <w:ins w:id="328" w:author="Master Repository Process" w:date="2025-06-27T09:29:00Z">
              <w:r>
                <w:rPr>
                  <w:sz w:val="18"/>
                  <w:szCs w:val="18"/>
                </w:rPr>
                <w:t>105.8761</w:t>
              </w:r>
            </w:ins>
          </w:p>
        </w:tc>
      </w:tr>
      <w:tr>
        <w:trPr>
          <w:cantSplit/>
        </w:trPr>
        <w:tc>
          <w:tcPr>
            <w:tcW w:w="567" w:type="dxa"/>
            <w:noWrap/>
          </w:tcPr>
          <w:p>
            <w:pPr>
              <w:pStyle w:val="yTableNAm"/>
              <w:rPr>
                <w:sz w:val="18"/>
                <w:szCs w:val="18"/>
              </w:rPr>
            </w:pPr>
            <w:r>
              <w:rPr>
                <w:sz w:val="18"/>
                <w:szCs w:val="18"/>
              </w:rPr>
              <w:t>Z.18</w:t>
            </w:r>
          </w:p>
        </w:tc>
        <w:tc>
          <w:tcPr>
            <w:tcW w:w="709" w:type="dxa"/>
            <w:noWrap/>
          </w:tcPr>
          <w:p>
            <w:pPr>
              <w:pStyle w:val="yTableNAm"/>
              <w:rPr>
                <w:sz w:val="18"/>
                <w:szCs w:val="18"/>
              </w:rPr>
            </w:pPr>
            <w:r>
              <w:rPr>
                <w:sz w:val="18"/>
                <w:szCs w:val="18"/>
              </w:rPr>
              <w:t>per kW</w:t>
            </w:r>
          </w:p>
        </w:tc>
        <w:tc>
          <w:tcPr>
            <w:tcW w:w="1417" w:type="dxa"/>
            <w:gridSpan w:val="4"/>
            <w:noWrap/>
          </w:tcPr>
          <w:p>
            <w:pPr>
              <w:pStyle w:val="yTableNAm"/>
              <w:rPr>
                <w:sz w:val="18"/>
                <w:szCs w:val="18"/>
              </w:rPr>
            </w:pPr>
            <w:r>
              <w:rPr>
                <w:sz w:val="18"/>
                <w:szCs w:val="18"/>
              </w:rPr>
              <w:t>Auxiliary lighting in public places</w:t>
            </w:r>
          </w:p>
        </w:tc>
        <w:tc>
          <w:tcPr>
            <w:tcW w:w="1229" w:type="dxa"/>
            <w:noWrap/>
          </w:tcPr>
          <w:p>
            <w:pPr>
              <w:pStyle w:val="yTableNAm"/>
              <w:jc w:val="right"/>
              <w:rPr>
                <w:sz w:val="18"/>
                <w:szCs w:val="18"/>
              </w:rPr>
            </w:pPr>
            <w:r>
              <w:rPr>
                <w:sz w:val="18"/>
                <w:szCs w:val="18"/>
              </w:rPr>
              <w:t>Not applicable</w:t>
            </w:r>
          </w:p>
        </w:tc>
        <w:tc>
          <w:tcPr>
            <w:tcW w:w="1512" w:type="dxa"/>
            <w:noWrap/>
          </w:tcPr>
          <w:p>
            <w:pPr>
              <w:pStyle w:val="yTableNAm"/>
              <w:jc w:val="right"/>
              <w:rPr>
                <w:sz w:val="18"/>
                <w:szCs w:val="18"/>
              </w:rPr>
            </w:pPr>
            <w:r>
              <w:rPr>
                <w:sz w:val="18"/>
                <w:szCs w:val="18"/>
              </w:rPr>
              <w:t>Not applicable</w:t>
            </w:r>
          </w:p>
        </w:tc>
        <w:tc>
          <w:tcPr>
            <w:tcW w:w="1370" w:type="dxa"/>
            <w:noWrap/>
          </w:tcPr>
          <w:p>
            <w:pPr>
              <w:pStyle w:val="yTableNAm"/>
              <w:jc w:val="right"/>
              <w:rPr>
                <w:sz w:val="18"/>
                <w:szCs w:val="18"/>
              </w:rPr>
            </w:pPr>
            <w:del w:id="329" w:author="Master Repository Process" w:date="2025-06-27T09:29:00Z">
              <w:r>
                <w:rPr>
                  <w:sz w:val="18"/>
                  <w:szCs w:val="18"/>
                </w:rPr>
                <w:delText>314.3270</w:delText>
              </w:r>
            </w:del>
            <w:ins w:id="330" w:author="Master Repository Process" w:date="2025-06-27T09:29:00Z">
              <w:r>
                <w:rPr>
                  <w:sz w:val="18"/>
                  <w:szCs w:val="18"/>
                </w:rPr>
                <w:t>331.7407</w:t>
              </w:r>
            </w:ins>
          </w:p>
        </w:tc>
      </w:tr>
      <w:tr>
        <w:trPr>
          <w:cantSplit/>
        </w:trPr>
        <w:tc>
          <w:tcPr>
            <w:tcW w:w="6804" w:type="dxa"/>
            <w:gridSpan w:val="9"/>
            <w:noWrap/>
          </w:tcPr>
          <w:p>
            <w:pPr>
              <w:pStyle w:val="yTableNAm"/>
              <w:keepNext/>
              <w:keepLines/>
            </w:pPr>
            <w:r>
              <w:rPr>
                <w:b/>
                <w:i/>
                <w:iCs/>
                <w:sz w:val="16"/>
                <w:szCs w:val="16"/>
              </w:rPr>
              <w:t>Street lighting for existing services only</w:t>
            </w:r>
          </w:p>
        </w:tc>
      </w:tr>
      <w:tr>
        <w:trPr>
          <w:cantSplit/>
        </w:trPr>
        <w:tc>
          <w:tcPr>
            <w:tcW w:w="567" w:type="dxa"/>
            <w:noWrap/>
          </w:tcPr>
          <w:p>
            <w:pPr>
              <w:pStyle w:val="yTableNAm"/>
              <w:keepNext/>
              <w:rPr>
                <w:sz w:val="18"/>
                <w:szCs w:val="18"/>
              </w:rPr>
            </w:pPr>
            <w:r>
              <w:rPr>
                <w:sz w:val="18"/>
                <w:szCs w:val="18"/>
              </w:rPr>
              <w:t>Z.52</w:t>
            </w:r>
          </w:p>
        </w:tc>
        <w:tc>
          <w:tcPr>
            <w:tcW w:w="851" w:type="dxa"/>
            <w:gridSpan w:val="2"/>
            <w:noWrap/>
          </w:tcPr>
          <w:p>
            <w:pPr>
              <w:pStyle w:val="yTableNAm"/>
              <w:keepNext/>
              <w:rPr>
                <w:sz w:val="18"/>
                <w:szCs w:val="18"/>
              </w:rPr>
            </w:pPr>
            <w:r>
              <w:rPr>
                <w:sz w:val="18"/>
                <w:szCs w:val="18"/>
              </w:rPr>
              <w:t>100</w:t>
            </w:r>
          </w:p>
        </w:tc>
        <w:tc>
          <w:tcPr>
            <w:tcW w:w="1205" w:type="dxa"/>
            <w:gridSpan w:val="2"/>
            <w:noWrap/>
          </w:tcPr>
          <w:p>
            <w:pPr>
              <w:pStyle w:val="yTableNAm"/>
              <w:keepNext/>
              <w:rPr>
                <w:sz w:val="18"/>
                <w:szCs w:val="18"/>
              </w:rPr>
            </w:pPr>
            <w:r>
              <w:rPr>
                <w:sz w:val="18"/>
                <w:szCs w:val="18"/>
              </w:rPr>
              <w:t>Incandescent</w:t>
            </w:r>
          </w:p>
        </w:tc>
        <w:tc>
          <w:tcPr>
            <w:tcW w:w="1299" w:type="dxa"/>
            <w:gridSpan w:val="2"/>
            <w:noWrap/>
          </w:tcPr>
          <w:p>
            <w:pPr>
              <w:pStyle w:val="yTableNAm"/>
              <w:keepNext/>
              <w:jc w:val="right"/>
              <w:rPr>
                <w:sz w:val="18"/>
                <w:szCs w:val="18"/>
              </w:rPr>
            </w:pPr>
            <w:del w:id="331" w:author="Master Repository Process" w:date="2025-06-27T09:29:00Z">
              <w:r>
                <w:rPr>
                  <w:sz w:val="18"/>
                  <w:szCs w:val="18"/>
                </w:rPr>
                <w:delText>40.4820</w:delText>
              </w:r>
            </w:del>
            <w:ins w:id="332" w:author="Master Repository Process" w:date="2025-06-27T09:29:00Z">
              <w:r>
                <w:rPr>
                  <w:sz w:val="18"/>
                  <w:szCs w:val="18"/>
                </w:rPr>
                <w:t>42.7247</w:t>
              </w:r>
            </w:ins>
          </w:p>
        </w:tc>
        <w:tc>
          <w:tcPr>
            <w:tcW w:w="1512" w:type="dxa"/>
            <w:noWrap/>
          </w:tcPr>
          <w:p>
            <w:pPr>
              <w:pStyle w:val="yTableNAm"/>
              <w:keepNext/>
              <w:jc w:val="right"/>
              <w:rPr>
                <w:sz w:val="18"/>
                <w:szCs w:val="18"/>
              </w:rPr>
            </w:pPr>
            <w:del w:id="333" w:author="Master Repository Process" w:date="2025-06-27T09:29:00Z">
              <w:r>
                <w:rPr>
                  <w:sz w:val="18"/>
                  <w:szCs w:val="18"/>
                </w:rPr>
                <w:delText>42.1674</w:delText>
              </w:r>
            </w:del>
            <w:ins w:id="334" w:author="Master Repository Process" w:date="2025-06-27T09:29:00Z">
              <w:r>
                <w:rPr>
                  <w:sz w:val="18"/>
                  <w:szCs w:val="18"/>
                </w:rPr>
                <w:t>44.5035</w:t>
              </w:r>
            </w:ins>
          </w:p>
        </w:tc>
        <w:tc>
          <w:tcPr>
            <w:tcW w:w="1370" w:type="dxa"/>
            <w:noWrap/>
          </w:tcPr>
          <w:p>
            <w:pPr>
              <w:pStyle w:val="yTableNAm"/>
              <w:keepNext/>
              <w:jc w:val="right"/>
              <w:rPr>
                <w:sz w:val="18"/>
                <w:szCs w:val="18"/>
              </w:rPr>
            </w:pPr>
            <w:del w:id="335" w:author="Master Repository Process" w:date="2025-06-27T09:29:00Z">
              <w:r>
                <w:rPr>
                  <w:sz w:val="18"/>
                  <w:szCs w:val="18"/>
                </w:rPr>
                <w:delText>46.8751</w:delText>
              </w:r>
            </w:del>
            <w:ins w:id="336" w:author="Master Repository Process" w:date="2025-06-27T09:29:00Z">
              <w:r>
                <w:rPr>
                  <w:sz w:val="18"/>
                  <w:szCs w:val="18"/>
                </w:rPr>
                <w:t>49.4720</w:t>
              </w:r>
            </w:ins>
          </w:p>
        </w:tc>
      </w:tr>
      <w:tr>
        <w:trPr>
          <w:cantSplit/>
        </w:trPr>
        <w:tc>
          <w:tcPr>
            <w:tcW w:w="567" w:type="dxa"/>
            <w:tcBorders>
              <w:bottom w:val="single" w:sz="4" w:space="0" w:color="auto"/>
            </w:tcBorders>
            <w:noWrap/>
          </w:tcPr>
          <w:p>
            <w:pPr>
              <w:pStyle w:val="yTableNAm"/>
              <w:keepNext/>
              <w:rPr>
                <w:sz w:val="18"/>
                <w:szCs w:val="18"/>
              </w:rPr>
            </w:pPr>
            <w:r>
              <w:rPr>
                <w:sz w:val="18"/>
                <w:szCs w:val="18"/>
              </w:rPr>
              <w:t>Z.56</w:t>
            </w:r>
          </w:p>
        </w:tc>
        <w:tc>
          <w:tcPr>
            <w:tcW w:w="851" w:type="dxa"/>
            <w:gridSpan w:val="2"/>
            <w:tcBorders>
              <w:bottom w:val="single" w:sz="4" w:space="0" w:color="auto"/>
            </w:tcBorders>
            <w:noWrap/>
          </w:tcPr>
          <w:p>
            <w:pPr>
              <w:pStyle w:val="yTableNAm"/>
              <w:keepNext/>
              <w:rPr>
                <w:sz w:val="18"/>
                <w:szCs w:val="18"/>
              </w:rPr>
            </w:pPr>
            <w:r>
              <w:rPr>
                <w:sz w:val="18"/>
                <w:szCs w:val="18"/>
              </w:rPr>
              <w:t>40</w:t>
            </w:r>
          </w:p>
        </w:tc>
        <w:tc>
          <w:tcPr>
            <w:tcW w:w="1205" w:type="dxa"/>
            <w:gridSpan w:val="2"/>
            <w:tcBorders>
              <w:bottom w:val="single" w:sz="4" w:space="0" w:color="auto"/>
            </w:tcBorders>
            <w:noWrap/>
          </w:tcPr>
          <w:p>
            <w:pPr>
              <w:pStyle w:val="yTableNAm"/>
              <w:keepNext/>
              <w:rPr>
                <w:sz w:val="18"/>
                <w:szCs w:val="18"/>
              </w:rPr>
            </w:pPr>
            <w:r>
              <w:rPr>
                <w:sz w:val="18"/>
                <w:szCs w:val="18"/>
              </w:rPr>
              <w:t>Fluorescent</w:t>
            </w:r>
          </w:p>
        </w:tc>
        <w:tc>
          <w:tcPr>
            <w:tcW w:w="1299" w:type="dxa"/>
            <w:gridSpan w:val="2"/>
            <w:tcBorders>
              <w:bottom w:val="single" w:sz="4" w:space="0" w:color="auto"/>
            </w:tcBorders>
            <w:noWrap/>
          </w:tcPr>
          <w:p>
            <w:pPr>
              <w:pStyle w:val="yTableNAm"/>
              <w:keepNext/>
              <w:jc w:val="right"/>
              <w:rPr>
                <w:sz w:val="18"/>
                <w:szCs w:val="18"/>
              </w:rPr>
            </w:pPr>
            <w:del w:id="337" w:author="Master Repository Process" w:date="2025-06-27T09:29:00Z">
              <w:r>
                <w:rPr>
                  <w:sz w:val="18"/>
                  <w:szCs w:val="18"/>
                </w:rPr>
                <w:delText>34.4316</w:delText>
              </w:r>
            </w:del>
            <w:ins w:id="338" w:author="Master Repository Process" w:date="2025-06-27T09:29:00Z">
              <w:r>
                <w:rPr>
                  <w:sz w:val="18"/>
                  <w:szCs w:val="18"/>
                </w:rPr>
                <w:t>36.3391</w:t>
              </w:r>
            </w:ins>
          </w:p>
        </w:tc>
        <w:tc>
          <w:tcPr>
            <w:tcW w:w="1512" w:type="dxa"/>
            <w:tcBorders>
              <w:bottom w:val="single" w:sz="4" w:space="0" w:color="auto"/>
            </w:tcBorders>
            <w:noWrap/>
          </w:tcPr>
          <w:p>
            <w:pPr>
              <w:pStyle w:val="yTableNAm"/>
              <w:keepNext/>
              <w:jc w:val="right"/>
              <w:rPr>
                <w:sz w:val="18"/>
                <w:szCs w:val="18"/>
              </w:rPr>
            </w:pPr>
            <w:del w:id="339" w:author="Master Repository Process" w:date="2025-06-27T09:29:00Z">
              <w:r>
                <w:rPr>
                  <w:sz w:val="18"/>
                  <w:szCs w:val="18"/>
                </w:rPr>
                <w:delText>35.3810</w:delText>
              </w:r>
            </w:del>
            <w:ins w:id="340" w:author="Master Repository Process" w:date="2025-06-27T09:29:00Z">
              <w:r>
                <w:rPr>
                  <w:sz w:val="18"/>
                  <w:szCs w:val="18"/>
                </w:rPr>
                <w:t>37.3411</w:t>
              </w:r>
            </w:ins>
          </w:p>
        </w:tc>
        <w:tc>
          <w:tcPr>
            <w:tcW w:w="1370" w:type="dxa"/>
            <w:tcBorders>
              <w:bottom w:val="single" w:sz="4" w:space="0" w:color="auto"/>
            </w:tcBorders>
            <w:noWrap/>
          </w:tcPr>
          <w:p>
            <w:pPr>
              <w:pStyle w:val="yTableNAm"/>
              <w:keepNext/>
              <w:jc w:val="right"/>
              <w:rPr>
                <w:sz w:val="18"/>
                <w:szCs w:val="18"/>
              </w:rPr>
            </w:pPr>
            <w:del w:id="341" w:author="Master Repository Process" w:date="2025-06-27T09:29:00Z">
              <w:r>
                <w:rPr>
                  <w:sz w:val="18"/>
                  <w:szCs w:val="18"/>
                </w:rPr>
                <w:delText>38.9893</w:delText>
              </w:r>
            </w:del>
            <w:ins w:id="342" w:author="Master Repository Process" w:date="2025-06-27T09:29:00Z">
              <w:r>
                <w:rPr>
                  <w:sz w:val="18"/>
                  <w:szCs w:val="18"/>
                </w:rPr>
                <w:t>41.1493</w:t>
              </w:r>
            </w:ins>
          </w:p>
        </w:tc>
      </w:tr>
    </w:tbl>
    <w:p>
      <w:pPr>
        <w:pStyle w:val="yFootnotesection"/>
      </w:pPr>
      <w:bookmarkStart w:id="343" w:name="_Toc201748195"/>
      <w:bookmarkStart w:id="344" w:name="_Toc201748250"/>
      <w:bookmarkStart w:id="345" w:name="_Toc201748439"/>
      <w:bookmarkStart w:id="346" w:name="_Toc201755171"/>
      <w:bookmarkStart w:id="347" w:name="_Toc201755461"/>
      <w:bookmarkStart w:id="348" w:name="_Toc201762582"/>
      <w:bookmarkStart w:id="349" w:name="_Toc169167901"/>
      <w:bookmarkStart w:id="350" w:name="_Toc169167996"/>
      <w:bookmarkStart w:id="351" w:name="_Toc169168149"/>
      <w:bookmarkStart w:id="352" w:name="_Toc169168522"/>
      <w:bookmarkStart w:id="353" w:name="_Toc169170353"/>
      <w:bookmarkStart w:id="354" w:name="_Toc169170644"/>
      <w:bookmarkStart w:id="355" w:name="_Toc170208331"/>
      <w:r>
        <w:tab/>
        <w:t>[Division 1 inserted: SL </w:t>
      </w:r>
      <w:del w:id="356" w:author="Master Repository Process" w:date="2025-06-27T09:29:00Z">
        <w:r>
          <w:delText>2024/102</w:delText>
        </w:r>
      </w:del>
      <w:ins w:id="357" w:author="Master Repository Process" w:date="2025-06-27T09:29:00Z">
        <w:r>
          <w:t>2025/124</w:t>
        </w:r>
      </w:ins>
      <w:r>
        <w:t xml:space="preserve"> bl. </w:t>
      </w:r>
      <w:del w:id="358" w:author="Master Repository Process" w:date="2025-06-27T09:29:00Z">
        <w:r>
          <w:delText>4</w:delText>
        </w:r>
      </w:del>
      <w:ins w:id="359" w:author="Master Repository Process" w:date="2025-06-27T09:29:00Z">
        <w:r>
          <w:t>5</w:t>
        </w:r>
      </w:ins>
      <w:r>
        <w:t>.]</w:t>
      </w:r>
    </w:p>
    <w:p>
      <w:pPr>
        <w:pStyle w:val="yHeading3"/>
      </w:pPr>
      <w:bookmarkStart w:id="360" w:name="_Toc170210830"/>
      <w:bookmarkStart w:id="361" w:name="_Toc170291813"/>
      <w:r>
        <w:rPr>
          <w:rStyle w:val="CharSDivNo"/>
        </w:rPr>
        <w:t>Division 2</w:t>
      </w:r>
      <w:r>
        <w:rPr>
          <w:b w:val="0"/>
        </w:rPr>
        <w:t> — </w:t>
      </w:r>
      <w:r>
        <w:rPr>
          <w:rStyle w:val="CharSDivText"/>
        </w:rPr>
        <w:t>Miscellaneous</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60"/>
      <w:bookmarkEnd w:id="361"/>
    </w:p>
    <w:p>
      <w:pPr>
        <w:pStyle w:val="yFootnoteheading"/>
      </w:pPr>
      <w:bookmarkStart w:id="362" w:name="_Toc169167902"/>
      <w:bookmarkStart w:id="363" w:name="_Toc169170645"/>
      <w:r>
        <w:tab/>
        <w:t>[Heading inserted: SL </w:t>
      </w:r>
      <w:del w:id="364" w:author="Master Repository Process" w:date="2025-06-27T09:29:00Z">
        <w:r>
          <w:delText>2024/102</w:delText>
        </w:r>
      </w:del>
      <w:ins w:id="365" w:author="Master Repository Process" w:date="2025-06-27T09:29:00Z">
        <w:r>
          <w:t>2025/124</w:t>
        </w:r>
      </w:ins>
      <w:r>
        <w:t xml:space="preserve"> bl. </w:t>
      </w:r>
      <w:del w:id="366" w:author="Master Repository Process" w:date="2025-06-27T09:29:00Z">
        <w:r>
          <w:delText>4</w:delText>
        </w:r>
      </w:del>
      <w:ins w:id="367" w:author="Master Repository Process" w:date="2025-06-27T09:29:00Z">
        <w:r>
          <w:t>5</w:t>
        </w:r>
      </w:ins>
      <w:r>
        <w:t>.]</w:t>
      </w:r>
    </w:p>
    <w:p>
      <w:pPr>
        <w:pStyle w:val="yHeading5"/>
      </w:pPr>
      <w:bookmarkStart w:id="368" w:name="_Toc201748196"/>
      <w:bookmarkStart w:id="369" w:name="_Toc201748440"/>
      <w:bookmarkStart w:id="370" w:name="_Toc201762583"/>
      <w:bookmarkStart w:id="371" w:name="_Toc170291814"/>
      <w:r>
        <w:rPr>
          <w:rStyle w:val="CharSClsNo"/>
        </w:rPr>
        <w:t>1</w:t>
      </w:r>
      <w:r>
        <w:t>.</w:t>
      </w:r>
      <w:r>
        <w:tab/>
        <w:t>Traffic light installation</w:t>
      </w:r>
      <w:bookmarkEnd w:id="368"/>
      <w:bookmarkEnd w:id="369"/>
      <w:bookmarkEnd w:id="370"/>
      <w:bookmarkEnd w:id="362"/>
      <w:bookmarkEnd w:id="363"/>
      <w:bookmarkEnd w:id="371"/>
    </w:p>
    <w:p>
      <w:pPr>
        <w:pStyle w:val="ySubsection"/>
      </w:pPr>
      <w:r>
        <w:tab/>
      </w:r>
      <w:r>
        <w:tab/>
        <w:t xml:space="preserve">Supply of electricity to traffic light installations comprises a charge of </w:t>
      </w:r>
      <w:r>
        <w:rPr>
          <w:szCs w:val="22"/>
        </w:rPr>
        <w:t>$9.</w:t>
      </w:r>
      <w:del w:id="372" w:author="Master Repository Process" w:date="2025-06-27T09:29:00Z">
        <w:r>
          <w:rPr>
            <w:szCs w:val="22"/>
          </w:rPr>
          <w:delText>0214</w:delText>
        </w:r>
      </w:del>
      <w:ins w:id="373" w:author="Master Repository Process" w:date="2025-06-27T09:29:00Z">
        <w:r>
          <w:rPr>
            <w:szCs w:val="22"/>
          </w:rPr>
          <w:t>4598</w:t>
        </w:r>
      </w:ins>
      <w:r>
        <w:rPr>
          <w:szCs w:val="22"/>
        </w:rPr>
        <w:t xml:space="preserve"> </w:t>
      </w:r>
      <w:r>
        <w:t>per day per kW of installed wattage.</w:t>
      </w:r>
    </w:p>
    <w:p>
      <w:pPr>
        <w:pStyle w:val="yFootnotesection"/>
      </w:pPr>
      <w:bookmarkStart w:id="374" w:name="_Toc201748197"/>
      <w:bookmarkStart w:id="375" w:name="_Toc201748441"/>
      <w:r>
        <w:tab/>
        <w:t>[Clause 1 inserted: SL </w:t>
      </w:r>
      <w:del w:id="376" w:author="Master Repository Process" w:date="2025-06-27T09:29:00Z">
        <w:r>
          <w:delText>2024/102</w:delText>
        </w:r>
      </w:del>
      <w:ins w:id="377" w:author="Master Repository Process" w:date="2025-06-27T09:29:00Z">
        <w:r>
          <w:t>2025/124</w:t>
        </w:r>
      </w:ins>
      <w:r>
        <w:t xml:space="preserve"> bl. </w:t>
      </w:r>
      <w:del w:id="378" w:author="Master Repository Process" w:date="2025-06-27T09:29:00Z">
        <w:r>
          <w:delText>4</w:delText>
        </w:r>
      </w:del>
      <w:ins w:id="379" w:author="Master Repository Process" w:date="2025-06-27T09:29:00Z">
        <w:r>
          <w:t>5</w:t>
        </w:r>
      </w:ins>
      <w:r>
        <w:t>.]</w:t>
      </w:r>
    </w:p>
    <w:p>
      <w:pPr>
        <w:pStyle w:val="yHeading5"/>
      </w:pPr>
      <w:bookmarkStart w:id="380" w:name="_Toc201762584"/>
      <w:bookmarkStart w:id="381" w:name="_Toc169167903"/>
      <w:bookmarkStart w:id="382" w:name="_Toc169170646"/>
      <w:bookmarkStart w:id="383" w:name="_Toc170291815"/>
      <w:r>
        <w:rPr>
          <w:rStyle w:val="CharSClsNo"/>
        </w:rPr>
        <w:t>2</w:t>
      </w:r>
      <w:r>
        <w:t>.</w:t>
      </w:r>
      <w:r>
        <w:tab/>
        <w:t>Public telephone facility</w:t>
      </w:r>
      <w:bookmarkEnd w:id="374"/>
      <w:bookmarkEnd w:id="375"/>
      <w:bookmarkEnd w:id="380"/>
      <w:bookmarkEnd w:id="381"/>
      <w:bookmarkEnd w:id="382"/>
      <w:bookmarkEnd w:id="383"/>
    </w:p>
    <w:p>
      <w:pPr>
        <w:pStyle w:val="ySubsection"/>
      </w:pPr>
      <w:r>
        <w:tab/>
      </w:r>
      <w:r>
        <w:tab/>
        <w:t>Supply of electricity to a standard public telephone facility where supply is not independently metered comprises a charge of 76.</w:t>
      </w:r>
      <w:del w:id="384" w:author="Master Repository Process" w:date="2025-06-27T09:29:00Z">
        <w:r>
          <w:delText>4435</w:delText>
        </w:r>
      </w:del>
      <w:ins w:id="385" w:author="Master Repository Process" w:date="2025-06-27T09:29:00Z">
        <w:r>
          <w:t>3441</w:t>
        </w:r>
      </w:ins>
      <w:r>
        <w:t xml:space="preserve"> cents per day.</w:t>
      </w:r>
    </w:p>
    <w:p>
      <w:pPr>
        <w:pStyle w:val="yFootnotesection"/>
      </w:pPr>
      <w:bookmarkStart w:id="386" w:name="_Toc201748198"/>
      <w:bookmarkStart w:id="387" w:name="_Toc201748442"/>
      <w:r>
        <w:tab/>
        <w:t>[Clause 2 inserted: SL </w:t>
      </w:r>
      <w:del w:id="388" w:author="Master Repository Process" w:date="2025-06-27T09:29:00Z">
        <w:r>
          <w:delText>2024/102</w:delText>
        </w:r>
      </w:del>
      <w:ins w:id="389" w:author="Master Repository Process" w:date="2025-06-27T09:29:00Z">
        <w:r>
          <w:t>2025/124</w:t>
        </w:r>
      </w:ins>
      <w:r>
        <w:t xml:space="preserve"> bl. </w:t>
      </w:r>
      <w:del w:id="390" w:author="Master Repository Process" w:date="2025-06-27T09:29:00Z">
        <w:r>
          <w:delText>4</w:delText>
        </w:r>
      </w:del>
      <w:ins w:id="391" w:author="Master Repository Process" w:date="2025-06-27T09:29:00Z">
        <w:r>
          <w:t>5</w:t>
        </w:r>
      </w:ins>
      <w:r>
        <w:t>.]</w:t>
      </w:r>
    </w:p>
    <w:p>
      <w:pPr>
        <w:pStyle w:val="yHeading5"/>
      </w:pPr>
      <w:bookmarkStart w:id="392" w:name="_Toc201762585"/>
      <w:bookmarkStart w:id="393" w:name="_Toc169167904"/>
      <w:bookmarkStart w:id="394" w:name="_Toc169170647"/>
      <w:bookmarkStart w:id="395" w:name="_Toc170291816"/>
      <w:r>
        <w:rPr>
          <w:rStyle w:val="CharSClsNo"/>
        </w:rPr>
        <w:t>3</w:t>
      </w:r>
      <w:r>
        <w:t>.</w:t>
      </w:r>
      <w:r>
        <w:tab/>
        <w:t>Railway crossing</w:t>
      </w:r>
      <w:bookmarkEnd w:id="386"/>
      <w:bookmarkEnd w:id="387"/>
      <w:bookmarkEnd w:id="392"/>
      <w:bookmarkEnd w:id="393"/>
      <w:bookmarkEnd w:id="394"/>
      <w:bookmarkEnd w:id="395"/>
    </w:p>
    <w:p>
      <w:pPr>
        <w:pStyle w:val="ySubsection"/>
      </w:pPr>
      <w:r>
        <w:tab/>
      </w:r>
      <w:r>
        <w:tab/>
        <w:t xml:space="preserve">Supply of electricity to standard railway crossing lights comprises a charge of </w:t>
      </w:r>
      <w:r>
        <w:rPr>
          <w:szCs w:val="22"/>
        </w:rPr>
        <w:t>97.</w:t>
      </w:r>
      <w:del w:id="396" w:author="Master Repository Process" w:date="2025-06-27T09:29:00Z">
        <w:r>
          <w:rPr>
            <w:szCs w:val="22"/>
          </w:rPr>
          <w:delText>6897</w:delText>
        </w:r>
      </w:del>
      <w:ins w:id="397" w:author="Master Repository Process" w:date="2025-06-27T09:29:00Z">
        <w:r>
          <w:rPr>
            <w:szCs w:val="22"/>
          </w:rPr>
          <w:t>5627</w:t>
        </w:r>
      </w:ins>
      <w:r>
        <w:rPr>
          <w:szCs w:val="22"/>
        </w:rPr>
        <w:t xml:space="preserve"> </w:t>
      </w:r>
      <w:r>
        <w:t>cents per day.</w:t>
      </w:r>
    </w:p>
    <w:bookmarkEnd w:id="261"/>
    <w:p>
      <w:pPr>
        <w:pStyle w:val="yFootnotesection"/>
      </w:pPr>
      <w:r>
        <w:tab/>
        <w:t>[Clause 3 inserted: SL </w:t>
      </w:r>
      <w:del w:id="398" w:author="Master Repository Process" w:date="2025-06-27T09:29:00Z">
        <w:r>
          <w:delText>2024/102</w:delText>
        </w:r>
      </w:del>
      <w:ins w:id="399" w:author="Master Repository Process" w:date="2025-06-27T09:29:00Z">
        <w:r>
          <w:t>2025/124</w:t>
        </w:r>
      </w:ins>
      <w:r>
        <w:t xml:space="preserve"> bl. </w:t>
      </w:r>
      <w:del w:id="400" w:author="Master Repository Process" w:date="2025-06-27T09:29:00Z">
        <w:r>
          <w:delText>4</w:delText>
        </w:r>
      </w:del>
      <w:ins w:id="401" w:author="Master Repository Process" w:date="2025-06-27T09:29:00Z">
        <w:r>
          <w:t>5</w:t>
        </w:r>
      </w:ins>
      <w:r>
        <w:t>.]</w:t>
      </w:r>
    </w:p>
    <w:bookmarkEnd w:id="262"/>
    <w:bookmarkEnd w:id="263"/>
    <w:p>
      <w:pPr>
        <w:rPr>
          <w:i/>
          <w:snapToGrid w:val="0"/>
          <w:sz w:val="22"/>
        </w:rPr>
        <w:sectPr>
          <w:headerReference w:type="even" r:id="rId22"/>
          <w:headerReference w:type="default" r:id="rId23"/>
          <w:pgSz w:w="11907" w:h="16840" w:code="9"/>
          <w:pgMar w:top="2381" w:right="2410" w:bottom="3544" w:left="2410" w:header="720" w:footer="3544" w:gutter="0"/>
          <w:cols w:space="720"/>
          <w:titlePg/>
        </w:sectPr>
      </w:pPr>
    </w:p>
    <w:p>
      <w:pPr>
        <w:pStyle w:val="yScheduleHeading"/>
      </w:pPr>
      <w:bookmarkStart w:id="402" w:name="_Toc201755175"/>
      <w:bookmarkStart w:id="403" w:name="_Toc201755465"/>
      <w:bookmarkStart w:id="404" w:name="_Toc201762586"/>
      <w:bookmarkStart w:id="405" w:name="_Toc170205819"/>
      <w:bookmarkStart w:id="406" w:name="_Toc170205898"/>
      <w:bookmarkStart w:id="407" w:name="_Toc170208335"/>
      <w:bookmarkStart w:id="408" w:name="_Toc170210834"/>
      <w:bookmarkStart w:id="409" w:name="_Toc170291817"/>
      <w:r>
        <w:rPr>
          <w:rStyle w:val="CharSchNo"/>
        </w:rPr>
        <w:t>Schedule 3</w:t>
      </w:r>
      <w:r>
        <w:rPr>
          <w:rStyle w:val="CharSDivNo"/>
        </w:rPr>
        <w:t> </w:t>
      </w:r>
      <w:r>
        <w:t>—</w:t>
      </w:r>
      <w:r>
        <w:rPr>
          <w:rStyle w:val="CharSDivText"/>
        </w:rPr>
        <w:t> </w:t>
      </w:r>
      <w:r>
        <w:rPr>
          <w:rStyle w:val="CharSchText"/>
        </w:rPr>
        <w:t>Meter rental</w:t>
      </w:r>
      <w:bookmarkEnd w:id="402"/>
      <w:bookmarkEnd w:id="403"/>
      <w:bookmarkEnd w:id="404"/>
      <w:bookmarkEnd w:id="405"/>
      <w:bookmarkEnd w:id="406"/>
      <w:bookmarkEnd w:id="407"/>
      <w:bookmarkEnd w:id="408"/>
      <w:bookmarkEnd w:id="409"/>
    </w:p>
    <w:p>
      <w:pPr>
        <w:pStyle w:val="yShoulderClause"/>
      </w:pPr>
      <w: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410" w:name="_Toc201755176"/>
      <w:bookmarkStart w:id="411" w:name="_Toc201755466"/>
      <w:bookmarkStart w:id="412" w:name="_Toc201762587"/>
      <w:bookmarkStart w:id="413" w:name="_Toc170205820"/>
      <w:bookmarkStart w:id="414" w:name="_Toc170205899"/>
      <w:bookmarkStart w:id="415" w:name="_Toc170208336"/>
      <w:bookmarkStart w:id="416" w:name="_Toc170210835"/>
      <w:bookmarkStart w:id="417" w:name="_Toc170291818"/>
      <w:r>
        <w:rPr>
          <w:rStyle w:val="CharSchNo"/>
        </w:rPr>
        <w:t>Schedule 4</w:t>
      </w:r>
      <w:r>
        <w:t> — </w:t>
      </w:r>
      <w:r>
        <w:rPr>
          <w:rStyle w:val="CharSchText"/>
        </w:rPr>
        <w:t>Fees</w:t>
      </w:r>
      <w:bookmarkEnd w:id="410"/>
      <w:bookmarkEnd w:id="411"/>
      <w:bookmarkEnd w:id="412"/>
      <w:bookmarkEnd w:id="413"/>
      <w:bookmarkEnd w:id="414"/>
      <w:bookmarkEnd w:id="415"/>
      <w:bookmarkEnd w:id="416"/>
      <w:bookmarkEnd w:id="417"/>
    </w:p>
    <w:p>
      <w:pPr>
        <w:pStyle w:val="yShoulderClause"/>
      </w:pPr>
      <w:r>
        <w:rPr>
          <w:szCs w:val="18"/>
        </w:rPr>
        <w:t>[bl.</w:t>
      </w:r>
      <w:del w:id="418" w:author="Master Repository Process" w:date="2025-06-27T09:29:00Z">
        <w:r>
          <w:delText xml:space="preserve"> </w:delText>
        </w:r>
      </w:del>
      <w:ins w:id="419" w:author="Master Repository Process" w:date="2025-06-27T09:29:00Z">
        <w:r>
          <w:rPr>
            <w:szCs w:val="18"/>
          </w:rPr>
          <w:t> </w:t>
        </w:r>
      </w:ins>
      <w:r>
        <w:rPr>
          <w:szCs w:val="18"/>
        </w:rPr>
        <w:t>7</w:t>
      </w:r>
      <w:del w:id="420" w:author="Master Repository Process" w:date="2025-06-27T09:29:00Z">
        <w:r>
          <w:delText>]</w:delText>
        </w:r>
      </w:del>
      <w:ins w:id="421" w:author="Master Repository Process" w:date="2025-06-27T09:29:00Z">
        <w:r>
          <w:rPr>
            <w:szCs w:val="18"/>
          </w:rPr>
          <w:t xml:space="preserve"> and 9(2)]</w:t>
        </w:r>
      </w:ins>
    </w:p>
    <w:p>
      <w:pPr>
        <w:pStyle w:val="yFootnoteheading"/>
        <w:spacing w:after="120"/>
      </w:pPr>
      <w:r>
        <w:tab/>
        <w:t>[Heading inserted: SL 2021/98 bl. </w:t>
      </w:r>
      <w:del w:id="422" w:author="Master Repository Process" w:date="2025-06-27T09:29:00Z">
        <w:r>
          <w:delText>5</w:delText>
        </w:r>
      </w:del>
      <w:ins w:id="423" w:author="Master Repository Process" w:date="2025-06-27T09:29:00Z">
        <w:r>
          <w:t>5; amended: SL 2025/124 bl. 6</w:t>
        </w:r>
      </w:ins>
      <w:r>
        <w:t>.]</w:t>
      </w:r>
    </w:p>
    <w:tbl>
      <w:tblPr>
        <w:tblW w:w="6804" w:type="dxa"/>
        <w:tblInd w:w="284" w:type="dxa"/>
        <w:tblLayout w:type="fixed"/>
        <w:tblCellMar>
          <w:left w:w="142" w:type="dxa"/>
          <w:right w:w="142" w:type="dxa"/>
        </w:tblCellMar>
        <w:tblLook w:val="0000" w:firstRow="0" w:lastRow="0" w:firstColumn="0" w:lastColumn="0" w:noHBand="0" w:noVBand="0"/>
      </w:tblPr>
      <w:tblGrid>
        <w:gridCol w:w="5528"/>
        <w:gridCol w:w="1276"/>
      </w:tblGrid>
      <w:tr>
        <w:trPr>
          <w:cantSplit/>
          <w:tblHeader/>
        </w:trPr>
        <w:tc>
          <w:tcPr>
            <w:tcW w:w="5528" w:type="dxa"/>
            <w:tcBorders>
              <w:top w:val="single" w:sz="4" w:space="0" w:color="auto"/>
              <w:bottom w:val="single" w:sz="4" w:space="0" w:color="auto"/>
            </w:tcBorders>
          </w:tcPr>
          <w:p>
            <w:pPr>
              <w:pStyle w:val="yTableNAm"/>
              <w:keepNext/>
              <w:ind w:left="556"/>
              <w:rPr>
                <w:b/>
                <w:iCs/>
              </w:rPr>
            </w:pPr>
            <w:r>
              <w:rPr>
                <w:b/>
                <w:iCs/>
              </w:rPr>
              <w:t>Description of fee</w:t>
            </w:r>
          </w:p>
        </w:tc>
        <w:tc>
          <w:tcPr>
            <w:tcW w:w="1276" w:type="dxa"/>
            <w:tcBorders>
              <w:top w:val="single" w:sz="4" w:space="0" w:color="auto"/>
              <w:bottom w:val="single" w:sz="4" w:space="0" w:color="auto"/>
            </w:tcBorders>
          </w:tcPr>
          <w:p>
            <w:pPr>
              <w:pStyle w:val="yTableNAm"/>
              <w:keepNext/>
              <w:rPr>
                <w:b/>
                <w:iCs/>
              </w:rPr>
            </w:pPr>
            <w:r>
              <w:rPr>
                <w:b/>
                <w:iCs/>
              </w:rPr>
              <w:t>Amount</w:t>
            </w:r>
          </w:p>
        </w:tc>
      </w:tr>
      <w:tr>
        <w:trPr>
          <w:cantSplit/>
        </w:trPr>
        <w:tc>
          <w:tcPr>
            <w:tcW w:w="5528" w:type="dxa"/>
            <w:tcBorders>
              <w:top w:val="single" w:sz="4" w:space="0" w:color="auto"/>
            </w:tcBorders>
          </w:tcPr>
          <w:p>
            <w:pPr>
              <w:pStyle w:val="yTableNAm"/>
              <w:keepNext/>
              <w:tabs>
                <w:tab w:val="right" w:leader="dot" w:pos="5387"/>
              </w:tabs>
              <w:ind w:left="556" w:right="-85" w:hanging="556"/>
            </w:pPr>
            <w:r>
              <w:t>1.</w:t>
            </w:r>
            <w:r>
              <w:tab/>
              <w:t>Non</w:t>
            </w:r>
            <w:r>
              <w:noBreakHyphen/>
              <w:t xml:space="preserve">refundable account establishment fee payable on the establishment or transfer of an account </w:t>
            </w:r>
            <w:r>
              <w:tab/>
            </w:r>
          </w:p>
        </w:tc>
        <w:tc>
          <w:tcPr>
            <w:tcW w:w="1276" w:type="dxa"/>
            <w:tcBorders>
              <w:top w:val="single" w:sz="4" w:space="0" w:color="auto"/>
            </w:tcBorders>
            <w:vAlign w:val="bottom"/>
          </w:tcPr>
          <w:p>
            <w:pPr>
              <w:pStyle w:val="yTableNAm"/>
              <w:keepNext/>
            </w:pPr>
            <w:r>
              <w:t>$</w:t>
            </w:r>
            <w:del w:id="424" w:author="Master Repository Process" w:date="2025-06-27T09:29:00Z">
              <w:r>
                <w:delText>26.84</w:delText>
              </w:r>
            </w:del>
            <w:ins w:id="425" w:author="Master Repository Process" w:date="2025-06-27T09:29:00Z">
              <w:r>
                <w:t>22.51</w:t>
              </w:r>
            </w:ins>
          </w:p>
        </w:tc>
      </w:tr>
      <w:tr>
        <w:trPr>
          <w:cantSplit/>
        </w:trPr>
        <w:tc>
          <w:tcPr>
            <w:tcW w:w="5528" w:type="dxa"/>
            <w:vAlign w:val="bottom"/>
          </w:tcPr>
          <w:p>
            <w:pPr>
              <w:pStyle w:val="yTableNAm"/>
              <w:keepNext/>
              <w:tabs>
                <w:tab w:val="right" w:leader="dot" w:pos="5386"/>
              </w:tabs>
              <w:ind w:left="556" w:right="-85" w:hanging="556"/>
            </w:pPr>
            <w:r>
              <w:t>2.</w:t>
            </w:r>
            <w:r>
              <w:tab/>
              <w:t>Non</w:t>
            </w:r>
            <w:r>
              <w:noBreakHyphen/>
              <w:t>refundable reconnection fee where supply has been terminated for non</w:t>
            </w:r>
            <w:r>
              <w:noBreakHyphen/>
              <w:t xml:space="preserve">payment of charges or for any other lawful reason — </w:t>
            </w:r>
          </w:p>
        </w:tc>
        <w:tc>
          <w:tcPr>
            <w:tcW w:w="1276" w:type="dxa"/>
            <w:vAlign w:val="bottom"/>
          </w:tcPr>
          <w:p>
            <w:pPr>
              <w:pStyle w:val="yTableNAm"/>
            </w:pPr>
          </w:p>
        </w:tc>
      </w:tr>
      <w:tr>
        <w:trPr>
          <w:cantSplit/>
        </w:trPr>
        <w:tc>
          <w:tcPr>
            <w:tcW w:w="5528" w:type="dxa"/>
            <w:vAlign w:val="bottom"/>
          </w:tcPr>
          <w:p>
            <w:pPr>
              <w:pStyle w:val="yTableNAm"/>
              <w:tabs>
                <w:tab w:val="left" w:pos="1134"/>
                <w:tab w:val="right" w:leader="dot" w:pos="5387"/>
              </w:tabs>
              <w:ind w:left="1157" w:right="-85" w:hanging="590"/>
            </w:pPr>
            <w:r>
              <w:t>(a)</w:t>
            </w:r>
            <w:r>
              <w:tab/>
              <w:t>for urgent reconnection at request of customer (other than life support customer) where the service is performed within a period less than the standard re</w:t>
            </w:r>
            <w:r>
              <w:noBreakHyphen/>
              <w:t>energisation timeframe set out in the MSLA</w:t>
            </w:r>
            <w:r>
              <w:tab/>
            </w:r>
          </w:p>
        </w:tc>
        <w:tc>
          <w:tcPr>
            <w:tcW w:w="1276" w:type="dxa"/>
            <w:vAlign w:val="bottom"/>
          </w:tcPr>
          <w:p>
            <w:pPr>
              <w:pStyle w:val="yTableNAm"/>
            </w:pPr>
            <w:r>
              <w:t>$</w:t>
            </w:r>
            <w:del w:id="426" w:author="Master Repository Process" w:date="2025-06-27T09:29:00Z">
              <w:r>
                <w:delText>208.01</w:delText>
              </w:r>
            </w:del>
            <w:ins w:id="427" w:author="Master Repository Process" w:date="2025-06-27T09:29:00Z">
              <w:r>
                <w:t>212.49</w:t>
              </w:r>
            </w:ins>
          </w:p>
        </w:tc>
      </w:tr>
      <w:tr>
        <w:trPr>
          <w:cantSplit/>
        </w:trPr>
        <w:tc>
          <w:tcPr>
            <w:tcW w:w="5528" w:type="dxa"/>
          </w:tcPr>
          <w:p>
            <w:pPr>
              <w:pStyle w:val="yTableNAm"/>
              <w:tabs>
                <w:tab w:val="left" w:pos="1156"/>
                <w:tab w:val="right" w:leader="dot" w:pos="5387"/>
              </w:tabs>
              <w:ind w:left="1157" w:right="-85" w:hanging="590"/>
            </w:pPr>
            <w:r>
              <w:t>(b)</w:t>
            </w:r>
            <w:r>
              <w:tab/>
              <w:t>otherwise</w:t>
            </w:r>
            <w:r>
              <w:tab/>
            </w:r>
          </w:p>
        </w:tc>
        <w:tc>
          <w:tcPr>
            <w:tcW w:w="1276" w:type="dxa"/>
          </w:tcPr>
          <w:p>
            <w:pPr>
              <w:pStyle w:val="yTableNAm"/>
            </w:pPr>
            <w:r>
              <w:t>$31.10</w:t>
            </w:r>
          </w:p>
        </w:tc>
      </w:tr>
      <w:tr>
        <w:trPr>
          <w:cantSplit/>
        </w:trPr>
        <w:tc>
          <w:tcPr>
            <w:tcW w:w="5528" w:type="dxa"/>
          </w:tcPr>
          <w:p>
            <w:pPr>
              <w:pStyle w:val="yTableNAm"/>
              <w:tabs>
                <w:tab w:val="right" w:leader="dot" w:pos="5387"/>
              </w:tabs>
              <w:ind w:left="556" w:right="-85" w:hanging="556"/>
            </w:pPr>
            <w:r>
              <w:t>3.</w:t>
            </w:r>
            <w:r>
              <w:tab/>
              <w:t>Temporary supply connection — </w:t>
            </w:r>
          </w:p>
        </w:tc>
        <w:tc>
          <w:tcPr>
            <w:tcW w:w="1276" w:type="dxa"/>
          </w:tcPr>
          <w:p>
            <w:pPr>
              <w:pStyle w:val="yTableNAm"/>
            </w:pPr>
          </w:p>
        </w:tc>
      </w:tr>
      <w:tr>
        <w:trPr>
          <w:cantSplit/>
        </w:trPr>
        <w:tc>
          <w:tcPr>
            <w:tcW w:w="5528" w:type="dxa"/>
          </w:tcPr>
          <w:p>
            <w:pPr>
              <w:pStyle w:val="yTableNAm"/>
              <w:tabs>
                <w:tab w:val="left" w:pos="1134"/>
                <w:tab w:val="right" w:leader="dot" w:pos="5386"/>
              </w:tabs>
              <w:ind w:left="1157" w:right="-85" w:hanging="590"/>
            </w:pPr>
            <w:r>
              <w:t>(a)</w:t>
            </w:r>
            <w:r>
              <w:tab/>
              <w:t xml:space="preserve">single phase (overhead) </w:t>
            </w:r>
            <w:r>
              <w:tab/>
            </w:r>
          </w:p>
        </w:tc>
        <w:tc>
          <w:tcPr>
            <w:tcW w:w="1276" w:type="dxa"/>
          </w:tcPr>
          <w:p>
            <w:pPr>
              <w:pStyle w:val="yTableNAm"/>
            </w:pPr>
            <w:r>
              <w:t>$300.00</w:t>
            </w:r>
          </w:p>
        </w:tc>
      </w:tr>
      <w:tr>
        <w:trPr>
          <w:cantSplit/>
        </w:trPr>
        <w:tc>
          <w:tcPr>
            <w:tcW w:w="5528" w:type="dxa"/>
          </w:tcPr>
          <w:p>
            <w:pPr>
              <w:pStyle w:val="yTableNAm"/>
              <w:tabs>
                <w:tab w:val="left" w:pos="1134"/>
                <w:tab w:val="right" w:leader="dot" w:pos="5386"/>
              </w:tabs>
              <w:ind w:left="1157" w:right="-85" w:hanging="590"/>
            </w:pPr>
            <w:r>
              <w:t>(b)</w:t>
            </w:r>
            <w:r>
              <w:tab/>
              <w:t xml:space="preserve">three phase (overhead) </w:t>
            </w:r>
            <w:r>
              <w:tab/>
            </w:r>
          </w:p>
        </w:tc>
        <w:tc>
          <w:tcPr>
            <w:tcW w:w="1276" w:type="dxa"/>
          </w:tcPr>
          <w:p>
            <w:pPr>
              <w:pStyle w:val="yTableNAm"/>
            </w:pPr>
            <w:r>
              <w:t>$600.00</w:t>
            </w:r>
          </w:p>
        </w:tc>
      </w:tr>
      <w:tr>
        <w:trPr>
          <w:cantSplit/>
        </w:trPr>
        <w:tc>
          <w:tcPr>
            <w:tcW w:w="5528" w:type="dxa"/>
          </w:tcPr>
          <w:p>
            <w:pPr>
              <w:pStyle w:val="yTableNAm"/>
              <w:keepNext/>
              <w:tabs>
                <w:tab w:val="right" w:leader="dot" w:pos="5387"/>
              </w:tabs>
              <w:ind w:left="556" w:right="-85" w:hanging="556"/>
            </w:pPr>
            <w:r>
              <w:t>4.</w:t>
            </w:r>
            <w:r>
              <w:tab/>
              <w:t>Meter testing — </w:t>
            </w:r>
          </w:p>
        </w:tc>
        <w:tc>
          <w:tcPr>
            <w:tcW w:w="1276" w:type="dxa"/>
          </w:tcPr>
          <w:p>
            <w:pPr>
              <w:pStyle w:val="yTableNAm"/>
              <w:keepNext/>
            </w:pPr>
          </w:p>
        </w:tc>
      </w:tr>
      <w:tr>
        <w:trPr>
          <w:cantSplit/>
        </w:trPr>
        <w:tc>
          <w:tcPr>
            <w:tcW w:w="5528" w:type="dxa"/>
          </w:tcPr>
          <w:p>
            <w:pPr>
              <w:pStyle w:val="yTableNAm"/>
              <w:tabs>
                <w:tab w:val="left" w:pos="1134"/>
                <w:tab w:val="right" w:leader="dot" w:pos="5386"/>
              </w:tabs>
              <w:ind w:left="1157" w:right="-85" w:hanging="590"/>
            </w:pPr>
            <w:r>
              <w:t>(a)</w:t>
            </w:r>
            <w:r>
              <w:tab/>
              <w:t xml:space="preserve">standard meter testing fee </w:t>
            </w:r>
            <w:r>
              <w:tab/>
            </w:r>
          </w:p>
        </w:tc>
        <w:tc>
          <w:tcPr>
            <w:tcW w:w="1276" w:type="dxa"/>
          </w:tcPr>
          <w:p>
            <w:pPr>
              <w:pStyle w:val="yTableNAm"/>
            </w:pPr>
            <w:r>
              <w:rPr>
                <w:szCs w:val="22"/>
              </w:rPr>
              <w:t>$340.40</w:t>
            </w:r>
          </w:p>
        </w:tc>
      </w:tr>
      <w:tr>
        <w:trPr>
          <w:cantSplit/>
        </w:trPr>
        <w:tc>
          <w:tcPr>
            <w:tcW w:w="5528" w:type="dxa"/>
          </w:tcPr>
          <w:p>
            <w:pPr>
              <w:pStyle w:val="yTableNAm"/>
              <w:tabs>
                <w:tab w:val="left" w:pos="1134"/>
                <w:tab w:val="right" w:leader="dot" w:pos="5386"/>
              </w:tabs>
              <w:ind w:left="1157" w:right="-85" w:hanging="590"/>
            </w:pPr>
            <w:r>
              <w:t>(b)</w:t>
            </w:r>
            <w:r>
              <w:tab/>
              <w:t xml:space="preserve">reduced meter testing fee </w:t>
            </w:r>
            <w:r>
              <w:tab/>
            </w:r>
          </w:p>
        </w:tc>
        <w:tc>
          <w:tcPr>
            <w:tcW w:w="1276" w:type="dxa"/>
          </w:tcPr>
          <w:p>
            <w:pPr>
              <w:pStyle w:val="yTableNAm"/>
            </w:pPr>
            <w:r>
              <w:t>$144.00</w:t>
            </w:r>
          </w:p>
        </w:tc>
      </w:tr>
      <w:tr>
        <w:trPr>
          <w:cantSplit/>
        </w:trPr>
        <w:tc>
          <w:tcPr>
            <w:tcW w:w="5528" w:type="dxa"/>
          </w:tcPr>
          <w:p>
            <w:pPr>
              <w:pStyle w:val="yTableNAm"/>
              <w:tabs>
                <w:tab w:val="right" w:leader="dot" w:pos="5387"/>
              </w:tabs>
              <w:ind w:left="556" w:right="-85" w:hanging="556"/>
            </w:pPr>
            <w:r>
              <w:t>5.</w:t>
            </w:r>
            <w:r>
              <w:tab/>
              <w:t xml:space="preserve">Upgrade or replacement of meter </w:t>
            </w:r>
            <w:r>
              <w:tab/>
            </w:r>
          </w:p>
        </w:tc>
        <w:tc>
          <w:tcPr>
            <w:tcW w:w="1276" w:type="dxa"/>
            <w:vAlign w:val="bottom"/>
          </w:tcPr>
          <w:p>
            <w:pPr>
              <w:pStyle w:val="yTableNAm"/>
            </w:pPr>
            <w:r>
              <w:t>$</w:t>
            </w:r>
            <w:del w:id="428" w:author="Master Repository Process" w:date="2025-06-27T09:29:00Z">
              <w:r>
                <w:delText>105.93</w:delText>
              </w:r>
            </w:del>
            <w:ins w:id="429" w:author="Master Repository Process" w:date="2025-06-27T09:29:00Z">
              <w:r>
                <w:t>108.08</w:t>
              </w:r>
            </w:ins>
          </w:p>
        </w:tc>
      </w:tr>
      <w:tr>
        <w:trPr>
          <w:cantSplit/>
        </w:trPr>
        <w:tc>
          <w:tcPr>
            <w:tcW w:w="5528" w:type="dxa"/>
          </w:tcPr>
          <w:p>
            <w:pPr>
              <w:pStyle w:val="yTableNAm"/>
              <w:tabs>
                <w:tab w:val="right" w:leader="dot" w:pos="5387"/>
              </w:tabs>
              <w:ind w:left="556" w:right="-85" w:hanging="556"/>
            </w:pPr>
            <w:r>
              <w:t>6.</w:t>
            </w:r>
            <w:r>
              <w:tab/>
              <w:t xml:space="preserve">Disconnection of overhead service leads following unauthorised reconnection </w:t>
            </w:r>
            <w:r>
              <w:tab/>
            </w:r>
          </w:p>
        </w:tc>
        <w:tc>
          <w:tcPr>
            <w:tcW w:w="1276" w:type="dxa"/>
            <w:vAlign w:val="bottom"/>
          </w:tcPr>
          <w:p>
            <w:pPr>
              <w:pStyle w:val="yTableNAm"/>
            </w:pPr>
            <w:r>
              <w:t>$194.00</w:t>
            </w:r>
          </w:p>
        </w:tc>
      </w:tr>
      <w:tr>
        <w:trPr>
          <w:cantSplit/>
        </w:trPr>
        <w:tc>
          <w:tcPr>
            <w:tcW w:w="5528" w:type="dxa"/>
          </w:tcPr>
          <w:p>
            <w:pPr>
              <w:pStyle w:val="yTableNAm"/>
              <w:tabs>
                <w:tab w:val="right" w:leader="dot" w:pos="5387"/>
              </w:tabs>
              <w:ind w:left="556" w:right="-85" w:hanging="556"/>
            </w:pPr>
            <w:r>
              <w:t>7.</w:t>
            </w:r>
            <w:r>
              <w:tab/>
              <w:t>Meter reading where reading requested by consumer</w:t>
            </w:r>
          </w:p>
        </w:tc>
        <w:tc>
          <w:tcPr>
            <w:tcW w:w="1276" w:type="dxa"/>
          </w:tcPr>
          <w:p>
            <w:pPr>
              <w:pStyle w:val="yTableNAm"/>
            </w:pPr>
            <w:r>
              <w:rPr>
                <w:szCs w:val="18"/>
              </w:rPr>
              <w:t>$</w:t>
            </w:r>
            <w:del w:id="430" w:author="Master Repository Process" w:date="2025-06-27T09:29:00Z">
              <w:r>
                <w:rPr>
                  <w:szCs w:val="18"/>
                </w:rPr>
                <w:delText>25.96</w:delText>
              </w:r>
            </w:del>
            <w:ins w:id="431" w:author="Master Repository Process" w:date="2025-06-27T09:29:00Z">
              <w:r>
                <w:rPr>
                  <w:szCs w:val="18"/>
                </w:rPr>
                <w:t>38.66</w:t>
              </w:r>
            </w:ins>
          </w:p>
        </w:tc>
      </w:tr>
      <w:tr>
        <w:trPr>
          <w:cantSplit/>
        </w:trPr>
        <w:tc>
          <w:tcPr>
            <w:tcW w:w="5528" w:type="dxa"/>
          </w:tcPr>
          <w:p>
            <w:pPr>
              <w:pStyle w:val="yTableNAm"/>
              <w:tabs>
                <w:tab w:val="right" w:leader="dot" w:pos="5387"/>
              </w:tabs>
              <w:ind w:left="556" w:right="-85" w:hanging="556"/>
            </w:pPr>
            <w:r>
              <w:t>8.</w:t>
            </w:r>
            <w:r>
              <w:tab/>
              <w:t xml:space="preserve">Remote meter reading </w:t>
            </w:r>
            <w:r>
              <w:tab/>
            </w:r>
          </w:p>
        </w:tc>
        <w:tc>
          <w:tcPr>
            <w:tcW w:w="1276" w:type="dxa"/>
          </w:tcPr>
          <w:p>
            <w:pPr>
              <w:pStyle w:val="yTableNAm"/>
            </w:pPr>
            <w:r>
              <w:rPr>
                <w:szCs w:val="22"/>
              </w:rPr>
              <w:t>$</w:t>
            </w:r>
            <w:del w:id="432" w:author="Master Repository Process" w:date="2025-06-27T09:29:00Z">
              <w:r>
                <w:rPr>
                  <w:szCs w:val="22"/>
                </w:rPr>
                <w:delText>20.46</w:delText>
              </w:r>
            </w:del>
            <w:ins w:id="433" w:author="Master Repository Process" w:date="2025-06-27T09:29:00Z">
              <w:r>
                <w:rPr>
                  <w:szCs w:val="22"/>
                </w:rPr>
                <w:t>17.40</w:t>
              </w:r>
            </w:ins>
          </w:p>
        </w:tc>
      </w:tr>
      <w:tr>
        <w:trPr>
          <w:cantSplit/>
        </w:trPr>
        <w:tc>
          <w:tcPr>
            <w:tcW w:w="5528" w:type="dxa"/>
          </w:tcPr>
          <w:p>
            <w:pPr>
              <w:pStyle w:val="yTableNAm"/>
              <w:tabs>
                <w:tab w:val="right" w:leader="dot" w:pos="5387"/>
              </w:tabs>
              <w:ind w:left="556" w:right="-85" w:hanging="556"/>
            </w:pPr>
            <w:r>
              <w:t>9.</w:t>
            </w:r>
            <w:r>
              <w:tab/>
              <w:t xml:space="preserve">Overdue account notices </w:t>
            </w:r>
            <w:r>
              <w:tab/>
            </w:r>
          </w:p>
        </w:tc>
        <w:tc>
          <w:tcPr>
            <w:tcW w:w="1276" w:type="dxa"/>
          </w:tcPr>
          <w:p>
            <w:pPr>
              <w:pStyle w:val="yTableNAm"/>
            </w:pPr>
            <w:r>
              <w:rPr>
                <w:szCs w:val="18"/>
              </w:rPr>
              <w:t>$</w:t>
            </w:r>
            <w:del w:id="434" w:author="Master Repository Process" w:date="2025-06-27T09:29:00Z">
              <w:r>
                <w:rPr>
                  <w:szCs w:val="18"/>
                </w:rPr>
                <w:delText>5.72</w:delText>
              </w:r>
            </w:del>
            <w:ins w:id="435" w:author="Master Repository Process" w:date="2025-06-27T09:29:00Z">
              <w:r>
                <w:rPr>
                  <w:szCs w:val="18"/>
                </w:rPr>
                <w:t>4.78</w:t>
              </w:r>
            </w:ins>
          </w:p>
        </w:tc>
      </w:tr>
      <w:tr>
        <w:trPr>
          <w:cantSplit/>
        </w:trPr>
        <w:tc>
          <w:tcPr>
            <w:tcW w:w="5528" w:type="dxa"/>
          </w:tcPr>
          <w:p>
            <w:pPr>
              <w:pStyle w:val="yTableNAm"/>
              <w:tabs>
                <w:tab w:val="right" w:leader="dot" w:pos="5387"/>
              </w:tabs>
              <w:ind w:left="556" w:right="-85" w:hanging="556"/>
            </w:pPr>
            <w:r>
              <w:t>10.</w:t>
            </w:r>
            <w:r>
              <w:tab/>
              <w:t>Tariff R1 or R3 “time</w:t>
            </w:r>
            <w:r>
              <w:noBreakHyphen/>
              <w:t>of</w:t>
            </w:r>
            <w:r>
              <w:noBreakHyphen/>
              <w:t xml:space="preserve">use meter” installation fee </w:t>
            </w:r>
            <w:r>
              <w:tab/>
            </w:r>
          </w:p>
        </w:tc>
        <w:tc>
          <w:tcPr>
            <w:tcW w:w="1276" w:type="dxa"/>
          </w:tcPr>
          <w:p>
            <w:pPr>
              <w:pStyle w:val="yTableNAm"/>
            </w:pPr>
            <w:r>
              <w:t>$786.40</w:t>
            </w:r>
          </w:p>
        </w:tc>
      </w:tr>
      <w:tr>
        <w:trPr>
          <w:cantSplit/>
        </w:trPr>
        <w:tc>
          <w:tcPr>
            <w:tcW w:w="5528" w:type="dxa"/>
          </w:tcPr>
          <w:p>
            <w:pPr>
              <w:pStyle w:val="yTableNAm"/>
              <w:tabs>
                <w:tab w:val="right" w:leader="dot" w:pos="5387"/>
              </w:tabs>
              <w:ind w:left="556" w:right="-85" w:hanging="556"/>
            </w:pPr>
            <w:r>
              <w:t>11.</w:t>
            </w:r>
            <w:r>
              <w:tab/>
              <w:t xml:space="preserve">Fee for provision of cellular communications capability for meter (where radio mesh network cannot be used) </w:t>
            </w:r>
            <w:r>
              <w:tab/>
            </w:r>
          </w:p>
        </w:tc>
        <w:tc>
          <w:tcPr>
            <w:tcW w:w="1276" w:type="dxa"/>
          </w:tcPr>
          <w:p>
            <w:pPr>
              <w:pStyle w:val="yTableNAm"/>
            </w:pPr>
            <w:r>
              <w:br/>
            </w:r>
            <w:r>
              <w:br/>
            </w:r>
            <w:r>
              <w:rPr>
                <w:szCs w:val="22"/>
              </w:rPr>
              <w:t>$</w:t>
            </w:r>
            <w:del w:id="436" w:author="Master Repository Process" w:date="2025-06-27T09:29:00Z">
              <w:r>
                <w:rPr>
                  <w:szCs w:val="22"/>
                </w:rPr>
                <w:delText>419.54</w:delText>
              </w:r>
            </w:del>
            <w:ins w:id="437" w:author="Master Repository Process" w:date="2025-06-27T09:29:00Z">
              <w:r>
                <w:rPr>
                  <w:szCs w:val="22"/>
                </w:rPr>
                <w:t>428.26</w:t>
              </w:r>
            </w:ins>
          </w:p>
        </w:tc>
      </w:tr>
      <w:tr>
        <w:trPr>
          <w:cantSplit/>
        </w:trPr>
        <w:tc>
          <w:tcPr>
            <w:tcW w:w="5528" w:type="dxa"/>
          </w:tcPr>
          <w:p>
            <w:pPr>
              <w:pStyle w:val="yTableNAm"/>
              <w:keepNext/>
              <w:tabs>
                <w:tab w:val="right" w:leader="dot" w:pos="5387"/>
              </w:tabs>
              <w:ind w:left="556" w:right="-85" w:hanging="556"/>
            </w:pPr>
            <w:r>
              <w:t>12.</w:t>
            </w:r>
            <w:r>
              <w:tab/>
              <w:t xml:space="preserve">A transaction fee where a consumer makes a payment to the corporation by means of a credit card or debit card </w:t>
            </w:r>
            <w:r>
              <w:tab/>
            </w:r>
          </w:p>
        </w:tc>
        <w:tc>
          <w:tcPr>
            <w:tcW w:w="1276" w:type="dxa"/>
          </w:tcPr>
          <w:p>
            <w:pPr>
              <w:pStyle w:val="yTableNAm"/>
              <w:keepNext/>
            </w:pPr>
            <w:r>
              <w:t>The permitted surcharge for the payment</w:t>
            </w:r>
          </w:p>
        </w:tc>
      </w:tr>
      <w:tr>
        <w:trPr>
          <w:cantSplit/>
        </w:trPr>
        <w:tc>
          <w:tcPr>
            <w:tcW w:w="5528" w:type="dxa"/>
          </w:tcPr>
          <w:p>
            <w:pPr>
              <w:pStyle w:val="yTableNAm"/>
              <w:keepNext/>
              <w:tabs>
                <w:tab w:val="left" w:pos="1134"/>
                <w:tab w:val="right" w:leader="dot" w:pos="5386"/>
              </w:tabs>
              <w:ind w:left="1134" w:right="-85" w:hanging="1134"/>
            </w:pPr>
            <w:r>
              <w:t>13.</w:t>
            </w:r>
            <w:del w:id="438" w:author="Master Repository Process" w:date="2025-06-27T09:29:00Z">
              <w:r>
                <w:delText xml:space="preserve"> </w:delText>
              </w:r>
            </w:del>
            <w:r>
              <w:tab/>
              <w:t xml:space="preserve">Paper bill fee </w:t>
            </w:r>
            <w:r>
              <w:tab/>
            </w:r>
          </w:p>
        </w:tc>
        <w:tc>
          <w:tcPr>
            <w:tcW w:w="1276" w:type="dxa"/>
          </w:tcPr>
          <w:p>
            <w:pPr>
              <w:pStyle w:val="yTableNAm"/>
              <w:keepNext/>
            </w:pPr>
            <w:r>
              <w:rPr>
                <w:szCs w:val="22"/>
              </w:rPr>
              <w:t>$1.</w:t>
            </w:r>
            <w:del w:id="439" w:author="Master Repository Process" w:date="2025-06-27T09:29:00Z">
              <w:r>
                <w:rPr>
                  <w:szCs w:val="22"/>
                </w:rPr>
                <w:delText>54</w:delText>
              </w:r>
            </w:del>
            <w:ins w:id="440" w:author="Master Repository Process" w:date="2025-06-27T09:29:00Z">
              <w:r>
                <w:rPr>
                  <w:szCs w:val="22"/>
                </w:rPr>
                <w:t>63</w:t>
              </w:r>
            </w:ins>
          </w:p>
        </w:tc>
      </w:tr>
      <w:tr>
        <w:trPr>
          <w:cantSplit/>
        </w:trPr>
        <w:tc>
          <w:tcPr>
            <w:tcW w:w="5528" w:type="dxa"/>
            <w:tcBorders>
              <w:bottom w:val="single" w:sz="4" w:space="0" w:color="auto"/>
            </w:tcBorders>
          </w:tcPr>
          <w:p>
            <w:pPr>
              <w:pStyle w:val="yTableNAm"/>
              <w:tabs>
                <w:tab w:val="left" w:pos="1134"/>
                <w:tab w:val="right" w:leader="dot" w:pos="5386"/>
              </w:tabs>
              <w:ind w:left="1134" w:right="-85" w:hanging="1134"/>
            </w:pPr>
            <w:r>
              <w:t>14.</w:t>
            </w:r>
            <w:del w:id="441" w:author="Master Repository Process" w:date="2025-06-27T09:29:00Z">
              <w:r>
                <w:delText xml:space="preserve"> </w:delText>
              </w:r>
            </w:del>
            <w:r>
              <w:tab/>
              <w:t>Over</w:t>
            </w:r>
            <w:r>
              <w:noBreakHyphen/>
              <w:t>the</w:t>
            </w:r>
            <w:r>
              <w:noBreakHyphen/>
              <w:t xml:space="preserve">counter payment fee </w:t>
            </w:r>
            <w:r>
              <w:tab/>
            </w:r>
          </w:p>
        </w:tc>
        <w:tc>
          <w:tcPr>
            <w:tcW w:w="1276" w:type="dxa"/>
            <w:tcBorders>
              <w:bottom w:val="single" w:sz="4" w:space="0" w:color="auto"/>
            </w:tcBorders>
          </w:tcPr>
          <w:p>
            <w:pPr>
              <w:pStyle w:val="yTableNAm"/>
              <w:keepNext/>
            </w:pPr>
            <w:r>
              <w:t>$2.10</w:t>
            </w:r>
          </w:p>
        </w:tc>
      </w:tr>
    </w:tbl>
    <w:p>
      <w:pPr>
        <w:pStyle w:val="yFootnotesection"/>
      </w:pPr>
      <w:r>
        <w:tab/>
        <w:t xml:space="preserve">[Schedule 4 inserted: SL 2021/98 bl. 5; amended: SL 2022/70 bl. 5; SL 2023/85 bl. 5; SL 2024/102 </w:t>
      </w:r>
      <w:del w:id="442" w:author="Master Repository Process" w:date="2025-06-27T09:29:00Z">
        <w:r>
          <w:delText>r. 5</w:delText>
        </w:r>
      </w:del>
      <w:ins w:id="443" w:author="Master Repository Process" w:date="2025-06-27T09:29:00Z">
        <w:r>
          <w:t>bl. 5; SL 2025/124 bl. 6</w:t>
        </w:r>
      </w:ins>
      <w:r>
        <w:t>.]</w:t>
      </w:r>
    </w:p>
    <w:p>
      <w:pPr>
        <w:pStyle w:val="CentredBaseLine"/>
        <w:spacing w:before="180"/>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10" w:bottom="3544" w:left="2410" w:header="720" w:footer="3544" w:gutter="0"/>
          <w:cols w:space="720"/>
        </w:sectPr>
      </w:pPr>
    </w:p>
    <w:p>
      <w:pPr>
        <w:pStyle w:val="nHeading2"/>
      </w:pPr>
      <w:bookmarkStart w:id="444" w:name="_Toc201755177"/>
      <w:bookmarkStart w:id="445" w:name="_Toc201755467"/>
      <w:bookmarkStart w:id="446" w:name="_Toc201762588"/>
      <w:bookmarkStart w:id="447" w:name="_Toc170205821"/>
      <w:bookmarkStart w:id="448" w:name="_Toc170205900"/>
      <w:bookmarkStart w:id="449" w:name="_Toc170208337"/>
      <w:bookmarkStart w:id="450" w:name="_Toc170210836"/>
      <w:bookmarkStart w:id="451" w:name="_Toc170291819"/>
      <w:r>
        <w:t>Notes</w:t>
      </w:r>
      <w:bookmarkEnd w:id="444"/>
      <w:bookmarkEnd w:id="445"/>
      <w:bookmarkEnd w:id="446"/>
      <w:bookmarkEnd w:id="447"/>
      <w:bookmarkEnd w:id="448"/>
      <w:bookmarkEnd w:id="449"/>
      <w:bookmarkEnd w:id="450"/>
      <w:bookmarkEnd w:id="451"/>
    </w:p>
    <w:p>
      <w:pPr>
        <w:pStyle w:val="nStatement"/>
      </w:pPr>
      <w:r>
        <w:t xml:space="preserve">This is a compilation of the </w:t>
      </w:r>
      <w:r>
        <w:rPr>
          <w:i/>
          <w:noProof/>
        </w:rPr>
        <w:t>Energy Operators (Electricity Generation and Retail Corporation) (Charges) By-laws 2006</w:t>
      </w:r>
      <w:r>
        <w:t xml:space="preserve"> and includes amendments made by other written laws. For provisions that have come into operation, and for information about any reprints, see the compilation table.</w:t>
      </w:r>
    </w:p>
    <w:p>
      <w:pPr>
        <w:pStyle w:val="nHeading3"/>
      </w:pPr>
      <w:bookmarkStart w:id="452" w:name="_Toc201762589"/>
      <w:bookmarkStart w:id="453" w:name="_Toc170291820"/>
      <w:r>
        <w:t>Compilation table</w:t>
      </w:r>
      <w:bookmarkEnd w:id="452"/>
      <w:bookmarkEnd w:id="453"/>
    </w:p>
    <w:tbl>
      <w:tblPr>
        <w:tblW w:w="711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8"/>
        <w:gridCol w:w="1248"/>
        <w:gridCol w:w="28"/>
        <w:gridCol w:w="2665"/>
        <w:gridCol w:w="29"/>
      </w:tblGrid>
      <w:tr>
        <w:trPr>
          <w:gridAfter w:val="1"/>
          <w:wAfter w:w="2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Borders>
              <w:top w:val="single" w:sz="8" w:space="0" w:color="auto"/>
            </w:tcBorders>
          </w:tcPr>
          <w:p>
            <w:pPr>
              <w:pStyle w:val="nTable"/>
              <w:spacing w:after="40"/>
            </w:pPr>
            <w:r>
              <w:rPr>
                <w:i/>
              </w:rPr>
              <w:t>Energy Operators (Electricity Retail Corporation) (Charges) By</w:t>
            </w:r>
            <w:r>
              <w:rPr>
                <w:i/>
              </w:rPr>
              <w:noBreakHyphen/>
              <w:t>laws 2006</w:t>
            </w:r>
            <w:r>
              <w:rPr>
                <w:i/>
                <w:vertAlign w:val="superscript"/>
              </w:rPr>
              <w:t> </w:t>
            </w:r>
            <w:r>
              <w:rPr>
                <w:vertAlign w:val="superscript"/>
              </w:rPr>
              <w:t>1</w:t>
            </w:r>
          </w:p>
        </w:tc>
        <w:tc>
          <w:tcPr>
            <w:tcW w:w="1276" w:type="dxa"/>
            <w:gridSpan w:val="2"/>
            <w:tcBorders>
              <w:top w:val="single" w:sz="8" w:space="0" w:color="auto"/>
            </w:tcBorders>
          </w:tcPr>
          <w:p>
            <w:pPr>
              <w:pStyle w:val="nTable"/>
              <w:spacing w:after="40"/>
            </w:pPr>
            <w:r>
              <w:t>31 Mar 2006 p. 1225</w:t>
            </w:r>
            <w:r>
              <w:noBreakHyphen/>
              <w:t>46</w:t>
            </w:r>
          </w:p>
        </w:tc>
        <w:tc>
          <w:tcPr>
            <w:tcW w:w="2694" w:type="dxa"/>
            <w:gridSpan w:val="2"/>
            <w:tcBorders>
              <w:top w:val="single" w:sz="8" w:space="0" w:color="auto"/>
            </w:tcBorders>
          </w:tcPr>
          <w:p>
            <w:pPr>
              <w:pStyle w:val="nTable"/>
              <w:spacing w:after="40"/>
            </w:pPr>
            <w:r>
              <w:t>1 Apr 2006 (see bl. 2)</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2006</w:t>
            </w:r>
          </w:p>
        </w:tc>
        <w:tc>
          <w:tcPr>
            <w:tcW w:w="1276" w:type="dxa"/>
            <w:gridSpan w:val="2"/>
          </w:tcPr>
          <w:p>
            <w:pPr>
              <w:pStyle w:val="nTable"/>
              <w:spacing w:after="40"/>
            </w:pPr>
            <w:r>
              <w:t>1 Dec 2006 p. 5349</w:t>
            </w:r>
            <w:r>
              <w:noBreakHyphen/>
              <w:t>50</w:t>
            </w:r>
          </w:p>
        </w:tc>
        <w:tc>
          <w:tcPr>
            <w:tcW w:w="2694" w:type="dxa"/>
            <w:gridSpan w:val="2"/>
          </w:tcPr>
          <w:p>
            <w:pPr>
              <w:pStyle w:val="nTable"/>
              <w:spacing w:after="40"/>
            </w:pPr>
            <w:r>
              <w:t>1 Dec 2006</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2007</w:t>
            </w:r>
          </w:p>
        </w:tc>
        <w:tc>
          <w:tcPr>
            <w:tcW w:w="1276" w:type="dxa"/>
            <w:gridSpan w:val="2"/>
          </w:tcPr>
          <w:p>
            <w:pPr>
              <w:pStyle w:val="nTable"/>
              <w:spacing w:after="40"/>
            </w:pPr>
            <w:r>
              <w:t>26 Jun 2007 p. 3013</w:t>
            </w:r>
            <w:r>
              <w:noBreakHyphen/>
              <w:t>17</w:t>
            </w:r>
          </w:p>
        </w:tc>
        <w:tc>
          <w:tcPr>
            <w:tcW w:w="2694" w:type="dxa"/>
            <w:gridSpan w:val="2"/>
          </w:tcPr>
          <w:p>
            <w:pPr>
              <w:pStyle w:val="nTable"/>
              <w:spacing w:after="40"/>
            </w:pPr>
            <w:r>
              <w:t>bl. 1 and 2: 26 Jun 2007 (see bl. 2(a));</w:t>
            </w:r>
            <w:r>
              <w:br/>
              <w:t>By</w:t>
            </w:r>
            <w:r>
              <w:noBreakHyphen/>
              <w:t>laws other than bl. 1 and 2: 1 Jul 2007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2009</w:t>
            </w:r>
          </w:p>
        </w:tc>
        <w:tc>
          <w:tcPr>
            <w:tcW w:w="1276" w:type="dxa"/>
            <w:gridSpan w:val="2"/>
          </w:tcPr>
          <w:p>
            <w:pPr>
              <w:pStyle w:val="nTable"/>
              <w:spacing w:after="40"/>
            </w:pPr>
            <w:r>
              <w:t>30 Mar 2009 p. 967</w:t>
            </w:r>
            <w:r>
              <w:noBreakHyphen/>
              <w:t>95</w:t>
            </w:r>
          </w:p>
        </w:tc>
        <w:tc>
          <w:tcPr>
            <w:tcW w:w="2694" w:type="dxa"/>
            <w:gridSpan w:val="2"/>
          </w:tcPr>
          <w:p>
            <w:pPr>
              <w:pStyle w:val="nTable"/>
              <w:spacing w:after="40"/>
            </w:pPr>
            <w:r>
              <w:t>bl. 1 and 2: 30 Mar 2009 (see bl. 2(a));</w:t>
            </w:r>
            <w:r>
              <w:br/>
              <w:t>bl. 3 and Pt. 2: 1 Apr 2009 (see bl. 2(b));</w:t>
            </w:r>
            <w:r>
              <w:br/>
              <w:t>Pt. 3: 1 Jul 2009 (see bl. 2(c))</w:t>
            </w:r>
          </w:p>
        </w:tc>
      </w:tr>
      <w:tr>
        <w:tblPrEx>
          <w:tblBorders>
            <w:top w:val="none" w:sz="0" w:space="0" w:color="auto"/>
            <w:bottom w:val="none" w:sz="0" w:space="0" w:color="auto"/>
            <w:insideH w:val="none" w:sz="0" w:space="0" w:color="auto"/>
          </w:tblBorders>
        </w:tblPrEx>
        <w:trPr>
          <w:gridBefore w:val="1"/>
          <w:wBefore w:w="28" w:type="dxa"/>
          <w:cantSplit/>
        </w:trPr>
        <w:tc>
          <w:tcPr>
            <w:tcW w:w="7088" w:type="dxa"/>
            <w:gridSpan w:val="6"/>
          </w:tcPr>
          <w:p>
            <w:pPr>
              <w:pStyle w:val="nTable"/>
              <w:spacing w:after="40"/>
            </w:pPr>
            <w:r>
              <w:rPr>
                <w:b/>
                <w:bCs/>
              </w:rPr>
              <w:t xml:space="preserve">Reprint 1: The </w:t>
            </w:r>
            <w:r>
              <w:rPr>
                <w:b/>
                <w:bCs/>
                <w:i/>
              </w:rPr>
              <w:t>Energy Operators (Electricity Retail Corporation) (Charges) By</w:t>
            </w:r>
            <w:r>
              <w:rPr>
                <w:b/>
                <w:bCs/>
                <w:i/>
              </w:rPr>
              <w:noBreakHyphen/>
              <w:t>laws 2006</w:t>
            </w:r>
            <w:r>
              <w:rPr>
                <w:b/>
                <w:bCs/>
              </w:rPr>
              <w:t xml:space="preserve"> as at 18 Sep 2009</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Cs/>
              </w:rPr>
            </w:pPr>
            <w:r>
              <w:rPr>
                <w:i/>
              </w:rPr>
              <w:t>Energy Operators (Electricity Retail Corporation) (Charges) Amendment By</w:t>
            </w:r>
            <w:r>
              <w:rPr>
                <w:i/>
              </w:rPr>
              <w:noBreakHyphen/>
              <w:t>laws 2010</w:t>
            </w:r>
            <w:r>
              <w:rPr>
                <w:iCs/>
              </w:rPr>
              <w:t xml:space="preserve"> </w:t>
            </w:r>
          </w:p>
        </w:tc>
        <w:tc>
          <w:tcPr>
            <w:tcW w:w="1276" w:type="dxa"/>
            <w:gridSpan w:val="2"/>
          </w:tcPr>
          <w:p>
            <w:pPr>
              <w:pStyle w:val="nTable"/>
              <w:spacing w:after="40"/>
            </w:pPr>
            <w:r>
              <w:t>26 Mar 2010 p. 1135-42</w:t>
            </w:r>
          </w:p>
        </w:tc>
        <w:tc>
          <w:tcPr>
            <w:tcW w:w="2694" w:type="dxa"/>
            <w:gridSpan w:val="2"/>
          </w:tcPr>
          <w:p>
            <w:pPr>
              <w:pStyle w:val="nTable"/>
              <w:spacing w:after="40"/>
            </w:pPr>
            <w:r>
              <w:t>Pt. 1: 26 Mar 2010 (see bl. 2(a));</w:t>
            </w:r>
            <w:r>
              <w:br/>
              <w:t>Pt. 2: 1 Apr 2010 (see bl. 2(b));</w:t>
            </w:r>
            <w:r>
              <w:br/>
              <w:t>Pt. 3: 1 Jul 2010 (see bl. 2(c))</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2011</w:t>
            </w:r>
          </w:p>
        </w:tc>
        <w:tc>
          <w:tcPr>
            <w:tcW w:w="1276" w:type="dxa"/>
            <w:gridSpan w:val="2"/>
          </w:tcPr>
          <w:p>
            <w:pPr>
              <w:pStyle w:val="nTable"/>
              <w:spacing w:after="40"/>
            </w:pPr>
            <w:r>
              <w:t>24 Jun 2011 p. 2499</w:t>
            </w:r>
            <w:r>
              <w:noBreakHyphen/>
              <w:t>503</w:t>
            </w:r>
          </w:p>
        </w:tc>
        <w:tc>
          <w:tcPr>
            <w:tcW w:w="2694" w:type="dxa"/>
            <w:gridSpan w:val="2"/>
          </w:tcPr>
          <w:p>
            <w:pPr>
              <w:pStyle w:val="nTable"/>
              <w:spacing w:after="40"/>
            </w:pPr>
            <w:r>
              <w:t>bl. 1 and 2: 24 Jun 2011 (see bl. 2(a));</w:t>
            </w:r>
            <w:r>
              <w:br/>
              <w:t>By-laws other than bl. 1 and 2: 1 Jul 2011 (see bl. 2(b))</w:t>
            </w:r>
          </w:p>
        </w:tc>
      </w:tr>
      <w:tr>
        <w:tblPrEx>
          <w:tblBorders>
            <w:top w:val="none" w:sz="0" w:space="0" w:color="auto"/>
            <w:bottom w:val="none" w:sz="0" w:space="0" w:color="auto"/>
            <w:insideH w:val="none" w:sz="0" w:space="0" w:color="auto"/>
          </w:tblBorders>
        </w:tblPrEx>
        <w:trPr>
          <w:gridBefore w:val="1"/>
          <w:wBefore w:w="28" w:type="dxa"/>
        </w:trPr>
        <w:tc>
          <w:tcPr>
            <w:tcW w:w="7088" w:type="dxa"/>
            <w:gridSpan w:val="6"/>
            <w:shd w:val="clear" w:color="auto" w:fill="auto"/>
          </w:tcPr>
          <w:p>
            <w:pPr>
              <w:pStyle w:val="nTable"/>
              <w:spacing w:after="40"/>
            </w:pPr>
            <w:r>
              <w:rPr>
                <w:b/>
                <w:bCs/>
              </w:rPr>
              <w:t xml:space="preserve">Reprint 2: The </w:t>
            </w:r>
            <w:r>
              <w:rPr>
                <w:b/>
                <w:bCs/>
                <w:i/>
              </w:rPr>
              <w:t>Energy Operators (Electricity Retail Corporation) (Charges) By</w:t>
            </w:r>
            <w:r>
              <w:rPr>
                <w:b/>
                <w:bCs/>
                <w:i/>
              </w:rPr>
              <w:noBreakHyphen/>
              <w:t>laws 2006</w:t>
            </w:r>
            <w:r>
              <w:rPr>
                <w:b/>
                <w:bCs/>
              </w:rPr>
              <w:t xml:space="preserve"> as at 27 Apr 2012</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2012</w:t>
            </w:r>
          </w:p>
        </w:tc>
        <w:tc>
          <w:tcPr>
            <w:tcW w:w="1276" w:type="dxa"/>
            <w:gridSpan w:val="2"/>
          </w:tcPr>
          <w:p>
            <w:pPr>
              <w:pStyle w:val="nTable"/>
              <w:spacing w:after="40"/>
            </w:pPr>
            <w:r>
              <w:t>29 Jun 2012 p. 2913-26</w:t>
            </w:r>
          </w:p>
        </w:tc>
        <w:tc>
          <w:tcPr>
            <w:tcW w:w="2694" w:type="dxa"/>
            <w:gridSpan w:val="2"/>
          </w:tcPr>
          <w:p>
            <w:pPr>
              <w:pStyle w:val="nTable"/>
              <w:spacing w:after="40"/>
            </w:pPr>
            <w:r>
              <w:t>bl. 1 and 2: 29 Jun 2012 (see bl. 2(a));</w:t>
            </w:r>
            <w:r>
              <w:br/>
              <w:t>By-laws other than bl. 1 and 2: 1 Jul 2012 (see bl. 2(b))</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rPr>
                <w:i/>
              </w:rPr>
            </w:pPr>
            <w:r>
              <w:rPr>
                <w:i/>
              </w:rPr>
              <w:t>Energy Operators (Electricity Retail Corporation) (Charges) Amendment By-laws (No. 2) 2012</w:t>
            </w:r>
          </w:p>
        </w:tc>
        <w:tc>
          <w:tcPr>
            <w:tcW w:w="1276" w:type="dxa"/>
            <w:gridSpan w:val="2"/>
          </w:tcPr>
          <w:p>
            <w:pPr>
              <w:pStyle w:val="nTable"/>
              <w:spacing w:after="40"/>
            </w:pPr>
            <w:r>
              <w:t>21 Sep 2012 p. 4424</w:t>
            </w:r>
          </w:p>
        </w:tc>
        <w:tc>
          <w:tcPr>
            <w:tcW w:w="2694" w:type="dxa"/>
            <w:gridSpan w:val="2"/>
          </w:tcPr>
          <w:p>
            <w:pPr>
              <w:pStyle w:val="nTable"/>
              <w:spacing w:after="40"/>
            </w:pPr>
            <w:r>
              <w:t>bl. 1 and 2: 21 Sep 2012 (see bl. 2(a));</w:t>
            </w:r>
            <w:r>
              <w:br/>
              <w:t>By-laws other than bl. 1 and 2: 1 Oct 2012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By-laws 2013</w:t>
            </w:r>
          </w:p>
        </w:tc>
        <w:tc>
          <w:tcPr>
            <w:tcW w:w="1276" w:type="dxa"/>
            <w:gridSpan w:val="2"/>
          </w:tcPr>
          <w:p>
            <w:pPr>
              <w:pStyle w:val="nTable"/>
              <w:spacing w:after="40"/>
            </w:pPr>
            <w:r>
              <w:t>14 Jun 2013 p. 2217-22</w:t>
            </w:r>
          </w:p>
        </w:tc>
        <w:tc>
          <w:tcPr>
            <w:tcW w:w="2694" w:type="dxa"/>
            <w:gridSpan w:val="2"/>
          </w:tcPr>
          <w:p>
            <w:pPr>
              <w:pStyle w:val="nTable"/>
              <w:spacing w:after="40"/>
            </w:pPr>
            <w:r>
              <w:t>bl. 1 and 2: 14 Jun 2013 (see bl. 2(a));</w:t>
            </w:r>
            <w:r>
              <w:br/>
              <w:t>By-laws other than bl. 1 and 2: 1 Jul 2013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By-laws (No. 2) 2013</w:t>
            </w:r>
          </w:p>
        </w:tc>
        <w:tc>
          <w:tcPr>
            <w:tcW w:w="1276" w:type="dxa"/>
            <w:gridSpan w:val="2"/>
          </w:tcPr>
          <w:p>
            <w:pPr>
              <w:pStyle w:val="nTable"/>
              <w:spacing w:after="40"/>
            </w:pPr>
            <w:r>
              <w:t>30 Aug 2013 p. 4097-100</w:t>
            </w:r>
          </w:p>
        </w:tc>
        <w:tc>
          <w:tcPr>
            <w:tcW w:w="2694" w:type="dxa"/>
            <w:gridSpan w:val="2"/>
          </w:tcPr>
          <w:p>
            <w:pPr>
              <w:pStyle w:val="nTable"/>
              <w:spacing w:after="40"/>
            </w:pPr>
            <w:r>
              <w:t>bl. 1 and 2: 30 Aug 2013 (see bl. 2(a));</w:t>
            </w:r>
            <w:r>
              <w:br/>
              <w:t>By-laws other than bl. 1 and 2: 1 Sep 2013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Electricity Corporations (Consequential Amendments) Regulations 2013</w:t>
            </w:r>
            <w:r>
              <w:t xml:space="preserve"> r. 12</w:t>
            </w:r>
          </w:p>
        </w:tc>
        <w:tc>
          <w:tcPr>
            <w:tcW w:w="1276" w:type="dxa"/>
            <w:gridSpan w:val="2"/>
            <w:shd w:val="clear" w:color="auto" w:fill="auto"/>
          </w:tcPr>
          <w:p>
            <w:pPr>
              <w:pStyle w:val="nTable"/>
              <w:spacing w:after="40"/>
            </w:pPr>
            <w:r>
              <w:t>27 Dec 2013 p. 6469-79</w:t>
            </w:r>
          </w:p>
        </w:tc>
        <w:tc>
          <w:tcPr>
            <w:tcW w:w="2694" w:type="dxa"/>
            <w:gridSpan w:val="2"/>
            <w:shd w:val="clear" w:color="auto" w:fill="auto"/>
          </w:tcPr>
          <w:p>
            <w:pPr>
              <w:pStyle w:val="nTable"/>
              <w:spacing w:after="40"/>
            </w:pPr>
            <w:r>
              <w:t xml:space="preserve">1 Jan 2014 (see r. 2(c) and </w:t>
            </w:r>
            <w:r>
              <w:rPr>
                <w:i/>
              </w:rPr>
              <w:t>Gazette</w:t>
            </w:r>
            <w:r>
              <w:t xml:space="preserve"> 27 Dec 2013 p. 6465)</w:t>
            </w:r>
          </w:p>
        </w:tc>
      </w:tr>
      <w:tr>
        <w:tblPrEx>
          <w:tblBorders>
            <w:top w:val="none" w:sz="0" w:space="0" w:color="auto"/>
            <w:bottom w:val="none" w:sz="0" w:space="0" w:color="auto"/>
            <w:insideH w:val="none" w:sz="0" w:space="0" w:color="auto"/>
          </w:tblBorders>
        </w:tblPrEx>
        <w:trPr>
          <w:gridBefore w:val="1"/>
          <w:wBefore w:w="28" w:type="dxa"/>
        </w:trPr>
        <w:tc>
          <w:tcPr>
            <w:tcW w:w="7088" w:type="dxa"/>
            <w:gridSpan w:val="6"/>
            <w:shd w:val="clear" w:color="auto" w:fill="auto"/>
          </w:tcPr>
          <w:p>
            <w:pPr>
              <w:pStyle w:val="nTable"/>
              <w:spacing w:after="40"/>
            </w:pPr>
            <w:r>
              <w:rPr>
                <w:b/>
                <w:bCs/>
              </w:rPr>
              <w:t xml:space="preserve">Reprint 3: The </w:t>
            </w:r>
            <w:r>
              <w:rPr>
                <w:b/>
                <w:i/>
                <w:noProof/>
                <w:snapToGrid w:val="0"/>
              </w:rPr>
              <w:t xml:space="preserve">Energy Operators (Electricity </w:t>
            </w:r>
            <w:r>
              <w:rPr>
                <w:b/>
                <w:i/>
              </w:rPr>
              <w:t>Generation and</w:t>
            </w:r>
            <w:r>
              <w:rPr>
                <w:b/>
                <w:i/>
                <w:noProof/>
                <w:snapToGrid w:val="0"/>
              </w:rPr>
              <w:t xml:space="preserve"> Retail Corporation) (Charges) By-laws 2006</w:t>
            </w:r>
            <w:r>
              <w:rPr>
                <w:b/>
                <w:bCs/>
              </w:rPr>
              <w:t xml:space="preserve"> as at 14 Mar 2014</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By-laws 2014</w:t>
            </w:r>
          </w:p>
        </w:tc>
        <w:tc>
          <w:tcPr>
            <w:tcW w:w="1276" w:type="dxa"/>
            <w:gridSpan w:val="2"/>
            <w:shd w:val="clear" w:color="auto" w:fill="auto"/>
          </w:tcPr>
          <w:p>
            <w:pPr>
              <w:pStyle w:val="nTable"/>
              <w:spacing w:after="40"/>
            </w:pPr>
            <w:r>
              <w:t>27 Jun 2014 p. 2313-19</w:t>
            </w:r>
          </w:p>
        </w:tc>
        <w:tc>
          <w:tcPr>
            <w:tcW w:w="2694" w:type="dxa"/>
            <w:gridSpan w:val="2"/>
            <w:shd w:val="clear" w:color="auto" w:fill="auto"/>
          </w:tcPr>
          <w:p>
            <w:pPr>
              <w:pStyle w:val="nTable"/>
              <w:spacing w:after="40"/>
            </w:pPr>
            <w:r>
              <w:t>bl. 1 and 2: 27 Jun 2014 (see bl. 2(a));</w:t>
            </w:r>
            <w:r>
              <w:br/>
              <w:t>By-laws other than bl. 1 and 2: 1 Jul 2014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By-laws (No. 2) 2014</w:t>
            </w:r>
          </w:p>
        </w:tc>
        <w:tc>
          <w:tcPr>
            <w:tcW w:w="1276" w:type="dxa"/>
            <w:gridSpan w:val="2"/>
            <w:shd w:val="clear" w:color="auto" w:fill="auto"/>
          </w:tcPr>
          <w:p>
            <w:pPr>
              <w:pStyle w:val="nTable"/>
              <w:spacing w:after="40"/>
            </w:pPr>
            <w:r>
              <w:t>22 Aug 2014 p. 3024</w:t>
            </w:r>
            <w:r>
              <w:noBreakHyphen/>
              <w:t>32</w:t>
            </w:r>
          </w:p>
        </w:tc>
        <w:tc>
          <w:tcPr>
            <w:tcW w:w="2694" w:type="dxa"/>
            <w:gridSpan w:val="2"/>
            <w:shd w:val="clear" w:color="auto" w:fill="auto"/>
          </w:tcPr>
          <w:p>
            <w:pPr>
              <w:pStyle w:val="nTable"/>
              <w:spacing w:after="40"/>
            </w:pPr>
            <w:r>
              <w:t>bl. 1 and 2: 22 Aug 2014 (see bl. 2(a));</w:t>
            </w:r>
            <w:r>
              <w:br/>
              <w:t>By-laws other than bl. 1 and 2: 1 Sep 2014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By-laws 2015</w:t>
            </w:r>
          </w:p>
        </w:tc>
        <w:tc>
          <w:tcPr>
            <w:tcW w:w="1276" w:type="dxa"/>
            <w:gridSpan w:val="2"/>
            <w:shd w:val="clear" w:color="auto" w:fill="auto"/>
          </w:tcPr>
          <w:p>
            <w:pPr>
              <w:pStyle w:val="nTable"/>
              <w:spacing w:after="40"/>
            </w:pPr>
            <w:r>
              <w:t>26 Jun 2015 p. 2239</w:t>
            </w:r>
            <w:r>
              <w:noBreakHyphen/>
              <w:t>46</w:t>
            </w:r>
          </w:p>
        </w:tc>
        <w:tc>
          <w:tcPr>
            <w:tcW w:w="2694" w:type="dxa"/>
            <w:gridSpan w:val="2"/>
            <w:shd w:val="clear" w:color="auto" w:fill="auto"/>
          </w:tcPr>
          <w:p>
            <w:pPr>
              <w:pStyle w:val="nTable"/>
              <w:spacing w:after="40"/>
            </w:pPr>
            <w:r>
              <w:t>bl. 1 and 2: 26 Jun 2015 (see bl. 2(a));</w:t>
            </w:r>
            <w:r>
              <w:br/>
              <w:t>By-laws other than bl. 1 and 2: 1 Jul 2015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pPr>
            <w:r>
              <w:rPr>
                <w:i/>
              </w:rPr>
              <w:t>Energy Operators (Electricity Generation and Retail Corporation) (Charges) Amendment By-laws 2016</w:t>
            </w:r>
            <w:r>
              <w:rPr>
                <w:vertAlign w:val="superscript"/>
              </w:rPr>
              <w:t> 2</w:t>
            </w:r>
          </w:p>
        </w:tc>
        <w:tc>
          <w:tcPr>
            <w:tcW w:w="1276" w:type="dxa"/>
            <w:gridSpan w:val="2"/>
            <w:shd w:val="clear" w:color="auto" w:fill="auto"/>
          </w:tcPr>
          <w:p>
            <w:pPr>
              <w:pStyle w:val="nTable"/>
              <w:spacing w:after="40"/>
            </w:pPr>
            <w:r>
              <w:t>28 Jun 2016 p. 2623</w:t>
            </w:r>
            <w:r>
              <w:noBreakHyphen/>
              <w:t>5</w:t>
            </w:r>
          </w:p>
        </w:tc>
        <w:tc>
          <w:tcPr>
            <w:tcW w:w="2694" w:type="dxa"/>
            <w:gridSpan w:val="2"/>
            <w:shd w:val="clear" w:color="auto" w:fill="auto"/>
          </w:tcPr>
          <w:p>
            <w:pPr>
              <w:pStyle w:val="nTable"/>
              <w:spacing w:after="40"/>
            </w:pPr>
            <w:r>
              <w:t>bl. 1 and 2: 28 Jun 2016 (see bl. 2(a));</w:t>
            </w:r>
            <w:r>
              <w:br/>
              <w:t>By-laws other than bl. 1 and 2: 1 Jul 2016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w:t>
            </w:r>
            <w:r>
              <w:rPr>
                <w:i/>
              </w:rPr>
              <w:noBreakHyphen/>
              <w:t>laws (No. 2) 2016</w:t>
            </w:r>
          </w:p>
        </w:tc>
        <w:tc>
          <w:tcPr>
            <w:tcW w:w="1276" w:type="dxa"/>
            <w:gridSpan w:val="2"/>
            <w:shd w:val="clear" w:color="auto" w:fill="auto"/>
          </w:tcPr>
          <w:p>
            <w:pPr>
              <w:pStyle w:val="nTable"/>
              <w:spacing w:after="40"/>
            </w:pPr>
            <w:r>
              <w:t>31 Aug 2016 p. 3701</w:t>
            </w:r>
            <w:r>
              <w:noBreakHyphen/>
              <w:t>5</w:t>
            </w:r>
          </w:p>
        </w:tc>
        <w:tc>
          <w:tcPr>
            <w:tcW w:w="2694" w:type="dxa"/>
            <w:gridSpan w:val="2"/>
            <w:shd w:val="clear" w:color="auto" w:fill="auto"/>
          </w:tcPr>
          <w:p>
            <w:pPr>
              <w:pStyle w:val="nTable"/>
              <w:spacing w:after="40"/>
            </w:pPr>
            <w:r>
              <w:rPr>
                <w:bCs/>
                <w:snapToGrid w:val="0"/>
                <w:spacing w:val="-2"/>
              </w:rPr>
              <w:t>bl. 1 and 2: 31 Aug 2016 (see bl. 2(a));</w:t>
            </w:r>
            <w:r>
              <w:rPr>
                <w:bCs/>
                <w:snapToGrid w:val="0"/>
                <w:spacing w:val="-2"/>
              </w:rPr>
              <w:br/>
              <w:t>By-laws other than bl. 1 and 2: 1 Sep 2016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w:t>
            </w:r>
            <w:r>
              <w:rPr>
                <w:i/>
              </w:rPr>
              <w:noBreakHyphen/>
              <w:t>laws 2017</w:t>
            </w:r>
          </w:p>
        </w:tc>
        <w:tc>
          <w:tcPr>
            <w:tcW w:w="1276" w:type="dxa"/>
            <w:gridSpan w:val="2"/>
            <w:shd w:val="clear" w:color="auto" w:fill="auto"/>
          </w:tcPr>
          <w:p>
            <w:pPr>
              <w:pStyle w:val="nTable"/>
              <w:spacing w:after="40"/>
            </w:pPr>
            <w:r>
              <w:t>27 Jun 2017 p. 3424</w:t>
            </w:r>
            <w:r>
              <w:noBreakHyphen/>
              <w:t>31</w:t>
            </w:r>
          </w:p>
        </w:tc>
        <w:tc>
          <w:tcPr>
            <w:tcW w:w="2694" w:type="dxa"/>
            <w:gridSpan w:val="2"/>
            <w:shd w:val="clear" w:color="auto" w:fill="auto"/>
          </w:tcPr>
          <w:p>
            <w:pPr>
              <w:pStyle w:val="nTable"/>
              <w:spacing w:after="40"/>
              <w:rPr>
                <w:bCs/>
                <w:snapToGrid w:val="0"/>
                <w:spacing w:val="-2"/>
              </w:rPr>
            </w:pPr>
            <w:r>
              <w:rPr>
                <w:bCs/>
                <w:snapToGrid w:val="0"/>
                <w:spacing w:val="-2"/>
              </w:rPr>
              <w:t>bl. 1 and 2: 27 Jun 2017 (see bl. 2(a));</w:t>
            </w:r>
            <w:r>
              <w:rPr>
                <w:bCs/>
                <w:snapToGrid w:val="0"/>
                <w:spacing w:val="-2"/>
              </w:rPr>
              <w:br/>
              <w:t>By-laws other than bl. 1 and 2: 1 Jul 2017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keepNext/>
              <w:spacing w:after="40"/>
              <w:rPr>
                <w:i/>
              </w:rPr>
            </w:pPr>
            <w:r>
              <w:rPr>
                <w:i/>
              </w:rPr>
              <w:t>Energy Operators (Electricity Generation and Retail Corporation) (Charges) Amendment By</w:t>
            </w:r>
            <w:r>
              <w:rPr>
                <w:i/>
              </w:rPr>
              <w:noBreakHyphen/>
              <w:t>laws (No. 2) 2017</w:t>
            </w:r>
          </w:p>
        </w:tc>
        <w:tc>
          <w:tcPr>
            <w:tcW w:w="1276" w:type="dxa"/>
            <w:gridSpan w:val="2"/>
            <w:shd w:val="clear" w:color="auto" w:fill="auto"/>
          </w:tcPr>
          <w:p>
            <w:pPr>
              <w:pStyle w:val="nTable"/>
              <w:keepNext/>
              <w:spacing w:after="40"/>
            </w:pPr>
            <w:r>
              <w:t>30 Jun 2017 p. 3564</w:t>
            </w:r>
            <w:r>
              <w:noBreakHyphen/>
              <w:t>6</w:t>
            </w:r>
          </w:p>
        </w:tc>
        <w:tc>
          <w:tcPr>
            <w:tcW w:w="2694" w:type="dxa"/>
            <w:gridSpan w:val="2"/>
            <w:shd w:val="clear" w:color="auto" w:fill="auto"/>
          </w:tcPr>
          <w:p>
            <w:pPr>
              <w:pStyle w:val="nTable"/>
              <w:keepNext/>
              <w:spacing w:after="40"/>
              <w:rPr>
                <w:bCs/>
                <w:snapToGrid w:val="0"/>
                <w:spacing w:val="-2"/>
              </w:rPr>
            </w:pPr>
            <w:r>
              <w:rPr>
                <w:bCs/>
                <w:snapToGrid w:val="0"/>
                <w:spacing w:val="-2"/>
              </w:rPr>
              <w:t>bl. 1 and 2: 30 Jun 2017 (see bl. 2(a));</w:t>
            </w:r>
            <w:r>
              <w:rPr>
                <w:bCs/>
                <w:snapToGrid w:val="0"/>
                <w:spacing w:val="-2"/>
              </w:rPr>
              <w:br/>
              <w:t xml:space="preserve">By-laws other than bl. 1 and 2: 1 Jul 2017 (see bl. 2(b)(i) and </w:t>
            </w:r>
            <w:r>
              <w:rPr>
                <w:bCs/>
                <w:i/>
                <w:snapToGrid w:val="0"/>
                <w:spacing w:val="-2"/>
              </w:rPr>
              <w:t>Gazette</w:t>
            </w:r>
            <w:r>
              <w:rPr>
                <w:bCs/>
                <w:snapToGrid w:val="0"/>
                <w:spacing w:val="-2"/>
              </w:rPr>
              <w:t xml:space="preserve"> 27 Jun 2017 p. 3424)</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w:t>
            </w:r>
            <w:r>
              <w:rPr>
                <w:i/>
              </w:rPr>
              <w:noBreakHyphen/>
              <w:t>laws 2018</w:t>
            </w:r>
          </w:p>
        </w:tc>
        <w:tc>
          <w:tcPr>
            <w:tcW w:w="1276" w:type="dxa"/>
            <w:gridSpan w:val="2"/>
            <w:shd w:val="clear" w:color="auto" w:fill="auto"/>
          </w:tcPr>
          <w:p>
            <w:pPr>
              <w:pStyle w:val="nTable"/>
              <w:spacing w:after="40"/>
            </w:pPr>
            <w:r>
              <w:t>16 Feb 2018 p. 469</w:t>
            </w:r>
            <w:r>
              <w:noBreakHyphen/>
              <w:t>70</w:t>
            </w:r>
          </w:p>
        </w:tc>
        <w:tc>
          <w:tcPr>
            <w:tcW w:w="2694" w:type="dxa"/>
            <w:gridSpan w:val="2"/>
            <w:shd w:val="clear" w:color="auto" w:fill="auto"/>
          </w:tcPr>
          <w:p>
            <w:pPr>
              <w:pStyle w:val="nTable"/>
              <w:spacing w:after="40"/>
              <w:rPr>
                <w:bCs/>
                <w:snapToGrid w:val="0"/>
                <w:spacing w:val="-2"/>
              </w:rPr>
            </w:pPr>
            <w:r>
              <w:rPr>
                <w:bCs/>
                <w:snapToGrid w:val="0"/>
                <w:spacing w:val="-2"/>
              </w:rPr>
              <w:t>bl. 1 and 2: 16 Feb 2018 (see bl. 2(a));</w:t>
            </w:r>
            <w:r>
              <w:rPr>
                <w:bCs/>
                <w:snapToGrid w:val="0"/>
                <w:spacing w:val="-2"/>
              </w:rPr>
              <w:br/>
              <w:t>By-laws other than bl. 1 and 2: 17 Feb 2018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w:t>
            </w:r>
            <w:r>
              <w:rPr>
                <w:i/>
              </w:rPr>
              <w:noBreakHyphen/>
              <w:t>laws (No. 2) 2018</w:t>
            </w:r>
          </w:p>
        </w:tc>
        <w:tc>
          <w:tcPr>
            <w:tcW w:w="1276" w:type="dxa"/>
            <w:gridSpan w:val="2"/>
            <w:shd w:val="clear" w:color="auto" w:fill="auto"/>
          </w:tcPr>
          <w:p>
            <w:pPr>
              <w:pStyle w:val="nTable"/>
              <w:spacing w:after="40"/>
              <w:rPr>
                <w:caps/>
              </w:rPr>
            </w:pPr>
            <w:r>
              <w:t>26 Jun 2018 p. 2371</w:t>
            </w:r>
            <w:r>
              <w:noBreakHyphen/>
              <w:t>9</w:t>
            </w:r>
          </w:p>
        </w:tc>
        <w:tc>
          <w:tcPr>
            <w:tcW w:w="2694" w:type="dxa"/>
            <w:gridSpan w:val="2"/>
            <w:shd w:val="clear" w:color="auto" w:fill="auto"/>
          </w:tcPr>
          <w:p>
            <w:pPr>
              <w:pStyle w:val="nTable"/>
              <w:spacing w:after="40"/>
              <w:rPr>
                <w:bCs/>
                <w:snapToGrid w:val="0"/>
                <w:spacing w:val="-2"/>
              </w:rPr>
            </w:pPr>
            <w:r>
              <w:rPr>
                <w:bCs/>
                <w:snapToGrid w:val="0"/>
                <w:spacing w:val="-2"/>
              </w:rPr>
              <w:t>bl. 1 and 2: 26 Jun 2018 (see bl. 2);</w:t>
            </w:r>
            <w:r>
              <w:rPr>
                <w:bCs/>
                <w:snapToGrid w:val="0"/>
                <w:spacing w:val="-2"/>
              </w:rPr>
              <w:br/>
              <w:t>By-laws other than bl. 1 and 2: 1 Jul 2018 (see bl. 2)</w:t>
            </w:r>
          </w:p>
        </w:tc>
      </w:tr>
      <w:tr>
        <w:tblPrEx>
          <w:tblBorders>
            <w:top w:val="none" w:sz="0" w:space="0" w:color="auto"/>
            <w:bottom w:val="none" w:sz="0" w:space="0" w:color="auto"/>
            <w:insideH w:val="none" w:sz="0" w:space="0" w:color="auto"/>
          </w:tblBorders>
        </w:tblPrEx>
        <w:trPr>
          <w:gridBefore w:val="1"/>
          <w:wBefore w:w="28" w:type="dxa"/>
        </w:trPr>
        <w:tc>
          <w:tcPr>
            <w:tcW w:w="7088" w:type="dxa"/>
            <w:gridSpan w:val="6"/>
            <w:shd w:val="clear" w:color="auto" w:fill="auto"/>
          </w:tcPr>
          <w:p>
            <w:pPr>
              <w:pStyle w:val="nTable"/>
              <w:spacing w:after="40"/>
              <w:rPr>
                <w:bCs/>
                <w:snapToGrid w:val="0"/>
                <w:spacing w:val="-2"/>
              </w:rPr>
            </w:pPr>
            <w:r>
              <w:rPr>
                <w:b/>
                <w:bCs/>
                <w:snapToGrid w:val="0"/>
                <w:spacing w:val="-2"/>
              </w:rPr>
              <w:t xml:space="preserve">Reprint 4: The </w:t>
            </w:r>
            <w:r>
              <w:rPr>
                <w:b/>
                <w:bCs/>
                <w:i/>
                <w:noProof/>
                <w:snapToGrid w:val="0"/>
                <w:spacing w:val="-2"/>
              </w:rPr>
              <w:t>Energy Operators (Electricity Generation and Retail Corporation) (Charges) By-laws 2006</w:t>
            </w:r>
            <w:r>
              <w:rPr>
                <w:b/>
                <w:bCs/>
                <w:snapToGrid w:val="0"/>
                <w:spacing w:val="-2"/>
              </w:rPr>
              <w:t xml:space="preserve"> as at 28 Sep 2018</w:t>
            </w:r>
            <w:r>
              <w:rPr>
                <w:bCs/>
                <w:snapToGrid w:val="0"/>
                <w:spacing w:val="-2"/>
              </w:rPr>
              <w:t xml:space="preserve"> (includes amendments listed above)</w:t>
            </w:r>
          </w:p>
        </w:tc>
      </w:tr>
      <w:tr>
        <w:trPr>
          <w:gridBefore w:val="1"/>
          <w:wBefore w:w="28" w:type="dxa"/>
        </w:trPr>
        <w:tc>
          <w:tcPr>
            <w:tcW w:w="3118" w:type="dxa"/>
            <w:gridSpan w:val="2"/>
            <w:tcBorders>
              <w:top w:val="nil"/>
              <w:bottom w:val="nil"/>
            </w:tcBorders>
            <w:shd w:val="clear" w:color="auto" w:fill="auto"/>
          </w:tcPr>
          <w:p>
            <w:pPr>
              <w:pStyle w:val="nTable"/>
              <w:spacing w:after="40"/>
            </w:pPr>
            <w:r>
              <w:rPr>
                <w:i/>
              </w:rPr>
              <w:t xml:space="preserve">Energy Operators (Electricity Generation and Retail Corporation) (Charges) Amendment By-laws 2019 </w:t>
            </w:r>
          </w:p>
        </w:tc>
        <w:tc>
          <w:tcPr>
            <w:tcW w:w="1276" w:type="dxa"/>
            <w:gridSpan w:val="2"/>
            <w:tcBorders>
              <w:top w:val="nil"/>
              <w:bottom w:val="nil"/>
            </w:tcBorders>
            <w:shd w:val="clear" w:color="auto" w:fill="auto"/>
          </w:tcPr>
          <w:p>
            <w:pPr>
              <w:pStyle w:val="nTable"/>
              <w:spacing w:after="40"/>
              <w:rPr>
                <w:caps/>
              </w:rPr>
            </w:pPr>
            <w:r>
              <w:t>21 Jun 2019 p. 2119</w:t>
            </w:r>
            <w:r>
              <w:noBreakHyphen/>
              <w:t>27</w:t>
            </w:r>
          </w:p>
        </w:tc>
        <w:tc>
          <w:tcPr>
            <w:tcW w:w="2694" w:type="dxa"/>
            <w:gridSpan w:val="2"/>
            <w:tcBorders>
              <w:top w:val="nil"/>
              <w:bottom w:val="nil"/>
            </w:tcBorders>
            <w:shd w:val="clear" w:color="auto" w:fill="auto"/>
          </w:tcPr>
          <w:p>
            <w:pPr>
              <w:pStyle w:val="nTable"/>
              <w:spacing w:after="40"/>
              <w:rPr>
                <w:bCs/>
                <w:snapToGrid w:val="0"/>
                <w:spacing w:val="-2"/>
              </w:rPr>
            </w:pPr>
            <w:r>
              <w:rPr>
                <w:bCs/>
                <w:snapToGrid w:val="0"/>
                <w:spacing w:val="-2"/>
              </w:rPr>
              <w:t>bl. 1 and 2: 21 Jun 2019 (see bl. 2(a));</w:t>
            </w:r>
            <w:r>
              <w:rPr>
                <w:bCs/>
                <w:snapToGrid w:val="0"/>
                <w:spacing w:val="-2"/>
              </w:rPr>
              <w:br/>
              <w:t>By-laws other than bl. 1, 2 and 5: 1 Jul 2019 (see bl. 2(c));</w:t>
            </w:r>
            <w:r>
              <w:rPr>
                <w:bCs/>
                <w:snapToGrid w:val="0"/>
                <w:spacing w:val="-2"/>
              </w:rPr>
              <w:br/>
              <w:t>bl. 5: 1 Sep 2019 (see bl. 2(b))</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Energy Operators (Electricity Generation and Retail Corporation) (Charges) Amendment By</w:t>
            </w:r>
            <w:r>
              <w:rPr>
                <w:i/>
              </w:rPr>
              <w:noBreakHyphen/>
              <w:t>laws 2020</w:t>
            </w:r>
          </w:p>
        </w:tc>
        <w:tc>
          <w:tcPr>
            <w:tcW w:w="1276" w:type="dxa"/>
            <w:gridSpan w:val="2"/>
            <w:tcBorders>
              <w:top w:val="nil"/>
              <w:bottom w:val="nil"/>
            </w:tcBorders>
            <w:shd w:val="clear" w:color="auto" w:fill="auto"/>
          </w:tcPr>
          <w:p>
            <w:pPr>
              <w:pStyle w:val="nTable"/>
              <w:spacing w:after="40"/>
            </w:pPr>
            <w:r>
              <w:t>SL 2020/79 9 Jun 2020</w:t>
            </w:r>
          </w:p>
        </w:tc>
        <w:tc>
          <w:tcPr>
            <w:tcW w:w="2694" w:type="dxa"/>
            <w:gridSpan w:val="2"/>
            <w:tcBorders>
              <w:top w:val="nil"/>
              <w:bottom w:val="nil"/>
            </w:tcBorders>
            <w:shd w:val="clear" w:color="auto" w:fill="auto"/>
          </w:tcPr>
          <w:p>
            <w:pPr>
              <w:pStyle w:val="nTable"/>
              <w:spacing w:after="40"/>
              <w:rPr>
                <w:bCs/>
                <w:snapToGrid w:val="0"/>
                <w:spacing w:val="-2"/>
              </w:rPr>
            </w:pPr>
            <w:r>
              <w:rPr>
                <w:bCs/>
                <w:snapToGrid w:val="0"/>
                <w:spacing w:val="-2"/>
              </w:rPr>
              <w:t>bl. 1 and 2: 9 Jun 2020 (see bl. 2(a));</w:t>
            </w:r>
            <w:r>
              <w:rPr>
                <w:bCs/>
                <w:snapToGrid w:val="0"/>
                <w:spacing w:val="-2"/>
              </w:rPr>
              <w:br/>
              <w:t>By-laws other than bl. 1 and 2: 1 Jul 2020 (see bl. 2(b))</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Energy Operators (Electricity Generation and Retail Corporation) (Charges) Amendment By</w:t>
            </w:r>
            <w:r>
              <w:rPr>
                <w:i/>
              </w:rPr>
              <w:noBreakHyphen/>
              <w:t>laws 2021</w:t>
            </w:r>
            <w:r>
              <w:t xml:space="preserve"> </w:t>
            </w:r>
          </w:p>
        </w:tc>
        <w:tc>
          <w:tcPr>
            <w:tcW w:w="1276" w:type="dxa"/>
            <w:gridSpan w:val="2"/>
            <w:tcBorders>
              <w:top w:val="nil"/>
              <w:bottom w:val="nil"/>
            </w:tcBorders>
            <w:shd w:val="clear" w:color="auto" w:fill="auto"/>
          </w:tcPr>
          <w:p>
            <w:pPr>
              <w:pStyle w:val="nTable"/>
              <w:spacing w:after="40"/>
            </w:pPr>
            <w:r>
              <w:t>SL 2021/98 22 Jun 2021</w:t>
            </w:r>
          </w:p>
        </w:tc>
        <w:tc>
          <w:tcPr>
            <w:tcW w:w="2694" w:type="dxa"/>
            <w:gridSpan w:val="2"/>
            <w:tcBorders>
              <w:top w:val="nil"/>
              <w:bottom w:val="nil"/>
            </w:tcBorders>
            <w:shd w:val="clear" w:color="auto" w:fill="auto"/>
          </w:tcPr>
          <w:p>
            <w:pPr>
              <w:pStyle w:val="nTable"/>
              <w:spacing w:after="40"/>
              <w:rPr>
                <w:bCs/>
                <w:snapToGrid w:val="0"/>
                <w:spacing w:val="-2"/>
              </w:rPr>
            </w:pPr>
            <w:r>
              <w:rPr>
                <w:bCs/>
                <w:snapToGrid w:val="0"/>
                <w:spacing w:val="-2"/>
              </w:rPr>
              <w:t>bl. 1 and 2: 22 Jun 2021 (see bl. 2(a));</w:t>
            </w:r>
            <w:r>
              <w:rPr>
                <w:bCs/>
                <w:snapToGrid w:val="0"/>
                <w:spacing w:val="-2"/>
              </w:rPr>
              <w:br/>
              <w:t>By-laws other than bl. 1 and 2: 1 Jul 2021 (see bl. 2(b))</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Energy Operators (Electricity Generation and Retail Corporation) (Charges) Amendment By</w:t>
            </w:r>
            <w:r>
              <w:rPr>
                <w:i/>
              </w:rPr>
              <w:noBreakHyphen/>
              <w:t>laws 2022</w:t>
            </w:r>
          </w:p>
        </w:tc>
        <w:tc>
          <w:tcPr>
            <w:tcW w:w="1276" w:type="dxa"/>
            <w:gridSpan w:val="2"/>
            <w:tcBorders>
              <w:top w:val="nil"/>
              <w:bottom w:val="nil"/>
            </w:tcBorders>
            <w:shd w:val="clear" w:color="auto" w:fill="auto"/>
          </w:tcPr>
          <w:p>
            <w:pPr>
              <w:pStyle w:val="nTable"/>
              <w:spacing w:after="40"/>
            </w:pPr>
            <w:r>
              <w:t>SL 2022/70 3 Jun 2022</w:t>
            </w:r>
          </w:p>
        </w:tc>
        <w:tc>
          <w:tcPr>
            <w:tcW w:w="2694" w:type="dxa"/>
            <w:gridSpan w:val="2"/>
            <w:tcBorders>
              <w:top w:val="nil"/>
              <w:bottom w:val="nil"/>
            </w:tcBorders>
            <w:shd w:val="clear" w:color="auto" w:fill="auto"/>
          </w:tcPr>
          <w:p>
            <w:pPr>
              <w:pStyle w:val="nTable"/>
              <w:spacing w:after="40"/>
              <w:rPr>
                <w:bCs/>
                <w:snapToGrid w:val="0"/>
                <w:spacing w:val="-2"/>
              </w:rPr>
            </w:pPr>
            <w:r>
              <w:rPr>
                <w:bCs/>
                <w:snapToGrid w:val="0"/>
                <w:spacing w:val="-2"/>
              </w:rPr>
              <w:t>bl. 1 and 2: 3 Jun 2022 (see bl. 2(a));</w:t>
            </w:r>
            <w:r>
              <w:rPr>
                <w:bCs/>
                <w:snapToGrid w:val="0"/>
                <w:spacing w:val="-2"/>
              </w:rPr>
              <w:br/>
              <w:t>By-laws other than bl. 1 and 2: 1 Jul 2022 (see bl. 2(b))</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Energy Operators (Electricity Generation and Retail Corporation) (Charges) Amendment By</w:t>
            </w:r>
            <w:r>
              <w:rPr>
                <w:i/>
              </w:rPr>
              <w:noBreakHyphen/>
              <w:t>laws 2023</w:t>
            </w:r>
          </w:p>
        </w:tc>
        <w:tc>
          <w:tcPr>
            <w:tcW w:w="1276" w:type="dxa"/>
            <w:gridSpan w:val="2"/>
            <w:tcBorders>
              <w:top w:val="nil"/>
              <w:bottom w:val="nil"/>
            </w:tcBorders>
            <w:shd w:val="clear" w:color="auto" w:fill="auto"/>
          </w:tcPr>
          <w:p>
            <w:pPr>
              <w:pStyle w:val="nTable"/>
              <w:spacing w:after="40"/>
            </w:pPr>
            <w:r>
              <w:t>SL 2023/85 27 Jun 2023</w:t>
            </w:r>
          </w:p>
        </w:tc>
        <w:tc>
          <w:tcPr>
            <w:tcW w:w="2694" w:type="dxa"/>
            <w:gridSpan w:val="2"/>
            <w:tcBorders>
              <w:top w:val="nil"/>
              <w:bottom w:val="nil"/>
            </w:tcBorders>
            <w:shd w:val="clear" w:color="auto" w:fill="auto"/>
          </w:tcPr>
          <w:p>
            <w:pPr>
              <w:pStyle w:val="nTable"/>
              <w:spacing w:after="40"/>
              <w:rPr>
                <w:bCs/>
                <w:snapToGrid w:val="0"/>
                <w:spacing w:val="-2"/>
              </w:rPr>
            </w:pPr>
            <w:r>
              <w:rPr>
                <w:bCs/>
                <w:snapToGrid w:val="0"/>
                <w:spacing w:val="-2"/>
              </w:rPr>
              <w:t xml:space="preserve">bl. 1 and 2: </w:t>
            </w:r>
            <w:r>
              <w:t>27 Jun 2023</w:t>
            </w:r>
            <w:r>
              <w:rPr>
                <w:bCs/>
                <w:snapToGrid w:val="0"/>
                <w:spacing w:val="-2"/>
              </w:rPr>
              <w:t xml:space="preserve"> (see bl. 2(a));</w:t>
            </w:r>
            <w:r>
              <w:rPr>
                <w:bCs/>
                <w:snapToGrid w:val="0"/>
                <w:spacing w:val="-2"/>
              </w:rPr>
              <w:br/>
              <w:t>By</w:t>
            </w:r>
            <w:r>
              <w:rPr>
                <w:bCs/>
                <w:snapToGrid w:val="0"/>
                <w:spacing w:val="-2"/>
              </w:rPr>
              <w:noBreakHyphen/>
              <w:t>laws other than bl. 1 and 2: 1 Jul 2023 (see bl. 2(b))</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Energy Operators (Electricity Generation and Retail Corporation) (Charges) Amendment By</w:t>
            </w:r>
            <w:r>
              <w:rPr>
                <w:i/>
              </w:rPr>
              <w:noBreakHyphen/>
              <w:t>laws 2024</w:t>
            </w:r>
          </w:p>
        </w:tc>
        <w:tc>
          <w:tcPr>
            <w:tcW w:w="1276" w:type="dxa"/>
            <w:gridSpan w:val="2"/>
            <w:tcBorders>
              <w:top w:val="nil"/>
              <w:bottom w:val="nil"/>
            </w:tcBorders>
            <w:shd w:val="clear" w:color="auto" w:fill="auto"/>
          </w:tcPr>
          <w:p>
            <w:pPr>
              <w:pStyle w:val="nTable"/>
              <w:spacing w:after="40"/>
            </w:pPr>
            <w:r>
              <w:t>SL 2024/102 14 Jun 2024</w:t>
            </w:r>
          </w:p>
        </w:tc>
        <w:tc>
          <w:tcPr>
            <w:tcW w:w="2694" w:type="dxa"/>
            <w:gridSpan w:val="2"/>
            <w:tcBorders>
              <w:top w:val="nil"/>
              <w:bottom w:val="nil"/>
            </w:tcBorders>
            <w:shd w:val="clear" w:color="auto" w:fill="auto"/>
          </w:tcPr>
          <w:p>
            <w:pPr>
              <w:pStyle w:val="nTable"/>
              <w:spacing w:after="40"/>
            </w:pPr>
            <w:r>
              <w:rPr>
                <w:bCs/>
                <w:snapToGrid w:val="0"/>
                <w:spacing w:val="-2"/>
              </w:rPr>
              <w:t>bl. 1 and 2: 14 Jun 2024 (see bl. 2(a));</w:t>
            </w:r>
            <w:r>
              <w:rPr>
                <w:bCs/>
                <w:snapToGrid w:val="0"/>
                <w:spacing w:val="-2"/>
              </w:rPr>
              <w:br/>
              <w:t>By-laws other than bl. 1 and 2: 1 Jul 2024</w:t>
            </w:r>
            <w:r>
              <w:t xml:space="preserve"> (see bl. 2(b))</w:t>
            </w:r>
          </w:p>
        </w:tc>
      </w:tr>
      <w:tr>
        <w:tblPrEx>
          <w:tblBorders>
            <w:top w:val="none" w:sz="0" w:space="0" w:color="auto"/>
            <w:bottom w:val="none" w:sz="0" w:space="0" w:color="auto"/>
            <w:insideH w:val="none" w:sz="0" w:space="0" w:color="auto"/>
          </w:tblBorders>
        </w:tblPrEx>
        <w:trPr>
          <w:gridBefore w:val="1"/>
          <w:wBefore w:w="28" w:type="dxa"/>
          <w:ins w:id="454" w:author="Master Repository Process" w:date="2025-06-27T09:29:00Z"/>
        </w:trPr>
        <w:tc>
          <w:tcPr>
            <w:tcW w:w="3118" w:type="dxa"/>
            <w:gridSpan w:val="2"/>
            <w:tcBorders>
              <w:bottom w:val="single" w:sz="4" w:space="0" w:color="auto"/>
            </w:tcBorders>
            <w:shd w:val="clear" w:color="auto" w:fill="auto"/>
          </w:tcPr>
          <w:p>
            <w:pPr>
              <w:pStyle w:val="nTable"/>
              <w:spacing w:after="40"/>
              <w:rPr>
                <w:ins w:id="455" w:author="Master Repository Process" w:date="2025-06-27T09:29:00Z"/>
                <w:i/>
              </w:rPr>
            </w:pPr>
            <w:ins w:id="456" w:author="Master Repository Process" w:date="2025-06-27T09:29:00Z">
              <w:r>
                <w:rPr>
                  <w:i/>
                </w:rPr>
                <w:t>Energy Operators (Electricity Generation and Retail Corporation) (Charges) Amendment By</w:t>
              </w:r>
              <w:r>
                <w:rPr>
                  <w:i/>
                </w:rPr>
                <w:noBreakHyphen/>
                <w:t>laws 2025</w:t>
              </w:r>
            </w:ins>
          </w:p>
        </w:tc>
        <w:tc>
          <w:tcPr>
            <w:tcW w:w="1276" w:type="dxa"/>
            <w:gridSpan w:val="2"/>
            <w:tcBorders>
              <w:bottom w:val="single" w:sz="4" w:space="0" w:color="auto"/>
            </w:tcBorders>
            <w:shd w:val="clear" w:color="auto" w:fill="auto"/>
          </w:tcPr>
          <w:p>
            <w:pPr>
              <w:pStyle w:val="nTable"/>
              <w:spacing w:after="40"/>
              <w:rPr>
                <w:ins w:id="457" w:author="Master Repository Process" w:date="2025-06-27T09:29:00Z"/>
              </w:rPr>
            </w:pPr>
            <w:ins w:id="458" w:author="Master Repository Process" w:date="2025-06-27T09:29:00Z">
              <w:r>
                <w:t>SL 2025/124 26 Jun 2025</w:t>
              </w:r>
            </w:ins>
          </w:p>
        </w:tc>
        <w:tc>
          <w:tcPr>
            <w:tcW w:w="2694" w:type="dxa"/>
            <w:gridSpan w:val="2"/>
            <w:tcBorders>
              <w:bottom w:val="single" w:sz="4" w:space="0" w:color="auto"/>
            </w:tcBorders>
            <w:shd w:val="clear" w:color="auto" w:fill="auto"/>
          </w:tcPr>
          <w:p>
            <w:pPr>
              <w:pStyle w:val="nTable"/>
              <w:spacing w:after="40"/>
              <w:rPr>
                <w:ins w:id="459" w:author="Master Repository Process" w:date="2025-06-27T09:29:00Z"/>
                <w:bCs/>
                <w:snapToGrid w:val="0"/>
                <w:spacing w:val="-2"/>
              </w:rPr>
            </w:pPr>
            <w:ins w:id="460" w:author="Master Repository Process" w:date="2025-06-27T09:29:00Z">
              <w:r>
                <w:rPr>
                  <w:bCs/>
                  <w:snapToGrid w:val="0"/>
                  <w:spacing w:val="-2"/>
                </w:rPr>
                <w:t xml:space="preserve">bl. 1 and 2: </w:t>
              </w:r>
              <w:r>
                <w:t>26 Jun 2025</w:t>
              </w:r>
              <w:r>
                <w:rPr>
                  <w:bCs/>
                  <w:snapToGrid w:val="0"/>
                  <w:spacing w:val="-2"/>
                </w:rPr>
                <w:t xml:space="preserve"> (see bl. 2(a));</w:t>
              </w:r>
              <w:r>
                <w:rPr>
                  <w:bCs/>
                  <w:snapToGrid w:val="0"/>
                  <w:spacing w:val="-2"/>
                </w:rPr>
                <w:br/>
                <w:t>By</w:t>
              </w:r>
              <w:r>
                <w:rPr>
                  <w:bCs/>
                  <w:snapToGrid w:val="0"/>
                  <w:spacing w:val="-2"/>
                </w:rPr>
                <w:noBreakHyphen/>
                <w:t>laws other than bl. 1 and 2: 1 Jul 2025 (see bl. 2(b))</w:t>
              </w:r>
            </w:ins>
          </w:p>
        </w:tc>
      </w:tr>
    </w:tbl>
    <w:p>
      <w:pPr>
        <w:pStyle w:val="nHeading3"/>
      </w:pPr>
      <w:bookmarkStart w:id="461" w:name="_Toc201762590"/>
      <w:bookmarkStart w:id="462" w:name="_Toc170291821"/>
      <w:r>
        <w:t>Other notes</w:t>
      </w:r>
      <w:bookmarkEnd w:id="461"/>
      <w:bookmarkEnd w:id="462"/>
    </w:p>
    <w:p>
      <w:pPr>
        <w:pStyle w:val="nNote"/>
        <w:rPr>
          <w:noProof/>
          <w:snapToGrid w:val="0"/>
        </w:rPr>
      </w:pPr>
      <w:r>
        <w:rPr>
          <w:vertAlign w:val="superscript"/>
        </w:rPr>
        <w:t>1</w:t>
      </w:r>
      <w:r>
        <w:tab/>
        <w:t xml:space="preserve">Now known as the </w:t>
      </w:r>
      <w:r>
        <w:rPr>
          <w:i/>
          <w:noProof/>
          <w:snapToGrid w:val="0"/>
        </w:rPr>
        <w:t xml:space="preserve">Energy Operators (Electricity </w:t>
      </w:r>
      <w:r>
        <w:rPr>
          <w:i/>
        </w:rPr>
        <w:t>Generation and</w:t>
      </w:r>
      <w:r>
        <w:rPr>
          <w:i/>
          <w:noProof/>
          <w:snapToGrid w:val="0"/>
        </w:rPr>
        <w:t xml:space="preserve"> Retail Corporation) (Charges) By-laws 2006</w:t>
      </w:r>
      <w:r>
        <w:rPr>
          <w:noProof/>
          <w:snapToGrid w:val="0"/>
        </w:rPr>
        <w:t>; citation changed (see note under bl. 1).</w:t>
      </w:r>
    </w:p>
    <w:p>
      <w:pPr>
        <w:pStyle w:val="nNote"/>
        <w:keepNext/>
      </w:pPr>
      <w:r>
        <w:rPr>
          <w:noProof/>
          <w:snapToGrid w:val="0"/>
          <w:vertAlign w:val="superscript"/>
        </w:rPr>
        <w:t>2</w:t>
      </w:r>
      <w:r>
        <w:rPr>
          <w:noProof/>
          <w:snapToGrid w:val="0"/>
        </w:rPr>
        <w:tab/>
        <w:t xml:space="preserve">The </w:t>
      </w:r>
      <w:r>
        <w:rPr>
          <w:i/>
        </w:rPr>
        <w:t>Energy Operators (Electricity Generation and Retail Corporation) (Charges) Amendment By-laws 2016</w:t>
      </w:r>
      <w:r>
        <w:t>, (row 5 of the table in by</w:t>
      </w:r>
      <w:r>
        <w:noBreakHyphen/>
        <w:t xml:space="preserve">law 5) was disallowed by the Legislative Council on 22 Nov 2016 (see </w:t>
      </w:r>
      <w:r>
        <w:rPr>
          <w:i/>
        </w:rPr>
        <w:t>Gazette</w:t>
      </w:r>
      <w:r>
        <w:t xml:space="preserve"> 6 Dec 2016 p. 5492).</w:t>
      </w:r>
    </w:p>
    <w:p/>
    <w:p>
      <w:pPr>
        <w:sectPr>
          <w:headerReference w:type="even" r:id="rId27"/>
          <w:headerReference w:type="default" r:id="rId28"/>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64" w:author="Master Repository Process" w:date="2025-06-27T09:29:00Z">
                              <w:r>
                                <w:rPr>
                                  <w:sz w:val="16"/>
                                </w:rPr>
                                <w:delText>2024</w:delText>
                              </w:r>
                            </w:del>
                            <w:ins w:id="465" w:author="Master Repository Process" w:date="2025-06-27T09:29: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66" w:author="Master Repository Process" w:date="2025-06-27T09:29:00Z">
                              <w:r>
                                <w:rPr>
                                  <w:sz w:val="16"/>
                                </w:rPr>
                                <w:delText>2024</w:delText>
                              </w:r>
                            </w:del>
                            <w:ins w:id="467" w:author="Master Repository Process" w:date="2025-06-27T09:29: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68" w:author="Master Repository Process" w:date="2025-06-27T09:29:00Z">
                        <w:r>
                          <w:rPr>
                            <w:sz w:val="16"/>
                          </w:rPr>
                          <w:delText>2024</w:delText>
                        </w:r>
                      </w:del>
                      <w:ins w:id="469" w:author="Master Repository Process" w:date="2025-06-27T09:29: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70" w:author="Master Repository Process" w:date="2025-06-27T09:29:00Z">
                        <w:r>
                          <w:rPr>
                            <w:sz w:val="16"/>
                          </w:rPr>
                          <w:delText>2024</w:delText>
                        </w:r>
                      </w:del>
                      <w:ins w:id="471" w:author="Master Repository Process" w:date="2025-06-27T09:29: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Supply charges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10</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10</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Supply charges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10</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10</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Unmetered supply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Miscellaneous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Unmetered supply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Miscellaneous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2</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63" w:name="Compilation"/>
    <w:bookmarkEnd w:id="46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72" w:name="Coversheet"/>
    <w:bookmarkEnd w:id="4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7682E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54204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18FF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3CA971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E02D7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F8416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ACBE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D9436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D21AD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E6E6B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896373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5142133"/>
    <w:docVar w:name="WAFER_20131230155955" w:val="RemoveTocBookmarks,RunningHeaders"/>
    <w:docVar w:name="WAFER_20131230155955_GUID" w:val="eb34285e-f376-44c6-b366-471e87ad5125"/>
    <w:docVar w:name="WAFER_20140102122411" w:val="RemoveTocBookmarks,RemoveUnusedBookmarks,RemoveLanguageTags,UsedStyles,ResetPageSize"/>
    <w:docVar w:name="WAFER_20140102122411_GUID" w:val="02ef6dc1-0e5f-4966-a4c9-7262b8eb8f47"/>
    <w:docVar w:name="WAFER_20140102133815" w:val="UpdateArrangement"/>
    <w:docVar w:name="WAFER_20140102133815_GUID" w:val="35f96604-a81b-4449-ab3f-fd0946a291a0"/>
    <w:docVar w:name="WAFER_20140304101823" w:val="RemoveTocBookmarks,RemoveUnusedBookmarks,RemoveLanguageTags,UsedStyles,RemoveTrackChanges"/>
    <w:docVar w:name="WAFER_20140304101823_GUID" w:val="2ce80b97-e1c9-4dfc-b091-a87e3f05d44e"/>
    <w:docVar w:name="WAFER_20140304101836" w:val="RemoveTocBookmarks,RemoveLanguageTags,RemoveTrackChanges,RunningHeaders"/>
    <w:docVar w:name="WAFER_20140304101836_GUID" w:val="6c90dd79-80ce-4673-b03d-ddb2f712d1fe"/>
    <w:docVar w:name="WAFER_20140630170559" w:val="RemoveTocBookmarks,RunningHeaders"/>
    <w:docVar w:name="WAFER_20140630170559_GUID" w:val="a36765fc-3309-4489-9a11-5b874c20d50b"/>
    <w:docVar w:name="WAFER_20140630170848" w:val="RemoveTocBookmarks,RunningHeaders"/>
    <w:docVar w:name="WAFER_20140630170848_GUID" w:val="a8e2b761-c903-4c2c-85e0-5026f20670e4"/>
    <w:docVar w:name="WAFER_20150414151033" w:val="ResetPageSize,UpdateArrangement,UpdateNTable"/>
    <w:docVar w:name="WAFER_20150414151033_GUID" w:val="a34f8568-801b-402b-8d0f-5effbae48f03"/>
    <w:docVar w:name="WAFER_20151105123736" w:val="UpdateStyles,UsedStyles"/>
    <w:docVar w:name="WAFER_20151105123736_GUID" w:val="3ce5933b-4c35-4cd5-978b-5013e0139cbb"/>
    <w:docVar w:name="WAFER_20170208155836" w:val="RemoveTocBookmarks,RemoveUnusedBookmarks,RemoveLanguageTags,UsedStyles,ResetPageSize"/>
    <w:docVar w:name="WAFER_20170208155836_GUID" w:val="49bc0dda-ee02-4cd7-8c47-6054202e0286"/>
    <w:docVar w:name="WAFER_20180216105838" w:val="RemoveTocBookmarks,RemoveUnusedBookmarks,RemoveLanguageTags,UsedStyles,ResetPageSize"/>
    <w:docVar w:name="WAFER_20180216105838_GUID" w:val="e86a15db-9c5f-45d7-8b16-1d8cf0163571"/>
    <w:docVar w:name="WAFER_20180426120024" w:val="RemoveTocBookmarks,RemoveUnusedBookmarks,RemoveLanguageTags,UsedStyles,ResetPageSize,RemoveCustomizations"/>
    <w:docVar w:name="WAFER_20180426120024_GUID" w:val="9e9a78d8-f620-4916-8831-2f9af6e2081f"/>
    <w:docVar w:name="WAFER_20190828113052" w:val="RemoveTocBookmarks,RemoveUnusedBookmarks,RemoveLanguageTags,ResetPageSize,RunningHeaders,UpdateStyles,UsedStyles"/>
    <w:docVar w:name="WAFER_20190828113052_GUID" w:val="b014ba0c-ec47-4ee8-9ca7-a5ff8dee9b0d"/>
    <w:docVar w:name="WAFER_20200608110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0511_GUID" w:val="7253b864-7969-4c6f-bec9-4392535540ed"/>
    <w:docVar w:name="WAFER_202006161502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50220_GUID" w:val="78773235-194e-462d-9745-a1d2cd2e5c0f"/>
    <w:docVar w:name="WAFER_202106211014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01413_GUID" w:val="4d088c24-7f5e-405b-a829-d40ecf6d103a"/>
    <w:docVar w:name="WAFER_202106231429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938_GUID" w:val="91497390-d74e-48fc-83a2-c06284e6feef"/>
    <w:docVar w:name="WAFER_202205311559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55938_GUID" w:val="dcc1b10c-a21e-43c1-8e95-39eedaa0cfd1"/>
    <w:docVar w:name="WAFER_202206231425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42509_GUID" w:val="46373624-172a-40da-bcf0-718c29c2fa9a"/>
    <w:docVar w:name="WAFER_20230623162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3162124_GUID" w:val="887dbe01-f695-4c38-90fa-de7b18924670"/>
    <w:docVar w:name="WAFER_202312281036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03616_GUID" w:val="35ee8ca6-ed0d-455c-b81c-1189e2007947"/>
    <w:docVar w:name="WAFER_202406131107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3110702_GUID" w:val="45217c2c-d2a7-49b5-b0e8-a9acf72deec0"/>
    <w:docVar w:name="WAFER_202406251101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0125_GUID" w:val="1b3ff25a-3cec-4ea9-adb1-8e2fa4a47899"/>
    <w:docVar w:name="WAFER_202506251408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625140821_GUID" w:val="23b0f9fe-3f12-4069-876e-357d3b11f708"/>
    <w:docVar w:name="WAFER_202506251421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42133_GUID" w:val="9751d8ce-7f65-4197-a903-4fabfd3eb8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6CFB1B9-0824-4A25-9922-FE74351B8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4670</Words>
  <Characters>22883</Characters>
  <Application>Microsoft Office Word</Application>
  <DocSecurity>0</DocSecurity>
  <Lines>847</Lines>
  <Paragraphs>519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Generation and Retail Corporation) (Charges) By-laws 2006 04-m0-00 - 04-n0-00</dc:title>
  <dc:subject/>
  <dc:creator/>
  <cp:keywords/>
  <dc:description/>
  <cp:lastModifiedBy>Master Repository Process</cp:lastModifiedBy>
  <cp:revision>2</cp:revision>
  <cp:lastPrinted>2019-06-24T07:01:00Z</cp:lastPrinted>
  <dcterms:created xsi:type="dcterms:W3CDTF">2025-06-27T01:28:00Z</dcterms:created>
  <dcterms:modified xsi:type="dcterms:W3CDTF">2025-06-27T01:29:00Z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1225-46</vt:lpwstr>
  </property>
  <property fmtid="{D5CDD505-2E9C-101B-9397-08002B2CF9AE}" pid="3" name="OwlsUID">
    <vt:i4>38407</vt:i4>
  </property>
  <property fmtid="{D5CDD505-2E9C-101B-9397-08002B2CF9AE}" pid="4" name="DocumentType">
    <vt:lpwstr>Reg</vt:lpwstr>
  </property>
  <property fmtid="{D5CDD505-2E9C-101B-9397-08002B2CF9AE}" pid="5" name="ReprintedAsAt">
    <vt:filetime>2018-09-27T16:00:00Z</vt:filetime>
  </property>
  <property fmtid="{D5CDD505-2E9C-101B-9397-08002B2CF9AE}" pid="6" name="ReprintNo">
    <vt:lpwstr>4</vt:lpwstr>
  </property>
  <property fmtid="{D5CDD505-2E9C-101B-9397-08002B2CF9AE}" pid="7" name="CommencementDate">
    <vt:lpwstr>20250701</vt:lpwstr>
  </property>
  <property fmtid="{D5CDD505-2E9C-101B-9397-08002B2CF9AE}" pid="8" name="CommencementAsAt">
    <vt:filetime>2025-06-30T16:00:00Z</vt:filetime>
  </property>
  <property fmtid="{D5CDD505-2E9C-101B-9397-08002B2CF9AE}" pid="9" name="CommencementYear">
    <vt:lpwstr>2025</vt:lpwstr>
  </property>
  <property fmtid="{D5CDD505-2E9C-101B-9397-08002B2CF9AE}" pid="10" name="Official">
    <vt:lpwstr/>
  </property>
  <property fmtid="{D5CDD505-2E9C-101B-9397-08002B2CF9AE}" pid="11" name="FromSuffix">
    <vt:lpwstr>04-m0-00</vt:lpwstr>
  </property>
  <property fmtid="{D5CDD505-2E9C-101B-9397-08002B2CF9AE}" pid="12" name="FromAsAtDate">
    <vt:lpwstr>01 Jul 2024</vt:lpwstr>
  </property>
  <property fmtid="{D5CDD505-2E9C-101B-9397-08002B2CF9AE}" pid="13" name="ToSuffix">
    <vt:lpwstr>04-n0-00</vt:lpwstr>
  </property>
  <property fmtid="{D5CDD505-2E9C-101B-9397-08002B2CF9AE}" pid="14" name="ToAsAtDate">
    <vt:lpwstr>01 Jul 2025</vt:lpwstr>
  </property>
</Properties>
</file>