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Services (Conduct and Traffic) Regulations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00-r0-00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00-s0-00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Health Services Act 2016</w:t>
      </w:r>
    </w:p>
    <w:p>
      <w:pPr>
        <w:pStyle w:val="NameofActReg"/>
      </w:pPr>
      <w:r>
        <w:t>Health Services (Conduct and Traffic) Regulations 2016</w:t>
      </w:r>
    </w:p>
    <w:p>
      <w:pPr>
        <w:pStyle w:val="Heading2"/>
        <w:pageBreakBefore w:val="0"/>
        <w:spacing w:before="240"/>
      </w:pPr>
      <w:bookmarkStart w:id="1" w:name="_Toc201303866"/>
      <w:bookmarkStart w:id="2" w:name="_Toc201304758"/>
      <w:bookmarkStart w:id="3" w:name="_Toc201304846"/>
      <w:bookmarkStart w:id="4" w:name="_Toc201314513"/>
      <w:bookmarkStart w:id="5" w:name="_Toc192774127"/>
      <w:bookmarkStart w:id="6" w:name="_Toc192775012"/>
      <w:bookmarkStart w:id="7" w:name="_Toc19277561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201314514"/>
      <w:bookmarkStart w:id="9" w:name="_Toc192775616"/>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Health Services (Conduct and Traffic) Regulations 2016</w:t>
      </w:r>
      <w:r>
        <w:t>.</w:t>
      </w:r>
    </w:p>
    <w:p>
      <w:pPr>
        <w:pStyle w:val="Heading5"/>
        <w:rPr>
          <w:spacing w:val="-2"/>
        </w:rPr>
      </w:pPr>
      <w:bookmarkStart w:id="11" w:name="_Toc201314515"/>
      <w:bookmarkStart w:id="12" w:name="_Toc192775617"/>
      <w:r>
        <w:rPr>
          <w:rStyle w:val="CharSectno"/>
        </w:rPr>
        <w:t>2</w:t>
      </w:r>
      <w:r>
        <w:rPr>
          <w:spacing w:val="-2"/>
        </w:rPr>
        <w:t>.</w:t>
      </w:r>
      <w:r>
        <w:rPr>
          <w:spacing w:val="-2"/>
        </w:rPr>
        <w:tab/>
        <w:t>Commencement</w:t>
      </w:r>
      <w:bookmarkEnd w:id="11"/>
      <w:bookmarkEnd w:id="12"/>
    </w:p>
    <w:p>
      <w:pPr>
        <w:pStyle w:val="Subsection"/>
      </w:pPr>
      <w:r>
        <w:tab/>
      </w:r>
      <w:r>
        <w:tab/>
        <w:t xml:space="preserve">These regulations come into operation on the day on which the </w:t>
      </w:r>
      <w:r>
        <w:rPr>
          <w:i/>
        </w:rPr>
        <w:t xml:space="preserve">Health Services Act 2016 </w:t>
      </w:r>
      <w:r>
        <w:t>section 209 comes into operation.</w:t>
      </w:r>
    </w:p>
    <w:p>
      <w:pPr>
        <w:pStyle w:val="Heading5"/>
      </w:pPr>
      <w:bookmarkStart w:id="13" w:name="_Toc201314516"/>
      <w:bookmarkStart w:id="14" w:name="_Toc192775618"/>
      <w:r>
        <w:rPr>
          <w:rStyle w:val="CharSectno"/>
        </w:rPr>
        <w:t>3</w:t>
      </w:r>
      <w:r>
        <w:t>.</w:t>
      </w:r>
      <w:r>
        <w:tab/>
        <w:t>Terms used</w:t>
      </w:r>
      <w:bookmarkEnd w:id="13"/>
      <w:bookmarkEnd w:id="14"/>
    </w:p>
    <w:p>
      <w:pPr>
        <w:pStyle w:val="Subsection"/>
      </w:pPr>
      <w:r>
        <w:tab/>
        <w:t>(1)</w:t>
      </w:r>
      <w:r>
        <w:tab/>
        <w:t xml:space="preserve">In these regulations, unless the contrary intention appears — </w:t>
      </w:r>
    </w:p>
    <w:p>
      <w:pPr>
        <w:pStyle w:val="Defstart"/>
      </w:pPr>
      <w:r>
        <w:tab/>
      </w:r>
      <w:r>
        <w:rPr>
          <w:rStyle w:val="CharDefText"/>
        </w:rPr>
        <w:t>approved</w:t>
      </w:r>
      <w:r>
        <w:t>, in relation to an activity on or in relation to health service provider land, means approved by the responsible chief executive;</w:t>
      </w:r>
    </w:p>
    <w:p>
      <w:pPr>
        <w:pStyle w:val="Defstart"/>
      </w:pPr>
      <w:r>
        <w:tab/>
      </w:r>
      <w:r>
        <w:rPr>
          <w:rStyle w:val="CharDefText"/>
        </w:rPr>
        <w:t>driver</w:t>
      </w:r>
      <w:r>
        <w:t>, in relation to a vehicle, includes rider;</w:t>
      </w:r>
    </w:p>
    <w:p>
      <w:pPr>
        <w:pStyle w:val="Defstart"/>
      </w:pPr>
      <w:r>
        <w:tab/>
      </w:r>
      <w:r>
        <w:rPr>
          <w:rStyle w:val="CharDefText"/>
        </w:rPr>
        <w:t>health service provider land</w:t>
      </w:r>
      <w:r>
        <w:t xml:space="preserve"> has the meaning given in section 207 of the Act;</w:t>
      </w:r>
    </w:p>
    <w:p>
      <w:pPr>
        <w:pStyle w:val="Defstart"/>
      </w:pPr>
      <w:r>
        <w:tab/>
      </w:r>
      <w:r>
        <w:rPr>
          <w:rStyle w:val="CharDefText"/>
        </w:rPr>
        <w:t>parking facility</w:t>
      </w:r>
      <w:r>
        <w:t xml:space="preserve"> means any land or structure on health service provider land containing a parking space or parking spaces;</w:t>
      </w:r>
    </w:p>
    <w:p>
      <w:pPr>
        <w:pStyle w:val="Defstart"/>
      </w:pPr>
      <w:r>
        <w:tab/>
      </w:r>
      <w:r>
        <w:rPr>
          <w:rStyle w:val="CharDefText"/>
        </w:rPr>
        <w:t>parking permit</w:t>
      </w:r>
      <w:r>
        <w:t xml:space="preserve"> means a permit granted under regulation 22;</w:t>
      </w:r>
    </w:p>
    <w:p>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pPr>
        <w:pStyle w:val="Defstart"/>
      </w:pPr>
      <w:r>
        <w:lastRenderedPageBreak/>
        <w:tab/>
      </w:r>
      <w:r>
        <w:rPr>
          <w:rStyle w:val="CharDefText"/>
        </w:rPr>
        <w:t>prescribed fee</w:t>
      </w:r>
      <w:r>
        <w:t>, in relation to a matter, means the fee specified for that matter in Schedule 1;</w:t>
      </w:r>
    </w:p>
    <w:p>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pPr>
        <w:pStyle w:val="Defstart"/>
      </w:pPr>
      <w:r>
        <w:tab/>
      </w:r>
      <w:r>
        <w:rPr>
          <w:rStyle w:val="CharDefText"/>
        </w:rPr>
        <w:t>sign</w:t>
      </w:r>
      <w:r>
        <w:t xml:space="preserve"> means marking, notice or sign marked, erected or displayed on health service provider land by the responsible chief executive;</w:t>
      </w:r>
    </w:p>
    <w:p>
      <w:pPr>
        <w:pStyle w:val="Defstart"/>
      </w:pPr>
      <w:r>
        <w:tab/>
      </w:r>
      <w:r>
        <w:rPr>
          <w:rStyle w:val="CharDefText"/>
        </w:rPr>
        <w:t>speed restriction sign</w:t>
      </w:r>
      <w:r>
        <w:t xml:space="preserve"> means a sign erected or marked in or about a roadway containing a numeral or numerals;</w:t>
      </w:r>
    </w:p>
    <w:p>
      <w:pPr>
        <w:pStyle w:val="Defstart"/>
      </w:pPr>
      <w:r>
        <w:tab/>
      </w:r>
      <w:r>
        <w:rPr>
          <w:rStyle w:val="CharDefText"/>
        </w:rPr>
        <w:t>staff member</w:t>
      </w:r>
      <w:r>
        <w:t>, of a health service provider, includes a person who is an employee of a body that provides services to the health service provider under a contract;</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tab/>
      </w:r>
      <w:r>
        <w:rPr>
          <w:rStyle w:val="CharDefText"/>
        </w:rPr>
        <w:t>ticket vending machine</w:t>
      </w:r>
      <w:r>
        <w:t xml:space="preserve"> means machine situated in a parking facility which issues a ticket;</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pPr>
        <w:pStyle w:val="Indenta"/>
        <w:rPr>
          <w:snapToGrid w:val="0"/>
        </w:rPr>
      </w:pPr>
      <w:r>
        <w:tab/>
        <w:t>(a)</w:t>
      </w:r>
      <w:r>
        <w:tab/>
        <w:t>g</w:t>
      </w:r>
      <w:r>
        <w:rPr>
          <w:snapToGrid w:val="0"/>
        </w:rPr>
        <w:t>iven by the responsible chief executive or a responsible authorised person; and</w:t>
      </w:r>
    </w:p>
    <w:p>
      <w:pPr>
        <w:pStyle w:val="Indenta"/>
        <w:rPr>
          <w:snapToGrid w:val="0"/>
        </w:rPr>
      </w:pPr>
      <w:r>
        <w:tab/>
        <w:t>(b)</w:t>
      </w:r>
      <w:r>
        <w:tab/>
      </w:r>
      <w:r>
        <w:rPr>
          <w:snapToGrid w:val="0"/>
        </w:rPr>
        <w:t>in writing; and</w:t>
      </w:r>
    </w:p>
    <w:p>
      <w:pPr>
        <w:pStyle w:val="Indenta"/>
        <w:rPr>
          <w:snapToGrid w:val="0"/>
        </w:rPr>
      </w:pPr>
      <w:r>
        <w:tab/>
        <w:t>(c)</w:t>
      </w:r>
      <w:r>
        <w:tab/>
      </w:r>
      <w:r>
        <w:rPr>
          <w:snapToGrid w:val="0"/>
        </w:rPr>
        <w:t>obtained and not revoked prior to the performing of the act that is the subject of the permission.</w:t>
      </w:r>
    </w:p>
    <w:p>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pPr>
        <w:pStyle w:val="Heading5"/>
      </w:pPr>
      <w:bookmarkStart w:id="15" w:name="_Toc201314517"/>
      <w:bookmarkStart w:id="16" w:name="_Toc192775619"/>
      <w:r>
        <w:rPr>
          <w:rStyle w:val="CharSectno"/>
        </w:rPr>
        <w:t>4</w:t>
      </w:r>
      <w:r>
        <w:t>.</w:t>
      </w:r>
      <w:r>
        <w:tab/>
        <w:t>Appointment of authorised persons</w:t>
      </w:r>
      <w:bookmarkEnd w:id="15"/>
      <w:bookmarkEnd w:id="16"/>
    </w:p>
    <w:p>
      <w:pPr>
        <w:pStyle w:val="Subsection"/>
      </w:pPr>
      <w:r>
        <w:tab/>
        <w:t>(1)</w:t>
      </w:r>
      <w:r>
        <w:tab/>
        <w:t>The chief executive of a health service provider may, in writing, appoint a staff member of the health service provider as an authorised person.</w:t>
      </w:r>
    </w:p>
    <w:p>
      <w:pPr>
        <w:pStyle w:val="Subsection"/>
      </w:pPr>
      <w:r>
        <w:tab/>
        <w:t>(2)</w:t>
      </w:r>
      <w:r>
        <w:tab/>
        <w:t xml:space="preserve">The instrument of appointment must specify — </w:t>
      </w:r>
    </w:p>
    <w:p>
      <w:pPr>
        <w:pStyle w:val="Indenta"/>
      </w:pPr>
      <w:r>
        <w:tab/>
        <w:t>(a)</w:t>
      </w:r>
      <w:r>
        <w:tab/>
        <w:t>the health service provider land for which the authorised person is appointed; and</w:t>
      </w:r>
    </w:p>
    <w:p>
      <w:pPr>
        <w:pStyle w:val="Indenta"/>
      </w:pPr>
      <w:r>
        <w:tab/>
        <w:t>(b)</w:t>
      </w:r>
      <w:r>
        <w:tab/>
        <w:t>the regulations for the purpose of which the authorised person is appointed; and</w:t>
      </w:r>
    </w:p>
    <w:p>
      <w:pPr>
        <w:pStyle w:val="Indenta"/>
      </w:pPr>
      <w:r>
        <w:tab/>
        <w:t>(c)</w:t>
      </w:r>
      <w:r>
        <w:tab/>
        <w:t>any other conditions or restrictions the chief executive thinks appropriate.</w:t>
      </w:r>
    </w:p>
    <w:p>
      <w:pPr>
        <w:pStyle w:val="Subsection"/>
      </w:pPr>
      <w:r>
        <w:tab/>
        <w:t>(3)</w:t>
      </w:r>
      <w:r>
        <w:tab/>
        <w:t xml:space="preserve">The appointment of an authorised person is subject to the restrictions specified in the instrument of appointment. </w:t>
      </w:r>
    </w:p>
    <w:p>
      <w:pPr>
        <w:pStyle w:val="Subsection"/>
      </w:pPr>
      <w:r>
        <w:tab/>
        <w:t>(4)</w:t>
      </w:r>
      <w:r>
        <w:tab/>
        <w:t>An appointment under subregulation (1) may be made in respect of a specified person or persons of a specified class.</w:t>
      </w:r>
    </w:p>
    <w:p>
      <w:pPr>
        <w:pStyle w:val="Subsection"/>
      </w:pPr>
      <w:r>
        <w:tab/>
        <w:t>(5)</w:t>
      </w:r>
      <w:r>
        <w:tab/>
        <w:t>The responsible chief executive must issue to each authorised person appointed by the chief executive a certificate identifying the person and the health service provider land and the purpose for which the person is authorised.</w:t>
      </w:r>
    </w:p>
    <w:p>
      <w:pPr>
        <w:pStyle w:val="Heading2"/>
      </w:pPr>
      <w:bookmarkStart w:id="17" w:name="_Toc201303871"/>
      <w:bookmarkStart w:id="18" w:name="_Toc201304763"/>
      <w:bookmarkStart w:id="19" w:name="_Toc201304851"/>
      <w:bookmarkStart w:id="20" w:name="_Toc201314518"/>
      <w:bookmarkStart w:id="21" w:name="_Toc192774132"/>
      <w:bookmarkStart w:id="22" w:name="_Toc192775017"/>
      <w:bookmarkStart w:id="23" w:name="_Toc192775620"/>
      <w:r>
        <w:rPr>
          <w:rStyle w:val="CharPartNo"/>
        </w:rPr>
        <w:t>Part 2</w:t>
      </w:r>
      <w:r>
        <w:rPr>
          <w:rStyle w:val="CharDivNo"/>
        </w:rPr>
        <w:t> </w:t>
      </w:r>
      <w:r>
        <w:t>—</w:t>
      </w:r>
      <w:r>
        <w:rPr>
          <w:rStyle w:val="CharDivText"/>
        </w:rPr>
        <w:t> </w:t>
      </w:r>
      <w:r>
        <w:rPr>
          <w:rStyle w:val="CharPartText"/>
        </w:rPr>
        <w:t>Behaviour on health service provider land</w:t>
      </w:r>
      <w:bookmarkEnd w:id="17"/>
      <w:bookmarkEnd w:id="18"/>
      <w:bookmarkEnd w:id="19"/>
      <w:bookmarkEnd w:id="20"/>
      <w:bookmarkEnd w:id="21"/>
      <w:bookmarkEnd w:id="22"/>
      <w:bookmarkEnd w:id="23"/>
    </w:p>
    <w:p>
      <w:pPr>
        <w:pStyle w:val="Heading5"/>
        <w:tabs>
          <w:tab w:val="clear" w:pos="879"/>
          <w:tab w:val="left" w:pos="567"/>
        </w:tabs>
      </w:pPr>
      <w:bookmarkStart w:id="24" w:name="_Toc201314519"/>
      <w:bookmarkStart w:id="25" w:name="_Toc192775621"/>
      <w:r>
        <w:rPr>
          <w:rStyle w:val="CharSectno"/>
        </w:rPr>
        <w:t>5</w:t>
      </w:r>
      <w:r>
        <w:t>.</w:t>
      </w:r>
      <w:r>
        <w:tab/>
        <w:t>No entry without cause</w:t>
      </w:r>
      <w:bookmarkEnd w:id="24"/>
      <w:bookmarkEnd w:id="25"/>
    </w:p>
    <w:p>
      <w:pPr>
        <w:pStyle w:val="Subsection"/>
        <w:rPr>
          <w:snapToGrid w:val="0"/>
        </w:rPr>
      </w:pPr>
      <w:r>
        <w:tab/>
      </w:r>
      <w:r>
        <w:tab/>
      </w:r>
      <w:r>
        <w:rPr>
          <w:snapToGrid w:val="0"/>
        </w:rPr>
        <w:t>A person must not enter or remain on health service provider land without a reasonable excuse.</w:t>
      </w:r>
    </w:p>
    <w:p>
      <w:pPr>
        <w:pStyle w:val="Penstart"/>
      </w:pPr>
      <w:r>
        <w:tab/>
        <w:t xml:space="preserve">Penalty: </w:t>
      </w:r>
      <w:r>
        <w:rPr>
          <w:snapToGrid w:val="0"/>
        </w:rPr>
        <w:t xml:space="preserve">a fine of </w:t>
      </w:r>
      <w:r>
        <w:t>$300</w:t>
      </w:r>
      <w:r>
        <w:rPr>
          <w:snapToGrid w:val="0"/>
        </w:rPr>
        <w:t>.</w:t>
      </w:r>
    </w:p>
    <w:p>
      <w:pPr>
        <w:pStyle w:val="Footnotesection"/>
      </w:pPr>
      <w:r>
        <w:tab/>
        <w:t>[Regulation 5 amended: Gazette 29 Nov 2016 p. 5320.]</w:t>
      </w:r>
    </w:p>
    <w:p>
      <w:pPr>
        <w:pStyle w:val="Heading5"/>
        <w:rPr>
          <w:snapToGrid w:val="0"/>
        </w:rPr>
      </w:pPr>
      <w:bookmarkStart w:id="26" w:name="_Toc201314520"/>
      <w:bookmarkStart w:id="27" w:name="_Toc192775622"/>
      <w:r>
        <w:rPr>
          <w:rStyle w:val="CharSectno"/>
        </w:rPr>
        <w:t>6</w:t>
      </w:r>
      <w:r>
        <w:t>.</w:t>
      </w:r>
      <w:r>
        <w:tab/>
      </w:r>
      <w:r>
        <w:rPr>
          <w:snapToGrid w:val="0"/>
        </w:rPr>
        <w:t>Directions as to use of certain areas</w:t>
      </w:r>
      <w:bookmarkEnd w:id="26"/>
      <w:bookmarkEnd w:id="27"/>
    </w:p>
    <w:p>
      <w:pPr>
        <w:pStyle w:val="Subsection"/>
      </w:pPr>
      <w:r>
        <w:tab/>
        <w:t>(1)</w:t>
      </w:r>
      <w:r>
        <w:tab/>
        <w:t>In this regulation —</w:t>
      </w:r>
    </w:p>
    <w:p>
      <w:pPr>
        <w:pStyle w:val="Defstart"/>
      </w:pPr>
      <w:r>
        <w:tab/>
      </w:r>
      <w:r>
        <w:rPr>
          <w:rStyle w:val="CharDefText"/>
        </w:rPr>
        <w:t>specified</w:t>
      </w:r>
      <w:r>
        <w:t xml:space="preserve"> means specified in the sign containing the direction.</w:t>
      </w:r>
    </w:p>
    <w:p>
      <w:pPr>
        <w:pStyle w:val="Subsection"/>
      </w:pPr>
      <w:r>
        <w:tab/>
        <w:t>(2)</w:t>
      </w:r>
      <w:r>
        <w:tab/>
        <w:t>A responsible authorised person may, by means of a sign, direct that a specified part of health service provider land is open to members of the public or a specified section of the public.</w:t>
      </w:r>
    </w:p>
    <w:p>
      <w:pPr>
        <w:pStyle w:val="Subsection"/>
      </w:pPr>
      <w:r>
        <w:tab/>
        <w:t>(3)</w:t>
      </w:r>
      <w:r>
        <w:tab/>
        <w:t>A direction under this regulation may be made subject to specified conditions.</w:t>
      </w:r>
    </w:p>
    <w:p>
      <w:pPr>
        <w:pStyle w:val="Subsection"/>
      </w:pPr>
      <w:r>
        <w:tab/>
        <w:t>(4)</w:t>
      </w:r>
      <w:r>
        <w:tab/>
        <w:t>The responsible chief executive may cancel or vary a direction or condition under this regulation.</w:t>
      </w:r>
    </w:p>
    <w:p>
      <w:pPr>
        <w:pStyle w:val="Subsection"/>
        <w:rPr>
          <w:snapToGrid w:val="0"/>
        </w:rPr>
      </w:pPr>
      <w:r>
        <w:tab/>
        <w:t>(5)</w:t>
      </w:r>
      <w:r>
        <w:tab/>
      </w:r>
      <w:r>
        <w:rPr>
          <w:snapToGrid w:val="0"/>
        </w:rPr>
        <w:t>A person must not contravene a condition of a direction under this regulation.</w:t>
      </w:r>
    </w:p>
    <w:p>
      <w:pPr>
        <w:pStyle w:val="Penstart"/>
        <w:rPr>
          <w:snapToGrid w:val="0"/>
        </w:rPr>
      </w:pPr>
      <w:r>
        <w:tab/>
        <w:t>Penalty for this subregulation:</w:t>
      </w:r>
      <w:r>
        <w:rPr>
          <w:snapToGrid w:val="0"/>
        </w:rPr>
        <w:t xml:space="preserve"> a fine of </w:t>
      </w:r>
      <w:r>
        <w:t>$500</w:t>
      </w:r>
      <w:r>
        <w:rPr>
          <w:snapToGrid w:val="0"/>
        </w:rPr>
        <w:t>.</w:t>
      </w:r>
    </w:p>
    <w:p>
      <w:pPr>
        <w:pStyle w:val="Footnotesection"/>
      </w:pPr>
      <w:r>
        <w:tab/>
        <w:t>[Regulation 6 amended: Gazette 29 Nov 2016 p. 5319.]</w:t>
      </w:r>
    </w:p>
    <w:p>
      <w:pPr>
        <w:pStyle w:val="Heading5"/>
      </w:pPr>
      <w:bookmarkStart w:id="28" w:name="_Toc201314521"/>
      <w:bookmarkStart w:id="29" w:name="_Toc192775623"/>
      <w:r>
        <w:rPr>
          <w:rStyle w:val="CharSectno"/>
        </w:rPr>
        <w:t>7</w:t>
      </w:r>
      <w:r>
        <w:t>.</w:t>
      </w:r>
      <w:r>
        <w:tab/>
        <w:t>Prohibited items</w:t>
      </w:r>
      <w:bookmarkEnd w:id="28"/>
      <w:bookmarkEnd w:id="29"/>
    </w:p>
    <w:p>
      <w:pPr>
        <w:pStyle w:val="Subsection"/>
      </w:pPr>
      <w:r>
        <w:tab/>
        <w:t>(1)</w:t>
      </w:r>
      <w:r>
        <w:tab/>
        <w:t xml:space="preserve">In this regulation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2024</w:t>
      </w:r>
      <w:r>
        <w:t xml:space="preserve"> section 6;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(da)</w:t>
      </w:r>
      <w:r>
        <w:tab/>
        <w:t xml:space="preserve">an article with a sharpened edge, that is reasonably capable of being held in 1 or both hands, and that is made or modified to be used — </w:t>
      </w:r>
    </w:p>
    <w:p>
      <w:pPr>
        <w:pStyle w:val="Defsubpara"/>
      </w:pPr>
      <w:r>
        <w:tab/>
        <w:t>(i)</w:t>
      </w:r>
      <w:r>
        <w:tab/>
        <w:t>to injure or disable a person; or</w:t>
      </w:r>
    </w:p>
    <w:p>
      <w:pPr>
        <w:pStyle w:val="Defsubpara"/>
      </w:pPr>
      <w:r>
        <w:tab/>
        <w:t>(ii)</w:t>
      </w:r>
      <w:r>
        <w:tab/>
        <w:t>to cause a person to fear that someone will be injured or disabled by that use; or</w:t>
      </w:r>
    </w:p>
    <w:p>
      <w:pPr>
        <w:pStyle w:val="Defsubpara"/>
      </w:pPr>
      <w:r>
        <w:tab/>
        <w:t>(iii)</w:t>
      </w:r>
      <w:r>
        <w:tab/>
        <w:t>for attack or defence in the practice of a martial sport, art or similar discipline;</w:t>
      </w:r>
    </w:p>
    <w:p>
      <w:pPr>
        <w:pStyle w:val="Defpara"/>
      </w:pPr>
      <w:r>
        <w:tab/>
      </w:r>
      <w:r>
        <w:tab/>
        <w:t>or</w:t>
      </w:r>
    </w:p>
    <w:p>
      <w:pPr>
        <w:pStyle w:val="Defpara"/>
        <w:rPr>
          <w:rStyle w:val="DraftersNotes"/>
          <w:b w:val="0"/>
          <w:i w:val="0"/>
          <w:sz w:val="24"/>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health service provider land a prohibited item </w:t>
      </w:r>
      <w:r>
        <w:rPr>
          <w:snapToGrid w:val="0"/>
        </w:rPr>
        <w:t>unless the person has permission to do so.</w:t>
      </w:r>
    </w:p>
    <w:p>
      <w:pPr>
        <w:pStyle w:val="Penstart"/>
      </w:pPr>
      <w:r>
        <w:tab/>
        <w:t>Penalty for this subregulation: a fine of $500.</w:t>
      </w:r>
    </w:p>
    <w:p>
      <w:pPr>
        <w:pStyle w:val="Footnotesection"/>
      </w:pPr>
      <w:r>
        <w:tab/>
        <w:t>[Regulation 7 amended: Gazette 29 Nov 2016 p. 5319; SL 2024/281 r. 4; SL 2024/297 r. 4.]</w:t>
      </w:r>
    </w:p>
    <w:p>
      <w:pPr>
        <w:pStyle w:val="Heading5"/>
      </w:pPr>
      <w:bookmarkStart w:id="30" w:name="_Toc201314522"/>
      <w:bookmarkStart w:id="31" w:name="_Toc192775624"/>
      <w:r>
        <w:rPr>
          <w:rStyle w:val="CharSectno"/>
        </w:rPr>
        <w:t>8</w:t>
      </w:r>
      <w:r>
        <w:t>.</w:t>
      </w:r>
      <w:r>
        <w:tab/>
        <w:t>Smoking</w:t>
      </w:r>
      <w:bookmarkEnd w:id="30"/>
      <w:bookmarkEnd w:id="31"/>
    </w:p>
    <w:p>
      <w:pPr>
        <w:pStyle w:val="Subsection"/>
        <w:rPr>
          <w:snapToGrid w:val="0"/>
        </w:rPr>
      </w:pPr>
      <w:r>
        <w:tab/>
      </w:r>
      <w:r>
        <w:tab/>
      </w:r>
      <w:r>
        <w:rPr>
          <w:snapToGrid w:val="0"/>
        </w:rPr>
        <w:t>A person must not smoke on health service provider land.</w:t>
      </w:r>
    </w:p>
    <w:p>
      <w:pPr>
        <w:pStyle w:val="Penstart"/>
        <w:rPr>
          <w:snapToGrid w:val="0"/>
        </w:rPr>
      </w:pPr>
      <w:r>
        <w:tab/>
        <w:t xml:space="preserve">Penalty: </w:t>
      </w:r>
      <w:r>
        <w:rPr>
          <w:snapToGrid w:val="0"/>
        </w:rPr>
        <w:t xml:space="preserve">a fine of </w:t>
      </w:r>
      <w:r>
        <w:t>$500</w:t>
      </w:r>
      <w:r>
        <w:rPr>
          <w:snapToGrid w:val="0"/>
        </w:rPr>
        <w:t>.</w:t>
      </w:r>
    </w:p>
    <w:p>
      <w:pPr>
        <w:pStyle w:val="Footnotesection"/>
      </w:pPr>
      <w:r>
        <w:tab/>
        <w:t>[Regulation 8 amended: Gazette 29 Nov 2016 p. 5319.]</w:t>
      </w:r>
    </w:p>
    <w:p>
      <w:pPr>
        <w:pStyle w:val="Heading2"/>
      </w:pPr>
      <w:bookmarkStart w:id="32" w:name="_Toc201303876"/>
      <w:bookmarkStart w:id="33" w:name="_Toc201304768"/>
      <w:bookmarkStart w:id="34" w:name="_Toc201304856"/>
      <w:bookmarkStart w:id="35" w:name="_Toc201314523"/>
      <w:bookmarkStart w:id="36" w:name="_Toc192774137"/>
      <w:bookmarkStart w:id="37" w:name="_Toc192775022"/>
      <w:bookmarkStart w:id="38" w:name="_Toc192775625"/>
      <w:r>
        <w:rPr>
          <w:rStyle w:val="CharPartNo"/>
        </w:rPr>
        <w:t>Part 3</w:t>
      </w:r>
      <w:r>
        <w:t> — </w:t>
      </w:r>
      <w:r>
        <w:rPr>
          <w:rStyle w:val="CharPartText"/>
        </w:rPr>
        <w:t>Traffic control</w:t>
      </w:r>
      <w:bookmarkEnd w:id="32"/>
      <w:bookmarkEnd w:id="33"/>
      <w:bookmarkEnd w:id="34"/>
      <w:bookmarkEnd w:id="35"/>
      <w:bookmarkEnd w:id="36"/>
      <w:bookmarkEnd w:id="37"/>
      <w:bookmarkEnd w:id="38"/>
    </w:p>
    <w:p>
      <w:pPr>
        <w:pStyle w:val="Heading3"/>
      </w:pPr>
      <w:bookmarkStart w:id="39" w:name="_Toc201303877"/>
      <w:bookmarkStart w:id="40" w:name="_Toc201304769"/>
      <w:bookmarkStart w:id="41" w:name="_Toc201304857"/>
      <w:bookmarkStart w:id="42" w:name="_Toc201314524"/>
      <w:bookmarkStart w:id="43" w:name="_Toc192774138"/>
      <w:bookmarkStart w:id="44" w:name="_Toc192775023"/>
      <w:bookmarkStart w:id="45" w:name="_Toc192775626"/>
      <w:r>
        <w:rPr>
          <w:rStyle w:val="CharDivNo"/>
        </w:rPr>
        <w:t>Division 1</w:t>
      </w:r>
      <w:r>
        <w:t> — </w:t>
      </w:r>
      <w:r>
        <w:rPr>
          <w:rStyle w:val="CharDivText"/>
        </w:rPr>
        <w:t>Driving and use of vehicles</w:t>
      </w:r>
      <w:bookmarkEnd w:id="39"/>
      <w:bookmarkEnd w:id="40"/>
      <w:bookmarkEnd w:id="41"/>
      <w:bookmarkEnd w:id="42"/>
      <w:bookmarkEnd w:id="43"/>
      <w:bookmarkEnd w:id="44"/>
      <w:bookmarkEnd w:id="45"/>
    </w:p>
    <w:p>
      <w:pPr>
        <w:pStyle w:val="Heading5"/>
        <w:spacing w:before="180"/>
        <w:rPr>
          <w:snapToGrid w:val="0"/>
        </w:rPr>
      </w:pPr>
      <w:bookmarkStart w:id="46" w:name="_Toc201314525"/>
      <w:bookmarkStart w:id="47" w:name="_Toc192775627"/>
      <w:r>
        <w:rPr>
          <w:rStyle w:val="CharSectno"/>
        </w:rPr>
        <w:t>9</w:t>
      </w:r>
      <w:r>
        <w:t>.</w:t>
      </w:r>
      <w:r>
        <w:tab/>
      </w:r>
      <w:r>
        <w:rPr>
          <w:snapToGrid w:val="0"/>
        </w:rPr>
        <w:t xml:space="preserve">Application of </w:t>
      </w:r>
      <w:r>
        <w:rPr>
          <w:i/>
          <w:iCs/>
          <w:snapToGrid w:val="0"/>
        </w:rPr>
        <w:t>Road Traffic Code 2000</w:t>
      </w:r>
      <w:bookmarkEnd w:id="46"/>
      <w:bookmarkEnd w:id="47"/>
    </w:p>
    <w:p>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pPr>
        <w:pStyle w:val="Heading5"/>
        <w:spacing w:before="180"/>
      </w:pPr>
      <w:bookmarkStart w:id="48" w:name="_Toc201314526"/>
      <w:bookmarkStart w:id="49" w:name="_Toc192775628"/>
      <w:r>
        <w:rPr>
          <w:rStyle w:val="CharSectno"/>
        </w:rPr>
        <w:t>10</w:t>
      </w:r>
      <w:r>
        <w:t>.</w:t>
      </w:r>
      <w:r>
        <w:tab/>
        <w:t>Driving of vehicles</w:t>
      </w:r>
      <w:bookmarkEnd w:id="48"/>
      <w:bookmarkEnd w:id="49"/>
    </w:p>
    <w:p>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pPr>
        <w:pStyle w:val="Penstart"/>
        <w:rPr>
          <w:snapToGrid w:val="0"/>
        </w:rPr>
      </w:pPr>
      <w:r>
        <w:tab/>
        <w:t>Penalty for this subregulation: a</w:t>
      </w:r>
      <w:r>
        <w:rPr>
          <w:snapToGrid w:val="0"/>
        </w:rPr>
        <w:t xml:space="preserve"> fine of </w:t>
      </w:r>
      <w:r>
        <w:t>$300</w:t>
      </w:r>
      <w:r>
        <w:rPr>
          <w:snapToGrid w:val="0"/>
        </w:rPr>
        <w:t>.</w:t>
      </w:r>
    </w:p>
    <w:p>
      <w:pPr>
        <w:pStyle w:val="Subsection"/>
        <w:spacing w:before="120"/>
      </w:pPr>
      <w:r>
        <w:tab/>
        <w:t>(4)</w:t>
      </w:r>
      <w:r>
        <w:tab/>
      </w:r>
      <w:r>
        <w:rPr>
          <w:snapToGrid w:val="0"/>
        </w:rPr>
        <w:t>This regulation</w:t>
      </w:r>
      <w:r>
        <w:t xml:space="preserve"> does not apply to a vehicle that is an emergency vehicle.</w:t>
      </w:r>
    </w:p>
    <w:p>
      <w:pPr>
        <w:pStyle w:val="Footnotesection"/>
      </w:pPr>
      <w:r>
        <w:tab/>
        <w:t>[Regulation 10 amended: Gazette 29 Nov 2016 p. 5320.]</w:t>
      </w:r>
    </w:p>
    <w:p>
      <w:pPr>
        <w:pStyle w:val="Heading5"/>
        <w:spacing w:before="180"/>
      </w:pPr>
      <w:bookmarkStart w:id="50" w:name="_Toc201314527"/>
      <w:bookmarkStart w:id="51" w:name="_Toc192775629"/>
      <w:r>
        <w:rPr>
          <w:rStyle w:val="CharSectno"/>
        </w:rPr>
        <w:t>11</w:t>
      </w:r>
      <w:r>
        <w:t>.</w:t>
      </w:r>
      <w:r>
        <w:tab/>
        <w:t>Driver to obey reasonable direction</w:t>
      </w:r>
      <w:bookmarkEnd w:id="50"/>
      <w:bookmarkEnd w:id="51"/>
    </w:p>
    <w:p>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11 amended: Gazette 29 Nov 2016 p. 5320.]</w:t>
      </w:r>
    </w:p>
    <w:p>
      <w:pPr>
        <w:pStyle w:val="Heading5"/>
      </w:pPr>
      <w:bookmarkStart w:id="52" w:name="_Toc201314528"/>
      <w:bookmarkStart w:id="53" w:name="_Toc192775630"/>
      <w:r>
        <w:rPr>
          <w:rStyle w:val="CharSectno"/>
        </w:rPr>
        <w:t>12</w:t>
      </w:r>
      <w:r>
        <w:t>.</w:t>
      </w:r>
      <w:r>
        <w:tab/>
        <w:t>Speed limits</w:t>
      </w:r>
      <w:bookmarkEnd w:id="52"/>
      <w:bookmarkEnd w:id="53"/>
    </w:p>
    <w:p>
      <w:pPr>
        <w:pStyle w:val="Subsection"/>
        <w:rPr>
          <w:snapToGrid w:val="0"/>
        </w:rPr>
      </w:pPr>
      <w:r>
        <w:tab/>
        <w:t>(1)</w:t>
      </w:r>
      <w:r>
        <w:tab/>
      </w:r>
      <w:r>
        <w:rPr>
          <w:snapToGrid w:val="0"/>
        </w:rPr>
        <w:t xml:space="preserve">A person must not drive a vehicle on a roadway or parking facility — </w:t>
      </w:r>
    </w:p>
    <w:p>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pPr>
        <w:pStyle w:val="Indenta"/>
        <w:rPr>
          <w:snapToGrid w:val="0"/>
        </w:rPr>
      </w:pPr>
      <w:r>
        <w:tab/>
        <w:t>(b)</w:t>
      </w:r>
      <w:r>
        <w:tab/>
      </w:r>
      <w:r>
        <w:rPr>
          <w:snapToGrid w:val="0"/>
        </w:rPr>
        <w:t>if no speed restriction sign is displayed — at a speed exceeding 10 km/h.</w:t>
      </w:r>
    </w:p>
    <w:p>
      <w:pPr>
        <w:pStyle w:val="Penstart"/>
        <w:rPr>
          <w:snapToGrid w:val="0"/>
        </w:rPr>
      </w:pPr>
      <w:r>
        <w:tab/>
        <w:t>Penalty for this subregulation: a</w:t>
      </w:r>
      <w:r>
        <w:rPr>
          <w:snapToGrid w:val="0"/>
        </w:rPr>
        <w:t xml:space="preserve"> fine of </w:t>
      </w:r>
      <w:r>
        <w:t>$500</w:t>
      </w:r>
      <w:r>
        <w:rPr>
          <w:snapToGrid w:val="0"/>
        </w:rPr>
        <w:t>.</w:t>
      </w:r>
    </w:p>
    <w:p>
      <w:pPr>
        <w:pStyle w:val="Subsection"/>
        <w:rPr>
          <w:snapToGrid w:val="0"/>
        </w:rPr>
      </w:pPr>
      <w:r>
        <w:tab/>
        <w:t>(2)</w:t>
      </w:r>
      <w:r>
        <w:tab/>
      </w:r>
      <w:r>
        <w:rPr>
          <w:snapToGrid w:val="0"/>
        </w:rPr>
        <w:t>Subregulation (1) does not apply to the driving of an emergency vehicle.</w:t>
      </w:r>
    </w:p>
    <w:p>
      <w:pPr>
        <w:pStyle w:val="Footnotesection"/>
      </w:pPr>
      <w:r>
        <w:tab/>
        <w:t>[Regulation 12 amended: Gazette 29 Nov 2016 p. 5319.]</w:t>
      </w:r>
    </w:p>
    <w:p>
      <w:pPr>
        <w:pStyle w:val="Heading5"/>
      </w:pPr>
      <w:bookmarkStart w:id="54" w:name="_Toc201314529"/>
      <w:bookmarkStart w:id="55" w:name="_Toc192775631"/>
      <w:r>
        <w:rPr>
          <w:rStyle w:val="CharSectno"/>
        </w:rPr>
        <w:t>13</w:t>
      </w:r>
      <w:r>
        <w:t>.</w:t>
      </w:r>
      <w:r>
        <w:tab/>
        <w:t>Giving way</w:t>
      </w:r>
      <w:bookmarkEnd w:id="54"/>
      <w:bookmarkEnd w:id="55"/>
    </w:p>
    <w:p>
      <w:pPr>
        <w:pStyle w:val="Subsection"/>
        <w:rPr>
          <w:snapToGrid w:val="0"/>
        </w:rPr>
      </w:pPr>
      <w:r>
        <w:tab/>
      </w:r>
      <w:r>
        <w:tab/>
      </w:r>
      <w:r>
        <w:rPr>
          <w:snapToGrid w:val="0"/>
        </w:rPr>
        <w:t>The driver of a vehicle that is entering or about to enter a parking facility is to give way to a vehicle that is leaving the parking facility.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13 amended: Gazette 29 Nov 2016 p. 5320.]</w:t>
      </w:r>
    </w:p>
    <w:p>
      <w:pPr>
        <w:pStyle w:val="Heading5"/>
        <w:rPr>
          <w:snapToGrid w:val="0"/>
        </w:rPr>
      </w:pPr>
      <w:bookmarkStart w:id="56" w:name="_Toc201314530"/>
      <w:bookmarkStart w:id="57" w:name="_Toc192775632"/>
      <w:r>
        <w:rPr>
          <w:rStyle w:val="CharSectno"/>
        </w:rPr>
        <w:t>14</w:t>
      </w:r>
      <w:r>
        <w:t>.</w:t>
      </w:r>
      <w:r>
        <w:tab/>
      </w:r>
      <w:r>
        <w:rPr>
          <w:snapToGrid w:val="0"/>
        </w:rPr>
        <w:t>No instruction or repairs on land</w:t>
      </w:r>
      <w:bookmarkEnd w:id="56"/>
      <w:bookmarkEnd w:id="57"/>
    </w:p>
    <w:p>
      <w:pPr>
        <w:pStyle w:val="Subsection"/>
        <w:rPr>
          <w:snapToGrid w:val="0"/>
        </w:rPr>
      </w:pPr>
      <w:r>
        <w:tab/>
      </w:r>
      <w:r>
        <w:tab/>
      </w:r>
      <w:r>
        <w:rPr>
          <w:snapToGrid w:val="0"/>
        </w:rPr>
        <w:t>A person must not — </w:t>
      </w:r>
    </w:p>
    <w:p>
      <w:pPr>
        <w:pStyle w:val="Indenta"/>
      </w:pPr>
      <w:r>
        <w:tab/>
        <w:t>(a)</w:t>
      </w:r>
      <w:r>
        <w:tab/>
      </w:r>
      <w:r>
        <w:rPr>
          <w:snapToGrid w:val="0"/>
        </w:rPr>
        <w:t>drive a vehicle on health service provider land for the purpose of giving or receiving driving instructions; or</w:t>
      </w:r>
    </w:p>
    <w:p>
      <w:pPr>
        <w:pStyle w:val="Indenta"/>
      </w:pPr>
      <w:r>
        <w:tab/>
        <w:t>(b)</w:t>
      </w:r>
      <w:r>
        <w:tab/>
      </w:r>
      <w:r>
        <w:rPr>
          <w:snapToGrid w:val="0"/>
        </w:rPr>
        <w:t>repair or adjust a vehicle on health service provider land, except in an emergency.</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14 amended: Gazette 29 Nov 2016 p. 5320.]</w:t>
      </w:r>
    </w:p>
    <w:p>
      <w:pPr>
        <w:pStyle w:val="Heading3"/>
        <w:pageBreakBefore/>
        <w:spacing w:before="0"/>
      </w:pPr>
      <w:bookmarkStart w:id="58" w:name="_Toc201303884"/>
      <w:bookmarkStart w:id="59" w:name="_Toc201304776"/>
      <w:bookmarkStart w:id="60" w:name="_Toc201304864"/>
      <w:bookmarkStart w:id="61" w:name="_Toc201314531"/>
      <w:bookmarkStart w:id="62" w:name="_Toc192774145"/>
      <w:bookmarkStart w:id="63" w:name="_Toc192775030"/>
      <w:bookmarkStart w:id="64" w:name="_Toc192775633"/>
      <w:r>
        <w:rPr>
          <w:rStyle w:val="CharDivNo"/>
        </w:rPr>
        <w:t>Division 2</w:t>
      </w:r>
      <w:r>
        <w:t> — </w:t>
      </w:r>
      <w:r>
        <w:rPr>
          <w:rStyle w:val="CharDivText"/>
        </w:rPr>
        <w:t>Parking</w:t>
      </w:r>
      <w:bookmarkEnd w:id="58"/>
      <w:bookmarkEnd w:id="59"/>
      <w:bookmarkEnd w:id="60"/>
      <w:bookmarkEnd w:id="61"/>
      <w:bookmarkEnd w:id="62"/>
      <w:bookmarkEnd w:id="63"/>
      <w:bookmarkEnd w:id="64"/>
    </w:p>
    <w:p>
      <w:pPr>
        <w:pStyle w:val="Heading5"/>
      </w:pPr>
      <w:bookmarkStart w:id="65" w:name="_Toc201314532"/>
      <w:bookmarkStart w:id="66" w:name="_Toc192775634"/>
      <w:r>
        <w:rPr>
          <w:rStyle w:val="CharSectno"/>
        </w:rPr>
        <w:t>15</w:t>
      </w:r>
      <w:r>
        <w:t>.</w:t>
      </w:r>
      <w:r>
        <w:tab/>
        <w:t>Parking to be in parking spaces only</w:t>
      </w:r>
      <w:bookmarkEnd w:id="65"/>
      <w:bookmarkEnd w:id="66"/>
    </w:p>
    <w:p>
      <w:pPr>
        <w:pStyle w:val="Subsection"/>
      </w:pPr>
      <w:r>
        <w:tab/>
      </w:r>
      <w:r>
        <w:tab/>
      </w:r>
      <w:r>
        <w:rPr>
          <w:snapToGrid w:val="0"/>
        </w:rPr>
        <w:t>A person must not park a vehicle on health service provider land unless the vehicle is parked in a parking space.</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15 amended: Gazette 29 Nov 2016 p. 5320.]</w:t>
      </w:r>
    </w:p>
    <w:p>
      <w:pPr>
        <w:pStyle w:val="Heading5"/>
      </w:pPr>
      <w:bookmarkStart w:id="67" w:name="_Toc201314533"/>
      <w:bookmarkStart w:id="68" w:name="_Toc192775635"/>
      <w:r>
        <w:rPr>
          <w:rStyle w:val="CharSectno"/>
        </w:rPr>
        <w:t>16</w:t>
      </w:r>
      <w:r>
        <w:t>.</w:t>
      </w:r>
      <w:r>
        <w:tab/>
        <w:t>Signs to be obeyed</w:t>
      </w:r>
      <w:bookmarkEnd w:id="67"/>
      <w:bookmarkEnd w:id="68"/>
    </w:p>
    <w:p>
      <w:pPr>
        <w:pStyle w:val="Subsection"/>
      </w:pPr>
      <w:r>
        <w:tab/>
      </w:r>
      <w:r>
        <w:tab/>
      </w:r>
      <w:r>
        <w:rPr>
          <w:snapToGrid w:val="0"/>
        </w:rPr>
        <w:t>A person must not park, stand or move a vehicle on health service provider land contrary to a direction in a sign.</w:t>
      </w:r>
    </w:p>
    <w:p>
      <w:pPr>
        <w:pStyle w:val="Penstart"/>
        <w:rPr>
          <w:snapToGrid w:val="0"/>
        </w:rPr>
      </w:pPr>
      <w:r>
        <w:tab/>
        <w:t>Penalty: a</w:t>
      </w:r>
      <w:r>
        <w:rPr>
          <w:snapToGrid w:val="0"/>
        </w:rPr>
        <w:t xml:space="preserve"> fine of </w:t>
      </w:r>
      <w:r>
        <w:t>$300</w:t>
      </w:r>
      <w:r>
        <w:rPr>
          <w:snapToGrid w:val="0"/>
        </w:rPr>
        <w:t>.</w:t>
      </w:r>
    </w:p>
    <w:p>
      <w:pPr>
        <w:pStyle w:val="Footnotesection"/>
      </w:pPr>
      <w:r>
        <w:tab/>
        <w:t>[Regulation 16 amended: Gazette 29 Nov 2016 p. 5320.]</w:t>
      </w:r>
    </w:p>
    <w:p>
      <w:pPr>
        <w:pStyle w:val="Heading5"/>
      </w:pPr>
      <w:bookmarkStart w:id="69" w:name="_Toc201314534"/>
      <w:bookmarkStart w:id="70" w:name="_Toc192775636"/>
      <w:r>
        <w:rPr>
          <w:rStyle w:val="CharSectno"/>
        </w:rPr>
        <w:t>17</w:t>
      </w:r>
      <w:r>
        <w:t>.</w:t>
      </w:r>
      <w:r>
        <w:tab/>
        <w:t>Parking in parking spaces</w:t>
      </w:r>
      <w:bookmarkEnd w:id="69"/>
      <w:bookmarkEnd w:id="70"/>
    </w:p>
    <w:p>
      <w:pPr>
        <w:pStyle w:val="Subsection"/>
      </w:pPr>
      <w:r>
        <w:tab/>
        <w:t>(1)</w:t>
      </w:r>
      <w:r>
        <w:tab/>
        <w:t>In this regulation —</w:t>
      </w:r>
    </w:p>
    <w:p>
      <w:pPr>
        <w:pStyle w:val="Defstart"/>
      </w:pPr>
      <w:r>
        <w:tab/>
      </w:r>
      <w:r>
        <w:rPr>
          <w:rStyle w:val="CharDefText"/>
        </w:rPr>
        <w:t>specified</w:t>
      </w:r>
      <w:r>
        <w:t xml:space="preserve"> means specified in a sign.</w:t>
      </w:r>
    </w:p>
    <w:p>
      <w:pPr>
        <w:pStyle w:val="Subsection"/>
      </w:pPr>
      <w:r>
        <w:tab/>
        <w:t>(2)</w:t>
      </w:r>
      <w:r>
        <w:tab/>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w:t>
      </w:r>
    </w:p>
    <w:p>
      <w:pPr>
        <w:pStyle w:val="Subsection"/>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17 amended: Gazette 29 Nov 2016 p. 5320.]</w:t>
      </w:r>
    </w:p>
    <w:p>
      <w:pPr>
        <w:pStyle w:val="Heading5"/>
      </w:pPr>
      <w:bookmarkStart w:id="71" w:name="_Toc201314535"/>
      <w:bookmarkStart w:id="72" w:name="_Toc192775637"/>
      <w:r>
        <w:rPr>
          <w:rStyle w:val="CharSectno"/>
        </w:rPr>
        <w:t>18</w:t>
      </w:r>
      <w:r>
        <w:t>.</w:t>
      </w:r>
      <w:r>
        <w:tab/>
        <w:t>Types of parking areas</w:t>
      </w:r>
      <w:bookmarkEnd w:id="71"/>
      <w:bookmarkEnd w:id="72"/>
    </w:p>
    <w:p>
      <w:pPr>
        <w:pStyle w:val="Subsection"/>
        <w:keepNext/>
      </w:pPr>
      <w:r>
        <w:tab/>
        <w:t>(1)</w:t>
      </w:r>
      <w:r>
        <w:tab/>
        <w:t>A responsible chief executive may set aside a parking facility or part of a parking facility as —</w:t>
      </w:r>
    </w:p>
    <w:p>
      <w:pPr>
        <w:pStyle w:val="Indenta"/>
      </w:pPr>
      <w:r>
        <w:tab/>
        <w:t>(a)</w:t>
      </w:r>
      <w:r>
        <w:tab/>
        <w:t>a ticket parking area or a boom gate controlled ticket parking area for the purposes of regulation 19; or</w:t>
      </w:r>
    </w:p>
    <w:p>
      <w:pPr>
        <w:pStyle w:val="Indenta"/>
      </w:pPr>
      <w:r>
        <w:tab/>
        <w:t>(b)</w:t>
      </w:r>
      <w:r>
        <w:tab/>
        <w:t>a paid staff parking area for the purposes of regulation 20; or</w:t>
      </w:r>
    </w:p>
    <w:p>
      <w:pPr>
        <w:pStyle w:val="Indenta"/>
      </w:pPr>
      <w:r>
        <w:tab/>
        <w:t>(c)</w:t>
      </w:r>
      <w:r>
        <w:tab/>
        <w:t>a permit parking area for the purposes of regulation 21.</w:t>
      </w:r>
    </w:p>
    <w:p>
      <w:pPr>
        <w:pStyle w:val="Subsection"/>
      </w:pPr>
      <w:r>
        <w:tab/>
        <w:t>(2)</w:t>
      </w:r>
      <w:r>
        <w:tab/>
        <w:t>An area set aside under subregulation (1) must be identified as such by a sign or signs.</w:t>
      </w:r>
    </w:p>
    <w:p>
      <w:pPr>
        <w:pStyle w:val="Heading5"/>
      </w:pPr>
      <w:bookmarkStart w:id="73" w:name="_Toc201314536"/>
      <w:bookmarkStart w:id="74" w:name="_Toc192775638"/>
      <w:r>
        <w:rPr>
          <w:rStyle w:val="CharSectno"/>
        </w:rPr>
        <w:t>19</w:t>
      </w:r>
      <w:r>
        <w:t>.</w:t>
      </w:r>
      <w:r>
        <w:tab/>
        <w:t>Parking in ticket parking area or boom gate controlled ticket parking area</w:t>
      </w:r>
      <w:bookmarkEnd w:id="73"/>
      <w:bookmarkEnd w:id="74"/>
    </w:p>
    <w:p>
      <w:pPr>
        <w:pStyle w:val="Subsection"/>
      </w:pPr>
      <w:r>
        <w:tab/>
        <w:t>(1)</w:t>
      </w:r>
      <w:r>
        <w:tab/>
        <w:t>In this regulation —</w:t>
      </w:r>
    </w:p>
    <w:p>
      <w:pPr>
        <w:pStyle w:val="Defstart"/>
      </w:pPr>
      <w:r>
        <w:tab/>
      </w:r>
      <w:r>
        <w:rPr>
          <w:rStyle w:val="CharDefText"/>
        </w:rPr>
        <w:t>boom gate controlled ticket parking area</w:t>
      </w:r>
      <w:r>
        <w:t xml:space="preserve"> means a boom gate controlled ticket parking area set aside under regulation 18(1)(a);</w:t>
      </w:r>
    </w:p>
    <w:p>
      <w:pPr>
        <w:pStyle w:val="Defstart"/>
      </w:pPr>
      <w:r>
        <w:tab/>
      </w:r>
      <w:r>
        <w:rPr>
          <w:rStyle w:val="CharDefText"/>
        </w:rPr>
        <w:t>ticket parking area</w:t>
      </w:r>
      <w:r>
        <w:t xml:space="preserve"> means a ticket parking area set aside under regulation 18(1)(a).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that ticket parking area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(3)</w:t>
      </w:r>
      <w:r>
        <w:tab/>
        <w:t xml:space="preserve">A person does not commit an offence under subregulation (2) if — </w:t>
      </w:r>
    </w:p>
    <w:p>
      <w:pPr>
        <w:pStyle w:val="Indenta"/>
      </w:pPr>
      <w:r>
        <w:tab/>
        <w:t>(a)</w:t>
      </w:r>
      <w:r>
        <w:tab/>
        <w:t>the person has permission to park in the ticket parking area; and</w:t>
      </w:r>
    </w:p>
    <w:p>
      <w:pPr>
        <w:pStyle w:val="Indenta"/>
      </w:pPr>
      <w:r>
        <w:tab/>
        <w:t>(b)</w:t>
      </w:r>
      <w:r>
        <w:tab/>
        <w:t>if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(5)</w:t>
      </w:r>
      <w:r>
        <w:tab/>
        <w:t>A person must not remove a vehicle from a boom gate controlled ticket parking area without paying the prescribed fee for the parking area for the length of time for which the vehicle has been parked.</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(6)</w:t>
      </w:r>
      <w:r>
        <w:tab/>
        <w:t>A person does not commit an offence under subregulation (4) or (5) if the person —</w:t>
      </w:r>
    </w:p>
    <w:p>
      <w:pPr>
        <w:pStyle w:val="Indenta"/>
      </w:pPr>
      <w:r>
        <w:tab/>
        <w:t>(a)</w:t>
      </w:r>
      <w:r>
        <w:tab/>
        <w:t>has permission to park in the boom gate controlled ticket parking area; and</w:t>
      </w:r>
    </w:p>
    <w:p>
      <w:pPr>
        <w:pStyle w:val="Indenta"/>
        <w:keepNext/>
      </w:pPr>
      <w:r>
        <w:tab/>
        <w:t>(b)</w:t>
      </w:r>
      <w:r>
        <w:tab/>
        <w:t>produces the permission for inspection when requested to do so by a responsible authorised person.</w:t>
      </w:r>
    </w:p>
    <w:p>
      <w:pPr>
        <w:pStyle w:val="Subsection"/>
      </w:pPr>
      <w:r>
        <w:tab/>
        <w:t>(7)</w:t>
      </w:r>
      <w:r>
        <w:tab/>
        <w:t>A person who has parked a vehicle in a ticket parking area or a boom gate controlled ticket parking area on a health service provider site must not leave the site while the vehicle is parked there.</w:t>
      </w:r>
    </w:p>
    <w:p>
      <w:pPr>
        <w:pStyle w:val="Penstart"/>
        <w:rPr>
          <w:snapToGrid w:val="0"/>
        </w:rPr>
      </w:pPr>
      <w:r>
        <w:tab/>
        <w:t>Penalty for this subregulation: a</w:t>
      </w:r>
      <w:r>
        <w:rPr>
          <w:snapToGrid w:val="0"/>
        </w:rPr>
        <w:t xml:space="preserve"> fine of </w:t>
      </w:r>
      <w:r>
        <w:t>$300</w:t>
      </w:r>
      <w:r>
        <w:rPr>
          <w:snapToGrid w:val="0"/>
        </w:rPr>
        <w:t>.</w:t>
      </w:r>
    </w:p>
    <w:p>
      <w:pPr>
        <w:pStyle w:val="Subsection"/>
        <w:keepNext/>
      </w:pPr>
      <w:r>
        <w:tab/>
        <w:t>(8)</w:t>
      </w:r>
      <w:r>
        <w:tab/>
        <w:t xml:space="preserve">In subregulation (7) — </w:t>
      </w:r>
    </w:p>
    <w:p>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pPr>
        <w:pStyle w:val="Footnotesection"/>
      </w:pPr>
      <w:r>
        <w:tab/>
        <w:t>[Regulation 19 amended: Gazette 29 Nov 2016 p. 5320.]</w:t>
      </w:r>
    </w:p>
    <w:p>
      <w:pPr>
        <w:pStyle w:val="Heading5"/>
      </w:pPr>
      <w:bookmarkStart w:id="75" w:name="_Toc201314537"/>
      <w:bookmarkStart w:id="76" w:name="_Toc192775639"/>
      <w:r>
        <w:rPr>
          <w:rStyle w:val="CharSectno"/>
        </w:rPr>
        <w:t>20</w:t>
      </w:r>
      <w:r>
        <w:t>.</w:t>
      </w:r>
      <w:r>
        <w:tab/>
        <w:t>Parking in paid staff parking area</w:t>
      </w:r>
      <w:bookmarkEnd w:id="75"/>
      <w:bookmarkEnd w:id="76"/>
    </w:p>
    <w:p>
      <w:pPr>
        <w:pStyle w:val="Subsection"/>
      </w:pPr>
      <w:r>
        <w:tab/>
        <w:t>(1)</w:t>
      </w:r>
      <w:r>
        <w:tab/>
        <w:t>In this regulation —</w:t>
      </w:r>
    </w:p>
    <w:p>
      <w:pPr>
        <w:pStyle w:val="Defstart"/>
      </w:pPr>
      <w:r>
        <w:tab/>
      </w:r>
      <w:r>
        <w:rPr>
          <w:rStyle w:val="CharDefText"/>
        </w:rPr>
        <w:t>eligible staff member</w:t>
      </w:r>
      <w:r>
        <w:t xml:space="preserve"> means a person who is in a class of persons determined by the responsible chief executive under subregulation (5);</w:t>
      </w:r>
    </w:p>
    <w:p>
      <w:pPr>
        <w:pStyle w:val="Defstart"/>
      </w:pPr>
      <w:r>
        <w:tab/>
      </w:r>
      <w:r>
        <w:rPr>
          <w:rStyle w:val="CharDefText"/>
        </w:rPr>
        <w:t>paid staff parking area</w:t>
      </w:r>
      <w:r>
        <w:t xml:space="preserve"> means an area set aside under regulation 18(1)(b).</w:t>
      </w:r>
    </w:p>
    <w:p>
      <w:pPr>
        <w:pStyle w:val="Subsection"/>
      </w:pPr>
      <w:r>
        <w:tab/>
        <w:t>(2)</w:t>
      </w:r>
      <w:r>
        <w:tab/>
        <w:t>A person must not park a vehicle in a paid staff parking area unless the person is an eligible staff member for that paid staff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rPr>
          <w:snapToGrid w:val="0"/>
        </w:rPr>
      </w:pPr>
      <w:r>
        <w:tab/>
        <w:t>Penalty for this subregulation: a</w:t>
      </w:r>
      <w:r>
        <w:rPr>
          <w:snapToGrid w:val="0"/>
        </w:rPr>
        <w:t xml:space="preserve"> fine of </w:t>
      </w:r>
      <w:r>
        <w:t>$300</w:t>
      </w:r>
      <w:r>
        <w:rPr>
          <w:snapToGrid w:val="0"/>
        </w:rPr>
        <w:t>.</w:t>
      </w:r>
    </w:p>
    <w:p>
      <w:pPr>
        <w:pStyle w:val="Subsection"/>
      </w:pPr>
      <w:r>
        <w:tab/>
        <w:t>(4)</w:t>
      </w:r>
      <w:r>
        <w:tab/>
        <w:t>A fee payable under this regulation is to be paid in an approved manner.</w:t>
      </w:r>
    </w:p>
    <w:p>
      <w:pPr>
        <w:pStyle w:val="Subsection"/>
      </w:pPr>
      <w:r>
        <w:tab/>
        <w:t>(5)</w:t>
      </w:r>
      <w:r>
        <w:tab/>
        <w:t>A responsible chief executive may determine classes of persons who are eligible to park in specified paid staff parking areas on health service provider land.</w:t>
      </w:r>
    </w:p>
    <w:p>
      <w:pPr>
        <w:pStyle w:val="Footnotesection"/>
      </w:pPr>
      <w:r>
        <w:tab/>
        <w:t>[Regulation 20 amended: Gazette 29 Nov 2016 p. 5320.]</w:t>
      </w:r>
    </w:p>
    <w:p>
      <w:pPr>
        <w:pStyle w:val="Heading5"/>
      </w:pPr>
      <w:bookmarkStart w:id="77" w:name="_Toc201314538"/>
      <w:bookmarkStart w:id="78" w:name="_Toc192775640"/>
      <w:r>
        <w:rPr>
          <w:rStyle w:val="CharSectno"/>
        </w:rPr>
        <w:t>21</w:t>
      </w:r>
      <w:r>
        <w:t>.</w:t>
      </w:r>
      <w:r>
        <w:tab/>
        <w:t>Parking in permit parking area</w:t>
      </w:r>
      <w:bookmarkEnd w:id="77"/>
      <w:bookmarkEnd w:id="78"/>
    </w:p>
    <w:p>
      <w:pPr>
        <w:pStyle w:val="Subsection"/>
        <w:keepNext/>
      </w:pPr>
      <w:r>
        <w:tab/>
        <w:t>(1)</w:t>
      </w:r>
      <w:r>
        <w:tab/>
        <w:t>In this regulation —</w:t>
      </w:r>
    </w:p>
    <w:p>
      <w:pPr>
        <w:pStyle w:val="Defstart"/>
      </w:pPr>
      <w:r>
        <w:tab/>
      </w:r>
      <w:r>
        <w:rPr>
          <w:rStyle w:val="CharDefText"/>
        </w:rPr>
        <w:t>permit parking area</w:t>
      </w:r>
      <w:r>
        <w:t xml:space="preserve"> means an area set aside under regulation 18(1)(c).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rPr>
          <w:snapToGrid w:val="0"/>
        </w:rPr>
      </w:pPr>
      <w:r>
        <w:tab/>
        <w:t>Penalty for this subregulation: a</w:t>
      </w:r>
      <w:r>
        <w:rPr>
          <w:snapToGrid w:val="0"/>
        </w:rPr>
        <w:t xml:space="preserve"> fine of </w:t>
      </w:r>
      <w:r>
        <w:t>$300</w:t>
      </w:r>
      <w:r>
        <w:rPr>
          <w:snapToGrid w:val="0"/>
        </w:rPr>
        <w:t>.</w:t>
      </w:r>
    </w:p>
    <w:p>
      <w:pPr>
        <w:pStyle w:val="Footnotesection"/>
      </w:pPr>
      <w:r>
        <w:tab/>
        <w:t>[Regulation 21 amended: Gazette 29 Nov 2016 p. 5320.]</w:t>
      </w:r>
    </w:p>
    <w:p>
      <w:pPr>
        <w:pStyle w:val="Heading5"/>
        <w:spacing w:before="240"/>
      </w:pPr>
      <w:bookmarkStart w:id="79" w:name="_Toc201314539"/>
      <w:bookmarkStart w:id="80" w:name="_Toc192775641"/>
      <w:r>
        <w:rPr>
          <w:rStyle w:val="CharSectno"/>
        </w:rPr>
        <w:t>22</w:t>
      </w:r>
      <w:r>
        <w:t>.</w:t>
      </w:r>
      <w:r>
        <w:tab/>
        <w:t>Parking permits</w:t>
      </w:r>
      <w:bookmarkEnd w:id="79"/>
      <w:bookmarkEnd w:id="80"/>
    </w:p>
    <w:p>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pPr>
        <w:pStyle w:val="Subsection"/>
        <w:spacing w:before="180"/>
      </w:pPr>
      <w:r>
        <w:tab/>
        <w:t>(2)</w:t>
      </w:r>
      <w:r>
        <w:tab/>
        <w:t>A responsible authorised person may grant parking permits of such classes and subject to any conditions the authorised person thinks fit.</w:t>
      </w:r>
    </w:p>
    <w:p>
      <w:pPr>
        <w:pStyle w:val="Subsection"/>
        <w:spacing w:before="180"/>
      </w:pPr>
      <w:r>
        <w:tab/>
        <w:t>(3)</w:t>
      </w:r>
      <w:r>
        <w:tab/>
        <w:t xml:space="preserve">Without limiting subregulation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health service provider land, and areas within that land,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health service provider land.</w:t>
      </w:r>
    </w:p>
    <w:p>
      <w:pPr>
        <w:pStyle w:val="Subsection"/>
        <w:spacing w:before="180"/>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22 amended: Gazette 29 Nov 2016 p. 5319.]</w:t>
      </w:r>
    </w:p>
    <w:p>
      <w:pPr>
        <w:pStyle w:val="Heading5"/>
      </w:pPr>
      <w:bookmarkStart w:id="81" w:name="_Toc201314540"/>
      <w:bookmarkStart w:id="82" w:name="_Toc192775642"/>
      <w:r>
        <w:rPr>
          <w:rStyle w:val="CharSectno"/>
        </w:rPr>
        <w:t>23</w:t>
      </w:r>
      <w:r>
        <w:t>.</w:t>
      </w:r>
      <w:r>
        <w:tab/>
        <w:t>Application for parking permit</w:t>
      </w:r>
      <w:bookmarkEnd w:id="81"/>
      <w:bookmarkEnd w:id="82"/>
    </w:p>
    <w:p>
      <w:pPr>
        <w:pStyle w:val="Subsection"/>
      </w:pPr>
      <w:r>
        <w:tab/>
        <w:t>(1)</w:t>
      </w:r>
      <w:r>
        <w:tab/>
        <w:t>A person may apply to a responsible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regulation the authorised person may decline to deal with the application and is to advise the applicant accordingly.</w:t>
      </w:r>
    </w:p>
    <w:p>
      <w:pPr>
        <w:pStyle w:val="Subsection"/>
      </w:pPr>
      <w:r>
        <w:tab/>
        <w:t>(5)</w:t>
      </w:r>
      <w:r>
        <w:tab/>
        <w:t xml:space="preserve">Unless subregulation (4) applies, within 14 days of receiving an application for a parking permit, the authorised person is to — </w:t>
      </w:r>
    </w:p>
    <w:p>
      <w:pPr>
        <w:pStyle w:val="Indenta"/>
      </w:pPr>
      <w:r>
        <w:tab/>
        <w:t>(a)</w:t>
      </w:r>
      <w:r>
        <w:tab/>
        <w:t>grant a parking permit to the applicant; or</w:t>
      </w:r>
    </w:p>
    <w:p>
      <w:pPr>
        <w:pStyle w:val="Indenta"/>
      </w:pPr>
      <w:r>
        <w:tab/>
        <w:t>(b)</w:t>
      </w:r>
      <w:r>
        <w:tab/>
        <w:t>by written notice given to the applicant, refuse to grant a parking permit to the applicant.</w:t>
      </w:r>
    </w:p>
    <w:p>
      <w:pPr>
        <w:pStyle w:val="Subsection"/>
      </w:pPr>
      <w:r>
        <w:tab/>
        <w:t>(6)</w:t>
      </w:r>
      <w:r>
        <w:tab/>
        <w:t xml:space="preserve">A responsible authorised person is to give written notice to an applicant who is granted a parking permit if — </w:t>
      </w:r>
    </w:p>
    <w:p>
      <w:pPr>
        <w:pStyle w:val="Indenta"/>
      </w:pPr>
      <w:r>
        <w:tab/>
        <w:t>(a)</w:t>
      </w:r>
      <w:r>
        <w:tab/>
        <w:t>the parking permit granted is not of the class requested by the applicant; or</w:t>
      </w:r>
    </w:p>
    <w:p>
      <w:pPr>
        <w:pStyle w:val="Indenta"/>
      </w:pPr>
      <w:r>
        <w:tab/>
        <w:t>(b)</w:t>
      </w:r>
      <w:r>
        <w:tab/>
        <w:t>the parking permit is granted subject to a condition.</w:t>
      </w:r>
    </w:p>
    <w:p>
      <w:pPr>
        <w:pStyle w:val="Subsection"/>
      </w:pPr>
      <w:r>
        <w:tab/>
        <w:t>(7)</w:t>
      </w:r>
      <w:r>
        <w:tab/>
        <w:t>Written notice under subregulation (5)(b) or (6) must state the reasons for the decision and provide information about the right to a review of the decision under regulation 24.</w:t>
      </w:r>
    </w:p>
    <w:p>
      <w:pPr>
        <w:pStyle w:val="Subsection"/>
      </w:pPr>
      <w:r>
        <w:tab/>
        <w:t>(8)</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Footnotesection"/>
      </w:pPr>
      <w:r>
        <w:tab/>
        <w:t>[Regulation 23 amended: Gazette 29 Nov 2016 p. 5319.]</w:t>
      </w:r>
    </w:p>
    <w:p>
      <w:pPr>
        <w:pStyle w:val="Heading5"/>
      </w:pPr>
      <w:bookmarkStart w:id="83" w:name="_Toc201314541"/>
      <w:bookmarkStart w:id="84" w:name="_Toc192775643"/>
      <w:r>
        <w:rPr>
          <w:rStyle w:val="CharSectno"/>
        </w:rPr>
        <w:t>24</w:t>
      </w:r>
      <w:r>
        <w:t>.</w:t>
      </w:r>
      <w:r>
        <w:tab/>
        <w:t>Review of decisions about parking permits</w:t>
      </w:r>
      <w:bookmarkEnd w:id="83"/>
      <w:bookmarkEnd w:id="84"/>
    </w:p>
    <w:p>
      <w:pPr>
        <w:pStyle w:val="Subsection"/>
      </w:pPr>
      <w:r>
        <w:tab/>
        <w:t>(1)</w:t>
      </w:r>
      <w:r>
        <w:tab/>
        <w:t xml:space="preserve">In this regulation — </w:t>
      </w:r>
    </w:p>
    <w:p>
      <w:pPr>
        <w:pStyle w:val="Defstart"/>
      </w:pPr>
      <w:r>
        <w:tab/>
      </w:r>
      <w:r>
        <w:rPr>
          <w:rStyle w:val="CharDefText"/>
        </w:rPr>
        <w:t>decision</w:t>
      </w:r>
      <w:r>
        <w:t xml:space="preserve"> means a decision by an authorised person under regulation 23 to — </w:t>
      </w:r>
    </w:p>
    <w:p>
      <w:pPr>
        <w:pStyle w:val="Defpara"/>
      </w:pPr>
      <w:r>
        <w:tab/>
        <w:t>(a)</w:t>
      </w:r>
      <w:r>
        <w:tab/>
        <w:t>refuse to grant a parking permit; or</w:t>
      </w:r>
    </w:p>
    <w:p>
      <w:pPr>
        <w:pStyle w:val="Defpara"/>
      </w:pPr>
      <w:r>
        <w:tab/>
        <w:t>(b)</w:t>
      </w:r>
      <w:r>
        <w:tab/>
        <w:t>grant a parking permit of a class other than the class requested by the applicant; or</w:t>
      </w:r>
    </w:p>
    <w:p>
      <w:pPr>
        <w:pStyle w:val="Defpara"/>
      </w:pPr>
      <w:r>
        <w:tab/>
        <w:t>(c)</w:t>
      </w:r>
      <w:r>
        <w:tab/>
        <w:t>grant a parking permit subject to a condition;</w:t>
      </w:r>
    </w:p>
    <w:p>
      <w:pPr>
        <w:pStyle w:val="Defstart"/>
      </w:pPr>
      <w:r>
        <w:tab/>
      </w:r>
      <w:r>
        <w:rPr>
          <w:rStyle w:val="CharDefText"/>
        </w:rPr>
        <w:t>relevant committee</w:t>
      </w:r>
      <w:r>
        <w:t>, in relation to a the review of a decision about a parking permit for a parking permit area, means a committee established under regulation 25 for the area.</w:t>
      </w:r>
    </w:p>
    <w:p>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pPr>
        <w:pStyle w:val="Subsection"/>
      </w:pPr>
      <w:r>
        <w:tab/>
        <w:t>(3)</w:t>
      </w:r>
      <w:r>
        <w:tab/>
        <w:t>An application for a review of a decision must be made by the applicant within 14 days after the applicant receives notice of the decision under regulation 23(5)(b) or (6).</w:t>
      </w:r>
    </w:p>
    <w:p>
      <w:pPr>
        <w:pStyle w:val="Subsection"/>
      </w:pPr>
      <w:r>
        <w:tab/>
        <w:t>(4)</w:t>
      </w:r>
      <w:r>
        <w:tab/>
        <w:t>An applicant for a review of a decision must provide the relevant committee with any additional information or document that the committee asks for to enable it to review the decision.</w:t>
      </w:r>
    </w:p>
    <w:p>
      <w:pPr>
        <w:pStyle w:val="Subsection"/>
      </w:pPr>
      <w:r>
        <w:tab/>
        <w:t>(5)</w:t>
      </w:r>
      <w:r>
        <w:tab/>
        <w:t>An applicant for a review of a decision or other person must not give information in relation to a review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rPr>
          <w:snapToGrid w:val="0"/>
        </w:rPr>
      </w:pPr>
      <w:r>
        <w:tab/>
        <w:t>Penalty for this subregulation: a</w:t>
      </w:r>
      <w:r>
        <w:rPr>
          <w:snapToGrid w:val="0"/>
        </w:rPr>
        <w:t xml:space="preserve"> fine of </w:t>
      </w:r>
      <w:r>
        <w:t>$500</w:t>
      </w:r>
      <w:r>
        <w:rPr>
          <w:snapToGrid w:val="0"/>
        </w:rPr>
        <w:t>.</w:t>
      </w:r>
    </w:p>
    <w:p>
      <w:pPr>
        <w:pStyle w:val="Subsection"/>
      </w:pPr>
      <w:r>
        <w:tab/>
        <w:t>(6)</w:t>
      </w:r>
      <w:r>
        <w:tab/>
        <w:t>After reviewing a decision the relevant committee, by written notice given to the applicant, is to affirm, reverse or vary the decision.</w:t>
      </w:r>
    </w:p>
    <w:p>
      <w:pPr>
        <w:pStyle w:val="Subsection"/>
      </w:pPr>
      <w:r>
        <w:tab/>
        <w:t>(7)</w:t>
      </w:r>
      <w:r>
        <w:tab/>
        <w:t>The committee is to give the notice referred to in subregulation (6) within 30 days of receiving the application for a review of the decision under subregulation (2).</w:t>
      </w:r>
    </w:p>
    <w:p>
      <w:pPr>
        <w:pStyle w:val="Footnotesection"/>
      </w:pPr>
      <w:r>
        <w:tab/>
        <w:t>[Regulation 24 amended: Gazette 29 Nov 2016 p. 5319.]</w:t>
      </w:r>
    </w:p>
    <w:p>
      <w:pPr>
        <w:pStyle w:val="Heading5"/>
      </w:pPr>
      <w:bookmarkStart w:id="85" w:name="_Toc201314542"/>
      <w:bookmarkStart w:id="86" w:name="_Toc192775644"/>
      <w:r>
        <w:rPr>
          <w:rStyle w:val="CharSectno"/>
        </w:rPr>
        <w:t>25</w:t>
      </w:r>
      <w:r>
        <w:t>.</w:t>
      </w:r>
      <w:r>
        <w:tab/>
        <w:t>Appointment of committees</w:t>
      </w:r>
      <w:bookmarkEnd w:id="85"/>
      <w:bookmarkEnd w:id="86"/>
    </w:p>
    <w:p>
      <w:pPr>
        <w:pStyle w:val="Subsection"/>
      </w:pPr>
      <w:r>
        <w:tab/>
        <w:t>(1)</w:t>
      </w:r>
      <w:r>
        <w:tab/>
        <w:t>The chief executive of a health service provider that has one or more permit parking areas must establish a committee to review decisions in relation to the permit parking area.</w:t>
      </w:r>
    </w:p>
    <w:p>
      <w:pPr>
        <w:pStyle w:val="Subsection"/>
      </w:pPr>
      <w:r>
        <w:tab/>
        <w:t>(2)</w:t>
      </w:r>
      <w:r>
        <w:tab/>
        <w:t>A committee is to consist of 3 members appointed by the chief executive, one of whom is to be a health professional.</w:t>
      </w:r>
    </w:p>
    <w:p>
      <w:pPr>
        <w:pStyle w:val="Subsection"/>
      </w:pPr>
      <w:r>
        <w:tab/>
        <w:t>(3)</w:t>
      </w:r>
      <w:r>
        <w:tab/>
        <w:t>Different committees may be established under subregulation (1) for different permit parking areas.</w:t>
      </w:r>
    </w:p>
    <w:p>
      <w:pPr>
        <w:pStyle w:val="Heading5"/>
      </w:pPr>
      <w:bookmarkStart w:id="87" w:name="_Toc201314543"/>
      <w:bookmarkStart w:id="88" w:name="_Toc192775645"/>
      <w:r>
        <w:rPr>
          <w:rStyle w:val="CharSectno"/>
        </w:rPr>
        <w:t>26</w:t>
      </w:r>
      <w:r>
        <w:t>.</w:t>
      </w:r>
      <w:r>
        <w:tab/>
        <w:t>Fees for parking permits</w:t>
      </w:r>
      <w:bookmarkEnd w:id="87"/>
      <w:bookmarkEnd w:id="88"/>
    </w:p>
    <w:p>
      <w:pPr>
        <w:pStyle w:val="Subsection"/>
      </w:pPr>
      <w:r>
        <w:tab/>
        <w:t>(1)</w:t>
      </w:r>
      <w:r>
        <w:tab/>
        <w:t>The fee that is payable for a parking permit is the prescribed fee (if any).</w:t>
      </w:r>
    </w:p>
    <w:p>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pPr>
        <w:pStyle w:val="Subsection"/>
      </w:pPr>
      <w:r>
        <w:tab/>
        <w:t>(3)</w:t>
      </w:r>
      <w:r>
        <w:tab/>
        <w:t xml:space="preserve">A responsible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Heading5"/>
      </w:pPr>
      <w:bookmarkStart w:id="89" w:name="_Toc201314544"/>
      <w:bookmarkStart w:id="90" w:name="_Toc192775646"/>
      <w:r>
        <w:rPr>
          <w:rStyle w:val="CharSectno"/>
        </w:rPr>
        <w:t>27</w:t>
      </w:r>
      <w:r>
        <w:t>.</w:t>
      </w:r>
      <w:r>
        <w:tab/>
        <w:t>Cancellation of parking permit</w:t>
      </w:r>
      <w:bookmarkEnd w:id="89"/>
      <w:bookmarkEnd w:id="90"/>
    </w:p>
    <w:p>
      <w:pPr>
        <w:pStyle w:val="Subsection"/>
      </w:pPr>
      <w:r>
        <w:tab/>
        <w:t>(1)</w:t>
      </w:r>
      <w:r>
        <w:tab/>
        <w:t>There are grounds for cancelling a parking permit if —</w:t>
      </w:r>
    </w:p>
    <w:p>
      <w:pPr>
        <w:pStyle w:val="Indenta"/>
      </w:pPr>
      <w:r>
        <w:tab/>
        <w:t>(a)</w:t>
      </w:r>
      <w:r>
        <w:tab/>
        <w:t>in the case of a permit holder who pays the fee for the permit as described in regulation 26(3)(b)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regulations in this Part; or</w:t>
      </w:r>
    </w:p>
    <w:p>
      <w:pPr>
        <w:pStyle w:val="Indenta"/>
      </w:pPr>
      <w:r>
        <w:tab/>
        <w:t>(d)</w:t>
      </w:r>
      <w:r>
        <w:tab/>
        <w:t>the permit was granted in error in consequence of information provided in breach of regulation 23(8); or</w:t>
      </w:r>
    </w:p>
    <w:p>
      <w:pPr>
        <w:pStyle w:val="Indenta"/>
      </w:pPr>
      <w:r>
        <w:tab/>
        <w:t>(e)</w:t>
      </w:r>
      <w:r>
        <w:tab/>
        <w:t>the permit holder ceases to satisfy any of the eligibility criteria for the relevant class of permit; or</w:t>
      </w:r>
    </w:p>
    <w:p>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pPr>
        <w:pStyle w:val="Indenta"/>
      </w:pPr>
      <w:r>
        <w:tab/>
        <w:t>(g)</w:t>
      </w:r>
      <w:r>
        <w:tab/>
        <w:t>the permit holder requests that the permit be cancelled.</w:t>
      </w:r>
    </w:p>
    <w:p>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pPr>
        <w:pStyle w:val="Subsection"/>
      </w:pPr>
      <w:r>
        <w:tab/>
        <w:t>(4)</w:t>
      </w:r>
      <w:r>
        <w:tab/>
        <w:t>If the permit holder requests a responsible authorised person to do so, the authorised person may cancel the permit by giving the permit holder written notice.</w:t>
      </w:r>
    </w:p>
    <w:p>
      <w:pPr>
        <w:pStyle w:val="Subsection"/>
      </w:pPr>
      <w:r>
        <w:tab/>
        <w:t>(5)</w:t>
      </w:r>
      <w:r>
        <w:tab/>
        <w:t>The notice given under this regulation must set out the grounds on which the permit is cancelled.</w:t>
      </w:r>
    </w:p>
    <w:p>
      <w:pPr>
        <w:pStyle w:val="Heading5"/>
      </w:pPr>
      <w:bookmarkStart w:id="91" w:name="_Toc201314545"/>
      <w:bookmarkStart w:id="92" w:name="_Toc192775647"/>
      <w:r>
        <w:rPr>
          <w:rStyle w:val="CharSectno"/>
        </w:rPr>
        <w:t>28</w:t>
      </w:r>
      <w:r>
        <w:t>.</w:t>
      </w:r>
      <w:r>
        <w:tab/>
        <w:t>Refund of parking permit fees</w:t>
      </w:r>
      <w:bookmarkEnd w:id="91"/>
      <w:bookmarkEnd w:id="92"/>
    </w:p>
    <w:p>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pPr>
        <w:pStyle w:val="Subsection"/>
      </w:pPr>
      <w:r>
        <w:tab/>
        <w:t>(2)</w:t>
      </w:r>
      <w:r>
        <w:tab/>
        <w:t>If a parking permit is cancelled on the ground referred to in regulation 27(1)(e) the responsible chief executive may cause any permit fee paid for any week commencing on or after the day on which the permit is cancelled to be refunded to the permit holder.</w:t>
      </w:r>
    </w:p>
    <w:p>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pPr>
        <w:pStyle w:val="Heading2"/>
      </w:pPr>
      <w:bookmarkStart w:id="93" w:name="_Toc201303899"/>
      <w:bookmarkStart w:id="94" w:name="_Toc201304791"/>
      <w:bookmarkStart w:id="95" w:name="_Toc201304879"/>
      <w:bookmarkStart w:id="96" w:name="_Toc201314546"/>
      <w:bookmarkStart w:id="97" w:name="_Toc192774160"/>
      <w:bookmarkStart w:id="98" w:name="_Toc192775045"/>
      <w:bookmarkStart w:id="99" w:name="_Toc192775648"/>
      <w:r>
        <w:rPr>
          <w:rStyle w:val="CharPartNo"/>
        </w:rPr>
        <w:t>Part 4</w:t>
      </w:r>
      <w:r>
        <w:rPr>
          <w:rStyle w:val="CharDivNo"/>
        </w:rPr>
        <w:t> </w:t>
      </w:r>
      <w:r>
        <w:t>—</w:t>
      </w:r>
      <w:r>
        <w:rPr>
          <w:rStyle w:val="CharDivText"/>
        </w:rPr>
        <w:t> </w:t>
      </w:r>
      <w:r>
        <w:rPr>
          <w:rStyle w:val="CharPartText"/>
        </w:rPr>
        <w:t>Infringement notices</w:t>
      </w:r>
      <w:bookmarkEnd w:id="93"/>
      <w:bookmarkEnd w:id="94"/>
      <w:bookmarkEnd w:id="95"/>
      <w:bookmarkEnd w:id="96"/>
      <w:bookmarkEnd w:id="97"/>
      <w:bookmarkEnd w:id="98"/>
      <w:bookmarkEnd w:id="99"/>
    </w:p>
    <w:p>
      <w:pPr>
        <w:pStyle w:val="Heading5"/>
      </w:pPr>
      <w:bookmarkStart w:id="100" w:name="_Toc201314547"/>
      <w:bookmarkStart w:id="101" w:name="_Toc192775649"/>
      <w:r>
        <w:rPr>
          <w:rStyle w:val="CharSectno"/>
        </w:rPr>
        <w:t>29</w:t>
      </w:r>
      <w:r>
        <w:t>.</w:t>
      </w:r>
      <w:r>
        <w:tab/>
        <w:t>Prescribed offences and modified penalties</w:t>
      </w:r>
      <w:bookmarkEnd w:id="100"/>
      <w:bookmarkEnd w:id="101"/>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pPr>
        <w:pStyle w:val="Heading5"/>
      </w:pPr>
      <w:bookmarkStart w:id="102" w:name="_Toc201314548"/>
      <w:bookmarkStart w:id="103" w:name="_Toc192775650"/>
      <w:r>
        <w:rPr>
          <w:rStyle w:val="CharSectno"/>
        </w:rPr>
        <w:t>30</w:t>
      </w:r>
      <w:r>
        <w:t>.</w:t>
      </w:r>
      <w:r>
        <w:tab/>
        <w:t>Authorised officers and approved officers</w:t>
      </w:r>
      <w:bookmarkEnd w:id="102"/>
      <w:bookmarkEnd w:id="103"/>
    </w:p>
    <w:p>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pPr>
        <w:pStyle w:val="Subsection"/>
      </w:pPr>
      <w:r>
        <w:tab/>
        <w:t>(2)</w:t>
      </w:r>
      <w:r>
        <w:tab/>
        <w:t>A responsible chief executive must issue to each authorised officer appointed by the chief executive a certificate identifying the officer as a person authorised to issue infringement notices.</w:t>
      </w:r>
    </w:p>
    <w:p>
      <w:pPr>
        <w:pStyle w:val="Heading5"/>
      </w:pPr>
      <w:bookmarkStart w:id="104" w:name="_Toc201314549"/>
      <w:bookmarkStart w:id="105" w:name="_Toc192775651"/>
      <w:r>
        <w:rPr>
          <w:rStyle w:val="CharSectno"/>
        </w:rPr>
        <w:t>31</w:t>
      </w:r>
      <w:r>
        <w:t>.</w:t>
      </w:r>
      <w:r>
        <w:tab/>
        <w:t>Forms</w:t>
      </w:r>
      <w:bookmarkEnd w:id="104"/>
      <w:bookmarkEnd w:id="105"/>
    </w:p>
    <w:p>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pPr>
        <w:pStyle w:val="Heading2"/>
      </w:pPr>
      <w:bookmarkStart w:id="106" w:name="_Toc201303903"/>
      <w:bookmarkStart w:id="107" w:name="_Toc201304795"/>
      <w:bookmarkStart w:id="108" w:name="_Toc201304883"/>
      <w:bookmarkStart w:id="109" w:name="_Toc201314550"/>
      <w:bookmarkStart w:id="110" w:name="_Toc192774164"/>
      <w:bookmarkStart w:id="111" w:name="_Toc192775049"/>
      <w:bookmarkStart w:id="112" w:name="_Toc192775652"/>
      <w:r>
        <w:rPr>
          <w:rStyle w:val="CharPartNo"/>
        </w:rPr>
        <w:t>Part 5</w:t>
      </w:r>
      <w:r>
        <w:rPr>
          <w:rStyle w:val="CharDivNo"/>
        </w:rPr>
        <w:t> </w:t>
      </w:r>
      <w:r>
        <w:t>—</w:t>
      </w:r>
      <w:r>
        <w:rPr>
          <w:rStyle w:val="CharDivText"/>
        </w:rPr>
        <w:t> </w:t>
      </w:r>
      <w:r>
        <w:rPr>
          <w:rStyle w:val="CharPartText"/>
        </w:rPr>
        <w:t>General</w:t>
      </w:r>
      <w:bookmarkEnd w:id="106"/>
      <w:bookmarkEnd w:id="107"/>
      <w:bookmarkEnd w:id="108"/>
      <w:bookmarkEnd w:id="109"/>
      <w:bookmarkEnd w:id="110"/>
      <w:bookmarkEnd w:id="111"/>
      <w:bookmarkEnd w:id="112"/>
    </w:p>
    <w:p>
      <w:pPr>
        <w:pStyle w:val="Heading5"/>
      </w:pPr>
      <w:bookmarkStart w:id="113" w:name="_Toc201314551"/>
      <w:bookmarkStart w:id="114" w:name="_Toc192775653"/>
      <w:r>
        <w:rPr>
          <w:rStyle w:val="CharSectno"/>
        </w:rPr>
        <w:t>32</w:t>
      </w:r>
      <w:r>
        <w:t>.</w:t>
      </w:r>
      <w:r>
        <w:tab/>
        <w:t>Removal of vehicles</w:t>
      </w:r>
      <w:bookmarkEnd w:id="113"/>
      <w:bookmarkEnd w:id="114"/>
    </w:p>
    <w:p>
      <w:pPr>
        <w:pStyle w:val="Subsection"/>
      </w:pPr>
      <w:r>
        <w:tab/>
        <w:t>(1)</w:t>
      </w:r>
      <w:r>
        <w:tab/>
      </w:r>
      <w:r>
        <w:rPr>
          <w:snapToGrid w:val="0"/>
        </w:rPr>
        <w:t>A responsible chief executive or a responsible authorised person may order that a vehicle be removed to a storage place on or off health service provider land if it — </w:t>
      </w:r>
    </w:p>
    <w:p>
      <w:pPr>
        <w:pStyle w:val="Indenta"/>
        <w:rPr>
          <w:snapToGrid w:val="0"/>
        </w:rPr>
      </w:pPr>
      <w:r>
        <w:tab/>
        <w:t>(a)</w:t>
      </w:r>
      <w:r>
        <w:tab/>
      </w:r>
      <w:r>
        <w:rPr>
          <w:snapToGrid w:val="0"/>
        </w:rPr>
        <w:t>is parked in contravention of these regulations; or</w:t>
      </w:r>
    </w:p>
    <w:p>
      <w:pPr>
        <w:pStyle w:val="Indenta"/>
        <w:rPr>
          <w:snapToGrid w:val="0"/>
        </w:rPr>
      </w:pPr>
      <w:r>
        <w:tab/>
        <w:t>(b)</w:t>
      </w:r>
      <w:r>
        <w:tab/>
      </w:r>
      <w:r>
        <w:rPr>
          <w:snapToGrid w:val="0"/>
        </w:rPr>
        <w:t>has been left on the land for more than 3 days.</w:t>
      </w:r>
    </w:p>
    <w:p>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pPr>
        <w:pStyle w:val="Indenta"/>
        <w:rPr>
          <w:snapToGrid w:val="0"/>
        </w:rPr>
      </w:pPr>
      <w:r>
        <w:tab/>
        <w:t>(a)</w:t>
      </w:r>
      <w:r>
        <w:tab/>
      </w:r>
      <w:r>
        <w:rPr>
          <w:snapToGrid w:val="0"/>
        </w:rPr>
        <w:t>is parked in contravention of these regulation; and</w:t>
      </w:r>
    </w:p>
    <w:p>
      <w:pPr>
        <w:pStyle w:val="Indenta"/>
        <w:rPr>
          <w:snapToGrid w:val="0"/>
        </w:rPr>
      </w:pPr>
      <w:r>
        <w:tab/>
        <w:t>(b)</w:t>
      </w:r>
      <w:r>
        <w:tab/>
      </w:r>
      <w:r>
        <w:rPr>
          <w:snapToGrid w:val="0"/>
        </w:rPr>
        <w:t>is obstructing other vehicles or activities of a health service provider.</w:t>
      </w:r>
    </w:p>
    <w:p>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pPr>
        <w:pStyle w:val="Subsection"/>
      </w:pPr>
      <w:r>
        <w:tab/>
        <w:t>(4)</w:t>
      </w:r>
      <w:r>
        <w:tab/>
        <w:t>A responsible chief executive may retain possession of a vehicle removed and stored under this regulation until the responsible person for the vehicle has paid the prescribed fee.</w:t>
      </w:r>
    </w:p>
    <w:p>
      <w:pPr>
        <w:pStyle w:val="Heading5"/>
      </w:pPr>
      <w:bookmarkStart w:id="115" w:name="_Toc201314552"/>
      <w:bookmarkStart w:id="116" w:name="_Toc192775654"/>
      <w:r>
        <w:rPr>
          <w:rStyle w:val="CharSectno"/>
        </w:rPr>
        <w:t>33</w:t>
      </w:r>
      <w:r>
        <w:t>.</w:t>
      </w:r>
      <w:r>
        <w:tab/>
        <w:t>Other offences</w:t>
      </w:r>
      <w:bookmarkEnd w:id="115"/>
      <w:bookmarkEnd w:id="116"/>
    </w:p>
    <w:p>
      <w:pPr>
        <w:pStyle w:val="Subsection"/>
        <w:rPr>
          <w:snapToGrid w:val="0"/>
        </w:rPr>
      </w:pPr>
      <w:r>
        <w:tab/>
      </w:r>
      <w:r>
        <w:tab/>
      </w:r>
      <w:r>
        <w:rPr>
          <w:snapToGrid w:val="0"/>
        </w:rPr>
        <w:t>A person must not — </w:t>
      </w:r>
    </w:p>
    <w:p>
      <w:pPr>
        <w:pStyle w:val="Indenta"/>
        <w:rPr>
          <w:snapToGrid w:val="0"/>
        </w:rPr>
      </w:pPr>
      <w:r>
        <w:tab/>
        <w:t>(a)</w:t>
      </w:r>
      <w:r>
        <w:tab/>
      </w:r>
      <w:r>
        <w:rPr>
          <w:snapToGrid w:val="0"/>
        </w:rPr>
        <w:t>intentionally obstruct a staff member of a health service provider in the discharge of the staff member’s duty under these regulations; or</w:t>
      </w:r>
    </w:p>
    <w:p>
      <w:pPr>
        <w:pStyle w:val="Indenta"/>
      </w:pPr>
      <w:r>
        <w:tab/>
        <w:t>(b)</w:t>
      </w:r>
      <w:r>
        <w:tab/>
      </w:r>
      <w:r>
        <w:rPr>
          <w:snapToGrid w:val="0"/>
        </w:rPr>
        <w:t>remove, damage, deface or misuse a sign.</w:t>
      </w:r>
    </w:p>
    <w:p>
      <w:pPr>
        <w:pStyle w:val="Penstart"/>
        <w:rPr>
          <w:snapToGrid w:val="0"/>
        </w:rPr>
      </w:pPr>
      <w:r>
        <w:rPr>
          <w:snapToGrid w:val="0"/>
        </w:rPr>
        <w:tab/>
        <w:t>Penalty: a fine of $1 000.</w:t>
      </w:r>
    </w:p>
    <w:p>
      <w:pPr>
        <w:pStyle w:val="ByCommand"/>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17" w:name="_Toc201303906"/>
      <w:bookmarkStart w:id="118" w:name="_Toc201304798"/>
      <w:bookmarkStart w:id="119" w:name="_Toc201304886"/>
      <w:bookmarkStart w:id="120" w:name="_Toc201314553"/>
      <w:bookmarkStart w:id="121" w:name="_Toc192774167"/>
      <w:bookmarkStart w:id="122" w:name="_Toc192775052"/>
      <w:bookmarkStart w:id="123" w:name="_Toc192775655"/>
      <w:r>
        <w:rPr>
          <w:rStyle w:val="CharSchNo"/>
        </w:rPr>
        <w:t>Schedule 1</w:t>
      </w:r>
      <w:r>
        <w:rPr>
          <w:rStyle w:val="CharSDivNo"/>
        </w:rPr>
        <w:t> </w:t>
      </w:r>
      <w:r>
        <w:t>—</w:t>
      </w:r>
      <w:r>
        <w:rPr>
          <w:rStyle w:val="CharSDivText"/>
        </w:rPr>
        <w:t> </w:t>
      </w:r>
      <w:r>
        <w:rPr>
          <w:rStyle w:val="CharSchText"/>
        </w:rPr>
        <w:t>Fees</w:t>
      </w:r>
      <w:bookmarkEnd w:id="117"/>
      <w:bookmarkEnd w:id="118"/>
      <w:bookmarkEnd w:id="119"/>
      <w:bookmarkEnd w:id="120"/>
      <w:bookmarkEnd w:id="121"/>
      <w:bookmarkEnd w:id="122"/>
      <w:bookmarkEnd w:id="123"/>
    </w:p>
    <w:p>
      <w:pPr>
        <w:pStyle w:val="yShoulderClause"/>
      </w:pPr>
      <w:r>
        <w:t>[r. 19, 20, 26 and 32]</w:t>
      </w:r>
    </w:p>
    <w:p>
      <w:pPr>
        <w:pStyle w:val="yHeading5"/>
      </w:pPr>
      <w:bookmarkStart w:id="124" w:name="_Toc201314554"/>
      <w:bookmarkStart w:id="125" w:name="_Toc192775656"/>
      <w:r>
        <w:rPr>
          <w:rStyle w:val="CharSClsNo"/>
        </w:rPr>
        <w:t>1</w:t>
      </w:r>
      <w:r>
        <w:t>.</w:t>
      </w:r>
      <w:r>
        <w:tab/>
        <w:t>Terms used</w:t>
      </w:r>
      <w:bookmarkEnd w:id="124"/>
      <w:bookmarkEnd w:id="125"/>
    </w:p>
    <w:p>
      <w:pPr>
        <w:pStyle w:val="ySubsection"/>
      </w:pPr>
      <w:r>
        <w:tab/>
        <w:t>(1)</w:t>
      </w:r>
      <w:r>
        <w:tab/>
        <w:t xml:space="preserve">In this Schedule — </w:t>
      </w:r>
    </w:p>
    <w:p>
      <w:pPr>
        <w:pStyle w:val="yDefstart"/>
      </w:pPr>
      <w:r>
        <w:tab/>
      </w:r>
      <w:r>
        <w:rPr>
          <w:rStyle w:val="CharDefText"/>
        </w:rPr>
        <w:t>paid staff parking fee</w:t>
      </w:r>
      <w:r>
        <w:t xml:space="preserve"> means the fee for parking in a paid staff parking area referred to in regulation 20(3);</w:t>
      </w:r>
    </w:p>
    <w:p>
      <w:pPr>
        <w:pStyle w:val="yDefstart"/>
      </w:pPr>
      <w:r>
        <w:tab/>
      </w:r>
      <w:r>
        <w:rPr>
          <w:rStyle w:val="CharDefText"/>
        </w:rPr>
        <w:t>parking permit fee</w:t>
      </w:r>
      <w:r>
        <w:t xml:space="preserve"> means the fee referred to in regulation 26(1);</w:t>
      </w:r>
    </w:p>
    <w:p>
      <w:pPr>
        <w:pStyle w:val="yDefstart"/>
      </w:pPr>
      <w:r>
        <w:tab/>
      </w:r>
      <w:r>
        <w:rPr>
          <w:rStyle w:val="CharDefText"/>
        </w:rPr>
        <w:t>removal and storage of vehicle fee</w:t>
      </w:r>
      <w:r>
        <w:t xml:space="preserve"> means the fee referred to in regulation 32(4);</w:t>
      </w:r>
    </w:p>
    <w:p>
      <w:pPr>
        <w:pStyle w:val="yDefstart"/>
      </w:pPr>
      <w:r>
        <w:tab/>
      </w:r>
      <w:r>
        <w:rPr>
          <w:rStyle w:val="CharDefText"/>
        </w:rPr>
        <w:t>ticket parking fee</w:t>
      </w:r>
      <w:r>
        <w:t xml:space="preserve"> means — </w:t>
      </w:r>
    </w:p>
    <w:p>
      <w:pPr>
        <w:pStyle w:val="yDefpara"/>
      </w:pPr>
      <w:r>
        <w:tab/>
        <w:t>(a)</w:t>
      </w:r>
      <w:r>
        <w:tab/>
        <w:t>the fee for the purchase of a ticket referred to in regulation 19(2)(a); and</w:t>
      </w:r>
    </w:p>
    <w:p>
      <w:pPr>
        <w:pStyle w:val="yDefpara"/>
      </w:pPr>
      <w:r>
        <w:tab/>
        <w:t>(b)</w:t>
      </w:r>
      <w:r>
        <w:tab/>
        <w:t>the fee for a boom gate controlled ticket parking area referred to in regulation 19(5).</w:t>
      </w:r>
    </w:p>
    <w:p>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pPr>
        <w:pStyle w:val="yHeading5"/>
      </w:pPr>
      <w:bookmarkStart w:id="126" w:name="_Toc201314555"/>
      <w:bookmarkStart w:id="127" w:name="_Toc192775657"/>
      <w:r>
        <w:rPr>
          <w:rStyle w:val="CharSClsNo"/>
        </w:rPr>
        <w:t>2</w:t>
      </w:r>
      <w:r>
        <w:t>.</w:t>
      </w:r>
      <w:r>
        <w:tab/>
        <w:t>Fees for Armadale Kelmscott District Memorial Hospital</w:t>
      </w:r>
      <w:bookmarkEnd w:id="126"/>
      <w:bookmarkEnd w:id="127"/>
    </w:p>
    <w:p>
      <w:pPr>
        <w:pStyle w:val="ySubsection"/>
      </w:pPr>
      <w:r>
        <w:tab/>
      </w:r>
      <w:r>
        <w:tab/>
        <w:t>The fees for the health service provider site that is Armadale Kelmscott District Memorial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Borders>
              <w:bottom w:val="single" w:sz="4" w:space="0" w:color="auto"/>
            </w:tcBorders>
          </w:tcPr>
          <w:p>
            <w:pPr>
              <w:pStyle w:val="yTableNAm"/>
            </w:pPr>
            <w:r>
              <w:t>Parking permit fee</w:t>
            </w:r>
          </w:p>
        </w:tc>
        <w:tc>
          <w:tcPr>
            <w:tcW w:w="2551" w:type="dxa"/>
            <w:tcBorders>
              <w:bottom w:val="single" w:sz="4" w:space="0" w:color="auto"/>
            </w:tcBorders>
          </w:tcPr>
          <w:p>
            <w:pPr>
              <w:pStyle w:val="yTableNAm"/>
            </w:pPr>
            <w:r>
              <w:t>$2.00 per week for the period for which the permit is sought</w:t>
            </w:r>
          </w:p>
        </w:tc>
      </w:tr>
      <w:tr>
        <w:tc>
          <w:tcPr>
            <w:tcW w:w="4253" w:type="dxa"/>
            <w:tcBorders>
              <w:bottom w:val="single" w:sz="4" w:space="0" w:color="auto"/>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p>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pPr>
              <w:pStyle w:val="yTableNAm"/>
              <w:keepNext/>
            </w:pPr>
          </w:p>
          <w:p>
            <w:pPr>
              <w:pStyle w:val="yTableNAm"/>
              <w:keepNext/>
            </w:pPr>
            <w:r>
              <w:t>$50.00</w:t>
            </w:r>
          </w:p>
          <w:p>
            <w:pPr>
              <w:pStyle w:val="yTableNAm"/>
              <w:keepNext/>
            </w:pPr>
          </w:p>
          <w:p>
            <w:pPr>
              <w:pStyle w:val="yTableNAm"/>
              <w:keepNext/>
              <w:tabs>
                <w:tab w:val="clear" w:pos="567"/>
                <w:tab w:val="left" w:pos="0"/>
              </w:tabs>
            </w:pPr>
            <w:r>
              <w:br/>
            </w:r>
            <w:r>
              <w:br/>
            </w:r>
            <w:r>
              <w:br/>
              <w:t>$5.00</w:t>
            </w:r>
          </w:p>
        </w:tc>
      </w:tr>
    </w:tbl>
    <w:p>
      <w:pPr>
        <w:pStyle w:val="yHeading5"/>
      </w:pPr>
      <w:bookmarkStart w:id="128" w:name="_Toc201314556"/>
      <w:bookmarkStart w:id="129" w:name="_Toc192775658"/>
      <w:r>
        <w:rPr>
          <w:rStyle w:val="CharSClsNo"/>
        </w:rPr>
        <w:t>3</w:t>
      </w:r>
      <w:r>
        <w:t>.</w:t>
      </w:r>
      <w:r>
        <w:tab/>
        <w:t>Fees for Bentley Hospital</w:t>
      </w:r>
      <w:bookmarkEnd w:id="128"/>
      <w:bookmarkEnd w:id="129"/>
    </w:p>
    <w:p>
      <w:pPr>
        <w:pStyle w:val="ySubsection"/>
      </w:pPr>
      <w:r>
        <w:tab/>
      </w:r>
      <w:r>
        <w:tab/>
        <w:t>The fees for the health service provider site that is Bentley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jc w:val="center"/>
              <w:rPr>
                <w:b/>
                <w:bCs/>
              </w:rPr>
            </w:pPr>
            <w:r>
              <w:rPr>
                <w:b/>
                <w:bCs/>
              </w:rPr>
              <w:t>Type of fee</w:t>
            </w:r>
          </w:p>
        </w:tc>
        <w:tc>
          <w:tcPr>
            <w:tcW w:w="2551" w:type="dxa"/>
          </w:tcPr>
          <w:p>
            <w:pPr>
              <w:pStyle w:val="yTableNAm"/>
              <w:jc w:val="center"/>
              <w:rPr>
                <w:b/>
                <w:bCs/>
              </w:rPr>
            </w:pPr>
            <w:r>
              <w:rPr>
                <w:b/>
                <w:bCs/>
              </w:rPr>
              <w:t>Fee</w:t>
            </w:r>
          </w:p>
        </w:tc>
      </w:tr>
      <w:tr>
        <w:tc>
          <w:tcPr>
            <w:tcW w:w="4253" w:type="dxa"/>
          </w:tcPr>
          <w:p>
            <w:pPr>
              <w:pStyle w:val="yTableNAm"/>
            </w:pPr>
            <w:r>
              <w:t>Parking permit fee</w:t>
            </w:r>
          </w:p>
        </w:tc>
        <w:tc>
          <w:tcPr>
            <w:tcW w:w="2551" w:type="dxa"/>
          </w:tcPr>
          <w:p>
            <w:pPr>
              <w:pStyle w:val="yTableNAm"/>
            </w:pPr>
            <w:r>
              <w:t>$2.00 per week for the period for which the permit is sought</w:t>
            </w:r>
          </w:p>
        </w:tc>
      </w:tr>
      <w:tr>
        <w:tc>
          <w:tcPr>
            <w:tcW w:w="4253" w:type="dxa"/>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p>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pPr>
              <w:pStyle w:val="yTableNAm"/>
            </w:pPr>
          </w:p>
          <w:p>
            <w:pPr>
              <w:pStyle w:val="yTableNAm"/>
            </w:pPr>
            <w:r>
              <w:t>$50.00</w:t>
            </w:r>
          </w:p>
          <w:p>
            <w:pPr>
              <w:pStyle w:val="yTableNAm"/>
            </w:pPr>
          </w:p>
          <w:p>
            <w:pPr>
              <w:pStyle w:val="yTableNAm"/>
              <w:tabs>
                <w:tab w:val="clear" w:pos="567"/>
                <w:tab w:val="left" w:pos="0"/>
              </w:tabs>
            </w:pPr>
            <w:r>
              <w:br/>
            </w:r>
            <w:r>
              <w:br/>
            </w:r>
            <w:r>
              <w:br/>
              <w:t>$5.00</w:t>
            </w:r>
          </w:p>
        </w:tc>
      </w:tr>
    </w:tbl>
    <w:p>
      <w:pPr>
        <w:pStyle w:val="yHeading5"/>
      </w:pPr>
      <w:bookmarkStart w:id="130" w:name="_Toc201314557"/>
      <w:bookmarkStart w:id="131" w:name="_Toc192775659"/>
      <w:r>
        <w:rPr>
          <w:rStyle w:val="CharSClsNo"/>
        </w:rPr>
        <w:t>4</w:t>
      </w:r>
      <w:r>
        <w:t>.</w:t>
      </w:r>
      <w:r>
        <w:tab/>
        <w:t>Fees for Fiona Stanley Hospital</w:t>
      </w:r>
      <w:bookmarkEnd w:id="130"/>
      <w:bookmarkEnd w:id="131"/>
    </w:p>
    <w:p>
      <w:pPr>
        <w:pStyle w:val="ySubsection"/>
      </w:pPr>
      <w:r>
        <w:tab/>
      </w:r>
      <w:r>
        <w:tab/>
        <w:t>The fees for the health service provider site that is Fiona Stanley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noWrap/>
          </w:tcPr>
          <w:p>
            <w:pPr>
              <w:pStyle w:val="yTableNAm"/>
            </w:pPr>
            <w:r>
              <w:t>Paid staff parking fee</w:t>
            </w:r>
          </w:p>
        </w:tc>
        <w:tc>
          <w:tcPr>
            <w:tcW w:w="2551" w:type="dxa"/>
            <w:noWrap/>
          </w:tcPr>
          <w:p>
            <w:pPr>
              <w:pStyle w:val="yTableNAm"/>
            </w:pPr>
            <w:r>
              <w:rPr>
                <w:szCs w:val="22"/>
              </w:rPr>
              <w:t>$4.</w:t>
            </w:r>
            <w:del w:id="132" w:author="Master Repository Process" w:date="2025-06-27T10:03:00Z">
              <w:r>
                <w:delText>20</w:delText>
              </w:r>
            </w:del>
            <w:ins w:id="133" w:author="Master Repository Process" w:date="2025-06-27T10:03:00Z">
              <w:r>
                <w:rPr>
                  <w:szCs w:val="22"/>
                </w:rPr>
                <w:t>30</w:t>
              </w:r>
            </w:ins>
            <w:r>
              <w:rPr>
                <w:szCs w:val="22"/>
              </w:rPr>
              <w:t xml:space="preserve"> per day, up to a maximum of $21.</w:t>
            </w:r>
            <w:del w:id="134" w:author="Master Repository Process" w:date="2025-06-27T10:03:00Z">
              <w:r>
                <w:delText>00 per week</w:delText>
              </w:r>
            </w:del>
            <w:ins w:id="135" w:author="Master Repository Process" w:date="2025-06-27T10:03:00Z">
              <w:r>
                <w:rPr>
                  <w:szCs w:val="22"/>
                </w:rPr>
                <w:t>50</w:t>
              </w:r>
            </w:ins>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$140.00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$10.00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$3.00 per hour, up to a maximum of $21.00 per day</w:t>
            </w:r>
          </w:p>
        </w:tc>
      </w:tr>
    </w:tbl>
    <w:p>
      <w:pPr>
        <w:pStyle w:val="yFootnotesection"/>
      </w:pPr>
      <w:r>
        <w:tab/>
        <w:t>[Clause 4 inserted: SL 2024/91 r. </w:t>
      </w:r>
      <w:ins w:id="136" w:author="Master Repository Process" w:date="2025-06-27T10:03:00Z">
        <w:r>
          <w:t>8; amended: SL 2025/104 r. </w:t>
        </w:r>
      </w:ins>
      <w:r>
        <w:t>8.]</w:t>
      </w:r>
    </w:p>
    <w:p>
      <w:pPr>
        <w:pStyle w:val="yHeading5"/>
      </w:pPr>
      <w:bookmarkStart w:id="137" w:name="_Toc201236827"/>
      <w:bookmarkStart w:id="138" w:name="_Toc201314558"/>
      <w:bookmarkStart w:id="139" w:name="_Toc192775660"/>
      <w:r>
        <w:rPr>
          <w:rStyle w:val="CharSClsNo"/>
        </w:rPr>
        <w:t>5</w:t>
      </w:r>
      <w:r>
        <w:t>.</w:t>
      </w:r>
      <w:r>
        <w:tab/>
        <w:t>Fees for Fremantle Hospital</w:t>
      </w:r>
      <w:bookmarkEnd w:id="137"/>
      <w:bookmarkEnd w:id="138"/>
      <w:bookmarkEnd w:id="139"/>
      <w:r>
        <w:t xml:space="preserve"> </w:t>
      </w:r>
    </w:p>
    <w:p>
      <w:pPr>
        <w:pStyle w:val="ySubsection"/>
      </w:pPr>
      <w:r>
        <w:tab/>
      </w:r>
      <w:r>
        <w:tab/>
        <w:t>The fees for the health service provider site that is Fremantle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pPr>
            <w:r>
              <w:rPr>
                <w:b/>
                <w:bCs/>
              </w:rPr>
              <w:t>Type</w:t>
            </w:r>
            <w:r>
              <w:rPr>
                <w:b/>
              </w:rPr>
              <w:t xml:space="preserve"> of fee</w:t>
            </w:r>
          </w:p>
        </w:tc>
        <w:tc>
          <w:tcPr>
            <w:tcW w:w="2551" w:type="dxa"/>
            <w:noWrap/>
          </w:tcPr>
          <w:p>
            <w:pPr>
              <w:pStyle w:val="yTableNAm"/>
            </w:pPr>
            <w:r>
              <w:rPr>
                <w:b/>
                <w:bCs/>
              </w:rPr>
              <w:t>Fee</w:t>
            </w:r>
          </w:p>
        </w:tc>
      </w:tr>
      <w:tr>
        <w:trPr>
          <w:cantSplit/>
        </w:trPr>
        <w:tc>
          <w:tcPr>
            <w:tcW w:w="4253" w:type="dxa"/>
            <w:noWrap/>
          </w:tcPr>
          <w:p>
            <w:pPr>
              <w:pStyle w:val="yTableNAm"/>
            </w:pPr>
            <w:r>
              <w:t>Parking permit fee</w:t>
            </w:r>
          </w:p>
        </w:tc>
        <w:tc>
          <w:tcPr>
            <w:tcW w:w="2551" w:type="dxa"/>
            <w:shd w:val="clear" w:color="auto" w:fill="auto"/>
            <w:noWrap/>
          </w:tcPr>
          <w:p>
            <w:pPr>
              <w:pStyle w:val="yTableNAm"/>
              <w:rPr>
                <w:rStyle w:val="DraftersNotes"/>
                <w:b w:val="0"/>
                <w:i w:val="0"/>
                <w:sz w:val="22"/>
              </w:rPr>
            </w:pPr>
            <w:r>
              <w:t>$4.</w:t>
            </w:r>
            <w:del w:id="140" w:author="Master Repository Process" w:date="2025-06-27T10:03:00Z">
              <w:r>
                <w:delText>20</w:delText>
              </w:r>
            </w:del>
            <w:ins w:id="141" w:author="Master Repository Process" w:date="2025-06-27T10:03:00Z">
              <w:r>
                <w:t>30</w:t>
              </w:r>
            </w:ins>
            <w:r>
              <w:t xml:space="preserve"> per day, up to a maximum of $21.</w:t>
            </w:r>
            <w:del w:id="142" w:author="Master Repository Process" w:date="2025-06-27T10:03:00Z">
              <w:r>
                <w:delText>00</w:delText>
              </w:r>
            </w:del>
            <w:ins w:id="143" w:author="Master Repository Process" w:date="2025-06-27T10:03:00Z">
              <w:r>
                <w:t>50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shd w:val="clear" w:color="auto" w:fill="auto"/>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w:t>
            </w:r>
            <w:del w:id="144" w:author="Master Repository Process" w:date="2025-06-27T10:03:00Z">
              <w:r>
                <w:delText>0.90</w:delText>
              </w:r>
            </w:del>
            <w:ins w:id="145" w:author="Master Repository Process" w:date="2025-06-27T10:03:00Z">
              <w:r>
                <w:t>1.00</w:t>
              </w:r>
            </w:ins>
            <w:r>
              <w:t xml:space="preserve"> per hour, up to a maximum of $</w:t>
            </w:r>
            <w:del w:id="146" w:author="Master Repository Process" w:date="2025-06-27T10:03:00Z">
              <w:r>
                <w:delText>6.30</w:delText>
              </w:r>
            </w:del>
            <w:ins w:id="147" w:author="Master Repository Process" w:date="2025-06-27T10:03:00Z">
              <w:r>
                <w:t>7.00</w:t>
              </w:r>
            </w:ins>
            <w:r>
              <w:t xml:space="preserve"> per day</w:t>
            </w:r>
          </w:p>
        </w:tc>
      </w:tr>
    </w:tbl>
    <w:p>
      <w:pPr>
        <w:pStyle w:val="yFootnotesection"/>
      </w:pPr>
      <w:bookmarkStart w:id="148" w:name="_Toc201236828"/>
      <w:r>
        <w:tab/>
        <w:t>[Clause 5 inserted: SL </w:t>
      </w:r>
      <w:del w:id="149" w:author="Master Repository Process" w:date="2025-06-27T10:03:00Z">
        <w:r>
          <w:delText>2024/91</w:delText>
        </w:r>
      </w:del>
      <w:ins w:id="150" w:author="Master Repository Process" w:date="2025-06-27T10:03:00Z">
        <w:r>
          <w:t>2025/104</w:t>
        </w:r>
      </w:ins>
      <w:r>
        <w:t xml:space="preserve"> r. </w:t>
      </w:r>
      <w:del w:id="151" w:author="Master Repository Process" w:date="2025-06-27T10:03:00Z">
        <w:r>
          <w:delText>8</w:delText>
        </w:r>
      </w:del>
      <w:ins w:id="152" w:author="Master Repository Process" w:date="2025-06-27T10:03:00Z">
        <w:r>
          <w:t>9</w:t>
        </w:r>
      </w:ins>
      <w:r>
        <w:t>.]</w:t>
      </w:r>
    </w:p>
    <w:p>
      <w:pPr>
        <w:pStyle w:val="yHeading5"/>
      </w:pPr>
      <w:bookmarkStart w:id="153" w:name="_Toc201314559"/>
      <w:bookmarkStart w:id="154" w:name="_Toc192775661"/>
      <w:r>
        <w:rPr>
          <w:rStyle w:val="CharSClsNo"/>
        </w:rPr>
        <w:t>6</w:t>
      </w:r>
      <w:r>
        <w:t>.</w:t>
      </w:r>
      <w:r>
        <w:tab/>
        <w:t>Fees for King Edward Memorial Hospital for Women</w:t>
      </w:r>
      <w:bookmarkEnd w:id="148"/>
      <w:bookmarkEnd w:id="153"/>
      <w:bookmarkEnd w:id="154"/>
    </w:p>
    <w:p>
      <w:pPr>
        <w:pStyle w:val="ySubsection"/>
      </w:pPr>
      <w:r>
        <w:tab/>
      </w:r>
      <w:r>
        <w:tab/>
        <w:t>The fees for the health service provider site that is King Edward Memorial Hospital for Women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rPr>
            </w:pPr>
            <w:r>
              <w:rPr>
                <w:b/>
              </w:rPr>
              <w:t>Type of fee</w:t>
            </w:r>
          </w:p>
        </w:tc>
        <w:tc>
          <w:tcPr>
            <w:tcW w:w="2551" w:type="dxa"/>
            <w:noWrap/>
          </w:tcPr>
          <w:p>
            <w:pPr>
              <w:pStyle w:val="yTableNAm"/>
              <w:rPr>
                <w:b/>
              </w:rPr>
            </w:pPr>
            <w:r>
              <w:rPr>
                <w:b/>
              </w:rPr>
              <w:t>Fee</w:t>
            </w:r>
          </w:p>
        </w:tc>
      </w:tr>
      <w:tr>
        <w:trPr>
          <w:cantSplit/>
        </w:trPr>
        <w:tc>
          <w:tcPr>
            <w:tcW w:w="4253" w:type="dxa"/>
            <w:noWrap/>
          </w:tcPr>
          <w:p>
            <w:pPr>
              <w:pStyle w:val="yTableNAm"/>
            </w:pPr>
            <w:r>
              <w:t>Parking permit fee</w:t>
            </w:r>
          </w:p>
        </w:tc>
        <w:tc>
          <w:tcPr>
            <w:tcW w:w="2551" w:type="dxa"/>
            <w:noWrap/>
          </w:tcPr>
          <w:p>
            <w:pPr>
              <w:pStyle w:val="yTableNAm"/>
            </w:pPr>
            <w:r>
              <w:t>$4.</w:t>
            </w:r>
            <w:del w:id="155" w:author="Master Repository Process" w:date="2025-06-27T10:03:00Z">
              <w:r>
                <w:delText>20</w:delText>
              </w:r>
            </w:del>
            <w:ins w:id="156" w:author="Master Repository Process" w:date="2025-06-27T10:03:00Z">
              <w:r>
                <w:t>30</w:t>
              </w:r>
            </w:ins>
            <w:r>
              <w:t xml:space="preserve"> per day, up to a maximum of $21.</w:t>
            </w:r>
            <w:del w:id="157" w:author="Master Repository Process" w:date="2025-06-27T10:03:00Z">
              <w:r>
                <w:delText>00</w:delText>
              </w:r>
            </w:del>
            <w:ins w:id="158" w:author="Master Repository Process" w:date="2025-06-27T10:03:00Z">
              <w:r>
                <w:t>50</w:t>
              </w:r>
            </w:ins>
            <w:r>
              <w:t xml:space="preserve"> per week</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shd w:val="clear" w:color="auto" w:fill="auto"/>
            <w:noWrap/>
          </w:tcPr>
          <w:p>
            <w:pPr>
              <w:pStyle w:val="yTableNAm"/>
            </w:pPr>
            <w:r>
              <w:t>$</w:t>
            </w:r>
            <w:del w:id="159" w:author="Master Repository Process" w:date="2025-06-27T10:03:00Z">
              <w:r>
                <w:delText>0.90</w:delText>
              </w:r>
            </w:del>
            <w:ins w:id="160" w:author="Master Repository Process" w:date="2025-06-27T10:03:00Z">
              <w:r>
                <w:t>1.00</w:t>
              </w:r>
            </w:ins>
            <w:r>
              <w:t xml:space="preserve"> per hour, up to a maximum of $</w:t>
            </w:r>
            <w:del w:id="161" w:author="Master Repository Process" w:date="2025-06-27T10:03:00Z">
              <w:r>
                <w:delText>6.30</w:delText>
              </w:r>
            </w:del>
            <w:ins w:id="162" w:author="Master Repository Process" w:date="2025-06-27T10:03:00Z">
              <w:r>
                <w:t>7.00</w:t>
              </w:r>
            </w:ins>
            <w:r>
              <w:t xml:space="preserve"> per day</w:t>
            </w:r>
          </w:p>
        </w:tc>
      </w:tr>
    </w:tbl>
    <w:p>
      <w:pPr>
        <w:pStyle w:val="yFootnotesection"/>
        <w:rPr>
          <w:rStyle w:val="CharSClsNo"/>
          <w:b/>
        </w:rPr>
      </w:pPr>
      <w:r>
        <w:tab/>
        <w:t>[Clause 6 inserted: SL </w:t>
      </w:r>
      <w:del w:id="163" w:author="Master Repository Process" w:date="2025-06-27T10:03:00Z">
        <w:r>
          <w:delText>2024/91</w:delText>
        </w:r>
      </w:del>
      <w:ins w:id="164" w:author="Master Repository Process" w:date="2025-06-27T10:03:00Z">
        <w:r>
          <w:t>2025/104</w:t>
        </w:r>
      </w:ins>
      <w:r>
        <w:t xml:space="preserve"> r. </w:t>
      </w:r>
      <w:del w:id="165" w:author="Master Repository Process" w:date="2025-06-27T10:03:00Z">
        <w:r>
          <w:delText>8</w:delText>
        </w:r>
      </w:del>
      <w:ins w:id="166" w:author="Master Repository Process" w:date="2025-06-27T10:03:00Z">
        <w:r>
          <w:t>9</w:t>
        </w:r>
      </w:ins>
      <w:r>
        <w:t>.]</w:t>
      </w:r>
    </w:p>
    <w:p>
      <w:pPr>
        <w:pStyle w:val="yHeading5"/>
      </w:pPr>
      <w:bookmarkStart w:id="167" w:name="_Toc201314560"/>
      <w:bookmarkStart w:id="168" w:name="_Toc192775662"/>
      <w:r>
        <w:rPr>
          <w:rStyle w:val="CharSClsNo"/>
        </w:rPr>
        <w:t>7</w:t>
      </w:r>
      <w:r>
        <w:t>.</w:t>
      </w:r>
      <w:r>
        <w:tab/>
        <w:t>Fees for Osborne Park Hospital</w:t>
      </w:r>
      <w:bookmarkEnd w:id="167"/>
      <w:bookmarkEnd w:id="168"/>
    </w:p>
    <w:p>
      <w:pPr>
        <w:pStyle w:val="ySubsection"/>
        <w:keepNext/>
      </w:pPr>
      <w:r>
        <w:tab/>
      </w:r>
      <w:r>
        <w:tab/>
        <w:t>The fees for the health service provider site that is Osborne Park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c>
          <w:tcPr>
            <w:tcW w:w="4253" w:type="dxa"/>
            <w:tcBorders>
              <w:bottom w:val="nil"/>
            </w:tcBorders>
          </w:tcPr>
          <w:p>
            <w:pPr>
              <w:pStyle w:val="yTableNAm"/>
              <w:keepNext/>
            </w:pPr>
            <w:r>
              <w:t>Removal and storage of vehicle fee</w:t>
            </w:r>
          </w:p>
          <w:p>
            <w:pPr>
              <w:pStyle w:val="yTableNAm"/>
              <w:keepNext/>
              <w:tabs>
                <w:tab w:val="clear" w:pos="567"/>
                <w:tab w:val="left" w:pos="601"/>
              </w:tabs>
              <w:ind w:left="601" w:hanging="601"/>
            </w:pPr>
            <w:r>
              <w:t>(a)</w:t>
            </w:r>
            <w:r>
              <w:tab/>
              <w:t xml:space="preserve">basic fee </w:t>
            </w:r>
          </w:p>
          <w:p>
            <w:pPr>
              <w:pStyle w:val="yTableNAm"/>
              <w:keepNext/>
              <w:tabs>
                <w:tab w:val="clear" w:pos="567"/>
                <w:tab w:val="left" w:pos="601"/>
              </w:tabs>
              <w:ind w:left="601" w:hanging="601"/>
            </w:pPr>
            <w:r>
              <w:tab/>
              <w:t>plus</w:t>
            </w:r>
          </w:p>
        </w:tc>
        <w:tc>
          <w:tcPr>
            <w:tcW w:w="2551" w:type="dxa"/>
            <w:tcBorders>
              <w:bottom w:val="nil"/>
            </w:tcBorders>
          </w:tcPr>
          <w:p>
            <w:pPr>
              <w:pStyle w:val="yTableNAm"/>
              <w:keepNext/>
            </w:pPr>
          </w:p>
          <w:p>
            <w:pPr>
              <w:pStyle w:val="yTableNAm"/>
              <w:keepNext/>
            </w:pPr>
            <w:r>
              <w:t>$50.00</w:t>
            </w:r>
          </w:p>
          <w:p>
            <w:pPr>
              <w:pStyle w:val="yTableNAm"/>
              <w:keepNext/>
              <w:tabs>
                <w:tab w:val="clear" w:pos="567"/>
                <w:tab w:val="left" w:pos="0"/>
              </w:tabs>
            </w:pPr>
          </w:p>
        </w:tc>
      </w:tr>
      <w:t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pStyle w:val="yEdnotesection"/>
      </w:pPr>
      <w:r>
        <w:t>[</w:t>
      </w:r>
      <w:r>
        <w:rPr>
          <w:b/>
        </w:rPr>
        <w:t>8.</w:t>
      </w:r>
      <w:r>
        <w:tab/>
        <w:t>Deleted: Gazette 12 Jun 2018 p. 1893.]</w:t>
      </w:r>
    </w:p>
    <w:p>
      <w:pPr>
        <w:pStyle w:val="yHeading5"/>
      </w:pPr>
      <w:bookmarkStart w:id="169" w:name="_Toc201236830"/>
      <w:bookmarkStart w:id="170" w:name="_Toc201314561"/>
      <w:bookmarkStart w:id="171" w:name="_Toc192775663"/>
      <w:r>
        <w:rPr>
          <w:rStyle w:val="CharSClsNo"/>
        </w:rPr>
        <w:t>9</w:t>
      </w:r>
      <w:r>
        <w:t>.</w:t>
      </w:r>
      <w:r>
        <w:tab/>
        <w:t>Fees for Royal Perth Hospital</w:t>
      </w:r>
      <w:bookmarkEnd w:id="169"/>
      <w:bookmarkEnd w:id="170"/>
      <w:bookmarkEnd w:id="171"/>
    </w:p>
    <w:p>
      <w:pPr>
        <w:pStyle w:val="ySubsection"/>
      </w:pPr>
      <w:r>
        <w:tab/>
      </w:r>
      <w:r>
        <w:tab/>
        <w:t>The fees for the health service provider site that is Royal Perth Hospital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yTableNAm"/>
              <w:rPr>
                <w:b/>
                <w:bCs/>
              </w:rPr>
            </w:pPr>
            <w:r>
              <w:rPr>
                <w:b/>
                <w:bCs/>
              </w:rPr>
              <w:t>Type of fee</w:t>
            </w:r>
          </w:p>
        </w:tc>
        <w:tc>
          <w:tcPr>
            <w:tcW w:w="2551" w:type="dxa"/>
            <w:noWrap/>
          </w:tcPr>
          <w:p>
            <w:pPr>
              <w:pStyle w:val="yTableNAm"/>
              <w:rPr>
                <w:b/>
                <w:bCs/>
              </w:rPr>
            </w:pPr>
            <w:r>
              <w:rPr>
                <w:b/>
                <w:bCs/>
              </w:rPr>
              <w:t>Fee</w:t>
            </w:r>
          </w:p>
        </w:tc>
      </w:tr>
      <w:tr>
        <w:trPr>
          <w:cantSplit/>
        </w:trPr>
        <w:tc>
          <w:tcPr>
            <w:tcW w:w="4253" w:type="dxa"/>
            <w:tcBorders>
              <w:bottom w:val="single" w:sz="4" w:space="0" w:color="auto"/>
            </w:tcBorders>
            <w:noWrap/>
          </w:tcPr>
          <w:p>
            <w:pPr>
              <w:pStyle w:val="yTableNAm"/>
            </w:pPr>
            <w:r>
              <w:t>Paid staff parking fee</w:t>
            </w:r>
          </w:p>
        </w:tc>
        <w:tc>
          <w:tcPr>
            <w:tcW w:w="2551" w:type="dxa"/>
            <w:tcBorders>
              <w:bottom w:val="single" w:sz="4" w:space="0" w:color="auto"/>
            </w:tcBorders>
            <w:noWrap/>
          </w:tcPr>
          <w:p>
            <w:pPr>
              <w:pStyle w:val="yTableNAm"/>
            </w:pPr>
            <w:r>
              <w:rPr>
                <w:szCs w:val="22"/>
              </w:rPr>
              <w:t>$6.</w:t>
            </w:r>
            <w:del w:id="172" w:author="Master Repository Process" w:date="2025-06-27T10:03:00Z">
              <w:r>
                <w:rPr>
                  <w:szCs w:val="22"/>
                </w:rPr>
                <w:delText>55</w:delText>
              </w:r>
            </w:del>
            <w:ins w:id="173" w:author="Master Repository Process" w:date="2025-06-27T10:03:00Z">
              <w:r>
                <w:rPr>
                  <w:szCs w:val="22"/>
                </w:rPr>
                <w:t>75</w:t>
              </w:r>
            </w:ins>
            <w:r>
              <w:t xml:space="preserve"> per day</w:t>
            </w:r>
          </w:p>
        </w:tc>
      </w:tr>
      <w:tr>
        <w:trPr>
          <w:cantSplit/>
        </w:trPr>
        <w:tc>
          <w:tcPr>
            <w:tcW w:w="4253" w:type="dxa"/>
            <w:tcBorders>
              <w:bottom w:val="nil"/>
            </w:tcBorders>
            <w:noWrap/>
          </w:tcPr>
          <w:p>
            <w:pPr>
              <w:pStyle w:val="yTableNAm"/>
            </w:pPr>
            <w:r>
              <w:t>Removal and storage of vehicle fee</w:t>
            </w:r>
          </w:p>
          <w:p>
            <w:pPr>
              <w:pStyle w:val="yTableNAm"/>
              <w:ind w:left="491" w:hanging="491"/>
            </w:pPr>
            <w:r>
              <w:t>(a)</w:t>
            </w:r>
            <w:r>
              <w:tab/>
              <w:t>basic fee</w:t>
            </w:r>
          </w:p>
          <w:p>
            <w:pPr>
              <w:pStyle w:val="yTableNAm"/>
              <w:ind w:left="491" w:hanging="491"/>
            </w:pPr>
            <w:r>
              <w:tab/>
              <w:t>plus</w:t>
            </w:r>
          </w:p>
        </w:tc>
        <w:tc>
          <w:tcPr>
            <w:tcW w:w="2551" w:type="dxa"/>
            <w:tcBorders>
              <w:bottom w:val="nil"/>
            </w:tcBorders>
            <w:noWrap/>
            <w:vAlign w:val="bottom"/>
          </w:tcPr>
          <w:p>
            <w:pPr>
              <w:pStyle w:val="yTableNAm"/>
            </w:pPr>
            <w:r>
              <w:t>$50.00</w:t>
            </w:r>
          </w:p>
          <w:p>
            <w:pPr>
              <w:pStyle w:val="yTableNAm"/>
            </w:pPr>
          </w:p>
        </w:tc>
      </w:tr>
      <w:tr>
        <w:trPr>
          <w:cantSplit/>
        </w:trPr>
        <w:tc>
          <w:tcPr>
            <w:tcW w:w="4253" w:type="dxa"/>
            <w:tcBorders>
              <w:top w:val="nil"/>
              <w:bottom w:val="single" w:sz="4" w:space="0" w:color="auto"/>
            </w:tcBorders>
            <w:noWrap/>
          </w:tcPr>
          <w:p>
            <w:pPr>
              <w:pStyle w:val="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yTableNAm"/>
            </w:pPr>
            <w:r>
              <w:t>$5.00</w:t>
            </w:r>
          </w:p>
        </w:tc>
      </w:tr>
      <w:tr>
        <w:trPr>
          <w:cantSplit/>
        </w:trPr>
        <w:tc>
          <w:tcPr>
            <w:tcW w:w="4253" w:type="dxa"/>
            <w:tcBorders>
              <w:top w:val="single" w:sz="4" w:space="0" w:color="auto"/>
            </w:tcBorders>
            <w:noWrap/>
          </w:tcPr>
          <w:p>
            <w:pPr>
              <w:pStyle w:val="yTableNAm"/>
            </w:pPr>
            <w:r>
              <w:t>Ticket parking fee</w:t>
            </w:r>
          </w:p>
        </w:tc>
        <w:tc>
          <w:tcPr>
            <w:tcW w:w="2551" w:type="dxa"/>
            <w:tcBorders>
              <w:top w:val="single" w:sz="4" w:space="0" w:color="auto"/>
            </w:tcBorders>
            <w:noWrap/>
          </w:tcPr>
          <w:p>
            <w:pPr>
              <w:pStyle w:val="yTableNAm"/>
            </w:pPr>
            <w:r>
              <w:t>$3.</w:t>
            </w:r>
            <w:del w:id="174" w:author="Master Repository Process" w:date="2025-06-27T10:03:00Z">
              <w:r>
                <w:delText>80</w:delText>
              </w:r>
            </w:del>
            <w:ins w:id="175" w:author="Master Repository Process" w:date="2025-06-27T10:03:00Z">
              <w:r>
                <w:t>90</w:t>
              </w:r>
            </w:ins>
            <w:r>
              <w:t xml:space="preserve"> per hour, up to a maximum of $</w:t>
            </w:r>
            <w:ins w:id="176" w:author="Master Repository Process" w:date="2025-06-27T10:03:00Z">
              <w:r>
                <w:t>16.</w:t>
              </w:r>
            </w:ins>
            <w:r>
              <w:t>15</w:t>
            </w:r>
            <w:del w:id="177" w:author="Master Repository Process" w:date="2025-06-27T10:03:00Z">
              <w:r>
                <w:delText>.70</w:delText>
              </w:r>
            </w:del>
            <w:r>
              <w:t xml:space="preserve"> per day</w:t>
            </w:r>
          </w:p>
        </w:tc>
      </w:tr>
    </w:tbl>
    <w:p>
      <w:pPr>
        <w:pStyle w:val="yFootnotesection"/>
      </w:pPr>
      <w:r>
        <w:tab/>
        <w:t>[Clause 9 inserted: SL </w:t>
      </w:r>
      <w:del w:id="178" w:author="Master Repository Process" w:date="2025-06-27T10:03:00Z">
        <w:r>
          <w:delText>2024/91 r. 9; amended: SL </w:delText>
        </w:r>
      </w:del>
      <w:r>
        <w:t>2025/</w:t>
      </w:r>
      <w:del w:id="179" w:author="Master Repository Process" w:date="2025-06-27T10:03:00Z">
        <w:r>
          <w:delText>1</w:delText>
        </w:r>
      </w:del>
      <w:ins w:id="180" w:author="Master Repository Process" w:date="2025-06-27T10:03:00Z">
        <w:r>
          <w:t>104</w:t>
        </w:r>
      </w:ins>
      <w:r>
        <w:t xml:space="preserve"> r. </w:t>
      </w:r>
      <w:del w:id="181" w:author="Master Repository Process" w:date="2025-06-27T10:03:00Z">
        <w:r>
          <w:delText>4</w:delText>
        </w:r>
      </w:del>
      <w:ins w:id="182" w:author="Master Repository Process" w:date="2025-06-27T10:03:00Z">
        <w:r>
          <w:t>10</w:t>
        </w:r>
      </w:ins>
      <w:r>
        <w:t>.]</w:t>
      </w:r>
    </w:p>
    <w:p>
      <w:pPr>
        <w:pStyle w:val="yHeading5"/>
      </w:pPr>
      <w:bookmarkStart w:id="183" w:name="_Toc201314562"/>
      <w:bookmarkStart w:id="184" w:name="_Toc192775664"/>
      <w:r>
        <w:rPr>
          <w:rStyle w:val="CharSClsNo"/>
        </w:rPr>
        <w:t>10</w:t>
      </w:r>
      <w:r>
        <w:t>.</w:t>
      </w:r>
      <w:r>
        <w:tab/>
        <w:t>Fees for health service provider sites in WA Country Health Service area</w:t>
      </w:r>
      <w:bookmarkEnd w:id="183"/>
      <w:bookmarkEnd w:id="184"/>
    </w:p>
    <w:p>
      <w:pPr>
        <w:pStyle w:val="ySubsection"/>
        <w:keepNext/>
      </w:pPr>
      <w:r>
        <w:tab/>
      </w:r>
      <w:r>
        <w:tab/>
        <w:t>The fees for a health service provider site in the health service area for which the WA Country Health Service is the health service provider are the fees set out in the Table.</w:t>
      </w:r>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tcPr>
          <w:p>
            <w:pPr>
              <w:pStyle w:val="yTableNAm"/>
              <w:keepNext/>
              <w:jc w:val="center"/>
              <w:rPr>
                <w:b/>
                <w:bCs/>
              </w:rPr>
            </w:pPr>
            <w:r>
              <w:rPr>
                <w:b/>
                <w:bCs/>
              </w:rPr>
              <w:t>Type of fee</w:t>
            </w:r>
          </w:p>
        </w:tc>
        <w:tc>
          <w:tcPr>
            <w:tcW w:w="2551" w:type="dxa"/>
          </w:tcPr>
          <w:p>
            <w:pPr>
              <w:pStyle w:val="yTableNAm"/>
              <w:keepNext/>
              <w:jc w:val="center"/>
              <w:rPr>
                <w:b/>
                <w:bCs/>
              </w:rPr>
            </w:pPr>
            <w:r>
              <w:rPr>
                <w:b/>
                <w:bCs/>
              </w:rPr>
              <w:t>Fee</w:t>
            </w:r>
          </w:p>
        </w:tc>
      </w:tr>
      <w:tr>
        <w:trPr>
          <w:cantSplit/>
        </w:trPr>
        <w:tc>
          <w:tcPr>
            <w:tcW w:w="4253" w:type="dxa"/>
            <w:tcBorders>
              <w:bottom w:val="nil"/>
            </w:tcBorders>
          </w:tcPr>
          <w:p>
            <w:pPr>
              <w:pStyle w:val="yTableNAm"/>
            </w:pPr>
            <w:r>
              <w:t>Removal and storage of vehicle fee</w:t>
            </w:r>
          </w:p>
          <w:p>
            <w:pPr>
              <w:pStyle w:val="yTableNAm"/>
              <w:tabs>
                <w:tab w:val="clear" w:pos="567"/>
                <w:tab w:val="left" w:pos="601"/>
              </w:tabs>
              <w:ind w:left="601" w:hanging="601"/>
            </w:pPr>
            <w:r>
              <w:t>(a)</w:t>
            </w:r>
            <w:r>
              <w:tab/>
              <w:t xml:space="preserve">basic fee </w:t>
            </w:r>
          </w:p>
          <w:p>
            <w:pPr>
              <w:pStyle w:val="yTableNAm"/>
              <w:tabs>
                <w:tab w:val="clear" w:pos="567"/>
                <w:tab w:val="left" w:pos="601"/>
              </w:tabs>
              <w:ind w:left="601" w:hanging="601"/>
            </w:pPr>
            <w:r>
              <w:tab/>
              <w:t>plus</w:t>
            </w:r>
          </w:p>
        </w:tc>
        <w:tc>
          <w:tcPr>
            <w:tcW w:w="2551" w:type="dxa"/>
            <w:tcBorders>
              <w:bottom w:val="nil"/>
            </w:tcBorders>
          </w:tcPr>
          <w:p>
            <w:pPr>
              <w:pStyle w:val="yTableNAm"/>
            </w:pPr>
          </w:p>
          <w:p>
            <w:pPr>
              <w:pStyle w:val="yTableNAm"/>
            </w:pPr>
            <w:r>
              <w:t>$50.00</w:t>
            </w:r>
          </w:p>
          <w:p>
            <w:pPr>
              <w:pStyle w:val="yTableNAm"/>
              <w:tabs>
                <w:tab w:val="clear" w:pos="567"/>
                <w:tab w:val="left" w:pos="0"/>
              </w:tabs>
            </w:pPr>
          </w:p>
        </w:tc>
      </w:tr>
      <w:tr>
        <w:trPr>
          <w:cantSplit/>
        </w:trPr>
        <w:tc>
          <w:tcPr>
            <w:tcW w:w="4253" w:type="dxa"/>
            <w:tcBorders>
              <w:top w:val="nil"/>
            </w:tcBorders>
          </w:tcPr>
          <w:p>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pPr>
              <w:pStyle w:val="yTableNAm"/>
            </w:pPr>
            <w:r>
              <w:br/>
            </w:r>
            <w:r>
              <w:br/>
            </w:r>
            <w:r>
              <w:br/>
              <w:t>$5.00</w:t>
            </w:r>
          </w:p>
        </w:tc>
      </w:tr>
    </w:tbl>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186" w:name="_Toc201303916"/>
      <w:bookmarkStart w:id="187" w:name="_Toc201304808"/>
      <w:bookmarkStart w:id="188" w:name="_Toc201304896"/>
      <w:bookmarkStart w:id="189" w:name="_Toc201314563"/>
      <w:bookmarkStart w:id="190" w:name="_Toc192774177"/>
      <w:bookmarkStart w:id="191" w:name="_Toc192775062"/>
      <w:bookmarkStart w:id="192" w:name="_Toc192775665"/>
      <w:r>
        <w:rPr>
          <w:rStyle w:val="CharSchNo"/>
        </w:rPr>
        <w:t>Schedule 2</w:t>
      </w:r>
      <w:r>
        <w:rPr>
          <w:rStyle w:val="CharSDivNo"/>
        </w:rPr>
        <w:t> </w:t>
      </w:r>
      <w:r>
        <w:t>—</w:t>
      </w:r>
      <w:r>
        <w:rPr>
          <w:rStyle w:val="CharSDivText"/>
        </w:rPr>
        <w:t> </w:t>
      </w:r>
      <w:r>
        <w:rPr>
          <w:rStyle w:val="CharSchText"/>
        </w:rPr>
        <w:t>Prescribed offences and modified penalties</w:t>
      </w:r>
      <w:bookmarkEnd w:id="186"/>
      <w:bookmarkEnd w:id="187"/>
      <w:bookmarkEnd w:id="188"/>
      <w:bookmarkEnd w:id="189"/>
      <w:bookmarkEnd w:id="190"/>
      <w:bookmarkEnd w:id="191"/>
      <w:bookmarkEnd w:id="192"/>
    </w:p>
    <w:p>
      <w:pPr>
        <w:pStyle w:val="yShoulderClause"/>
      </w:pPr>
      <w:r>
        <w:t>[r. 29]</w:t>
      </w:r>
    </w:p>
    <w:p>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trPr>
          <w:cantSplit/>
          <w:tblHeader/>
        </w:trPr>
        <w:tc>
          <w:tcPr>
            <w:tcW w:w="709" w:type="dxa"/>
          </w:tcPr>
          <w:p>
            <w:pPr>
              <w:pStyle w:val="yTableNAm"/>
              <w:jc w:val="center"/>
            </w:pPr>
            <w:r>
              <w:rPr>
                <w:b/>
              </w:rPr>
              <w:t>Item</w:t>
            </w:r>
          </w:p>
        </w:tc>
        <w:tc>
          <w:tcPr>
            <w:tcW w:w="4677" w:type="dxa"/>
            <w:gridSpan w:val="2"/>
          </w:tcPr>
          <w:p>
            <w:pPr>
              <w:pStyle w:val="yTableNAm"/>
              <w:jc w:val="center"/>
            </w:pPr>
            <w:r>
              <w:rPr>
                <w:b/>
              </w:rPr>
              <w:t>Offence</w:t>
            </w:r>
          </w:p>
        </w:tc>
        <w:tc>
          <w:tcPr>
            <w:tcW w:w="1134" w:type="dxa"/>
          </w:tcPr>
          <w:p>
            <w:pPr>
              <w:pStyle w:val="yTableNAm"/>
              <w:jc w:val="center"/>
            </w:pPr>
            <w:r>
              <w:rPr>
                <w:b/>
              </w:rPr>
              <w:t>Modified penalty</w:t>
            </w:r>
          </w:p>
          <w:p>
            <w:pPr>
              <w:pStyle w:val="yTableNAm"/>
              <w:jc w:val="center"/>
            </w:pPr>
            <w:r>
              <w:t>$</w:t>
            </w:r>
          </w:p>
        </w:tc>
      </w:tr>
      <w:tr>
        <w:trPr>
          <w:cantSplit/>
        </w:trPr>
        <w:tc>
          <w:tcPr>
            <w:tcW w:w="709" w:type="dxa"/>
          </w:tcPr>
          <w:p>
            <w:pPr>
              <w:pStyle w:val="yTableNAm"/>
            </w:pPr>
            <w:r>
              <w:t>1.</w:t>
            </w:r>
          </w:p>
        </w:tc>
        <w:tc>
          <w:tcPr>
            <w:tcW w:w="1134" w:type="dxa"/>
          </w:tcPr>
          <w:p>
            <w:pPr>
              <w:pStyle w:val="yTableNAm"/>
            </w:pPr>
            <w:r>
              <w:t>r. 6(5)</w:t>
            </w:r>
          </w:p>
        </w:tc>
        <w:tc>
          <w:tcPr>
            <w:tcW w:w="3543" w:type="dxa"/>
          </w:tcPr>
          <w:p>
            <w:pPr>
              <w:pStyle w:val="yTableNAm"/>
            </w:pPr>
            <w:r>
              <w:t>Contravening direction given by authorised person</w:t>
            </w:r>
          </w:p>
        </w:tc>
        <w:tc>
          <w:tcPr>
            <w:tcW w:w="1134" w:type="dxa"/>
          </w:tcPr>
          <w:p>
            <w:pPr>
              <w:pStyle w:val="yTableNAm"/>
              <w:jc w:val="center"/>
            </w:pPr>
            <w:r>
              <w:br/>
              <w:t>100</w:t>
            </w:r>
          </w:p>
        </w:tc>
      </w:tr>
      <w:tr>
        <w:trPr>
          <w:cantSplit/>
        </w:trPr>
        <w:tc>
          <w:tcPr>
            <w:tcW w:w="709" w:type="dxa"/>
          </w:tcPr>
          <w:p>
            <w:pPr>
              <w:pStyle w:val="yTableNAm"/>
            </w:pPr>
            <w:r>
              <w:t>2.</w:t>
            </w:r>
          </w:p>
        </w:tc>
        <w:tc>
          <w:tcPr>
            <w:tcW w:w="1134" w:type="dxa"/>
          </w:tcPr>
          <w:p>
            <w:pPr>
              <w:pStyle w:val="yTableNAm"/>
            </w:pPr>
            <w:r>
              <w:t>r. 7(2)</w:t>
            </w:r>
          </w:p>
        </w:tc>
        <w:tc>
          <w:tcPr>
            <w:tcW w:w="3543" w:type="dxa"/>
          </w:tcPr>
          <w:p>
            <w:pPr>
              <w:pStyle w:val="yTableNAm"/>
            </w:pPr>
            <w:r>
              <w:t>Bringing prohibited item onto health service provider land without permission</w:t>
            </w:r>
          </w:p>
        </w:tc>
        <w:tc>
          <w:tcPr>
            <w:tcW w:w="1134" w:type="dxa"/>
          </w:tcPr>
          <w:p>
            <w:pPr>
              <w:pStyle w:val="yTableNAm"/>
              <w:jc w:val="center"/>
            </w:pPr>
            <w:r>
              <w:br/>
            </w:r>
            <w:r>
              <w:br/>
              <w:t>100</w:t>
            </w:r>
          </w:p>
        </w:tc>
      </w:tr>
      <w:tr>
        <w:trPr>
          <w:cantSplit/>
        </w:trPr>
        <w:tc>
          <w:tcPr>
            <w:tcW w:w="709" w:type="dxa"/>
          </w:tcPr>
          <w:p>
            <w:pPr>
              <w:pStyle w:val="yTableNAm"/>
            </w:pPr>
            <w:r>
              <w:t>3.</w:t>
            </w:r>
          </w:p>
        </w:tc>
        <w:tc>
          <w:tcPr>
            <w:tcW w:w="1134" w:type="dxa"/>
          </w:tcPr>
          <w:p>
            <w:pPr>
              <w:pStyle w:val="yTableNAm"/>
            </w:pPr>
            <w:r>
              <w:t>r. 8</w:t>
            </w:r>
          </w:p>
        </w:tc>
        <w:tc>
          <w:tcPr>
            <w:tcW w:w="3543" w:type="dxa"/>
          </w:tcPr>
          <w:p>
            <w:pPr>
              <w:pStyle w:val="yTableNAm"/>
            </w:pPr>
            <w:r>
              <w:t>Smoking on health service provider land</w:t>
            </w:r>
          </w:p>
        </w:tc>
        <w:tc>
          <w:tcPr>
            <w:tcW w:w="1134" w:type="dxa"/>
          </w:tcPr>
          <w:p>
            <w:pPr>
              <w:pStyle w:val="yTableNAm"/>
              <w:jc w:val="center"/>
            </w:pPr>
            <w:r>
              <w:br/>
              <w:t>100</w:t>
            </w:r>
          </w:p>
        </w:tc>
      </w:tr>
      <w:tr>
        <w:trPr>
          <w:cantSplit/>
        </w:trPr>
        <w:tc>
          <w:tcPr>
            <w:tcW w:w="709" w:type="dxa"/>
          </w:tcPr>
          <w:p>
            <w:pPr>
              <w:pStyle w:val="yTableNAm"/>
            </w:pPr>
            <w:r>
              <w:t>4.</w:t>
            </w:r>
          </w:p>
        </w:tc>
        <w:tc>
          <w:tcPr>
            <w:tcW w:w="1134" w:type="dxa"/>
          </w:tcPr>
          <w:p>
            <w:pPr>
              <w:pStyle w:val="yTableNAm"/>
            </w:pPr>
            <w:r>
              <w:t>r. 10(1)</w:t>
            </w:r>
          </w:p>
        </w:tc>
        <w:tc>
          <w:tcPr>
            <w:tcW w:w="3543" w:type="dxa"/>
          </w:tcPr>
          <w:p>
            <w:pPr>
              <w:pStyle w:val="yTableNAm"/>
            </w:pPr>
            <w:r>
              <w:t>Driving or bringing vehicle on health service provider land that is not a roadway or parking facility</w:t>
            </w:r>
          </w:p>
        </w:tc>
        <w:tc>
          <w:tcPr>
            <w:tcW w:w="1134" w:type="dxa"/>
          </w:tcPr>
          <w:p>
            <w:pPr>
              <w:pStyle w:val="yTableNAm"/>
              <w:jc w:val="center"/>
            </w:pPr>
            <w:r>
              <w:br/>
            </w:r>
            <w:r>
              <w:br/>
              <w:t>60</w:t>
            </w:r>
          </w:p>
        </w:tc>
      </w:tr>
      <w:tr>
        <w:trPr>
          <w:cantSplit/>
        </w:trPr>
        <w:tc>
          <w:tcPr>
            <w:tcW w:w="709" w:type="dxa"/>
          </w:tcPr>
          <w:p>
            <w:pPr>
              <w:pStyle w:val="yTableNAm"/>
            </w:pPr>
            <w:r>
              <w:t>5.</w:t>
            </w:r>
          </w:p>
        </w:tc>
        <w:tc>
          <w:tcPr>
            <w:tcW w:w="1134" w:type="dxa"/>
          </w:tcPr>
          <w:p>
            <w:pPr>
              <w:pStyle w:val="yTableNAm"/>
            </w:pPr>
            <w:r>
              <w:t>r. 10(2)</w:t>
            </w:r>
          </w:p>
        </w:tc>
        <w:tc>
          <w:tcPr>
            <w:tcW w:w="3543" w:type="dxa"/>
          </w:tcPr>
          <w:p>
            <w:pPr>
              <w:pStyle w:val="yTableNAm"/>
            </w:pPr>
            <w:r>
              <w:t>Bringing heavy vehicle onto health service provider land without permission</w:t>
            </w:r>
          </w:p>
        </w:tc>
        <w:tc>
          <w:tcPr>
            <w:tcW w:w="1134" w:type="dxa"/>
          </w:tcPr>
          <w:p>
            <w:pPr>
              <w:pStyle w:val="yTableNAm"/>
              <w:jc w:val="center"/>
            </w:pPr>
            <w:r>
              <w:br/>
            </w:r>
            <w:r>
              <w:br/>
              <w:t>60</w:t>
            </w:r>
          </w:p>
        </w:tc>
      </w:tr>
      <w:tr>
        <w:trPr>
          <w:cantSplit/>
        </w:trPr>
        <w:tc>
          <w:tcPr>
            <w:tcW w:w="709" w:type="dxa"/>
          </w:tcPr>
          <w:p>
            <w:pPr>
              <w:pStyle w:val="yTableNAm"/>
            </w:pPr>
            <w:r>
              <w:t>6.</w:t>
            </w:r>
          </w:p>
        </w:tc>
        <w:tc>
          <w:tcPr>
            <w:tcW w:w="1134" w:type="dxa"/>
          </w:tcPr>
          <w:p>
            <w:pPr>
              <w:pStyle w:val="yTableNAm"/>
            </w:pPr>
            <w:r>
              <w:t>r. 10(3)</w:t>
            </w:r>
          </w:p>
        </w:tc>
        <w:tc>
          <w:tcPr>
            <w:tcW w:w="3543" w:type="dxa"/>
          </w:tcPr>
          <w:p>
            <w:pPr>
              <w:pStyle w:val="yTableNAm"/>
            </w:pPr>
            <w:r>
              <w:t>Driving or parking vehicle contrary to direction in sign</w:t>
            </w:r>
          </w:p>
        </w:tc>
        <w:tc>
          <w:tcPr>
            <w:tcW w:w="1134" w:type="dxa"/>
          </w:tcPr>
          <w:p>
            <w:pPr>
              <w:pStyle w:val="yTableNAm"/>
              <w:jc w:val="center"/>
            </w:pPr>
            <w:r>
              <w:br/>
              <w:t>60</w:t>
            </w:r>
          </w:p>
        </w:tc>
      </w:tr>
      <w:tr>
        <w:trPr>
          <w:cantSplit/>
        </w:trPr>
        <w:tc>
          <w:tcPr>
            <w:tcW w:w="709" w:type="dxa"/>
          </w:tcPr>
          <w:p>
            <w:pPr>
              <w:pStyle w:val="yTableNAm"/>
            </w:pPr>
            <w:r>
              <w:t>7.</w:t>
            </w:r>
          </w:p>
        </w:tc>
        <w:tc>
          <w:tcPr>
            <w:tcW w:w="1134" w:type="dxa"/>
          </w:tcPr>
          <w:p>
            <w:pPr>
              <w:pStyle w:val="yTableNAm"/>
            </w:pPr>
            <w:r>
              <w:t>r. 11</w:t>
            </w:r>
          </w:p>
        </w:tc>
        <w:tc>
          <w:tcPr>
            <w:tcW w:w="3543" w:type="dxa"/>
          </w:tcPr>
          <w:p>
            <w:pPr>
              <w:pStyle w:val="yTableNAm"/>
            </w:pPr>
            <w:r>
              <w:t>Failure to obey direction in relation to parking or movement of vehicle</w:t>
            </w:r>
          </w:p>
        </w:tc>
        <w:tc>
          <w:tcPr>
            <w:tcW w:w="1134" w:type="dxa"/>
          </w:tcPr>
          <w:p>
            <w:pPr>
              <w:pStyle w:val="yTableNAm"/>
              <w:jc w:val="center"/>
            </w:pPr>
            <w:r>
              <w:br/>
              <w:t>60</w:t>
            </w:r>
          </w:p>
        </w:tc>
      </w:tr>
      <w:tr>
        <w:trPr>
          <w:cantSplit/>
        </w:trPr>
        <w:tc>
          <w:tcPr>
            <w:tcW w:w="709" w:type="dxa"/>
          </w:tcPr>
          <w:p>
            <w:pPr>
              <w:pStyle w:val="yTableNAm"/>
            </w:pPr>
            <w:r>
              <w:t>8.</w:t>
            </w:r>
          </w:p>
        </w:tc>
        <w:tc>
          <w:tcPr>
            <w:tcW w:w="1134" w:type="dxa"/>
          </w:tcPr>
          <w:p>
            <w:pPr>
              <w:pStyle w:val="yTableNAm"/>
            </w:pPr>
            <w:r>
              <w:t>r. 12(1)</w:t>
            </w:r>
          </w:p>
        </w:tc>
        <w:tc>
          <w:tcPr>
            <w:tcW w:w="3543" w:type="dxa"/>
          </w:tcPr>
          <w:p>
            <w:pPr>
              <w:pStyle w:val="yTableNAm"/>
            </w:pPr>
            <w:r>
              <w:t>Exceeding speed limit for vehicles on roadway or parking facility</w:t>
            </w:r>
          </w:p>
        </w:tc>
        <w:tc>
          <w:tcPr>
            <w:tcW w:w="1134" w:type="dxa"/>
          </w:tcPr>
          <w:p>
            <w:pPr>
              <w:pStyle w:val="yTableNAm"/>
              <w:jc w:val="center"/>
            </w:pPr>
            <w:r>
              <w:br/>
              <w:t>100</w:t>
            </w:r>
          </w:p>
        </w:tc>
      </w:tr>
      <w:tr>
        <w:trPr>
          <w:cantSplit/>
        </w:trPr>
        <w:tc>
          <w:tcPr>
            <w:tcW w:w="709" w:type="dxa"/>
          </w:tcPr>
          <w:p>
            <w:pPr>
              <w:pStyle w:val="yTableNAm"/>
            </w:pPr>
            <w:r>
              <w:t>9.</w:t>
            </w:r>
          </w:p>
        </w:tc>
        <w:tc>
          <w:tcPr>
            <w:tcW w:w="1134" w:type="dxa"/>
          </w:tcPr>
          <w:p>
            <w:pPr>
              <w:pStyle w:val="yTableNAm"/>
            </w:pPr>
            <w:r>
              <w:t>r. 13</w:t>
            </w:r>
          </w:p>
        </w:tc>
        <w:tc>
          <w:tcPr>
            <w:tcW w:w="3543" w:type="dxa"/>
          </w:tcPr>
          <w:p>
            <w:pPr>
              <w:pStyle w:val="yTableNAm"/>
            </w:pPr>
            <w:r>
              <w:t>Failure to give way to vehicle leaving parking facility</w:t>
            </w:r>
          </w:p>
        </w:tc>
        <w:tc>
          <w:tcPr>
            <w:tcW w:w="1134" w:type="dxa"/>
          </w:tcPr>
          <w:p>
            <w:pPr>
              <w:pStyle w:val="yTableNAm"/>
              <w:jc w:val="center"/>
            </w:pPr>
            <w:r>
              <w:br/>
              <w:t>60</w:t>
            </w:r>
          </w:p>
        </w:tc>
      </w:tr>
      <w:tr>
        <w:trPr>
          <w:cantSplit/>
        </w:trPr>
        <w:tc>
          <w:tcPr>
            <w:tcW w:w="709" w:type="dxa"/>
          </w:tcPr>
          <w:p>
            <w:pPr>
              <w:pStyle w:val="yTableNAm"/>
            </w:pPr>
            <w:r>
              <w:t>10.</w:t>
            </w:r>
          </w:p>
        </w:tc>
        <w:tc>
          <w:tcPr>
            <w:tcW w:w="1134" w:type="dxa"/>
          </w:tcPr>
          <w:p>
            <w:pPr>
              <w:pStyle w:val="yTableNAm"/>
            </w:pPr>
            <w:r>
              <w:t>r. 14</w:t>
            </w:r>
          </w:p>
        </w:tc>
        <w:tc>
          <w:tcPr>
            <w:tcW w:w="3543" w:type="dxa"/>
          </w:tcPr>
          <w:p>
            <w:pPr>
              <w:pStyle w:val="yTableNAm"/>
            </w:pPr>
            <w:r>
              <w:t>Repairing vehicle or using vehicle to give or receive driving instruction on health service provider land</w:t>
            </w:r>
          </w:p>
        </w:tc>
        <w:tc>
          <w:tcPr>
            <w:tcW w:w="1134" w:type="dxa"/>
          </w:tcPr>
          <w:p>
            <w:pPr>
              <w:pStyle w:val="yTableNAm"/>
              <w:jc w:val="center"/>
            </w:pPr>
            <w:r>
              <w:br/>
            </w:r>
            <w:r>
              <w:br/>
              <w:t>60</w:t>
            </w:r>
          </w:p>
        </w:tc>
      </w:tr>
      <w:tr>
        <w:trPr>
          <w:cantSplit/>
        </w:trPr>
        <w:tc>
          <w:tcPr>
            <w:tcW w:w="709" w:type="dxa"/>
          </w:tcPr>
          <w:p>
            <w:pPr>
              <w:pStyle w:val="yTableNAm"/>
            </w:pPr>
            <w:r>
              <w:t>11.</w:t>
            </w:r>
          </w:p>
        </w:tc>
        <w:tc>
          <w:tcPr>
            <w:tcW w:w="1134" w:type="dxa"/>
          </w:tcPr>
          <w:p>
            <w:pPr>
              <w:pStyle w:val="yTableNAm"/>
            </w:pPr>
            <w:r>
              <w:t>r. 15</w:t>
            </w:r>
          </w:p>
        </w:tc>
        <w:tc>
          <w:tcPr>
            <w:tcW w:w="3543" w:type="dxa"/>
          </w:tcPr>
          <w:p>
            <w:pPr>
              <w:pStyle w:val="yTableNAm"/>
            </w:pPr>
            <w:r>
              <w:t>Parking in place that is not parking space</w:t>
            </w:r>
          </w:p>
        </w:tc>
        <w:tc>
          <w:tcPr>
            <w:tcW w:w="1134" w:type="dxa"/>
          </w:tcPr>
          <w:p>
            <w:pPr>
              <w:pStyle w:val="yTableNAm"/>
              <w:jc w:val="center"/>
            </w:pPr>
            <w:r>
              <w:br/>
              <w:t>60</w:t>
            </w:r>
          </w:p>
        </w:tc>
      </w:tr>
      <w:tr>
        <w:trPr>
          <w:cantSplit/>
        </w:trPr>
        <w:tc>
          <w:tcPr>
            <w:tcW w:w="709" w:type="dxa"/>
          </w:tcPr>
          <w:p>
            <w:pPr>
              <w:pStyle w:val="yTableNAm"/>
            </w:pPr>
            <w:r>
              <w:t>12.</w:t>
            </w:r>
          </w:p>
        </w:tc>
        <w:tc>
          <w:tcPr>
            <w:tcW w:w="1134" w:type="dxa"/>
          </w:tcPr>
          <w:p>
            <w:pPr>
              <w:pStyle w:val="yTableNAm"/>
            </w:pPr>
            <w:r>
              <w:t>r. 16</w:t>
            </w:r>
          </w:p>
        </w:tc>
        <w:tc>
          <w:tcPr>
            <w:tcW w:w="3543" w:type="dxa"/>
          </w:tcPr>
          <w:p>
            <w:pPr>
              <w:pStyle w:val="yTableNAm"/>
            </w:pPr>
            <w:r>
              <w:t>Contravening direction in a sign</w:t>
            </w:r>
          </w:p>
        </w:tc>
        <w:tc>
          <w:tcPr>
            <w:tcW w:w="1134" w:type="dxa"/>
          </w:tcPr>
          <w:p>
            <w:pPr>
              <w:pStyle w:val="yTableNAm"/>
              <w:jc w:val="center"/>
            </w:pPr>
            <w:r>
              <w:t>60</w:t>
            </w:r>
          </w:p>
        </w:tc>
      </w:tr>
      <w:tr>
        <w:trPr>
          <w:cantSplit/>
        </w:trPr>
        <w:tc>
          <w:tcPr>
            <w:tcW w:w="709" w:type="dxa"/>
          </w:tcPr>
          <w:p>
            <w:pPr>
              <w:pStyle w:val="yTableNAm"/>
            </w:pPr>
            <w:r>
              <w:t>13.</w:t>
            </w:r>
          </w:p>
        </w:tc>
        <w:tc>
          <w:tcPr>
            <w:tcW w:w="1134" w:type="dxa"/>
          </w:tcPr>
          <w:p>
            <w:pPr>
              <w:pStyle w:val="yTableNAm"/>
            </w:pPr>
            <w:r>
              <w:t>r. 17(3)</w:t>
            </w:r>
          </w:p>
        </w:tc>
        <w:tc>
          <w:tcPr>
            <w:tcW w:w="3543" w:type="dxa"/>
          </w:tcPr>
          <w:p>
            <w:pPr>
              <w:pStyle w:val="yTableNAm"/>
            </w:pPr>
            <w:r>
              <w:t>Contravening direction in sign in a parking space or parking facility</w:t>
            </w:r>
          </w:p>
        </w:tc>
        <w:tc>
          <w:tcPr>
            <w:tcW w:w="1134" w:type="dxa"/>
          </w:tcPr>
          <w:p>
            <w:pPr>
              <w:pStyle w:val="yTableNAm"/>
              <w:jc w:val="center"/>
            </w:pPr>
            <w:r>
              <w:br/>
              <w:t>60</w:t>
            </w:r>
          </w:p>
        </w:tc>
      </w:tr>
      <w:tr>
        <w:trPr>
          <w:cantSplit/>
        </w:trPr>
        <w:tc>
          <w:tcPr>
            <w:tcW w:w="709" w:type="dxa"/>
          </w:tcPr>
          <w:p>
            <w:pPr>
              <w:pStyle w:val="yTableNAm"/>
            </w:pPr>
            <w:r>
              <w:t>14.</w:t>
            </w:r>
          </w:p>
        </w:tc>
        <w:tc>
          <w:tcPr>
            <w:tcW w:w="1134" w:type="dxa"/>
          </w:tcPr>
          <w:p>
            <w:pPr>
              <w:pStyle w:val="yTableNAm"/>
            </w:pPr>
            <w:r>
              <w:t>r. 19(2)</w:t>
            </w:r>
          </w:p>
        </w:tc>
        <w:tc>
          <w:tcPr>
            <w:tcW w:w="3543" w:type="dxa"/>
          </w:tcPr>
          <w:p>
            <w:pPr>
              <w:pStyle w:val="yTableNAm"/>
            </w:pPr>
            <w:r>
              <w:t>Parking in ticket parking area without purchasing or displaying ticket</w:t>
            </w:r>
          </w:p>
        </w:tc>
        <w:tc>
          <w:tcPr>
            <w:tcW w:w="1134" w:type="dxa"/>
          </w:tcPr>
          <w:p>
            <w:pPr>
              <w:pStyle w:val="yTableNAm"/>
              <w:jc w:val="center"/>
            </w:pPr>
            <w:r>
              <w:br/>
            </w:r>
            <w:r>
              <w:br/>
              <w:t>60</w:t>
            </w:r>
          </w:p>
        </w:tc>
      </w:tr>
      <w:tr>
        <w:trPr>
          <w:cantSplit/>
        </w:trPr>
        <w:tc>
          <w:tcPr>
            <w:tcW w:w="709" w:type="dxa"/>
          </w:tcPr>
          <w:p>
            <w:pPr>
              <w:pStyle w:val="yTableNAm"/>
            </w:pPr>
            <w:r>
              <w:t>15.</w:t>
            </w:r>
          </w:p>
        </w:tc>
        <w:tc>
          <w:tcPr>
            <w:tcW w:w="1134" w:type="dxa"/>
          </w:tcPr>
          <w:p>
            <w:pPr>
              <w:pStyle w:val="yTableNAm"/>
            </w:pPr>
            <w:r>
              <w:t>r. 19(5)</w:t>
            </w:r>
          </w:p>
        </w:tc>
        <w:tc>
          <w:tcPr>
            <w:tcW w:w="3543" w:type="dxa"/>
          </w:tcPr>
          <w:p>
            <w:pPr>
              <w:pStyle w:val="yTableNAm"/>
            </w:pPr>
            <w:r>
              <w:t>Removing vehicle from boom gate controlled ticket parking area without paying fee</w:t>
            </w:r>
          </w:p>
        </w:tc>
        <w:tc>
          <w:tcPr>
            <w:tcW w:w="1134" w:type="dxa"/>
          </w:tcPr>
          <w:p>
            <w:pPr>
              <w:pStyle w:val="yTableNAm"/>
              <w:jc w:val="center"/>
            </w:pPr>
            <w:r>
              <w:br/>
            </w:r>
            <w:r>
              <w:br/>
              <w:t>60</w:t>
            </w:r>
          </w:p>
        </w:tc>
      </w:tr>
      <w:tr>
        <w:trPr>
          <w:cantSplit/>
        </w:trPr>
        <w:tc>
          <w:tcPr>
            <w:tcW w:w="709" w:type="dxa"/>
          </w:tcPr>
          <w:p>
            <w:pPr>
              <w:pStyle w:val="yTableNAm"/>
            </w:pPr>
            <w:r>
              <w:t>16.</w:t>
            </w:r>
          </w:p>
        </w:tc>
        <w:tc>
          <w:tcPr>
            <w:tcW w:w="1134" w:type="dxa"/>
          </w:tcPr>
          <w:p>
            <w:pPr>
              <w:pStyle w:val="yTableNAm"/>
            </w:pPr>
            <w:r>
              <w:t>r. 19(7)</w:t>
            </w:r>
          </w:p>
        </w:tc>
        <w:tc>
          <w:tcPr>
            <w:tcW w:w="3543" w:type="dxa"/>
          </w:tcPr>
          <w:p>
            <w:pPr>
              <w:pStyle w:val="yTableNAm"/>
            </w:pPr>
            <w:r>
              <w:t>Leaving site while vehicle parked in ticket parking area or boom gate controlled ticket parking area</w:t>
            </w:r>
          </w:p>
        </w:tc>
        <w:tc>
          <w:tcPr>
            <w:tcW w:w="1134" w:type="dxa"/>
          </w:tcPr>
          <w:p>
            <w:pPr>
              <w:pStyle w:val="yTableNAm"/>
              <w:jc w:val="center"/>
            </w:pPr>
            <w:r>
              <w:br/>
            </w:r>
            <w:r>
              <w:br/>
              <w:t>60</w:t>
            </w:r>
          </w:p>
        </w:tc>
      </w:tr>
      <w:tr>
        <w:trPr>
          <w:cantSplit/>
        </w:trPr>
        <w:tc>
          <w:tcPr>
            <w:tcW w:w="709" w:type="dxa"/>
          </w:tcPr>
          <w:p>
            <w:pPr>
              <w:pStyle w:val="yTableNAm"/>
            </w:pPr>
            <w:r>
              <w:t>17.</w:t>
            </w:r>
          </w:p>
        </w:tc>
        <w:tc>
          <w:tcPr>
            <w:tcW w:w="1134" w:type="dxa"/>
          </w:tcPr>
          <w:p>
            <w:pPr>
              <w:pStyle w:val="yTableNAm"/>
            </w:pPr>
            <w:r>
              <w:t>r. 20(2)</w:t>
            </w:r>
          </w:p>
        </w:tc>
        <w:tc>
          <w:tcPr>
            <w:tcW w:w="3543" w:type="dxa"/>
          </w:tcPr>
          <w:p>
            <w:pPr>
              <w:pStyle w:val="yTableNAm"/>
            </w:pPr>
            <w:r>
              <w:t>Parking in paid staff parking area for which person is not eligible staff member</w:t>
            </w:r>
          </w:p>
        </w:tc>
        <w:tc>
          <w:tcPr>
            <w:tcW w:w="1134" w:type="dxa"/>
          </w:tcPr>
          <w:p>
            <w:pPr>
              <w:pStyle w:val="yTableNAm"/>
              <w:jc w:val="center"/>
            </w:pPr>
            <w:r>
              <w:br/>
            </w:r>
            <w:r>
              <w:br/>
              <w:t>60</w:t>
            </w:r>
          </w:p>
        </w:tc>
      </w:tr>
      <w:tr>
        <w:trPr>
          <w:cantSplit/>
        </w:trPr>
        <w:tc>
          <w:tcPr>
            <w:tcW w:w="709" w:type="dxa"/>
          </w:tcPr>
          <w:p>
            <w:pPr>
              <w:pStyle w:val="yTableNAm"/>
            </w:pPr>
            <w:r>
              <w:t>18.</w:t>
            </w:r>
          </w:p>
        </w:tc>
        <w:tc>
          <w:tcPr>
            <w:tcW w:w="1134" w:type="dxa"/>
          </w:tcPr>
          <w:p>
            <w:pPr>
              <w:pStyle w:val="yTableNAm"/>
            </w:pPr>
            <w:r>
              <w:t>r. 20(3)</w:t>
            </w:r>
          </w:p>
        </w:tc>
        <w:tc>
          <w:tcPr>
            <w:tcW w:w="3543" w:type="dxa"/>
          </w:tcPr>
          <w:p>
            <w:pPr>
              <w:pStyle w:val="yTableNAm"/>
            </w:pPr>
            <w:r>
              <w:t>Removing vehicle from paid staff parking area without paying fee</w:t>
            </w:r>
          </w:p>
        </w:tc>
        <w:tc>
          <w:tcPr>
            <w:tcW w:w="1134" w:type="dxa"/>
          </w:tcPr>
          <w:p>
            <w:pPr>
              <w:pStyle w:val="yTableNAm"/>
              <w:jc w:val="center"/>
            </w:pPr>
            <w:r>
              <w:br/>
              <w:t>60</w:t>
            </w:r>
          </w:p>
        </w:tc>
      </w:tr>
      <w:tr>
        <w:trPr>
          <w:cantSplit/>
        </w:trPr>
        <w:tc>
          <w:tcPr>
            <w:tcW w:w="709" w:type="dxa"/>
          </w:tcPr>
          <w:p>
            <w:pPr>
              <w:pStyle w:val="yTableNAm"/>
            </w:pPr>
            <w:r>
              <w:t>19.</w:t>
            </w:r>
          </w:p>
        </w:tc>
        <w:tc>
          <w:tcPr>
            <w:tcW w:w="1134" w:type="dxa"/>
          </w:tcPr>
          <w:p>
            <w:pPr>
              <w:pStyle w:val="yTableNAm"/>
            </w:pPr>
            <w:r>
              <w:t>r. 21(2)</w:t>
            </w:r>
          </w:p>
        </w:tc>
        <w:tc>
          <w:tcPr>
            <w:tcW w:w="3543" w:type="dxa"/>
          </w:tcPr>
          <w:p>
            <w:pPr>
              <w:pStyle w:val="yTableNAm"/>
            </w:pPr>
            <w:r>
              <w:t xml:space="preserve">Parking in permit parking area — </w:t>
            </w:r>
          </w:p>
          <w:p>
            <w:pPr>
              <w:pStyle w:val="yTableNAm"/>
            </w:pPr>
            <w:r>
              <w:t>without holding and displaying parking permit; or</w:t>
            </w:r>
          </w:p>
          <w:p>
            <w:pPr>
              <w:pStyle w:val="yTableNAm"/>
            </w:pPr>
            <w:r>
              <w:t>other than in accordance with parking permit</w:t>
            </w:r>
          </w:p>
        </w:tc>
        <w:tc>
          <w:tcPr>
            <w:tcW w:w="1134" w:type="dxa"/>
          </w:tcPr>
          <w:p>
            <w:pPr>
              <w:pStyle w:val="yTableNAm"/>
              <w:jc w:val="center"/>
            </w:pPr>
          </w:p>
          <w:p>
            <w:pPr>
              <w:pStyle w:val="yTableNAm"/>
              <w:jc w:val="center"/>
            </w:pPr>
            <w:r>
              <w:br/>
            </w:r>
          </w:p>
          <w:p>
            <w:pPr>
              <w:pStyle w:val="yTableNAm"/>
              <w:jc w:val="center"/>
            </w:pPr>
            <w:r>
              <w:br/>
              <w:t>60</w:t>
            </w:r>
          </w:p>
        </w:tc>
      </w:tr>
    </w:tbl>
    <w:p>
      <w:pPr>
        <w:pStyle w:val="yFootnotesection"/>
      </w:pPr>
      <w:r>
        <w:tab/>
        <w:t>[Schedule 2 inserted: Gazette 29 Nov 2016 p. 5320</w:t>
      </w:r>
      <w:r>
        <w:noBreakHyphen/>
        <w:t>2.]</w:t>
      </w:r>
    </w:p>
    <w:p>
      <w:pPr>
        <w:pStyle w:val="yScheduleHeading"/>
      </w:pPr>
      <w:bookmarkStart w:id="193" w:name="_Toc201303917"/>
      <w:bookmarkStart w:id="194" w:name="_Toc201304809"/>
      <w:bookmarkStart w:id="195" w:name="_Toc201304897"/>
      <w:bookmarkStart w:id="196" w:name="_Toc201314564"/>
      <w:bookmarkStart w:id="197" w:name="_Toc192774178"/>
      <w:bookmarkStart w:id="198" w:name="_Toc192775063"/>
      <w:bookmarkStart w:id="199" w:name="_Toc192775666"/>
      <w:r>
        <w:rPr>
          <w:rStyle w:val="CharSchNo"/>
        </w:rPr>
        <w:t>Schedule 3</w:t>
      </w:r>
      <w:r>
        <w:rPr>
          <w:rStyle w:val="CharSDivNo"/>
        </w:rPr>
        <w:t> </w:t>
      </w:r>
      <w:r>
        <w:t>—</w:t>
      </w:r>
      <w:r>
        <w:rPr>
          <w:rStyle w:val="CharSDivText"/>
        </w:rPr>
        <w:t> </w:t>
      </w:r>
      <w:r>
        <w:rPr>
          <w:rStyle w:val="CharSchText"/>
        </w:rPr>
        <w:t>Infringement notice forms</w:t>
      </w:r>
      <w:bookmarkEnd w:id="193"/>
      <w:bookmarkEnd w:id="194"/>
      <w:bookmarkEnd w:id="195"/>
      <w:bookmarkEnd w:id="196"/>
      <w:bookmarkEnd w:id="197"/>
      <w:bookmarkEnd w:id="198"/>
      <w:bookmarkEnd w:id="199"/>
    </w:p>
    <w:p>
      <w:pPr>
        <w:pStyle w:val="yShoulderClause"/>
      </w:pPr>
      <w:r>
        <w:t>[r. 31]</w:t>
      </w:r>
    </w:p>
    <w:p>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trPr>
          <w:cantSplit/>
          <w:trHeight w:val="282"/>
        </w:trPr>
        <w:tc>
          <w:tcPr>
            <w:tcW w:w="4948" w:type="dxa"/>
            <w:gridSpan w:val="6"/>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INFRINGEMENT NOTICE</w:t>
            </w:r>
          </w:p>
        </w:tc>
        <w:tc>
          <w:tcPr>
            <w:tcW w:w="2126" w:type="dxa"/>
            <w:gridSpan w:val="2"/>
          </w:tcPr>
          <w:p>
            <w:pPr>
              <w:pStyle w:val="yTableNAm"/>
            </w:pPr>
            <w:r>
              <w:rPr>
                <w:szCs w:val="22"/>
              </w:rPr>
              <w:t xml:space="preserve">Infringement </w:t>
            </w:r>
            <w:r>
              <w:rPr>
                <w:szCs w:val="22"/>
              </w:rPr>
              <w:br/>
              <w:t>notice no.</w:t>
            </w:r>
          </w:p>
        </w:tc>
      </w:tr>
      <w:tr>
        <w:trPr>
          <w:cantSplit/>
          <w:trHeight w:val="150"/>
        </w:trPr>
        <w:tc>
          <w:tcPr>
            <w:tcW w:w="1546" w:type="dxa"/>
            <w:vMerge w:val="restart"/>
          </w:tcPr>
          <w:p>
            <w:pPr>
              <w:pStyle w:val="yTableNAm"/>
              <w:rPr>
                <w:b/>
                <w:szCs w:val="22"/>
              </w:rPr>
            </w:pPr>
            <w:r>
              <w:rPr>
                <w:b/>
                <w:szCs w:val="22"/>
              </w:rPr>
              <w:t>Alleged offender</w:t>
            </w:r>
          </w:p>
          <w:p>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pPr>
              <w:pStyle w:val="yTableNAm"/>
            </w:pPr>
            <w:r>
              <w:rPr>
                <w:szCs w:val="22"/>
              </w:rPr>
              <w:t>Name</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vMerge w:val="restart"/>
          </w:tcPr>
          <w:p>
            <w:pPr>
              <w:pStyle w:val="yTableNAm"/>
            </w:pPr>
            <w:r>
              <w:rPr>
                <w:szCs w:val="22"/>
              </w:rPr>
              <w:t>Address</w:t>
            </w:r>
          </w:p>
        </w:tc>
        <w:tc>
          <w:tcPr>
            <w:tcW w:w="4111" w:type="dxa"/>
            <w:gridSpan w:val="5"/>
          </w:tcPr>
          <w:p>
            <w:pPr>
              <w:pStyle w:val="yTableNAm"/>
            </w:pPr>
          </w:p>
        </w:tc>
      </w:tr>
      <w:tr>
        <w:trPr>
          <w:cantSplit/>
          <w:trHeight w:val="15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Height w:val="150"/>
        </w:trPr>
        <w:tc>
          <w:tcPr>
            <w:tcW w:w="1546" w:type="dxa"/>
          </w:tcPr>
          <w:p>
            <w:pPr>
              <w:pStyle w:val="zyTableNAm"/>
              <w:rPr>
                <w:b/>
                <w:szCs w:val="22"/>
              </w:rPr>
            </w:pPr>
          </w:p>
        </w:tc>
        <w:tc>
          <w:tcPr>
            <w:tcW w:w="5528" w:type="dxa"/>
            <w:gridSpan w:val="7"/>
          </w:tcPr>
          <w:p>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trPr>
          <w:cantSplit/>
          <w:trHeight w:val="496"/>
        </w:trPr>
        <w:tc>
          <w:tcPr>
            <w:tcW w:w="1546" w:type="dxa"/>
            <w:vMerge w:val="restart"/>
          </w:tcPr>
          <w:p>
            <w:pPr>
              <w:pStyle w:val="zyTableNAm"/>
              <w:rPr>
                <w:b/>
                <w:szCs w:val="22"/>
              </w:rPr>
            </w:pPr>
            <w:r>
              <w:rPr>
                <w:b/>
                <w:szCs w:val="22"/>
              </w:rPr>
              <w:t xml:space="preserve">Details of vehicle </w:t>
            </w:r>
          </w:p>
          <w:p>
            <w:pPr>
              <w:pStyle w:val="zyTableNAm"/>
              <w:rPr>
                <w:b/>
                <w:szCs w:val="22"/>
              </w:rPr>
            </w:pPr>
            <w:r>
              <w:rPr>
                <w:b/>
                <w:szCs w:val="22"/>
              </w:rPr>
              <w:t>(if relevant)</w:t>
            </w:r>
          </w:p>
        </w:tc>
        <w:tc>
          <w:tcPr>
            <w:tcW w:w="1417" w:type="dxa"/>
            <w:gridSpan w:val="2"/>
          </w:tcPr>
          <w:p>
            <w:pPr>
              <w:pStyle w:val="yTableNAm"/>
            </w:pPr>
            <w:r>
              <w:t>Reg. no.</w:t>
            </w:r>
          </w:p>
        </w:tc>
        <w:tc>
          <w:tcPr>
            <w:tcW w:w="4111" w:type="dxa"/>
            <w:gridSpan w:val="5"/>
          </w:tcPr>
          <w:p>
            <w:pPr>
              <w:pStyle w:val="yTableNAm"/>
            </w:pPr>
          </w:p>
        </w:tc>
      </w:tr>
      <w:tr>
        <w:trPr>
          <w:cantSplit/>
          <w:trHeight w:val="495"/>
        </w:trPr>
        <w:tc>
          <w:tcPr>
            <w:tcW w:w="1546" w:type="dxa"/>
            <w:vMerge/>
          </w:tcPr>
          <w:p>
            <w:pPr>
              <w:pStyle w:val="zyTableNAm"/>
              <w:rPr>
                <w:b/>
                <w:szCs w:val="22"/>
              </w:rPr>
            </w:pPr>
          </w:p>
        </w:tc>
        <w:tc>
          <w:tcPr>
            <w:tcW w:w="1417" w:type="dxa"/>
            <w:gridSpan w:val="2"/>
          </w:tcPr>
          <w:p>
            <w:pPr>
              <w:pStyle w:val="yTableNAm"/>
            </w:pPr>
            <w:r>
              <w:t>State/</w:t>
            </w:r>
          </w:p>
          <w:p>
            <w:pPr>
              <w:pStyle w:val="yTableNAm"/>
            </w:pPr>
            <w:r>
              <w:t>Territory</w:t>
            </w:r>
          </w:p>
        </w:tc>
        <w:tc>
          <w:tcPr>
            <w:tcW w:w="4111" w:type="dxa"/>
            <w:gridSpan w:val="5"/>
          </w:tcPr>
          <w:p>
            <w:pPr>
              <w:pStyle w:val="yTableNAm"/>
            </w:pPr>
          </w:p>
        </w:tc>
      </w:tr>
      <w:tr>
        <w:trPr>
          <w:cantSplit/>
          <w:trHeight w:val="150"/>
        </w:trPr>
        <w:tc>
          <w:tcPr>
            <w:tcW w:w="1546" w:type="dxa"/>
            <w:vMerge w:val="restart"/>
          </w:tcPr>
          <w:p>
            <w:pPr>
              <w:pStyle w:val="yTableNAm"/>
            </w:pPr>
            <w:r>
              <w:rPr>
                <w:b/>
                <w:szCs w:val="22"/>
              </w:rPr>
              <w:t>Details of alleged offence</w:t>
            </w:r>
          </w:p>
        </w:tc>
        <w:tc>
          <w:tcPr>
            <w:tcW w:w="1417" w:type="dxa"/>
            <w:gridSpan w:val="2"/>
          </w:tcPr>
          <w:p>
            <w:pPr>
              <w:pStyle w:val="yTableNAm"/>
            </w:pPr>
            <w:r>
              <w:rPr>
                <w:szCs w:val="22"/>
              </w:rPr>
              <w:t>Date or period</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Place</w:t>
            </w:r>
          </w:p>
        </w:tc>
        <w:tc>
          <w:tcPr>
            <w:tcW w:w="4111" w:type="dxa"/>
            <w:gridSpan w:val="5"/>
          </w:tcPr>
          <w:p>
            <w:pPr>
              <w:pStyle w:val="yTableNAm"/>
            </w:pPr>
          </w:p>
        </w:tc>
      </w:tr>
      <w:tr>
        <w:trPr>
          <w:cantSplit/>
          <w:trHeight w:val="150"/>
        </w:trPr>
        <w:tc>
          <w:tcPr>
            <w:tcW w:w="1546" w:type="dxa"/>
            <w:vMerge/>
          </w:tcPr>
          <w:p>
            <w:pPr>
              <w:pStyle w:val="yTableNAm"/>
            </w:pPr>
          </w:p>
        </w:tc>
        <w:tc>
          <w:tcPr>
            <w:tcW w:w="1417" w:type="dxa"/>
            <w:gridSpan w:val="2"/>
          </w:tcPr>
          <w:p>
            <w:pPr>
              <w:pStyle w:val="yTableNAm"/>
            </w:pPr>
            <w:r>
              <w:rPr>
                <w:szCs w:val="22"/>
              </w:rPr>
              <w:t>Written law contravened</w:t>
            </w:r>
          </w:p>
        </w:tc>
        <w:tc>
          <w:tcPr>
            <w:tcW w:w="4111" w:type="dxa"/>
            <w:gridSpan w:val="5"/>
          </w:tcPr>
          <w:p>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46" w:type="dxa"/>
            <w:vMerge/>
          </w:tcPr>
          <w:p>
            <w:pPr>
              <w:pStyle w:val="yTableNAm"/>
            </w:pPr>
          </w:p>
        </w:tc>
        <w:tc>
          <w:tcPr>
            <w:tcW w:w="1417" w:type="dxa"/>
            <w:gridSpan w:val="2"/>
            <w:vMerge w:val="restart"/>
          </w:tcPr>
          <w:p>
            <w:pPr>
              <w:pStyle w:val="yTableNAm"/>
            </w:pPr>
            <w:r>
              <w:rPr>
                <w:szCs w:val="22"/>
              </w:rPr>
              <w:t>Details of offence</w:t>
            </w:r>
          </w:p>
        </w:tc>
        <w:tc>
          <w:tcPr>
            <w:tcW w:w="4111" w:type="dxa"/>
            <w:gridSpan w:val="5"/>
          </w:tcPr>
          <w:p>
            <w:pPr>
              <w:pStyle w:val="yTableNAm"/>
            </w:pPr>
          </w:p>
        </w:tc>
      </w:tr>
      <w:tr>
        <w:trPr>
          <w:cantSplit/>
          <w:trHeight w:val="310"/>
        </w:trPr>
        <w:tc>
          <w:tcPr>
            <w:tcW w:w="1546" w:type="dxa"/>
            <w:vMerge/>
          </w:tcPr>
          <w:p>
            <w:pPr>
              <w:pStyle w:val="zyTableNAm"/>
              <w:rPr>
                <w:b/>
                <w:szCs w:val="22"/>
              </w:rPr>
            </w:pPr>
          </w:p>
        </w:tc>
        <w:tc>
          <w:tcPr>
            <w:tcW w:w="1417" w:type="dxa"/>
            <w:gridSpan w:val="2"/>
            <w:vMerge/>
          </w:tcPr>
          <w:p>
            <w:pPr>
              <w:pStyle w:val="yTableNAm"/>
            </w:pPr>
          </w:p>
        </w:tc>
        <w:tc>
          <w:tcPr>
            <w:tcW w:w="4111" w:type="dxa"/>
            <w:gridSpan w:val="5"/>
          </w:tcPr>
          <w:p>
            <w:pPr>
              <w:pStyle w:val="yTableNAm"/>
            </w:pPr>
          </w:p>
        </w:tc>
      </w:tr>
      <w:tr>
        <w:trPr>
          <w:cantSplit/>
        </w:trPr>
        <w:tc>
          <w:tcPr>
            <w:tcW w:w="1546" w:type="dxa"/>
          </w:tcPr>
          <w:p>
            <w:pPr>
              <w:pStyle w:val="yTableNAm"/>
            </w:pPr>
            <w:r>
              <w:rPr>
                <w:b/>
                <w:szCs w:val="22"/>
              </w:rPr>
              <w:t>Date</w:t>
            </w:r>
          </w:p>
        </w:tc>
        <w:tc>
          <w:tcPr>
            <w:tcW w:w="1417" w:type="dxa"/>
            <w:gridSpan w:val="2"/>
          </w:tcPr>
          <w:p>
            <w:pPr>
              <w:pStyle w:val="yTableNAm"/>
            </w:pPr>
            <w:r>
              <w:rPr>
                <w:szCs w:val="22"/>
              </w:rPr>
              <w:t>Date of notice</w:t>
            </w:r>
          </w:p>
        </w:tc>
        <w:tc>
          <w:tcPr>
            <w:tcW w:w="4111" w:type="dxa"/>
            <w:gridSpan w:val="5"/>
          </w:tcPr>
          <w:p>
            <w:pPr>
              <w:pStyle w:val="yTableNAm"/>
            </w:pPr>
          </w:p>
        </w:tc>
      </w:tr>
      <w:tr>
        <w:trPr>
          <w:cantSplit/>
        </w:trPr>
        <w:tc>
          <w:tcPr>
            <w:tcW w:w="1546" w:type="dxa"/>
            <w:vMerge w:val="restart"/>
          </w:tcPr>
          <w:p>
            <w:pPr>
              <w:pStyle w:val="yTableNAm"/>
            </w:pPr>
            <w:r>
              <w:rPr>
                <w:b/>
                <w:szCs w:val="22"/>
              </w:rPr>
              <w:t>Issuing officer</w:t>
            </w:r>
          </w:p>
        </w:tc>
        <w:tc>
          <w:tcPr>
            <w:tcW w:w="1417" w:type="dxa"/>
            <w:gridSpan w:val="2"/>
          </w:tcPr>
          <w:p>
            <w:pPr>
              <w:pStyle w:val="yTableNAm"/>
            </w:pPr>
            <w:r>
              <w:rPr>
                <w:szCs w:val="22"/>
              </w:rPr>
              <w:t>Name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Office</w:t>
            </w:r>
          </w:p>
        </w:tc>
        <w:tc>
          <w:tcPr>
            <w:tcW w:w="4111" w:type="dxa"/>
            <w:gridSpan w:val="5"/>
          </w:tcPr>
          <w:p>
            <w:pPr>
              <w:pStyle w:val="yTableNAm"/>
            </w:pPr>
          </w:p>
        </w:tc>
      </w:tr>
      <w:tr>
        <w:trPr>
          <w:cantSplit/>
        </w:trPr>
        <w:tc>
          <w:tcPr>
            <w:tcW w:w="1546" w:type="dxa"/>
            <w:vMerge/>
          </w:tcPr>
          <w:p>
            <w:pPr>
              <w:pStyle w:val="yTableNAm"/>
            </w:pPr>
          </w:p>
        </w:tc>
        <w:tc>
          <w:tcPr>
            <w:tcW w:w="1417" w:type="dxa"/>
            <w:gridSpan w:val="2"/>
          </w:tcPr>
          <w:p>
            <w:pPr>
              <w:pStyle w:val="yTableNAm"/>
            </w:pPr>
            <w:r>
              <w:rPr>
                <w:szCs w:val="22"/>
              </w:rPr>
              <w:t>Signature</w:t>
            </w:r>
          </w:p>
        </w:tc>
        <w:tc>
          <w:tcPr>
            <w:tcW w:w="4111" w:type="dxa"/>
            <w:gridSpan w:val="5"/>
          </w:tcPr>
          <w:p>
            <w:pPr>
              <w:pStyle w:val="yTableNAm"/>
            </w:pPr>
          </w:p>
        </w:tc>
      </w:tr>
      <w:tr>
        <w:trPr>
          <w:trHeight w:val="604"/>
        </w:trPr>
        <w:tc>
          <w:tcPr>
            <w:tcW w:w="1546" w:type="dxa"/>
          </w:tcPr>
          <w:p>
            <w:pPr>
              <w:pStyle w:val="yTableNAm"/>
            </w:pPr>
            <w:r>
              <w:rPr>
                <w:b/>
                <w:szCs w:val="22"/>
              </w:rPr>
              <w:t>Modified penalty</w:t>
            </w:r>
          </w:p>
        </w:tc>
        <w:tc>
          <w:tcPr>
            <w:tcW w:w="5528" w:type="dxa"/>
            <w:gridSpan w:val="7"/>
          </w:tcPr>
          <w:p>
            <w:pPr>
              <w:pStyle w:val="yTableNAm"/>
            </w:pPr>
            <w:r>
              <w:rPr>
                <w:szCs w:val="22"/>
              </w:rPr>
              <w:t>$_____</w:t>
            </w:r>
          </w:p>
        </w:tc>
      </w:tr>
      <w:tr>
        <w:trPr>
          <w:trHeight w:val="560"/>
        </w:trPr>
        <w:tc>
          <w:tcPr>
            <w:tcW w:w="1546" w:type="dxa"/>
            <w:vMerge w:val="restart"/>
          </w:tcPr>
          <w:p>
            <w:pPr>
              <w:pStyle w:val="yTableNAm"/>
            </w:pPr>
            <w:r>
              <w:rPr>
                <w:b/>
                <w:szCs w:val="22"/>
              </w:rPr>
              <w:t>Penalty</w:t>
            </w:r>
          </w:p>
        </w:tc>
        <w:tc>
          <w:tcPr>
            <w:tcW w:w="1417" w:type="dxa"/>
            <w:gridSpan w:val="2"/>
          </w:tcPr>
          <w:p>
            <w:pPr>
              <w:pStyle w:val="yTableNAm"/>
            </w:pPr>
            <w:r>
              <w:rPr>
                <w:szCs w:val="22"/>
              </w:rPr>
              <w:t>Individual</w:t>
            </w:r>
          </w:p>
        </w:tc>
        <w:tc>
          <w:tcPr>
            <w:tcW w:w="1276" w:type="dxa"/>
          </w:tcPr>
          <w:p>
            <w:pPr>
              <w:pStyle w:val="yTableNAm"/>
            </w:pPr>
            <w:r>
              <w:rPr>
                <w:szCs w:val="22"/>
              </w:rPr>
              <w:t>$_____</w:t>
            </w:r>
          </w:p>
        </w:tc>
        <w:tc>
          <w:tcPr>
            <w:tcW w:w="2835"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546" w:type="dxa"/>
            <w:vMerge/>
          </w:tcPr>
          <w:p>
            <w:pPr>
              <w:pStyle w:val="yTableNAm"/>
            </w:pPr>
          </w:p>
        </w:tc>
        <w:tc>
          <w:tcPr>
            <w:tcW w:w="1417" w:type="dxa"/>
            <w:gridSpan w:val="2"/>
          </w:tcPr>
          <w:p>
            <w:pPr>
              <w:pStyle w:val="yTableNAm"/>
            </w:pPr>
            <w:r>
              <w:rPr>
                <w:szCs w:val="22"/>
              </w:rPr>
              <w:t>Body corporate</w:t>
            </w:r>
          </w:p>
        </w:tc>
        <w:tc>
          <w:tcPr>
            <w:tcW w:w="1276" w:type="dxa"/>
          </w:tcPr>
          <w:p>
            <w:pPr>
              <w:pStyle w:val="yTableNAm"/>
            </w:pPr>
            <w:r>
              <w:rPr>
                <w:szCs w:val="22"/>
              </w:rPr>
              <w:t>$_____</w:t>
            </w:r>
          </w:p>
        </w:tc>
        <w:tc>
          <w:tcPr>
            <w:tcW w:w="2835" w:type="dxa"/>
            <w:gridSpan w:val="4"/>
            <w:vMerge/>
          </w:tcPr>
          <w:p>
            <w:pPr>
              <w:pStyle w:val="yTableNAm"/>
            </w:pPr>
          </w:p>
        </w:tc>
      </w:tr>
      <w:tr>
        <w:trPr>
          <w:trHeight w:val="401"/>
        </w:trPr>
        <w:tc>
          <w:tcPr>
            <w:tcW w:w="1546" w:type="dxa"/>
          </w:tcPr>
          <w:p>
            <w:pPr>
              <w:pStyle w:val="yTableNAm"/>
            </w:pPr>
            <w:r>
              <w:rPr>
                <w:b/>
                <w:szCs w:val="22"/>
              </w:rPr>
              <w:t>TAKE NOTICE</w:t>
            </w:r>
          </w:p>
        </w:tc>
        <w:tc>
          <w:tcPr>
            <w:tcW w:w="5528"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keepNext/>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546" w:type="dxa"/>
          </w:tcPr>
          <w:p>
            <w:pPr>
              <w:pStyle w:val="yTableNAm"/>
            </w:pPr>
            <w:r>
              <w:rPr>
                <w:b/>
              </w:rPr>
              <w:t xml:space="preserve">If infringement notice served on responsible person for a vehicle </w:t>
            </w:r>
          </w:p>
        </w:tc>
        <w:tc>
          <w:tcPr>
            <w:tcW w:w="5528" w:type="dxa"/>
            <w:gridSpan w:val="7"/>
          </w:tcPr>
          <w:p>
            <w:pPr>
              <w:pStyle w:val="yTableNAm"/>
            </w:pPr>
            <w:r>
              <w:t>As the responsible person you will be presumed to have been the driver or person in charge of the vehicle unless within 28 days after the date of this notice:</w:t>
            </w:r>
          </w:p>
          <w:p>
            <w:pPr>
              <w:pStyle w:val="yTableNAm"/>
              <w:ind w:left="595" w:hanging="595"/>
            </w:pPr>
            <w:r>
              <w:t>(a)</w:t>
            </w:r>
            <w:r>
              <w:tab/>
              <w:t>the modified penalty is paid; or</w:t>
            </w:r>
          </w:p>
          <w:p>
            <w:pPr>
              <w:pStyle w:val="yTableNAm"/>
              <w:ind w:left="595" w:hanging="595"/>
            </w:pPr>
            <w:r>
              <w:t>(b)</w:t>
            </w:r>
            <w:r>
              <w:tab/>
              <w:t>you supply the Approved Officer with the following information:</w:t>
            </w:r>
          </w:p>
          <w:p>
            <w:pPr>
              <w:pStyle w:val="yTableNAm"/>
            </w:pPr>
            <w:r>
              <w:t>the name and address of the driver or person in charge of the vehicle at the time of the alleged offence</w:t>
            </w:r>
          </w:p>
          <w:p>
            <w:pPr>
              <w:pStyle w:val="yTableNAm"/>
            </w:pPr>
            <w:r>
              <w:t>or</w:t>
            </w:r>
          </w:p>
          <w:p>
            <w:pPr>
              <w:pStyle w:val="yTableNAm"/>
            </w:pPr>
            <w:r>
              <w:t>information showing that at the time of the alleged offence the vehicle had been stolen or unlawfully taken or was being unlawfully used.</w:t>
            </w:r>
          </w:p>
          <w:p>
            <w:pPr>
              <w:pStyle w:val="yTableNAm"/>
            </w:pPr>
            <w:r>
              <w:t xml:space="preserve">For further information see the </w:t>
            </w:r>
            <w:r>
              <w:rPr>
                <w:i/>
              </w:rPr>
              <w:t>Criminal Procedure Act 2004</w:t>
            </w:r>
            <w:r>
              <w:t xml:space="preserve"> section 13 (www.slp.wa.gov.au).</w:t>
            </w:r>
          </w:p>
        </w:tc>
      </w:tr>
      <w:tr>
        <w:trPr>
          <w:trHeight w:val="401"/>
        </w:trPr>
        <w:tc>
          <w:tcPr>
            <w:tcW w:w="1546" w:type="dxa"/>
            <w:vMerge w:val="restart"/>
          </w:tcPr>
          <w:p>
            <w:pPr>
              <w:pStyle w:val="yTableNAm"/>
              <w:spacing w:before="100"/>
            </w:pPr>
            <w:r>
              <w:rPr>
                <w:b/>
                <w:szCs w:val="22"/>
              </w:rPr>
              <w:t>How to pay</w:t>
            </w:r>
          </w:p>
        </w:tc>
        <w:tc>
          <w:tcPr>
            <w:tcW w:w="992" w:type="dxa"/>
          </w:tcPr>
          <w:p>
            <w:pPr>
              <w:pStyle w:val="yTableNAm"/>
              <w:spacing w:before="100"/>
            </w:pPr>
            <w:r>
              <w:rPr>
                <w:szCs w:val="22"/>
              </w:rPr>
              <w:t>By post</w:t>
            </w:r>
          </w:p>
        </w:tc>
        <w:tc>
          <w:tcPr>
            <w:tcW w:w="4536"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Health Services Act 2016</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_______________________________</w:t>
            </w:r>
          </w:p>
          <w:p>
            <w:pPr>
              <w:pStyle w:val="yTableNAm"/>
              <w:keepNext/>
              <w:keepLines/>
              <w:rPr>
                <w:szCs w:val="22"/>
              </w:rPr>
            </w:pPr>
            <w:r>
              <w:rPr>
                <w:szCs w:val="22"/>
              </w:rPr>
              <w:t>Cardholder name _________________________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546" w:type="dxa"/>
            <w:vMerge/>
          </w:tcPr>
          <w:p>
            <w:pPr>
              <w:pStyle w:val="yTableNAm"/>
              <w:spacing w:before="100"/>
              <w:rPr>
                <w:b/>
                <w:szCs w:val="22"/>
              </w:rPr>
            </w:pPr>
          </w:p>
        </w:tc>
        <w:tc>
          <w:tcPr>
            <w:tcW w:w="992" w:type="dxa"/>
          </w:tcPr>
          <w:p>
            <w:pPr>
              <w:pStyle w:val="yTableNAm"/>
              <w:spacing w:before="100"/>
              <w:rPr>
                <w:szCs w:val="22"/>
              </w:rPr>
            </w:pPr>
          </w:p>
        </w:tc>
        <w:tc>
          <w:tcPr>
            <w:tcW w:w="4536" w:type="dxa"/>
            <w:gridSpan w:val="6"/>
          </w:tcPr>
          <w:p>
            <w:pPr>
              <w:pStyle w:val="yTableNAm"/>
              <w:spacing w:before="100"/>
              <w:rPr>
                <w:szCs w:val="22"/>
              </w:rPr>
            </w:pPr>
          </w:p>
        </w:tc>
      </w:tr>
      <w:tr>
        <w:trPr>
          <w:trHeight w:val="401"/>
        </w:trPr>
        <w:tc>
          <w:tcPr>
            <w:tcW w:w="1546" w:type="dxa"/>
            <w:vMerge/>
          </w:tcPr>
          <w:p>
            <w:pPr>
              <w:pStyle w:val="yTableNAm"/>
            </w:pPr>
          </w:p>
        </w:tc>
        <w:tc>
          <w:tcPr>
            <w:tcW w:w="992" w:type="dxa"/>
          </w:tcPr>
          <w:p>
            <w:pPr>
              <w:pStyle w:val="yTableNAm"/>
            </w:pPr>
            <w:r>
              <w:rPr>
                <w:szCs w:val="22"/>
              </w:rPr>
              <w:t>In person</w:t>
            </w:r>
          </w:p>
        </w:tc>
        <w:tc>
          <w:tcPr>
            <w:tcW w:w="4536"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546" w:type="dxa"/>
          </w:tcPr>
          <w:p>
            <w:pPr>
              <w:pStyle w:val="yTableNAm"/>
            </w:pPr>
            <w:r>
              <w:rPr>
                <w:b/>
                <w:szCs w:val="22"/>
              </w:rPr>
              <w:t>Method of service</w:t>
            </w:r>
          </w:p>
        </w:tc>
        <w:tc>
          <w:tcPr>
            <w:tcW w:w="2835" w:type="dxa"/>
            <w:gridSpan w:val="4"/>
          </w:tcPr>
          <w:p>
            <w:pPr>
              <w:pStyle w:val="yTableNAm"/>
            </w:pPr>
          </w:p>
        </w:tc>
        <w:tc>
          <w:tcPr>
            <w:tcW w:w="992" w:type="dxa"/>
            <w:gridSpan w:val="2"/>
            <w:shd w:val="clear" w:color="auto" w:fill="auto"/>
          </w:tcPr>
          <w:p>
            <w:pPr>
              <w:pStyle w:val="yTableNAm"/>
            </w:pPr>
            <w:r>
              <w:rPr>
                <w:b/>
                <w:szCs w:val="22"/>
              </w:rPr>
              <w:t>Date of service</w:t>
            </w:r>
          </w:p>
        </w:tc>
        <w:tc>
          <w:tcPr>
            <w:tcW w:w="1701" w:type="dxa"/>
            <w:shd w:val="clear" w:color="auto" w:fill="auto"/>
          </w:tcPr>
          <w:p>
            <w:pPr>
              <w:pStyle w:val="yTableNAm"/>
            </w:pPr>
          </w:p>
        </w:tc>
      </w:tr>
    </w:tbl>
    <w:p>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trPr>
          <w:cantSplit/>
          <w:trHeight w:val="282"/>
        </w:trPr>
        <w:tc>
          <w:tcPr>
            <w:tcW w:w="4962" w:type="dxa"/>
            <w:gridSpan w:val="4"/>
          </w:tcPr>
          <w:p>
            <w:pPr>
              <w:pStyle w:val="yTableNAm"/>
              <w:jc w:val="center"/>
            </w:pPr>
            <w:r>
              <w:rPr>
                <w:b/>
                <w:szCs w:val="22"/>
              </w:rPr>
              <w:br w:type="page"/>
            </w:r>
            <w:r>
              <w:rPr>
                <w:i/>
                <w:szCs w:val="22"/>
              </w:rPr>
              <w:t>Health Services Act 2016</w:t>
            </w:r>
          </w:p>
          <w:p>
            <w:pPr>
              <w:pStyle w:val="yMiscellaneousHeading"/>
              <w:spacing w:after="120"/>
              <w:rPr>
                <w:i/>
                <w:szCs w:val="22"/>
              </w:rPr>
            </w:pPr>
            <w:r>
              <w:rPr>
                <w:i/>
              </w:rPr>
              <w:t>Health Services (Conduct and Traffic) Regulations 2016</w:t>
            </w:r>
          </w:p>
          <w:p>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3969"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3969" w:type="dxa"/>
            <w:gridSpan w:val="4"/>
          </w:tcPr>
          <w:p>
            <w:pPr>
              <w:pStyle w:val="yTableNAm"/>
            </w:pPr>
          </w:p>
        </w:tc>
      </w:tr>
      <w:tr>
        <w:trPr>
          <w:cantSplit/>
          <w:trHeight w:val="150"/>
        </w:trPr>
        <w:tc>
          <w:tcPr>
            <w:tcW w:w="1539" w:type="dxa"/>
            <w:vMerge w:val="restart"/>
          </w:tcPr>
          <w:p>
            <w:pPr>
              <w:pStyle w:val="yTableNAm"/>
              <w:keepNext/>
            </w:pPr>
            <w:r>
              <w:rPr>
                <w:b/>
                <w:szCs w:val="22"/>
              </w:rPr>
              <w:t>Details of alleged offence</w:t>
            </w:r>
          </w:p>
        </w:tc>
        <w:tc>
          <w:tcPr>
            <w:tcW w:w="1580" w:type="dxa"/>
          </w:tcPr>
          <w:p>
            <w:pPr>
              <w:pStyle w:val="yTableNAm"/>
              <w:keepNext/>
            </w:pPr>
            <w:r>
              <w:rPr>
                <w:szCs w:val="22"/>
              </w:rPr>
              <w:t>Date or period</w:t>
            </w:r>
          </w:p>
        </w:tc>
        <w:tc>
          <w:tcPr>
            <w:tcW w:w="3969" w:type="dxa"/>
            <w:gridSpan w:val="4"/>
          </w:tcPr>
          <w:p>
            <w:pPr>
              <w:pStyle w:val="yTableNAm"/>
              <w:keepNext/>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3969"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3969" w:type="dxa"/>
            <w:gridSpan w:val="4"/>
          </w:tcPr>
          <w:p>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3969"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3969"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3969"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3969"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3969"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49"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Health Services Act 2016</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keepNext/>
            </w:pPr>
            <w:r>
              <w:rPr>
                <w:b/>
                <w:szCs w:val="22"/>
              </w:rPr>
              <w:t>Your signature</w:t>
            </w:r>
          </w:p>
        </w:tc>
        <w:tc>
          <w:tcPr>
            <w:tcW w:w="2572" w:type="dxa"/>
            <w:gridSpan w:val="2"/>
          </w:tcPr>
          <w:p>
            <w:pPr>
              <w:pStyle w:val="yTableNAm"/>
              <w:keepNext/>
            </w:pPr>
          </w:p>
        </w:tc>
        <w:tc>
          <w:tcPr>
            <w:tcW w:w="1134" w:type="dxa"/>
            <w:gridSpan w:val="2"/>
          </w:tcPr>
          <w:p>
            <w:pPr>
              <w:pStyle w:val="yTableNAm"/>
              <w:keepNext/>
            </w:pPr>
            <w:r>
              <w:rPr>
                <w:b/>
                <w:szCs w:val="22"/>
              </w:rPr>
              <w:t>Date</w:t>
            </w:r>
          </w:p>
        </w:tc>
        <w:tc>
          <w:tcPr>
            <w:tcW w:w="1843" w:type="dxa"/>
          </w:tcPr>
          <w:p>
            <w:pPr>
              <w:pStyle w:val="yTableNAm"/>
              <w:keepNext/>
            </w:pPr>
          </w:p>
        </w:tc>
      </w:tr>
    </w:tbl>
    <w:p>
      <w:pPr>
        <w:pStyle w:val="yFootnotesection"/>
      </w:pPr>
      <w:r>
        <w:tab/>
        <w:t>[Form 1 amended: SL 2020/168 r. 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00" w:name="_Toc201303918"/>
      <w:bookmarkStart w:id="201" w:name="_Toc201304810"/>
      <w:bookmarkStart w:id="202" w:name="_Toc201304898"/>
      <w:bookmarkStart w:id="203" w:name="_Toc201314565"/>
      <w:bookmarkStart w:id="204" w:name="_Toc192774179"/>
      <w:bookmarkStart w:id="205" w:name="_Toc192775064"/>
      <w:bookmarkStart w:id="206" w:name="_Toc192775667"/>
      <w:r>
        <w:t>Notes</w:t>
      </w:r>
      <w:bookmarkEnd w:id="200"/>
      <w:bookmarkEnd w:id="201"/>
      <w:bookmarkEnd w:id="202"/>
      <w:bookmarkEnd w:id="203"/>
      <w:bookmarkEnd w:id="204"/>
      <w:bookmarkEnd w:id="205"/>
      <w:bookmarkEnd w:id="206"/>
    </w:p>
    <w:p>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 </w:t>
      </w:r>
    </w:p>
    <w:p>
      <w:pPr>
        <w:pStyle w:val="nHeading3"/>
      </w:pPr>
      <w:bookmarkStart w:id="207" w:name="_Toc201314566"/>
      <w:bookmarkStart w:id="208" w:name="_Toc192775668"/>
      <w:r>
        <w:t>Compilation table</w:t>
      </w:r>
      <w:bookmarkEnd w:id="207"/>
      <w:bookmarkEnd w:id="20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Health Services (Conduct and Traffic) Regulations 2016</w:t>
            </w:r>
          </w:p>
        </w:tc>
        <w:tc>
          <w:tcPr>
            <w:tcW w:w="1276" w:type="dxa"/>
            <w:tcBorders>
              <w:bottom w:val="nil"/>
            </w:tcBorders>
          </w:tcPr>
          <w:p>
            <w:pPr>
              <w:pStyle w:val="nTable"/>
              <w:spacing w:after="40"/>
            </w:pPr>
            <w:r>
              <w:t>24 Jun 2016 p. 2369</w:t>
            </w:r>
            <w:r>
              <w:noBreakHyphen/>
              <w:t>406</w:t>
            </w:r>
          </w:p>
        </w:tc>
        <w:tc>
          <w:tcPr>
            <w:tcW w:w="2693" w:type="dxa"/>
            <w:tcBorders>
              <w:bottom w:val="nil"/>
            </w:tcBorders>
          </w:tcPr>
          <w:p>
            <w:pPr>
              <w:pStyle w:val="nTable"/>
              <w:spacing w:after="40"/>
            </w:pPr>
            <w:r>
              <w:t xml:space="preserve">1 July 2016 (see r. 2 and </w:t>
            </w:r>
            <w:r>
              <w:rPr>
                <w:i/>
              </w:rPr>
              <w:t>Gazette</w:t>
            </w:r>
            <w:r>
              <w:t xml:space="preserve"> 24 Jun 2016 p. 2291)</w:t>
            </w:r>
          </w:p>
        </w:tc>
      </w:tr>
      <w:tr>
        <w:tc>
          <w:tcPr>
            <w:tcW w:w="3118" w:type="dxa"/>
            <w:tcBorders>
              <w:top w:val="nil"/>
              <w:bottom w:val="nil"/>
            </w:tcBorders>
          </w:tcPr>
          <w:p>
            <w:pPr>
              <w:pStyle w:val="nTable"/>
              <w:spacing w:after="40"/>
              <w:rPr>
                <w:i/>
                <w:noProof/>
              </w:rPr>
            </w:pPr>
            <w:r>
              <w:rPr>
                <w:i/>
                <w:noProof/>
              </w:rPr>
              <w:t>Health Services (Conduct and Traffic) Amendment Regulations 2016</w:t>
            </w:r>
          </w:p>
        </w:tc>
        <w:tc>
          <w:tcPr>
            <w:tcW w:w="1276" w:type="dxa"/>
            <w:tcBorders>
              <w:top w:val="nil"/>
              <w:bottom w:val="nil"/>
            </w:tcBorders>
          </w:tcPr>
          <w:p>
            <w:pPr>
              <w:pStyle w:val="nTable"/>
              <w:spacing w:after="40"/>
            </w:pPr>
            <w:r>
              <w:t>29 Nov 2016 p. 5319</w:t>
            </w:r>
            <w:r>
              <w:noBreakHyphen/>
              <w:t>22</w:t>
            </w:r>
          </w:p>
        </w:tc>
        <w:tc>
          <w:tcPr>
            <w:tcW w:w="2693" w:type="dxa"/>
            <w:tcBorders>
              <w:top w:val="nil"/>
              <w:bottom w:val="nil"/>
            </w:tcBorders>
          </w:tcPr>
          <w:p>
            <w:pPr>
              <w:pStyle w:val="nTable"/>
              <w:spacing w:after="40"/>
            </w:pPr>
            <w:r>
              <w:t>r. 1 and 2: 29 Nov 2016 (see r. 2(a));</w:t>
            </w:r>
            <w:r>
              <w:br/>
              <w:t>Regulations other than r. 1 and 2: 30 Nov 2016 (see r. 2(b))</w:t>
            </w:r>
          </w:p>
        </w:tc>
      </w:tr>
      <w:tr>
        <w:tc>
          <w:tcPr>
            <w:tcW w:w="3118" w:type="dxa"/>
            <w:tcBorders>
              <w:top w:val="nil"/>
              <w:bottom w:val="nil"/>
            </w:tcBorders>
          </w:tcPr>
          <w:p>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pPr>
              <w:pStyle w:val="nTable"/>
              <w:spacing w:after="40"/>
            </w:pPr>
            <w:r>
              <w:t>30 Jun 2017 p. 3568</w:t>
            </w:r>
            <w:r>
              <w:noBreakHyphen/>
              <w:t>74</w:t>
            </w:r>
          </w:p>
        </w:tc>
        <w:tc>
          <w:tcPr>
            <w:tcW w:w="2693" w:type="dxa"/>
            <w:tcBorders>
              <w:top w:val="nil"/>
              <w:bottom w:val="nil"/>
            </w:tcBorders>
          </w:tcPr>
          <w:p>
            <w:pPr>
              <w:pStyle w:val="nTable"/>
              <w:spacing w:after="40"/>
            </w:pPr>
            <w:r>
              <w:rPr>
                <w:bCs/>
                <w:snapToGrid w:val="0"/>
              </w:rPr>
              <w:t>1 Jul 2017 (see r. 2(b))</w:t>
            </w:r>
          </w:p>
        </w:tc>
      </w:tr>
      <w:tr>
        <w:tc>
          <w:tcPr>
            <w:tcW w:w="3118" w:type="dxa"/>
            <w:tcBorders>
              <w:top w:val="nil"/>
              <w:bottom w:val="nil"/>
            </w:tcBorders>
          </w:tcPr>
          <w:p>
            <w:pPr>
              <w:pStyle w:val="nTable"/>
              <w:spacing w:after="40"/>
              <w:rPr>
                <w:i/>
              </w:rPr>
            </w:pPr>
            <w:r>
              <w:rPr>
                <w:i/>
              </w:rPr>
              <w:t>Health Regulations Amendment (Fees and Charges) Regulations 2018</w:t>
            </w:r>
            <w:r>
              <w:t xml:space="preserve"> Pt. 5</w:t>
            </w:r>
          </w:p>
        </w:tc>
        <w:tc>
          <w:tcPr>
            <w:tcW w:w="1276" w:type="dxa"/>
            <w:tcBorders>
              <w:top w:val="nil"/>
              <w:bottom w:val="nil"/>
            </w:tcBorders>
          </w:tcPr>
          <w:p>
            <w:pPr>
              <w:pStyle w:val="nTable"/>
              <w:spacing w:after="40"/>
            </w:pPr>
            <w:r>
              <w:t>25 May 2018 p. 1632</w:t>
            </w:r>
            <w:r>
              <w:noBreakHyphen/>
              <w:t>9</w:t>
            </w:r>
          </w:p>
        </w:tc>
        <w:tc>
          <w:tcPr>
            <w:tcW w:w="2693" w:type="dxa"/>
            <w:tcBorders>
              <w:top w:val="nil"/>
              <w:bottom w:val="nil"/>
            </w:tcBorders>
          </w:tcPr>
          <w:p>
            <w:pPr>
              <w:pStyle w:val="nTable"/>
              <w:spacing w:after="40"/>
              <w:rPr>
                <w:bCs/>
                <w:snapToGrid w:val="0"/>
              </w:rPr>
            </w:pPr>
            <w:r>
              <w:t>1 Jul 2018 (see r. 2(b))</w:t>
            </w:r>
          </w:p>
        </w:tc>
      </w:tr>
      <w:tr>
        <w:tc>
          <w:tcPr>
            <w:tcW w:w="3118" w:type="dxa"/>
            <w:tcBorders>
              <w:top w:val="nil"/>
              <w:bottom w:val="nil"/>
            </w:tcBorders>
          </w:tcPr>
          <w:p>
            <w:pPr>
              <w:pStyle w:val="nTable"/>
              <w:spacing w:after="40"/>
              <w:rPr>
                <w:i/>
              </w:rPr>
            </w:pPr>
            <w:r>
              <w:rPr>
                <w:i/>
              </w:rPr>
              <w:t>Health Services (Conduct and Traffic) Amendment Regulations 2018</w:t>
            </w:r>
          </w:p>
        </w:tc>
        <w:tc>
          <w:tcPr>
            <w:tcW w:w="1276" w:type="dxa"/>
            <w:tcBorders>
              <w:top w:val="nil"/>
              <w:bottom w:val="nil"/>
            </w:tcBorders>
          </w:tcPr>
          <w:p>
            <w:pPr>
              <w:pStyle w:val="nTable"/>
              <w:spacing w:after="40"/>
            </w:pPr>
            <w:r>
              <w:t>12 Jun 2018 p. 1892</w:t>
            </w:r>
            <w:r>
              <w:noBreakHyphen/>
              <w:t>3</w:t>
            </w:r>
          </w:p>
        </w:tc>
        <w:tc>
          <w:tcPr>
            <w:tcW w:w="2693" w:type="dxa"/>
            <w:tcBorders>
              <w:top w:val="nil"/>
              <w:bottom w:val="nil"/>
            </w:tcBorders>
          </w:tcPr>
          <w:p>
            <w:pPr>
              <w:pStyle w:val="nTable"/>
              <w:spacing w:after="40"/>
              <w:rPr>
                <w:bCs/>
                <w:snapToGrid w:val="0"/>
              </w:rPr>
            </w:pPr>
            <w:r>
              <w:t>r. 1 and 2: 12 Jun 2018 (see r. 2(a));</w:t>
            </w:r>
            <w:r>
              <w:br/>
              <w:t>Regulations other than r. 1 and 2: 13 Jun 2018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5</w:t>
            </w:r>
          </w:p>
        </w:tc>
        <w:tc>
          <w:tcPr>
            <w:tcW w:w="1276" w:type="dxa"/>
            <w:tcBorders>
              <w:top w:val="nil"/>
              <w:bottom w:val="nil"/>
            </w:tcBorders>
          </w:tcPr>
          <w:p>
            <w:pPr>
              <w:pStyle w:val="nTable"/>
              <w:spacing w:after="40"/>
            </w:pPr>
            <w:r>
              <w:t>14 Jun 2019 p. 1883</w:t>
            </w:r>
            <w:r>
              <w:noBreakHyphen/>
              <w:t>94</w:t>
            </w:r>
          </w:p>
        </w:tc>
        <w:tc>
          <w:tcPr>
            <w:tcW w:w="2693" w:type="dxa"/>
            <w:tcBorders>
              <w:top w:val="nil"/>
              <w:bottom w:val="nil"/>
            </w:tcBorders>
          </w:tcPr>
          <w:p>
            <w:pPr>
              <w:pStyle w:val="nTable"/>
              <w:spacing w:after="40"/>
            </w:pPr>
            <w:r>
              <w:t>1 Jul 2019 (see r. 2(b))</w:t>
            </w:r>
          </w:p>
        </w:tc>
      </w:tr>
      <w:tr>
        <w:tc>
          <w:tcPr>
            <w:tcW w:w="3118" w:type="dxa"/>
            <w:tcBorders>
              <w:top w:val="nil"/>
              <w:bottom w:val="nil"/>
            </w:tcBorders>
          </w:tcPr>
          <w:p>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pPr>
              <w:pStyle w:val="nTable"/>
              <w:spacing w:after="40"/>
            </w:pPr>
            <w:r>
              <w:t>SL 2020/168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Health Services (Conduct and Traffic) Amendment Regulations 2021</w:t>
            </w:r>
          </w:p>
        </w:tc>
        <w:tc>
          <w:tcPr>
            <w:tcW w:w="1276" w:type="dxa"/>
            <w:tcBorders>
              <w:top w:val="nil"/>
              <w:bottom w:val="nil"/>
            </w:tcBorders>
          </w:tcPr>
          <w:p>
            <w:pPr>
              <w:pStyle w:val="nTable"/>
              <w:spacing w:after="40"/>
            </w:pPr>
            <w:r>
              <w:t>SL 2021/105 29 Jun 2021</w:t>
            </w:r>
          </w:p>
        </w:tc>
        <w:tc>
          <w:tcPr>
            <w:tcW w:w="2693" w:type="dxa"/>
            <w:tcBorders>
              <w:top w:val="nil"/>
              <w:bottom w:val="nil"/>
            </w:tcBorders>
          </w:tcPr>
          <w:p>
            <w:pPr>
              <w:pStyle w:val="nTable"/>
              <w:spacing w:after="40"/>
            </w:pPr>
            <w:r>
              <w:t>r. 1 and 2: 29 Jun 2021 (see r. 2(a));</w:t>
            </w:r>
            <w:r>
              <w:br/>
              <w:t>Regulations other than r. 1 and 2: 1 Jul 2021 (see r. 2(b))</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4</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pPr>
            <w:r>
              <w:rPr>
                <w:bCs/>
                <w:snapToGrid w:val="0"/>
              </w:rPr>
              <w:t>16 Jul 2022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4</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4</w:t>
            </w:r>
            <w:r>
              <w:t xml:space="preserve"> </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rPr>
          <w:cantSplit/>
        </w:trPr>
        <w:tc>
          <w:tcPr>
            <w:tcW w:w="3118" w:type="dxa"/>
            <w:tcBorders>
              <w:top w:val="nil"/>
              <w:bottom w:val="nil"/>
            </w:tcBorders>
          </w:tcPr>
          <w:p>
            <w:pPr>
              <w:pStyle w:val="nTable"/>
              <w:spacing w:after="40"/>
              <w:rPr>
                <w:i/>
              </w:rPr>
            </w:pPr>
            <w:r>
              <w:rPr>
                <w:i/>
              </w:rPr>
              <w:t>Health Services (Conduct and Traffic) Amendment Regulations 2024</w:t>
            </w:r>
          </w:p>
        </w:tc>
        <w:tc>
          <w:tcPr>
            <w:tcW w:w="1276" w:type="dxa"/>
            <w:tcBorders>
              <w:top w:val="nil"/>
              <w:bottom w:val="nil"/>
            </w:tcBorders>
          </w:tcPr>
          <w:p>
            <w:pPr>
              <w:pStyle w:val="nTable"/>
              <w:spacing w:after="40"/>
            </w:pPr>
            <w:r>
              <w:t>SL 2024/281 18 Dec 2024</w:t>
            </w:r>
          </w:p>
        </w:tc>
        <w:tc>
          <w:tcPr>
            <w:tcW w:w="2693" w:type="dxa"/>
            <w:tcBorders>
              <w:top w:val="nil"/>
              <w:bottom w:val="nil"/>
            </w:tcBorders>
          </w:tcPr>
          <w:p>
            <w:pPr>
              <w:pStyle w:val="nTable"/>
              <w:spacing w:after="40"/>
            </w:pPr>
            <w:r>
              <w:t>r. 1 and 2: 18 Dec 2024 (see r. 2(a));</w:t>
            </w:r>
            <w:r>
              <w:br/>
              <w:t>Regulations other than r. 1 and 2: 20 Dec 2024 (see r. 2(b))</w:t>
            </w:r>
          </w:p>
        </w:tc>
      </w:tr>
      <w:tr>
        <w:trPr>
          <w:cantSplit/>
        </w:trPr>
        <w:tc>
          <w:tcPr>
            <w:tcW w:w="3118" w:type="dxa"/>
            <w:tcBorders>
              <w:top w:val="nil"/>
              <w:bottom w:val="nil"/>
            </w:tcBorders>
          </w:tcPr>
          <w:p>
            <w:pPr>
              <w:pStyle w:val="nTable"/>
              <w:spacing w:after="40"/>
              <w:rPr>
                <w:i/>
              </w:rPr>
            </w:pPr>
            <w:r>
              <w:rPr>
                <w:i/>
              </w:rPr>
              <w:t>Health Regulations Amendment (Firearms) Regulations 2024</w:t>
            </w:r>
            <w:r>
              <w:rPr>
                <w:iCs/>
              </w:rPr>
              <w:t xml:space="preserve"> Pt. 2</w:t>
            </w:r>
          </w:p>
        </w:tc>
        <w:tc>
          <w:tcPr>
            <w:tcW w:w="1276" w:type="dxa"/>
            <w:tcBorders>
              <w:top w:val="nil"/>
              <w:bottom w:val="nil"/>
            </w:tcBorders>
          </w:tcPr>
          <w:p>
            <w:pPr>
              <w:pStyle w:val="nTable"/>
              <w:spacing w:after="40"/>
            </w:pPr>
            <w:r>
              <w:t>SL 2024/297 21 Dec 2024</w:t>
            </w:r>
          </w:p>
        </w:tc>
        <w:tc>
          <w:tcPr>
            <w:tcW w:w="2693" w:type="dxa"/>
            <w:tcBorders>
              <w:top w:val="nil"/>
              <w:bottom w:val="nil"/>
            </w:tcBorders>
          </w:tcPr>
          <w:p>
            <w:pPr>
              <w:pStyle w:val="nTable"/>
              <w:spacing w:after="40"/>
            </w:pPr>
            <w:r>
              <w:rPr>
                <w:snapToGrid w:val="0"/>
              </w:rPr>
              <w:t>31 Mar 2025 (see r. 2(b) and SL 2024/289 cl. 2)</w:t>
            </w:r>
          </w:p>
        </w:tc>
      </w:tr>
      <w:tr>
        <w:trPr>
          <w:cantSplit/>
        </w:trPr>
        <w:tc>
          <w:tcPr>
            <w:tcW w:w="3118" w:type="dxa"/>
            <w:tcBorders>
              <w:top w:val="nil"/>
              <w:bottom w:val="nil"/>
            </w:tcBorders>
          </w:tcPr>
          <w:p>
            <w:pPr>
              <w:pStyle w:val="nTable"/>
              <w:spacing w:after="40"/>
              <w:rPr>
                <w:i/>
              </w:rPr>
            </w:pPr>
            <w:r>
              <w:rPr>
                <w:i/>
              </w:rPr>
              <w:t>Health Services (Conduct and Traffic) Amendment Regulations 2025</w:t>
            </w:r>
          </w:p>
        </w:tc>
        <w:tc>
          <w:tcPr>
            <w:tcW w:w="1276" w:type="dxa"/>
            <w:tcBorders>
              <w:top w:val="nil"/>
              <w:bottom w:val="nil"/>
            </w:tcBorders>
          </w:tcPr>
          <w:p>
            <w:pPr>
              <w:pStyle w:val="nTable"/>
              <w:spacing w:after="40"/>
            </w:pPr>
            <w:r>
              <w:t>SL 2025/1 8 Jan 2025</w:t>
            </w:r>
          </w:p>
        </w:tc>
        <w:tc>
          <w:tcPr>
            <w:tcW w:w="2693" w:type="dxa"/>
            <w:tcBorders>
              <w:top w:val="nil"/>
              <w:bottom w:val="nil"/>
            </w:tcBorders>
          </w:tcPr>
          <w:p>
            <w:pPr>
              <w:pStyle w:val="nTable"/>
              <w:spacing w:after="40"/>
            </w:pPr>
            <w:r>
              <w:t>r. 1 and 2: 8 Jan 2025 (see r. 2(a));</w:t>
            </w:r>
            <w:r>
              <w:br/>
              <w:t>Regulations other than r. 1 and 2: 9 Jan 2025 (see r. 2(b))</w:t>
            </w:r>
          </w:p>
        </w:tc>
      </w:tr>
      <w:tr>
        <w:trPr>
          <w:cantSplit/>
          <w:ins w:id="209" w:author="Master Repository Process" w:date="2025-06-27T10:03:00Z"/>
        </w:trPr>
        <w:tc>
          <w:tcPr>
            <w:tcW w:w="3118" w:type="dxa"/>
            <w:tcBorders>
              <w:top w:val="nil"/>
              <w:bottom w:val="single" w:sz="4" w:space="0" w:color="auto"/>
            </w:tcBorders>
          </w:tcPr>
          <w:p>
            <w:pPr>
              <w:pStyle w:val="nTable"/>
              <w:spacing w:after="40"/>
              <w:rPr>
                <w:ins w:id="210" w:author="Master Repository Process" w:date="2025-06-27T10:03:00Z"/>
                <w:i/>
              </w:rPr>
            </w:pPr>
            <w:ins w:id="211" w:author="Master Repository Process" w:date="2025-06-27T10:03:00Z">
              <w:r>
                <w:rPr>
                  <w:i/>
                </w:rPr>
                <w:t xml:space="preserve">Health Regulations Amendment (Fees and Charges) Regulations 2025 </w:t>
              </w:r>
              <w:r>
                <w:rPr>
                  <w:iCs/>
                </w:rPr>
                <w:t>Pt. 4</w:t>
              </w:r>
            </w:ins>
          </w:p>
        </w:tc>
        <w:tc>
          <w:tcPr>
            <w:tcW w:w="1276" w:type="dxa"/>
            <w:tcBorders>
              <w:top w:val="nil"/>
              <w:bottom w:val="single" w:sz="4" w:space="0" w:color="auto"/>
            </w:tcBorders>
          </w:tcPr>
          <w:p>
            <w:pPr>
              <w:pStyle w:val="nTable"/>
              <w:spacing w:after="40"/>
              <w:rPr>
                <w:ins w:id="212" w:author="Master Repository Process" w:date="2025-06-27T10:03:00Z"/>
              </w:rPr>
            </w:pPr>
            <w:ins w:id="213" w:author="Master Repository Process" w:date="2025-06-27T10:03:00Z">
              <w:r>
                <w:t>SL 2025/104 25 Jun 2025</w:t>
              </w:r>
            </w:ins>
          </w:p>
        </w:tc>
        <w:tc>
          <w:tcPr>
            <w:tcW w:w="2693" w:type="dxa"/>
            <w:tcBorders>
              <w:top w:val="nil"/>
              <w:bottom w:val="single" w:sz="4" w:space="0" w:color="auto"/>
            </w:tcBorders>
          </w:tcPr>
          <w:p>
            <w:pPr>
              <w:pStyle w:val="nTable"/>
              <w:spacing w:after="40"/>
              <w:rPr>
                <w:ins w:id="214" w:author="Master Repository Process" w:date="2025-06-27T10:03:00Z"/>
              </w:rPr>
            </w:pPr>
            <w:ins w:id="215" w:author="Master Repository Process" w:date="2025-06-27T10:03:00Z">
              <w:r>
                <w:t>1 Jul 2025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185" w:name="Schedule"/>
    <w:bookmarkEnd w:id="18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Services (Conduct and Traffic)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6" w:name="Compilation"/>
    <w:bookmarkEnd w:id="2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7" w:name="Coversheet"/>
    <w:bookmarkEnd w:id="2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0092314"/>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 w:name="WAFER_202207131312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50_GUID" w:val="66d77b59-d078-455e-b82b-974cb73c3127"/>
    <w:docVar w:name="WAFER_20230628153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153249_GUID" w:val="917c4233-b563-4d79-a112-497b013e17b9"/>
    <w:docVar w:name="WAFER_20231228135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5732_GUID" w:val="ab48ace5-643e-4e09-8fc2-1257f4bb3bf0"/>
    <w:docVar w:name="WAFER_2024060711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49_GUID" w:val="f0f660ce-59b2-41ac-abc8-9050e5d90f4f"/>
    <w:docVar w:name="WAFER_2024062511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06_GUID" w:val="179fd546-c706-4ba7-9932-cbde1e084b87"/>
    <w:docVar w:name="WAFER_20241212165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2165645_GUID" w:val="ea707aaf-ce89-4f8e-a125-d47f3f67c57b"/>
    <w:docVar w:name="WAFER_202412121657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2165724_GUID" w:val="236e74c4-ebfd-4050-8241-a8c54923d6ba"/>
    <w:docVar w:name="WAFER_20241219140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9140834_GUID" w:val="2cad0b6f-01f6-4158-a532-44da4d6d1bc6"/>
    <w:docVar w:name="WAFER_20241219140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9140851_GUID" w:val="d2f6af2d-9aa4-4fa0-a590-5552125ce06a"/>
    <w:docVar w:name="WAFER_202501021102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10200_GUID" w:val="cdddb741-69e5-48d0-b7e8-ce6d9c94f182"/>
    <w:docVar w:name="WAFER_20250102110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10219_GUID" w:val="b143a364-4dc4-4d98-b49d-6f61d26e64fa"/>
    <w:docVar w:name="WAFER_202503131600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3160041_GUID" w:val="c6ccff85-a96a-4444-ac74-8ef2218b582c"/>
    <w:docVar w:name="WAFER_202506200923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2314_GUID" w:val="babeeedb-7897-4912-9b33-e0374b5f9b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2.jpeg"/><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53FE54-8D18-41FF-898C-72CF38AFF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7084</Words>
  <Characters>33371</Characters>
  <Application>Microsoft Office Word</Application>
  <DocSecurity>0</DocSecurity>
  <Lines>1334</Lines>
  <Paragraphs>793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00-r0-00 - 00-s0-00</dc:title>
  <dc:subject/>
  <dc:creator/>
  <cp:keywords/>
  <dc:description/>
  <cp:lastModifiedBy>Master Repository Process</cp:lastModifiedBy>
  <cp:revision>2</cp:revision>
  <cp:lastPrinted>2016-06-14T02:53:00Z</cp:lastPrinted>
  <dcterms:created xsi:type="dcterms:W3CDTF">2025-06-27T02:02:00Z</dcterms:created>
  <dcterms:modified xsi:type="dcterms:W3CDTF">2025-06-27T02:03:00Z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Official">
    <vt:lpwstr/>
  </property>
  <property fmtid="{D5CDD505-2E9C-101B-9397-08002B2CF9AE}" pid="6" name="CommencementDate">
    <vt:lpwstr>20250701</vt:lpwstr>
  </property>
  <property fmtid="{D5CDD505-2E9C-101B-9397-08002B2CF9AE}" pid="7" name="CommencementAsAt">
    <vt:filetime>2025-06-30T16:00:00Z</vt:filetime>
  </property>
  <property fmtid="{D5CDD505-2E9C-101B-9397-08002B2CF9AE}" pid="8" name="CommencementYear">
    <vt:lpwstr>2025</vt:lpwstr>
  </property>
  <property fmtid="{D5CDD505-2E9C-101B-9397-08002B2CF9AE}" pid="9" name="FromSuffix">
    <vt:lpwstr>00-r0-00</vt:lpwstr>
  </property>
  <property fmtid="{D5CDD505-2E9C-101B-9397-08002B2CF9AE}" pid="10" name="FromAsAtDate">
    <vt:lpwstr>31 Mar 2025</vt:lpwstr>
  </property>
  <property fmtid="{D5CDD505-2E9C-101B-9397-08002B2CF9AE}" pid="11" name="ToSuffix">
    <vt:lpwstr>00-s0-00</vt:lpwstr>
  </property>
  <property fmtid="{D5CDD505-2E9C-101B-9397-08002B2CF9AE}" pid="12" name="ToAsAtDate">
    <vt:lpwstr>01 Jul 2025</vt:lpwstr>
  </property>
</Properties>
</file>