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Dec 2024</w:t>
      </w:r>
      <w:r>
        <w:fldChar w:fldCharType="end"/>
      </w:r>
      <w:r>
        <w:t xml:space="preserve">, </w:t>
      </w:r>
      <w:r>
        <w:fldChar w:fldCharType="begin"/>
      </w:r>
      <w:r>
        <w:instrText xml:space="preserve"> DocProperty FromSuffix </w:instrText>
      </w:r>
      <w:r>
        <w:fldChar w:fldCharType="separate"/>
      </w:r>
      <w:r>
        <w:t>10-j0-00</w:t>
      </w:r>
      <w:r>
        <w:fldChar w:fldCharType="end"/>
      </w:r>
      <w:r>
        <w:t>] and [</w:t>
      </w:r>
      <w:r>
        <w:fldChar w:fldCharType="begin"/>
      </w:r>
      <w:r>
        <w:instrText xml:space="preserve"> DocProperty ToAsAtDate</w:instrText>
      </w:r>
      <w:r>
        <w:fldChar w:fldCharType="separate"/>
      </w:r>
      <w:r>
        <w:t>01 Jul 2025</w:t>
      </w:r>
      <w:r>
        <w:fldChar w:fldCharType="end"/>
      </w:r>
      <w:r>
        <w:t xml:space="preserve">, </w:t>
      </w:r>
      <w:r>
        <w:fldChar w:fldCharType="begin"/>
      </w:r>
      <w:r>
        <w:instrText xml:space="preserve"> DocProperty ToSuffix</w:instrText>
      </w:r>
      <w:r>
        <w:fldChar w:fldCharType="separate"/>
      </w:r>
      <w:r>
        <w:t>10-k0-00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1" w:name="_Toc201756677"/>
      <w:bookmarkStart w:id="2" w:name="_Toc201756989"/>
      <w:bookmarkStart w:id="3" w:name="_Toc201760811"/>
      <w:bookmarkStart w:id="4" w:name="_Toc184122150"/>
      <w:bookmarkStart w:id="5" w:name="_Toc184122546"/>
      <w:bookmarkStart w:id="6" w:name="_Toc18412783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rPr>
          <w:snapToGrid w:val="0"/>
        </w:rPr>
      </w:pPr>
      <w:bookmarkStart w:id="7" w:name="_Toc201760812"/>
      <w:bookmarkStart w:id="8" w:name="_Toc184127837"/>
      <w:r>
        <w:rPr>
          <w:rStyle w:val="CharSectno"/>
        </w:rPr>
        <w:t>1</w:t>
      </w:r>
      <w:r>
        <w:rPr>
          <w:snapToGrid w:val="0"/>
        </w:rPr>
        <w:t>.</w:t>
      </w:r>
      <w:r>
        <w:rPr>
          <w:snapToGrid w:val="0"/>
        </w:rPr>
        <w:tab/>
        <w:t>Short title</w:t>
      </w:r>
      <w:bookmarkEnd w:id="7"/>
      <w:bookmarkEnd w:id="8"/>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9" w:name="_Toc201760813"/>
      <w:bookmarkStart w:id="10" w:name="_Toc184127838"/>
      <w:r>
        <w:rPr>
          <w:rStyle w:val="CharSectno"/>
        </w:rPr>
        <w:t>2</w:t>
      </w:r>
      <w:r>
        <w:rPr>
          <w:snapToGrid w:val="0"/>
        </w:rPr>
        <w:t>.</w:t>
      </w:r>
      <w:r>
        <w:rPr>
          <w:snapToGrid w:val="0"/>
        </w:rPr>
        <w:tab/>
        <w:t>Commencement</w:t>
      </w:r>
      <w:bookmarkEnd w:id="9"/>
      <w:bookmarkEnd w:id="10"/>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1" w:name="_Toc201760814"/>
      <w:bookmarkStart w:id="12" w:name="_Toc184127839"/>
      <w:r>
        <w:rPr>
          <w:rStyle w:val="CharSectno"/>
        </w:rPr>
        <w:t>4</w:t>
      </w:r>
      <w:r>
        <w:rPr>
          <w:snapToGrid w:val="0"/>
        </w:rPr>
        <w:t>.</w:t>
      </w:r>
      <w:r>
        <w:rPr>
          <w:snapToGrid w:val="0"/>
        </w:rPr>
        <w:tab/>
        <w:t>Terms used</w:t>
      </w:r>
      <w:bookmarkEnd w:id="11"/>
      <w:bookmarkEnd w:id="12"/>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13" w:name="_Toc201760815"/>
      <w:bookmarkStart w:id="14" w:name="_Toc184127840"/>
      <w:r>
        <w:rPr>
          <w:rStyle w:val="CharSectno"/>
        </w:rPr>
        <w:t>4A</w:t>
      </w:r>
      <w:r>
        <w:rPr>
          <w:snapToGrid w:val="0"/>
        </w:rPr>
        <w:t>.</w:t>
      </w:r>
      <w:r>
        <w:rPr>
          <w:snapToGrid w:val="0"/>
        </w:rPr>
        <w:tab/>
        <w:t>Term used: authority</w:t>
      </w:r>
      <w:bookmarkEnd w:id="13"/>
      <w:bookmarkEnd w:id="14"/>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5" w:name="_Toc201756682"/>
      <w:bookmarkStart w:id="16" w:name="_Toc201756994"/>
      <w:bookmarkStart w:id="17" w:name="_Toc201760816"/>
      <w:bookmarkStart w:id="18" w:name="_Toc184122155"/>
      <w:bookmarkStart w:id="19" w:name="_Toc184122551"/>
      <w:bookmarkStart w:id="20" w:name="_Toc18412784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5"/>
      <w:bookmarkEnd w:id="16"/>
      <w:bookmarkEnd w:id="17"/>
      <w:bookmarkEnd w:id="18"/>
      <w:bookmarkEnd w:id="19"/>
      <w:bookmarkEnd w:id="20"/>
    </w:p>
    <w:p>
      <w:pPr>
        <w:pStyle w:val="Heading5"/>
        <w:rPr>
          <w:snapToGrid w:val="0"/>
        </w:rPr>
      </w:pPr>
      <w:bookmarkStart w:id="21" w:name="_Toc201760817"/>
      <w:bookmarkStart w:id="22" w:name="_Toc184127842"/>
      <w:r>
        <w:rPr>
          <w:rStyle w:val="CharSectno"/>
        </w:rPr>
        <w:t>5</w:t>
      </w:r>
      <w:r>
        <w:rPr>
          <w:snapToGrid w:val="0"/>
        </w:rPr>
        <w:t>.</w:t>
      </w:r>
      <w:r>
        <w:rPr>
          <w:snapToGrid w:val="0"/>
        </w:rPr>
        <w:tab/>
        <w:t>Commissioner and Deputy Commissioner, appointment of etc.</w:t>
      </w:r>
      <w:bookmarkEnd w:id="21"/>
      <w:bookmarkEnd w:id="22"/>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23" w:name="_Toc201760818"/>
      <w:bookmarkStart w:id="24" w:name="_Toc184127843"/>
      <w:r>
        <w:rPr>
          <w:rStyle w:val="CharSectno"/>
        </w:rPr>
        <w:t>6</w:t>
      </w:r>
      <w:r>
        <w:rPr>
          <w:snapToGrid w:val="0"/>
        </w:rPr>
        <w:t>.</w:t>
      </w:r>
      <w:r>
        <w:rPr>
          <w:snapToGrid w:val="0"/>
        </w:rPr>
        <w:tab/>
        <w:t>Removal or suspension of Commissioner or Deputy Commissioner</w:t>
      </w:r>
      <w:bookmarkEnd w:id="23"/>
      <w:bookmarkEnd w:id="24"/>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25" w:name="_Toc201760819"/>
      <w:bookmarkStart w:id="26" w:name="_Toc184127844"/>
      <w:r>
        <w:rPr>
          <w:rStyle w:val="CharSectno"/>
        </w:rPr>
        <w:t>6A</w:t>
      </w:r>
      <w:r>
        <w:rPr>
          <w:snapToGrid w:val="0"/>
        </w:rPr>
        <w:t>.</w:t>
      </w:r>
      <w:r>
        <w:rPr>
          <w:snapToGrid w:val="0"/>
        </w:rPr>
        <w:tab/>
        <w:t>Deputy Parliamentary Commissioner, functions of</w:t>
      </w:r>
      <w:bookmarkEnd w:id="25"/>
      <w:bookmarkEnd w:id="26"/>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keepNext/>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27" w:name="_Toc201760820"/>
      <w:bookmarkStart w:id="28" w:name="_Toc184127845"/>
      <w:r>
        <w:rPr>
          <w:rStyle w:val="CharSectno"/>
        </w:rPr>
        <w:t>7</w:t>
      </w:r>
      <w:r>
        <w:rPr>
          <w:snapToGrid w:val="0"/>
        </w:rPr>
        <w:t>.</w:t>
      </w:r>
      <w:r>
        <w:rPr>
          <w:snapToGrid w:val="0"/>
        </w:rPr>
        <w:tab/>
        <w:t>Acting Parliamentary Commissioner, appointment of etc.</w:t>
      </w:r>
      <w:bookmarkEnd w:id="27"/>
      <w:bookmarkEnd w:id="2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29" w:name="_Toc201760821"/>
      <w:bookmarkStart w:id="30" w:name="_Toc184127846"/>
      <w:r>
        <w:rPr>
          <w:rStyle w:val="CharSectno"/>
        </w:rPr>
        <w:t>8</w:t>
      </w:r>
      <w:r>
        <w:rPr>
          <w:snapToGrid w:val="0"/>
        </w:rPr>
        <w:t>.</w:t>
      </w:r>
      <w:r>
        <w:rPr>
          <w:snapToGrid w:val="0"/>
        </w:rPr>
        <w:tab/>
        <w:t>Oath or affirmation of Commissioner, Deputy Commissioner and Acting Commissioner</w:t>
      </w:r>
      <w:bookmarkEnd w:id="29"/>
      <w:bookmarkEnd w:id="30"/>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31" w:name="_Toc201760822"/>
      <w:bookmarkStart w:id="32" w:name="_Toc184127847"/>
      <w:r>
        <w:rPr>
          <w:rStyle w:val="CharSectno"/>
        </w:rPr>
        <w:t>9</w:t>
      </w:r>
      <w:r>
        <w:rPr>
          <w:snapToGrid w:val="0"/>
        </w:rPr>
        <w:t>.</w:t>
      </w:r>
      <w:r>
        <w:rPr>
          <w:snapToGrid w:val="0"/>
        </w:rPr>
        <w:tab/>
        <w:t>Staff of Commissioner</w:t>
      </w:r>
      <w:bookmarkEnd w:id="31"/>
      <w:bookmarkEnd w:id="32"/>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33" w:name="_Toc201760823"/>
      <w:bookmarkStart w:id="34" w:name="_Toc184127848"/>
      <w:r>
        <w:rPr>
          <w:rStyle w:val="CharSectno"/>
        </w:rPr>
        <w:t>10</w:t>
      </w:r>
      <w:r>
        <w:rPr>
          <w:snapToGrid w:val="0"/>
        </w:rPr>
        <w:t>.</w:t>
      </w:r>
      <w:r>
        <w:rPr>
          <w:snapToGrid w:val="0"/>
        </w:rPr>
        <w:tab/>
        <w:t>Other provisions as to Commissioner and other officers</w:t>
      </w:r>
      <w:bookmarkEnd w:id="33"/>
      <w:bookmarkEnd w:id="34"/>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35" w:name="_Toc201760824"/>
      <w:bookmarkStart w:id="36" w:name="_Toc184127849"/>
      <w:r>
        <w:rPr>
          <w:rStyle w:val="CharSectno"/>
        </w:rPr>
        <w:t>11</w:t>
      </w:r>
      <w:r>
        <w:rPr>
          <w:snapToGrid w:val="0"/>
        </w:rPr>
        <w:t>.</w:t>
      </w:r>
      <w:r>
        <w:rPr>
          <w:snapToGrid w:val="0"/>
        </w:rPr>
        <w:tab/>
        <w:t>Delegation by Commissioner</w:t>
      </w:r>
      <w:bookmarkEnd w:id="35"/>
      <w:bookmarkEnd w:id="36"/>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37" w:name="_Toc201760825"/>
      <w:bookmarkStart w:id="38" w:name="_Toc184127850"/>
      <w:r>
        <w:rPr>
          <w:rStyle w:val="CharSectno"/>
        </w:rPr>
        <w:t>12</w:t>
      </w:r>
      <w:r>
        <w:rPr>
          <w:snapToGrid w:val="0"/>
        </w:rPr>
        <w:t>.</w:t>
      </w:r>
      <w:r>
        <w:rPr>
          <w:snapToGrid w:val="0"/>
        </w:rPr>
        <w:tab/>
        <w:t>Rules of Parliament</w:t>
      </w:r>
      <w:bookmarkEnd w:id="37"/>
      <w:bookmarkEnd w:id="38"/>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39" w:name="_Toc201756692"/>
      <w:bookmarkStart w:id="40" w:name="_Toc201757004"/>
      <w:bookmarkStart w:id="41" w:name="_Toc201760826"/>
      <w:bookmarkStart w:id="42" w:name="_Toc184122165"/>
      <w:bookmarkStart w:id="43" w:name="_Toc184122561"/>
      <w:bookmarkStart w:id="44" w:name="_Toc184127851"/>
      <w:r>
        <w:rPr>
          <w:rStyle w:val="CharPartNo"/>
        </w:rPr>
        <w:t>Part III</w:t>
      </w:r>
      <w:r>
        <w:t> — </w:t>
      </w:r>
      <w:r>
        <w:rPr>
          <w:rStyle w:val="CharPartText"/>
        </w:rPr>
        <w:t>Jurisdiction and functions of the Commissioner</w:t>
      </w:r>
      <w:bookmarkEnd w:id="39"/>
      <w:bookmarkEnd w:id="40"/>
      <w:bookmarkEnd w:id="41"/>
      <w:bookmarkEnd w:id="42"/>
      <w:bookmarkEnd w:id="43"/>
      <w:bookmarkEnd w:id="44"/>
    </w:p>
    <w:p>
      <w:pPr>
        <w:pStyle w:val="Heading3"/>
      </w:pPr>
      <w:bookmarkStart w:id="45" w:name="_Toc201756693"/>
      <w:bookmarkStart w:id="46" w:name="_Toc201757005"/>
      <w:bookmarkStart w:id="47" w:name="_Toc201760827"/>
      <w:bookmarkStart w:id="48" w:name="_Toc184122166"/>
      <w:bookmarkStart w:id="49" w:name="_Toc184122562"/>
      <w:bookmarkStart w:id="50" w:name="_Toc184127852"/>
      <w:r>
        <w:rPr>
          <w:rStyle w:val="CharDivNo"/>
        </w:rPr>
        <w:t>Division 1</w:t>
      </w:r>
      <w:r>
        <w:rPr>
          <w:snapToGrid w:val="0"/>
        </w:rPr>
        <w:t> — </w:t>
      </w:r>
      <w:r>
        <w:rPr>
          <w:rStyle w:val="CharDivText"/>
        </w:rPr>
        <w:t>Extent of jurisdiction</w:t>
      </w:r>
      <w:bookmarkEnd w:id="45"/>
      <w:bookmarkEnd w:id="46"/>
      <w:bookmarkEnd w:id="47"/>
      <w:bookmarkEnd w:id="48"/>
      <w:bookmarkEnd w:id="49"/>
      <w:bookmarkEnd w:id="50"/>
    </w:p>
    <w:p>
      <w:pPr>
        <w:pStyle w:val="Heading5"/>
        <w:rPr>
          <w:snapToGrid w:val="0"/>
        </w:rPr>
      </w:pPr>
      <w:bookmarkStart w:id="51" w:name="_Toc201760828"/>
      <w:bookmarkStart w:id="52" w:name="_Toc184127853"/>
      <w:r>
        <w:rPr>
          <w:rStyle w:val="CharSectno"/>
        </w:rPr>
        <w:t>13</w:t>
      </w:r>
      <w:r>
        <w:rPr>
          <w:snapToGrid w:val="0"/>
        </w:rPr>
        <w:t>.</w:t>
      </w:r>
      <w:r>
        <w:rPr>
          <w:snapToGrid w:val="0"/>
        </w:rPr>
        <w:tab/>
        <w:t>Departments and authorities subject to investigation</w:t>
      </w:r>
      <w:bookmarkEnd w:id="51"/>
      <w:bookmarkEnd w:id="5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53" w:name="_Toc201760829"/>
      <w:bookmarkStart w:id="54" w:name="_Toc184127854"/>
      <w:r>
        <w:rPr>
          <w:rStyle w:val="CharSectno"/>
        </w:rPr>
        <w:t>14</w:t>
      </w:r>
      <w:r>
        <w:rPr>
          <w:snapToGrid w:val="0"/>
        </w:rPr>
        <w:t>.</w:t>
      </w:r>
      <w:r>
        <w:rPr>
          <w:snapToGrid w:val="0"/>
        </w:rPr>
        <w:tab/>
        <w:t>Matters subject to investigation</w:t>
      </w:r>
      <w:bookmarkEnd w:id="53"/>
      <w:bookmarkEnd w:id="5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55" w:name="_Toc201756696"/>
      <w:bookmarkStart w:id="56" w:name="_Toc201757008"/>
      <w:bookmarkStart w:id="57" w:name="_Toc201760830"/>
      <w:bookmarkStart w:id="58" w:name="_Toc184122169"/>
      <w:bookmarkStart w:id="59" w:name="_Toc184122565"/>
      <w:bookmarkStart w:id="60" w:name="_Toc184127855"/>
      <w:r>
        <w:rPr>
          <w:rStyle w:val="CharDivNo"/>
        </w:rPr>
        <w:t>Division 2</w:t>
      </w:r>
      <w:r>
        <w:rPr>
          <w:snapToGrid w:val="0"/>
        </w:rPr>
        <w:t> — </w:t>
      </w:r>
      <w:r>
        <w:rPr>
          <w:rStyle w:val="CharDivText"/>
        </w:rPr>
        <w:t>Initiation of investigations</w:t>
      </w:r>
      <w:bookmarkEnd w:id="55"/>
      <w:bookmarkEnd w:id="56"/>
      <w:bookmarkEnd w:id="57"/>
      <w:bookmarkEnd w:id="58"/>
      <w:bookmarkEnd w:id="59"/>
      <w:bookmarkEnd w:id="60"/>
    </w:p>
    <w:p>
      <w:pPr>
        <w:pStyle w:val="Heading5"/>
        <w:rPr>
          <w:snapToGrid w:val="0"/>
        </w:rPr>
      </w:pPr>
      <w:bookmarkStart w:id="61" w:name="_Toc201760831"/>
      <w:bookmarkStart w:id="62" w:name="_Toc184127856"/>
      <w:r>
        <w:rPr>
          <w:rStyle w:val="CharSectno"/>
        </w:rPr>
        <w:t>15</w:t>
      </w:r>
      <w:r>
        <w:rPr>
          <w:snapToGrid w:val="0"/>
        </w:rPr>
        <w:t>.</w:t>
      </w:r>
      <w:r>
        <w:rPr>
          <w:snapToGrid w:val="0"/>
        </w:rPr>
        <w:tab/>
        <w:t>Investigations on reference by Parliament</w:t>
      </w:r>
      <w:bookmarkEnd w:id="61"/>
      <w:bookmarkEnd w:id="6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63" w:name="_Toc201760832"/>
      <w:bookmarkStart w:id="64" w:name="_Toc184127857"/>
      <w:r>
        <w:rPr>
          <w:rStyle w:val="CharSectno"/>
        </w:rPr>
        <w:t>16</w:t>
      </w:r>
      <w:r>
        <w:rPr>
          <w:snapToGrid w:val="0"/>
        </w:rPr>
        <w:t>.</w:t>
      </w:r>
      <w:r>
        <w:rPr>
          <w:snapToGrid w:val="0"/>
        </w:rPr>
        <w:tab/>
        <w:t>Initiation of investigations</w:t>
      </w:r>
      <w:bookmarkEnd w:id="63"/>
      <w:bookmarkEnd w:id="64"/>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65" w:name="_Toc201760833"/>
      <w:bookmarkStart w:id="66" w:name="_Toc184127858"/>
      <w:r>
        <w:rPr>
          <w:rStyle w:val="CharSectno"/>
        </w:rPr>
        <w:t>17</w:t>
      </w:r>
      <w:r>
        <w:rPr>
          <w:snapToGrid w:val="0"/>
        </w:rPr>
        <w:t>.</w:t>
      </w:r>
      <w:r>
        <w:rPr>
          <w:snapToGrid w:val="0"/>
        </w:rPr>
        <w:tab/>
        <w:t>Complaints to Commissioner</w:t>
      </w:r>
      <w:bookmarkEnd w:id="65"/>
      <w:bookmarkEnd w:id="66"/>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67" w:name="_Toc201760834"/>
      <w:bookmarkStart w:id="68" w:name="_Toc184127859"/>
      <w:r>
        <w:rPr>
          <w:rStyle w:val="CharSectno"/>
        </w:rPr>
        <w:t>17A</w:t>
      </w:r>
      <w:r>
        <w:rPr>
          <w:snapToGrid w:val="0"/>
        </w:rPr>
        <w:t>.</w:t>
      </w:r>
      <w:r>
        <w:rPr>
          <w:snapToGrid w:val="0"/>
        </w:rPr>
        <w:tab/>
        <w:t>Complaints by persons in custody</w:t>
      </w:r>
      <w:bookmarkEnd w:id="67"/>
      <w:bookmarkEnd w:id="68"/>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69" w:name="_Toc201760835"/>
      <w:bookmarkStart w:id="70" w:name="_Toc184127860"/>
      <w:r>
        <w:rPr>
          <w:rStyle w:val="CharSectno"/>
        </w:rPr>
        <w:t>18</w:t>
      </w:r>
      <w:r>
        <w:rPr>
          <w:snapToGrid w:val="0"/>
        </w:rPr>
        <w:t>.</w:t>
      </w:r>
      <w:r>
        <w:rPr>
          <w:snapToGrid w:val="0"/>
        </w:rPr>
        <w:tab/>
        <w:t>Refusal to investigate complaints</w:t>
      </w:r>
      <w:bookmarkEnd w:id="69"/>
      <w:bookmarkEnd w:id="7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71" w:name="_Toc201756702"/>
      <w:bookmarkStart w:id="72" w:name="_Toc201757014"/>
      <w:bookmarkStart w:id="73" w:name="_Toc201760836"/>
      <w:bookmarkStart w:id="74" w:name="_Toc184122175"/>
      <w:bookmarkStart w:id="75" w:name="_Toc184122571"/>
      <w:bookmarkStart w:id="76" w:name="_Toc184127861"/>
      <w:r>
        <w:rPr>
          <w:rStyle w:val="CharDivNo"/>
        </w:rPr>
        <w:t>Division 3A</w:t>
      </w:r>
      <w:r>
        <w:t> — </w:t>
      </w:r>
      <w:r>
        <w:rPr>
          <w:rStyle w:val="CharDivText"/>
        </w:rPr>
        <w:t>Deaths of certain children</w:t>
      </w:r>
      <w:bookmarkEnd w:id="71"/>
      <w:bookmarkEnd w:id="72"/>
      <w:bookmarkEnd w:id="73"/>
      <w:bookmarkEnd w:id="74"/>
      <w:bookmarkEnd w:id="75"/>
      <w:bookmarkEnd w:id="76"/>
    </w:p>
    <w:p>
      <w:pPr>
        <w:pStyle w:val="Footnoteheading"/>
      </w:pPr>
      <w:r>
        <w:tab/>
        <w:t>[Heading inserted: No. 10 of 2009 s. 7.]</w:t>
      </w:r>
    </w:p>
    <w:p>
      <w:pPr>
        <w:pStyle w:val="Heading5"/>
      </w:pPr>
      <w:bookmarkStart w:id="77" w:name="_Toc201760837"/>
      <w:bookmarkStart w:id="78" w:name="_Toc184127862"/>
      <w:r>
        <w:rPr>
          <w:rStyle w:val="CharSectno"/>
        </w:rPr>
        <w:t>19A</w:t>
      </w:r>
      <w:r>
        <w:t>.</w:t>
      </w:r>
      <w:r>
        <w:tab/>
        <w:t>Terms used</w:t>
      </w:r>
      <w:bookmarkEnd w:id="77"/>
      <w:bookmarkEnd w:id="78"/>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79" w:name="_Toc201760838"/>
      <w:bookmarkStart w:id="80" w:name="_Toc184127863"/>
      <w:r>
        <w:rPr>
          <w:rStyle w:val="CharSectno"/>
        </w:rPr>
        <w:t>19B</w:t>
      </w:r>
      <w:r>
        <w:t>.</w:t>
      </w:r>
      <w:r>
        <w:tab/>
        <w:t>Functions as to investigable deaths</w:t>
      </w:r>
      <w:bookmarkEnd w:id="79"/>
      <w:bookmarkEnd w:id="80"/>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81" w:name="_Toc201756705"/>
      <w:bookmarkStart w:id="82" w:name="_Toc201757017"/>
      <w:bookmarkStart w:id="83" w:name="_Toc201760839"/>
      <w:bookmarkStart w:id="84" w:name="_Toc184122178"/>
      <w:bookmarkStart w:id="85" w:name="_Toc184122574"/>
      <w:bookmarkStart w:id="86" w:name="_Toc184127864"/>
      <w:r>
        <w:rPr>
          <w:rStyle w:val="CharDivNo"/>
        </w:rPr>
        <w:t>Division 3B</w:t>
      </w:r>
      <w:r>
        <w:t> — </w:t>
      </w:r>
      <w:r>
        <w:rPr>
          <w:rStyle w:val="CharDivText"/>
        </w:rPr>
        <w:t>Reportable conduct scheme</w:t>
      </w:r>
      <w:bookmarkEnd w:id="81"/>
      <w:bookmarkEnd w:id="82"/>
      <w:bookmarkEnd w:id="83"/>
      <w:bookmarkEnd w:id="84"/>
      <w:bookmarkEnd w:id="85"/>
      <w:bookmarkEnd w:id="86"/>
    </w:p>
    <w:p>
      <w:pPr>
        <w:pStyle w:val="Footnoteheading"/>
      </w:pPr>
      <w:r>
        <w:tab/>
        <w:t>[Heading inserted: No. 25 of 2022 s. 7.]</w:t>
      </w:r>
    </w:p>
    <w:p>
      <w:pPr>
        <w:pStyle w:val="Heading4"/>
      </w:pPr>
      <w:bookmarkStart w:id="87" w:name="_Toc201756706"/>
      <w:bookmarkStart w:id="88" w:name="_Toc201757018"/>
      <w:bookmarkStart w:id="89" w:name="_Toc201760840"/>
      <w:bookmarkStart w:id="90" w:name="_Toc184122179"/>
      <w:bookmarkStart w:id="91" w:name="_Toc184122575"/>
      <w:bookmarkStart w:id="92" w:name="_Toc184127865"/>
      <w:r>
        <w:t>Subdivision 1 — Preliminary</w:t>
      </w:r>
      <w:bookmarkEnd w:id="87"/>
      <w:bookmarkEnd w:id="88"/>
      <w:bookmarkEnd w:id="89"/>
      <w:bookmarkEnd w:id="90"/>
      <w:bookmarkEnd w:id="91"/>
      <w:bookmarkEnd w:id="92"/>
    </w:p>
    <w:p>
      <w:pPr>
        <w:pStyle w:val="Footnoteheading"/>
      </w:pPr>
      <w:r>
        <w:tab/>
        <w:t>[Heading inserted: No. 25 of 2022 s. 7.]</w:t>
      </w:r>
    </w:p>
    <w:p>
      <w:pPr>
        <w:pStyle w:val="Heading5"/>
      </w:pPr>
      <w:bookmarkStart w:id="93" w:name="_Toc201760841"/>
      <w:bookmarkStart w:id="94" w:name="_Toc184127866"/>
      <w:r>
        <w:rPr>
          <w:rStyle w:val="CharSectno"/>
        </w:rPr>
        <w:t>19C</w:t>
      </w:r>
      <w:r>
        <w:t>.</w:t>
      </w:r>
      <w:r>
        <w:tab/>
        <w:t>Terms used</w:t>
      </w:r>
      <w:bookmarkEnd w:id="93"/>
      <w:bookmarkEnd w:id="94"/>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95" w:name="_Toc201760842"/>
      <w:bookmarkStart w:id="96" w:name="_Toc184127867"/>
      <w:r>
        <w:rPr>
          <w:rStyle w:val="CharSectno"/>
        </w:rPr>
        <w:t>19D</w:t>
      </w:r>
      <w:r>
        <w:t>.</w:t>
      </w:r>
      <w:r>
        <w:tab/>
        <w:t>Employees of relevant entities</w:t>
      </w:r>
      <w:bookmarkEnd w:id="95"/>
      <w:bookmarkEnd w:id="96"/>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97" w:name="_Toc201760843"/>
      <w:bookmarkStart w:id="98" w:name="_Toc184127868"/>
      <w:r>
        <w:rPr>
          <w:rStyle w:val="CharSectno"/>
        </w:rPr>
        <w:t>19E</w:t>
      </w:r>
      <w:r>
        <w:t>.</w:t>
      </w:r>
      <w:r>
        <w:tab/>
        <w:t>Head of a relevant entity</w:t>
      </w:r>
      <w:bookmarkEnd w:id="97"/>
      <w:bookmarkEnd w:id="98"/>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99" w:name="_Toc201760844"/>
      <w:bookmarkStart w:id="100" w:name="_Toc184127869"/>
      <w:r>
        <w:rPr>
          <w:rStyle w:val="CharSectno"/>
        </w:rPr>
        <w:t>19F</w:t>
      </w:r>
      <w:r>
        <w:t>.</w:t>
      </w:r>
      <w:r>
        <w:tab/>
        <w:t>Reportable allegation</w:t>
      </w:r>
      <w:bookmarkEnd w:id="99"/>
      <w:bookmarkEnd w:id="100"/>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101" w:name="_Toc201760845"/>
      <w:bookmarkStart w:id="102" w:name="_Toc184127870"/>
      <w:r>
        <w:rPr>
          <w:rStyle w:val="CharSectno"/>
        </w:rPr>
        <w:t>19G</w:t>
      </w:r>
      <w:r>
        <w:t>.</w:t>
      </w:r>
      <w:r>
        <w:tab/>
        <w:t>Reportable conduct</w:t>
      </w:r>
      <w:bookmarkEnd w:id="101"/>
      <w:bookmarkEnd w:id="102"/>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103" w:name="_Toc201760846"/>
      <w:bookmarkStart w:id="104" w:name="_Toc184127871"/>
      <w:r>
        <w:rPr>
          <w:rStyle w:val="CharSectno"/>
        </w:rPr>
        <w:t>19H</w:t>
      </w:r>
      <w:r>
        <w:t>.</w:t>
      </w:r>
      <w:r>
        <w:tab/>
        <w:t>Reportable conviction</w:t>
      </w:r>
      <w:bookmarkEnd w:id="103"/>
      <w:bookmarkEnd w:id="104"/>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105" w:name="_Toc201760847"/>
      <w:bookmarkStart w:id="106" w:name="_Toc184127872"/>
      <w:r>
        <w:rPr>
          <w:rStyle w:val="CharSectno"/>
        </w:rPr>
        <w:t>19I</w:t>
      </w:r>
      <w:r>
        <w:t>.</w:t>
      </w:r>
      <w:r>
        <w:tab/>
        <w:t>Entities to which reportable conduct scheme applies</w:t>
      </w:r>
      <w:bookmarkEnd w:id="105"/>
      <w:bookmarkEnd w:id="106"/>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107" w:name="_Toc201760848"/>
      <w:bookmarkStart w:id="108" w:name="_Toc184127873"/>
      <w:r>
        <w:rPr>
          <w:rStyle w:val="CharSectno"/>
        </w:rPr>
        <w:t>19J</w:t>
      </w:r>
      <w:r>
        <w:t>.</w:t>
      </w:r>
      <w:r>
        <w:tab/>
        <w:t>Object and principles</w:t>
      </w:r>
      <w:bookmarkEnd w:id="107"/>
      <w:bookmarkEnd w:id="108"/>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109" w:name="_Toc201760849"/>
      <w:bookmarkStart w:id="110" w:name="_Toc184127874"/>
      <w:r>
        <w:rPr>
          <w:rStyle w:val="CharSectno"/>
        </w:rPr>
        <w:t>19K</w:t>
      </w:r>
      <w:r>
        <w:t>.</w:t>
      </w:r>
      <w:r>
        <w:tab/>
        <w:t>Paramount consideration</w:t>
      </w:r>
      <w:bookmarkEnd w:id="109"/>
      <w:bookmarkEnd w:id="110"/>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111" w:name="_Toc201760850"/>
      <w:bookmarkStart w:id="112" w:name="_Toc184127875"/>
      <w:r>
        <w:rPr>
          <w:rStyle w:val="CharSectno"/>
        </w:rPr>
        <w:t>19L</w:t>
      </w:r>
      <w:r>
        <w:t>.</w:t>
      </w:r>
      <w:r>
        <w:tab/>
        <w:t>Certain provisions not applicable if entity is agent of Crown</w:t>
      </w:r>
      <w:bookmarkEnd w:id="111"/>
      <w:bookmarkEnd w:id="112"/>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113" w:name="_Toc201756717"/>
      <w:bookmarkStart w:id="114" w:name="_Toc201757029"/>
      <w:bookmarkStart w:id="115" w:name="_Toc201760851"/>
      <w:bookmarkStart w:id="116" w:name="_Toc184122190"/>
      <w:bookmarkStart w:id="117" w:name="_Toc184122586"/>
      <w:bookmarkStart w:id="118" w:name="_Toc184127876"/>
      <w:r>
        <w:t>Subdivision 2 — Role of Commissioner</w:t>
      </w:r>
      <w:bookmarkEnd w:id="113"/>
      <w:bookmarkEnd w:id="114"/>
      <w:bookmarkEnd w:id="115"/>
      <w:bookmarkEnd w:id="116"/>
      <w:bookmarkEnd w:id="117"/>
      <w:bookmarkEnd w:id="118"/>
    </w:p>
    <w:p>
      <w:pPr>
        <w:pStyle w:val="Footnoteheading"/>
      </w:pPr>
      <w:r>
        <w:tab/>
        <w:t>[Heading inserted: No. 25 of 2022 s. 7.]</w:t>
      </w:r>
    </w:p>
    <w:p>
      <w:pPr>
        <w:pStyle w:val="Heading5"/>
      </w:pPr>
      <w:bookmarkStart w:id="119" w:name="_Toc201760852"/>
      <w:bookmarkStart w:id="120" w:name="_Toc184127877"/>
      <w:r>
        <w:rPr>
          <w:rStyle w:val="CharSectno"/>
        </w:rPr>
        <w:t>19M</w:t>
      </w:r>
      <w:r>
        <w:t>.</w:t>
      </w:r>
      <w:r>
        <w:tab/>
        <w:t>Functions of Commissioner in relation to scheme</w:t>
      </w:r>
      <w:bookmarkEnd w:id="119"/>
      <w:bookmarkEnd w:id="120"/>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121" w:name="_Toc201760853"/>
      <w:bookmarkStart w:id="122" w:name="_Toc184127878"/>
      <w:r>
        <w:rPr>
          <w:rStyle w:val="CharSectno"/>
        </w:rPr>
        <w:t>19N</w:t>
      </w:r>
      <w:r>
        <w:t>.</w:t>
      </w:r>
      <w:r>
        <w:tab/>
        <w:t>Commissioner may exempt conduct</w:t>
      </w:r>
      <w:bookmarkEnd w:id="121"/>
      <w:bookmarkEnd w:id="122"/>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123" w:name="_Toc201760854"/>
      <w:bookmarkStart w:id="124" w:name="_Toc184127879"/>
      <w:r>
        <w:rPr>
          <w:rStyle w:val="CharSectno"/>
        </w:rPr>
        <w:t>19O</w:t>
      </w:r>
      <w:r>
        <w:t>.</w:t>
      </w:r>
      <w:r>
        <w:tab/>
        <w:t>Commissioner may exempt entities</w:t>
      </w:r>
      <w:bookmarkEnd w:id="123"/>
      <w:bookmarkEnd w:id="124"/>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125" w:name="_Toc201760855"/>
      <w:bookmarkStart w:id="126" w:name="_Toc184127880"/>
      <w:r>
        <w:rPr>
          <w:rStyle w:val="CharSectno"/>
        </w:rPr>
        <w:t>19P</w:t>
      </w:r>
      <w:r>
        <w:t>.</w:t>
      </w:r>
      <w:r>
        <w:tab/>
        <w:t>Commissioner may exempt investigations</w:t>
      </w:r>
      <w:bookmarkEnd w:id="125"/>
      <w:bookmarkEnd w:id="126"/>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127" w:name="_Toc201760856"/>
      <w:bookmarkStart w:id="128" w:name="_Toc184127881"/>
      <w:r>
        <w:rPr>
          <w:rStyle w:val="CharSectno"/>
        </w:rPr>
        <w:t>19Q</w:t>
      </w:r>
      <w:r>
        <w:t>.</w:t>
      </w:r>
      <w:r>
        <w:tab/>
        <w:t>Commissioner may approve head of relevant entity in certain circumstances</w:t>
      </w:r>
      <w:bookmarkEnd w:id="127"/>
      <w:bookmarkEnd w:id="128"/>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129" w:name="_Toc201756723"/>
      <w:bookmarkStart w:id="130" w:name="_Toc201757035"/>
      <w:bookmarkStart w:id="131" w:name="_Toc201760857"/>
      <w:bookmarkStart w:id="132" w:name="_Toc184122196"/>
      <w:bookmarkStart w:id="133" w:name="_Toc184122592"/>
      <w:bookmarkStart w:id="134" w:name="_Toc184127882"/>
      <w:r>
        <w:t>Subdivision 3 — Systems to deal with reportable conduct</w:t>
      </w:r>
      <w:bookmarkEnd w:id="129"/>
      <w:bookmarkEnd w:id="130"/>
      <w:bookmarkEnd w:id="131"/>
      <w:bookmarkEnd w:id="132"/>
      <w:bookmarkEnd w:id="133"/>
      <w:bookmarkEnd w:id="134"/>
    </w:p>
    <w:p>
      <w:pPr>
        <w:pStyle w:val="Footnoteheading"/>
      </w:pPr>
      <w:r>
        <w:tab/>
        <w:t>[Heading inserted: No. 25 of 2022 s. 7.]</w:t>
      </w:r>
    </w:p>
    <w:p>
      <w:pPr>
        <w:pStyle w:val="Heading5"/>
      </w:pPr>
      <w:bookmarkStart w:id="135" w:name="_Toc201760858"/>
      <w:bookmarkStart w:id="136" w:name="_Toc184127883"/>
      <w:r>
        <w:rPr>
          <w:rStyle w:val="CharSectno"/>
        </w:rPr>
        <w:t>19R</w:t>
      </w:r>
      <w:r>
        <w:t>.</w:t>
      </w:r>
      <w:r>
        <w:tab/>
        <w:t>Head of relevant entity must ensure systems in place</w:t>
      </w:r>
      <w:bookmarkEnd w:id="135"/>
      <w:bookmarkEnd w:id="136"/>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a system for investigating a reportable allegation or reportable conviction relating to an employee of the 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137" w:name="_Toc201760859"/>
      <w:bookmarkStart w:id="138" w:name="_Toc184127884"/>
      <w:r>
        <w:rPr>
          <w:rStyle w:val="CharSectno"/>
        </w:rPr>
        <w:t>19S</w:t>
      </w:r>
      <w:r>
        <w:t>.</w:t>
      </w:r>
      <w:r>
        <w:tab/>
        <w:t>Commissioner may require information about systems</w:t>
      </w:r>
      <w:bookmarkEnd w:id="137"/>
      <w:bookmarkEnd w:id="138"/>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139" w:name="_Toc201756726"/>
      <w:bookmarkStart w:id="140" w:name="_Toc201757038"/>
      <w:bookmarkStart w:id="141" w:name="_Toc201760860"/>
      <w:bookmarkStart w:id="142" w:name="_Toc184122199"/>
      <w:bookmarkStart w:id="143" w:name="_Toc184122595"/>
      <w:bookmarkStart w:id="144" w:name="_Toc184127885"/>
      <w:r>
        <w:t>Subdivision 4 — Notice, investigation and reporting</w:t>
      </w:r>
      <w:bookmarkEnd w:id="139"/>
      <w:bookmarkEnd w:id="140"/>
      <w:bookmarkEnd w:id="141"/>
      <w:bookmarkEnd w:id="142"/>
      <w:bookmarkEnd w:id="143"/>
      <w:bookmarkEnd w:id="144"/>
    </w:p>
    <w:p>
      <w:pPr>
        <w:pStyle w:val="Footnoteheading"/>
      </w:pPr>
      <w:r>
        <w:tab/>
        <w:t>[Heading inserted: No. 25 of 2022 s. 7.]</w:t>
      </w:r>
    </w:p>
    <w:p>
      <w:pPr>
        <w:pStyle w:val="Heading5"/>
      </w:pPr>
      <w:bookmarkStart w:id="145" w:name="_Toc201760861"/>
      <w:bookmarkStart w:id="146" w:name="_Toc184127886"/>
      <w:r>
        <w:rPr>
          <w:rStyle w:val="CharSectno"/>
        </w:rPr>
        <w:t>19T</w:t>
      </w:r>
      <w:r>
        <w:t>.</w:t>
      </w:r>
      <w:r>
        <w:tab/>
        <w:t>Report of reportable allegation or reportable conviction</w:t>
      </w:r>
      <w:bookmarkEnd w:id="145"/>
      <w:bookmarkEnd w:id="146"/>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147" w:name="_Toc201760862"/>
      <w:bookmarkStart w:id="148" w:name="_Toc184127887"/>
      <w:r>
        <w:rPr>
          <w:rStyle w:val="CharSectno"/>
        </w:rPr>
        <w:t>19U</w:t>
      </w:r>
      <w:r>
        <w:t>.</w:t>
      </w:r>
      <w:r>
        <w:tab/>
        <w:t>Head of relevant entity must notify Commissioner</w:t>
      </w:r>
      <w:bookmarkEnd w:id="147"/>
      <w:bookmarkEnd w:id="148"/>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keepNext/>
      </w:pPr>
      <w:r>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149" w:name="_Toc201760863"/>
      <w:bookmarkStart w:id="150" w:name="_Toc184127888"/>
      <w:r>
        <w:rPr>
          <w:rStyle w:val="CharSectno"/>
        </w:rPr>
        <w:t>19V</w:t>
      </w:r>
      <w:r>
        <w:t>.</w:t>
      </w:r>
      <w:r>
        <w:tab/>
        <w:t>Information may be disclosed to Commissioner or head of entity</w:t>
      </w:r>
      <w:bookmarkEnd w:id="149"/>
      <w:bookmarkEnd w:id="150"/>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151" w:name="_Toc201760864"/>
      <w:bookmarkStart w:id="152" w:name="_Toc184127889"/>
      <w:r>
        <w:rPr>
          <w:rStyle w:val="CharSectno"/>
        </w:rPr>
        <w:t>19W</w:t>
      </w:r>
      <w:r>
        <w:t>.</w:t>
      </w:r>
      <w:r>
        <w:tab/>
        <w:t>Head of relevant entity must respond to reportable allegation or reportable conviction</w:t>
      </w:r>
      <w:bookmarkEnd w:id="151"/>
      <w:bookmarkEnd w:id="152"/>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153" w:name="_Toc201760865"/>
      <w:bookmarkStart w:id="154" w:name="_Toc184127890"/>
      <w:r>
        <w:rPr>
          <w:rStyle w:val="CharSectno"/>
        </w:rPr>
        <w:t>19X</w:t>
      </w:r>
      <w:r>
        <w:t>.</w:t>
      </w:r>
      <w:r>
        <w:tab/>
        <w:t>Informing employee of certain matters and giving employee opportunity to make submissions</w:t>
      </w:r>
      <w:bookmarkEnd w:id="153"/>
      <w:bookmarkEnd w:id="154"/>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155" w:name="_Toc201760866"/>
      <w:bookmarkStart w:id="156" w:name="_Toc184127891"/>
      <w:r>
        <w:rPr>
          <w:rStyle w:val="CharSectno"/>
        </w:rPr>
        <w:t>19Y</w:t>
      </w:r>
      <w:r>
        <w:t>.</w:t>
      </w:r>
      <w:r>
        <w:tab/>
        <w:t>Commissioner must be notified of matters affecting investigation</w:t>
      </w:r>
      <w:bookmarkEnd w:id="155"/>
      <w:bookmarkEnd w:id="156"/>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157" w:name="_Toc201760867"/>
      <w:bookmarkStart w:id="158" w:name="_Toc184127892"/>
      <w:r>
        <w:rPr>
          <w:rStyle w:val="CharSectno"/>
        </w:rPr>
        <w:t>19Z</w:t>
      </w:r>
      <w:r>
        <w:t>.</w:t>
      </w:r>
      <w:r>
        <w:tab/>
        <w:t>Head of relevant entity must report outcome of investigation to Commissioner</w:t>
      </w:r>
      <w:bookmarkEnd w:id="157"/>
      <w:bookmarkEnd w:id="158"/>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159" w:name="_Toc201760868"/>
      <w:bookmarkStart w:id="160" w:name="_Toc184127893"/>
      <w:r>
        <w:rPr>
          <w:rStyle w:val="CharSectno"/>
        </w:rPr>
        <w:t>19ZA</w:t>
      </w:r>
      <w:r>
        <w:t>.</w:t>
      </w:r>
      <w:r>
        <w:tab/>
        <w:t>Head of relevant entity must report outcome of investigation to employee if employee informed of investigation</w:t>
      </w:r>
      <w:bookmarkEnd w:id="159"/>
      <w:bookmarkEnd w:id="160"/>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161" w:name="_Toc201760869"/>
      <w:bookmarkStart w:id="162" w:name="_Toc184127894"/>
      <w:r>
        <w:rPr>
          <w:rStyle w:val="CharSectno"/>
        </w:rPr>
        <w:t>19ZB</w:t>
      </w:r>
      <w:r>
        <w:t>.</w:t>
      </w:r>
      <w:r>
        <w:tab/>
        <w:t>Commissioner may conduct own investigation</w:t>
      </w:r>
      <w:bookmarkEnd w:id="161"/>
      <w:bookmarkEnd w:id="162"/>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keepNext/>
      </w:pPr>
      <w:r>
        <w:tab/>
        <w:t>(ii)</w:t>
      </w:r>
      <w:r>
        <w:tab/>
        <w:t>that the employee does not have a reportable conviction.</w:t>
      </w:r>
    </w:p>
    <w:p>
      <w:pPr>
        <w:pStyle w:val="Footnotesection"/>
      </w:pPr>
      <w:r>
        <w:tab/>
        <w:t>[Section 19ZB inserted: No. 25 of 2022 s. 7.]</w:t>
      </w:r>
    </w:p>
    <w:p>
      <w:pPr>
        <w:pStyle w:val="Heading5"/>
      </w:pPr>
      <w:bookmarkStart w:id="163" w:name="_Toc201760870"/>
      <w:bookmarkStart w:id="164" w:name="_Toc184127895"/>
      <w:r>
        <w:rPr>
          <w:rStyle w:val="CharSectno"/>
        </w:rPr>
        <w:t>19ZC</w:t>
      </w:r>
      <w:r>
        <w:t>.</w:t>
      </w:r>
      <w:r>
        <w:tab/>
        <w:t>Notice to head of relevant entity of Commissioner’s investigation</w:t>
      </w:r>
      <w:bookmarkEnd w:id="163"/>
      <w:bookmarkEnd w:id="164"/>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165" w:name="_Toc201760871"/>
      <w:bookmarkStart w:id="166" w:name="_Toc184127896"/>
      <w:r>
        <w:rPr>
          <w:rStyle w:val="CharSectno"/>
        </w:rPr>
        <w:t>19ZD</w:t>
      </w:r>
      <w:r>
        <w:t>.</w:t>
      </w:r>
      <w:r>
        <w:tab/>
        <w:t>Provisions relating to investigation under section 19ZB(1)(a)</w:t>
      </w:r>
      <w:bookmarkEnd w:id="165"/>
      <w:bookmarkEnd w:id="166"/>
    </w:p>
    <w:p>
      <w:pPr>
        <w:pStyle w:val="Subsection"/>
      </w:pPr>
      <w:r>
        <w:tab/>
        <w:t>(1)</w:t>
      </w:r>
      <w:r>
        <w:tab/>
        <w:t>This section applies if the Commissioner decides to conduct an investigation under section 19ZB(1)(a).</w:t>
      </w:r>
    </w:p>
    <w:p>
      <w:pPr>
        <w:pStyle w:val="Subsection"/>
        <w:keepNext/>
      </w:pPr>
      <w:r>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167" w:name="_Toc201760872"/>
      <w:bookmarkStart w:id="168" w:name="_Toc184127897"/>
      <w:r>
        <w:rPr>
          <w:rStyle w:val="CharSectno"/>
        </w:rPr>
        <w:t>19ZE</w:t>
      </w:r>
      <w:r>
        <w:t>.</w:t>
      </w:r>
      <w:r>
        <w:tab/>
        <w:t>Provision relating to investigation under section 19ZB(1)(b) or (c)</w:t>
      </w:r>
      <w:bookmarkEnd w:id="167"/>
      <w:bookmarkEnd w:id="168"/>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169" w:name="_Toc201760873"/>
      <w:bookmarkStart w:id="170" w:name="_Toc184127898"/>
      <w:r>
        <w:rPr>
          <w:rStyle w:val="CharSectno"/>
        </w:rPr>
        <w:t>19ZF</w:t>
      </w:r>
      <w:r>
        <w:t>.</w:t>
      </w:r>
      <w:r>
        <w:tab/>
        <w:t>Application to State Administrative Tribunal for review</w:t>
      </w:r>
      <w:bookmarkEnd w:id="169"/>
      <w:bookmarkEnd w:id="170"/>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171" w:name="_Toc201760874"/>
      <w:bookmarkStart w:id="172" w:name="_Toc184127899"/>
      <w:r>
        <w:rPr>
          <w:rStyle w:val="CharSectno"/>
        </w:rPr>
        <w:t>19ZG</w:t>
      </w:r>
      <w:r>
        <w:t>.</w:t>
      </w:r>
      <w:r>
        <w:tab/>
        <w:t>Concurrent investigations or proceedings</w:t>
      </w:r>
      <w:bookmarkEnd w:id="171"/>
      <w:bookmarkEnd w:id="172"/>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173" w:name="_Toc201756741"/>
      <w:bookmarkStart w:id="174" w:name="_Toc201757053"/>
      <w:bookmarkStart w:id="175" w:name="_Toc201760875"/>
      <w:bookmarkStart w:id="176" w:name="_Toc184122214"/>
      <w:bookmarkStart w:id="177" w:name="_Toc184122610"/>
      <w:bookmarkStart w:id="178" w:name="_Toc184127900"/>
      <w:r>
        <w:t>Subdivision 5 — Disclosure of information</w:t>
      </w:r>
      <w:bookmarkEnd w:id="173"/>
      <w:bookmarkEnd w:id="174"/>
      <w:bookmarkEnd w:id="175"/>
      <w:bookmarkEnd w:id="176"/>
      <w:bookmarkEnd w:id="177"/>
      <w:bookmarkEnd w:id="178"/>
    </w:p>
    <w:p>
      <w:pPr>
        <w:pStyle w:val="Footnoteheading"/>
        <w:keepNext/>
      </w:pPr>
      <w:r>
        <w:tab/>
        <w:t>[Heading inserted: No. 25 of 2022 s. 7.]</w:t>
      </w:r>
    </w:p>
    <w:p>
      <w:pPr>
        <w:pStyle w:val="Heading5"/>
      </w:pPr>
      <w:bookmarkStart w:id="179" w:name="_Toc201760876"/>
      <w:bookmarkStart w:id="180" w:name="_Toc184127901"/>
      <w:r>
        <w:rPr>
          <w:rStyle w:val="CharSectno"/>
        </w:rPr>
        <w:t>19ZH</w:t>
      </w:r>
      <w:r>
        <w:t>.</w:t>
      </w:r>
      <w:r>
        <w:tab/>
        <w:t>Disclosure of information to child, parent, guardian or other person with parental responsibility</w:t>
      </w:r>
      <w:bookmarkEnd w:id="179"/>
      <w:bookmarkEnd w:id="180"/>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181" w:name="_Toc201760877"/>
      <w:bookmarkStart w:id="182" w:name="_Toc184127902"/>
      <w:r>
        <w:rPr>
          <w:rStyle w:val="CharSectno"/>
        </w:rPr>
        <w:t>19ZI</w:t>
      </w:r>
      <w:r>
        <w:t>.</w:t>
      </w:r>
      <w:r>
        <w:tab/>
        <w:t>Commissioner may request information about reportable convictions</w:t>
      </w:r>
      <w:bookmarkEnd w:id="181"/>
      <w:bookmarkEnd w:id="182"/>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A Registrar of a relevant court to whom a request for information is made under subsection (2) is authorised to 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183" w:name="_Toc201760878"/>
      <w:bookmarkStart w:id="184" w:name="_Toc184127903"/>
      <w:r>
        <w:rPr>
          <w:rStyle w:val="CharSectno"/>
        </w:rPr>
        <w:t>19ZJ</w:t>
      </w:r>
      <w:r>
        <w:t>.</w:t>
      </w:r>
      <w:r>
        <w:tab/>
        <w:t>Prohibition on publishing certain information</w:t>
      </w:r>
      <w:bookmarkEnd w:id="183"/>
      <w:bookmarkEnd w:id="184"/>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185" w:name="_Toc201756745"/>
      <w:bookmarkStart w:id="186" w:name="_Toc201757057"/>
      <w:bookmarkStart w:id="187" w:name="_Toc201760879"/>
      <w:bookmarkStart w:id="188" w:name="_Toc184122218"/>
      <w:bookmarkStart w:id="189" w:name="_Toc184122614"/>
      <w:bookmarkStart w:id="190" w:name="_Toc184127904"/>
      <w:r>
        <w:t xml:space="preserve">Subdivision 6 — Review of amendments made by </w:t>
      </w:r>
      <w:r>
        <w:rPr>
          <w:i/>
        </w:rPr>
        <w:t>Parliamentary Commissioner Amendment (Reportable Conduct) Act 2022</w:t>
      </w:r>
      <w:bookmarkEnd w:id="185"/>
      <w:bookmarkEnd w:id="186"/>
      <w:bookmarkEnd w:id="187"/>
      <w:bookmarkEnd w:id="188"/>
      <w:bookmarkEnd w:id="189"/>
      <w:bookmarkEnd w:id="190"/>
    </w:p>
    <w:p>
      <w:pPr>
        <w:pStyle w:val="Footnoteheading"/>
      </w:pPr>
      <w:r>
        <w:tab/>
        <w:t>[Heading inserted: No. 25 of 2022 s. 7.]</w:t>
      </w:r>
    </w:p>
    <w:p>
      <w:pPr>
        <w:pStyle w:val="Heading5"/>
      </w:pPr>
      <w:bookmarkStart w:id="191" w:name="_Toc201760880"/>
      <w:bookmarkStart w:id="192" w:name="_Toc184127905"/>
      <w:r>
        <w:rPr>
          <w:rStyle w:val="CharSectno"/>
        </w:rPr>
        <w:t>19ZK</w:t>
      </w:r>
      <w:r>
        <w:t>.</w:t>
      </w:r>
      <w:r>
        <w:tab/>
        <w:t xml:space="preserve">Review of amendments made by </w:t>
      </w:r>
      <w:r>
        <w:rPr>
          <w:i/>
        </w:rPr>
        <w:t>Parliamentary Commissioner Amendment (Reportable Conduct) Act 2022</w:t>
      </w:r>
      <w:bookmarkEnd w:id="191"/>
      <w:bookmarkEnd w:id="192"/>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193" w:name="_Toc201756747"/>
      <w:bookmarkStart w:id="194" w:name="_Toc201757059"/>
      <w:bookmarkStart w:id="195" w:name="_Toc201760881"/>
      <w:bookmarkStart w:id="196" w:name="_Toc184122220"/>
      <w:bookmarkStart w:id="197" w:name="_Toc184122616"/>
      <w:bookmarkStart w:id="198" w:name="_Toc184127906"/>
      <w:r>
        <w:rPr>
          <w:rStyle w:val="CharDivNo"/>
        </w:rPr>
        <w:t>Division 3</w:t>
      </w:r>
      <w:r>
        <w:rPr>
          <w:snapToGrid w:val="0"/>
        </w:rPr>
        <w:t> — </w:t>
      </w:r>
      <w:r>
        <w:rPr>
          <w:rStyle w:val="CharDivText"/>
        </w:rPr>
        <w:t>Conduct of investigations</w:t>
      </w:r>
      <w:bookmarkEnd w:id="193"/>
      <w:bookmarkEnd w:id="194"/>
      <w:bookmarkEnd w:id="195"/>
      <w:bookmarkEnd w:id="196"/>
      <w:bookmarkEnd w:id="197"/>
      <w:bookmarkEnd w:id="198"/>
    </w:p>
    <w:p>
      <w:pPr>
        <w:pStyle w:val="Heading5"/>
        <w:spacing w:before="240"/>
        <w:rPr>
          <w:snapToGrid w:val="0"/>
        </w:rPr>
      </w:pPr>
      <w:bookmarkStart w:id="199" w:name="_Toc201760882"/>
      <w:bookmarkStart w:id="200" w:name="_Toc184127907"/>
      <w:r>
        <w:rPr>
          <w:rStyle w:val="CharSectno"/>
        </w:rPr>
        <w:t>19</w:t>
      </w:r>
      <w:r>
        <w:rPr>
          <w:snapToGrid w:val="0"/>
        </w:rPr>
        <w:t>.</w:t>
      </w:r>
      <w:r>
        <w:rPr>
          <w:snapToGrid w:val="0"/>
        </w:rPr>
        <w:tab/>
        <w:t>Proceedings on investigations</w:t>
      </w:r>
      <w:bookmarkEnd w:id="199"/>
      <w:bookmarkEnd w:id="20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201" w:name="_Toc201760883"/>
      <w:bookmarkStart w:id="202" w:name="_Toc184127908"/>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201"/>
      <w:bookmarkEnd w:id="20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subsections (2A), (2AA) and (2B), a person is not compelled for the purposes of an investigation by the 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203" w:name="_Toc201760884"/>
      <w:bookmarkStart w:id="204" w:name="_Toc184127909"/>
      <w:r>
        <w:rPr>
          <w:rStyle w:val="CharSectno"/>
        </w:rPr>
        <w:t>21</w:t>
      </w:r>
      <w:r>
        <w:rPr>
          <w:snapToGrid w:val="0"/>
        </w:rPr>
        <w:t>.</w:t>
      </w:r>
      <w:r>
        <w:rPr>
          <w:snapToGrid w:val="0"/>
        </w:rPr>
        <w:tab/>
        <w:t>Power to enter premises</w:t>
      </w:r>
      <w:bookmarkEnd w:id="203"/>
      <w:bookmarkEnd w:id="204"/>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205" w:name="_Toc201760885"/>
      <w:bookmarkStart w:id="206" w:name="_Toc184127910"/>
      <w:r>
        <w:rPr>
          <w:rStyle w:val="CharSectno"/>
        </w:rPr>
        <w:t>22</w:t>
      </w:r>
      <w:r>
        <w:rPr>
          <w:snapToGrid w:val="0"/>
        </w:rPr>
        <w:t>.</w:t>
      </w:r>
      <w:r>
        <w:rPr>
          <w:snapToGrid w:val="0"/>
        </w:rPr>
        <w:tab/>
        <w:t>Protection for proceedings in Cabinet</w:t>
      </w:r>
      <w:bookmarkEnd w:id="205"/>
      <w:bookmarkEnd w:id="20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07" w:name="_Toc201760886"/>
      <w:bookmarkStart w:id="208" w:name="_Toc184127911"/>
      <w:r>
        <w:rPr>
          <w:rStyle w:val="CharSectno"/>
        </w:rPr>
        <w:t>22A</w:t>
      </w:r>
      <w:r>
        <w:rPr>
          <w:snapToGrid w:val="0"/>
        </w:rPr>
        <w:t>.</w:t>
      </w:r>
      <w:r>
        <w:rPr>
          <w:snapToGrid w:val="0"/>
        </w:rPr>
        <w:tab/>
      </w:r>
      <w:r>
        <w:t>Consultation other than in relation to reportable conduct scheme</w:t>
      </w:r>
      <w:bookmarkEnd w:id="207"/>
      <w:bookmarkEnd w:id="208"/>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209" w:name="_Toc201760887"/>
      <w:bookmarkStart w:id="210" w:name="_Toc184127912"/>
      <w:r>
        <w:rPr>
          <w:rStyle w:val="CharSectno"/>
        </w:rPr>
        <w:t>22AA</w:t>
      </w:r>
      <w:r>
        <w:rPr>
          <w:snapToGrid w:val="0"/>
        </w:rPr>
        <w:t>.</w:t>
      </w:r>
      <w:r>
        <w:rPr>
          <w:snapToGrid w:val="0"/>
        </w:rPr>
        <w:tab/>
        <w:t>Consultation in relation to reportable conduct scheme</w:t>
      </w:r>
      <w:bookmarkEnd w:id="209"/>
      <w:bookmarkEnd w:id="210"/>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211" w:name="_Toc201760888"/>
      <w:bookmarkStart w:id="212" w:name="_Toc184127913"/>
      <w:r>
        <w:rPr>
          <w:rStyle w:val="CharSectno"/>
        </w:rPr>
        <w:t>22B</w:t>
      </w:r>
      <w:r>
        <w:rPr>
          <w:snapToGrid w:val="0"/>
        </w:rPr>
        <w:t>.</w:t>
      </w:r>
      <w:r>
        <w:rPr>
          <w:snapToGrid w:val="0"/>
        </w:rPr>
        <w:tab/>
      </w:r>
      <w:r>
        <w:t>Disclosure of certain information other than in relation to reportable conduct scheme</w:t>
      </w:r>
      <w:bookmarkEnd w:id="211"/>
      <w:bookmarkEnd w:id="212"/>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213" w:name="_Toc201760889"/>
      <w:bookmarkStart w:id="214" w:name="_Toc184127914"/>
      <w:r>
        <w:rPr>
          <w:rStyle w:val="CharSectno"/>
        </w:rPr>
        <w:t>22C</w:t>
      </w:r>
      <w:r>
        <w:rPr>
          <w:snapToGrid w:val="0"/>
        </w:rPr>
        <w:t>.</w:t>
      </w:r>
      <w:r>
        <w:rPr>
          <w:snapToGrid w:val="0"/>
        </w:rPr>
        <w:tab/>
        <w:t>Disclosure of certain information in relation to reportable conduct scheme</w:t>
      </w:r>
      <w:bookmarkEnd w:id="213"/>
      <w:bookmarkEnd w:id="214"/>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215" w:name="_Toc201760890"/>
      <w:bookmarkStart w:id="216" w:name="_Toc184127915"/>
      <w:r>
        <w:rPr>
          <w:rStyle w:val="CharSectno"/>
        </w:rPr>
        <w:t>23</w:t>
      </w:r>
      <w:r>
        <w:rPr>
          <w:snapToGrid w:val="0"/>
        </w:rPr>
        <w:t>.</w:t>
      </w:r>
      <w:r>
        <w:rPr>
          <w:snapToGrid w:val="0"/>
        </w:rPr>
        <w:tab/>
        <w:t>Secrecy</w:t>
      </w:r>
      <w:bookmarkEnd w:id="215"/>
      <w:bookmarkEnd w:id="216"/>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keepNext/>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217" w:name="_Toc201760891"/>
      <w:bookmarkStart w:id="218" w:name="_Toc184127916"/>
      <w:r>
        <w:rPr>
          <w:rStyle w:val="CharSectno"/>
        </w:rPr>
        <w:t>23A</w:t>
      </w:r>
      <w:r>
        <w:rPr>
          <w:snapToGrid w:val="0"/>
        </w:rPr>
        <w:t>.</w:t>
      </w:r>
      <w:r>
        <w:rPr>
          <w:snapToGrid w:val="0"/>
        </w:rPr>
        <w:tab/>
      </w:r>
      <w:r>
        <w:t>Certain documents sent to or by Commissioner not admissible</w:t>
      </w:r>
      <w:bookmarkEnd w:id="217"/>
      <w:bookmarkEnd w:id="218"/>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219" w:name="_Toc201760892"/>
      <w:bookmarkStart w:id="220" w:name="_Toc184127917"/>
      <w:r>
        <w:rPr>
          <w:rStyle w:val="CharSectno"/>
        </w:rPr>
        <w:t>24</w:t>
      </w:r>
      <w:r>
        <w:rPr>
          <w:snapToGrid w:val="0"/>
        </w:rPr>
        <w:t>.</w:t>
      </w:r>
      <w:r>
        <w:rPr>
          <w:snapToGrid w:val="0"/>
        </w:rPr>
        <w:tab/>
        <w:t>Obstruction</w:t>
      </w:r>
      <w:bookmarkEnd w:id="219"/>
      <w:bookmarkEnd w:id="220"/>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221" w:name="_Toc201756759"/>
      <w:bookmarkStart w:id="222" w:name="_Toc201757071"/>
      <w:bookmarkStart w:id="223" w:name="_Toc201760893"/>
      <w:bookmarkStart w:id="224" w:name="_Toc184122232"/>
      <w:bookmarkStart w:id="225" w:name="_Toc184122628"/>
      <w:bookmarkStart w:id="226" w:name="_Toc184127918"/>
      <w:r>
        <w:rPr>
          <w:rStyle w:val="CharDivNo"/>
        </w:rPr>
        <w:t>Division 4</w:t>
      </w:r>
      <w:r>
        <w:rPr>
          <w:snapToGrid w:val="0"/>
        </w:rPr>
        <w:t> — </w:t>
      </w:r>
      <w:r>
        <w:rPr>
          <w:rStyle w:val="CharDivText"/>
        </w:rPr>
        <w:t>Action on investigations</w:t>
      </w:r>
      <w:bookmarkEnd w:id="221"/>
      <w:bookmarkEnd w:id="222"/>
      <w:bookmarkEnd w:id="223"/>
      <w:bookmarkEnd w:id="224"/>
      <w:bookmarkEnd w:id="225"/>
      <w:bookmarkEnd w:id="226"/>
    </w:p>
    <w:p>
      <w:pPr>
        <w:pStyle w:val="Heading5"/>
        <w:spacing w:before="180"/>
        <w:rPr>
          <w:snapToGrid w:val="0"/>
        </w:rPr>
      </w:pPr>
      <w:bookmarkStart w:id="227" w:name="_Toc201760894"/>
      <w:bookmarkStart w:id="228" w:name="_Toc184127919"/>
      <w:r>
        <w:rPr>
          <w:rStyle w:val="CharSectno"/>
        </w:rPr>
        <w:t>25</w:t>
      </w:r>
      <w:r>
        <w:rPr>
          <w:snapToGrid w:val="0"/>
        </w:rPr>
        <w:t>.</w:t>
      </w:r>
      <w:r>
        <w:rPr>
          <w:snapToGrid w:val="0"/>
        </w:rPr>
        <w:tab/>
        <w:t>Procedure on completion of investigation</w:t>
      </w:r>
      <w:bookmarkEnd w:id="227"/>
      <w:bookmarkEnd w:id="22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229" w:name="_Toc201760895"/>
      <w:bookmarkStart w:id="230" w:name="_Toc184127920"/>
      <w:r>
        <w:rPr>
          <w:rStyle w:val="CharSectno"/>
        </w:rPr>
        <w:t>26</w:t>
      </w:r>
      <w:r>
        <w:rPr>
          <w:snapToGrid w:val="0"/>
        </w:rPr>
        <w:t>.</w:t>
      </w:r>
      <w:r>
        <w:rPr>
          <w:snapToGrid w:val="0"/>
        </w:rPr>
        <w:tab/>
        <w:t>Information to complainant on investigation</w:t>
      </w:r>
      <w:bookmarkEnd w:id="229"/>
      <w:bookmarkEnd w:id="230"/>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231" w:name="_Toc201756762"/>
      <w:bookmarkStart w:id="232" w:name="_Toc201757074"/>
      <w:bookmarkStart w:id="233" w:name="_Toc201760896"/>
      <w:bookmarkStart w:id="234" w:name="_Toc184122235"/>
      <w:bookmarkStart w:id="235" w:name="_Toc184122631"/>
      <w:bookmarkStart w:id="236" w:name="_Toc184127921"/>
      <w:r>
        <w:rPr>
          <w:rStyle w:val="CharDivNo"/>
        </w:rPr>
        <w:t>Division 5</w:t>
      </w:r>
      <w:r>
        <w:rPr>
          <w:snapToGrid w:val="0"/>
        </w:rPr>
        <w:t> — </w:t>
      </w:r>
      <w:r>
        <w:rPr>
          <w:rStyle w:val="CharDivText"/>
        </w:rPr>
        <w:t>Annual and other reports of the Commissioner</w:t>
      </w:r>
      <w:bookmarkEnd w:id="231"/>
      <w:bookmarkEnd w:id="232"/>
      <w:bookmarkEnd w:id="233"/>
      <w:bookmarkEnd w:id="234"/>
      <w:bookmarkEnd w:id="235"/>
      <w:bookmarkEnd w:id="236"/>
    </w:p>
    <w:p>
      <w:pPr>
        <w:pStyle w:val="Heading5"/>
        <w:rPr>
          <w:snapToGrid w:val="0"/>
        </w:rPr>
      </w:pPr>
      <w:bookmarkStart w:id="237" w:name="_Toc201760897"/>
      <w:bookmarkStart w:id="238" w:name="_Toc184127922"/>
      <w:r>
        <w:rPr>
          <w:rStyle w:val="CharSectno"/>
        </w:rPr>
        <w:t>27</w:t>
      </w:r>
      <w:r>
        <w:rPr>
          <w:snapToGrid w:val="0"/>
        </w:rPr>
        <w:t>.</w:t>
      </w:r>
      <w:r>
        <w:rPr>
          <w:snapToGrid w:val="0"/>
        </w:rPr>
        <w:tab/>
        <w:t>Commissioner may report to Parliament</w:t>
      </w:r>
      <w:bookmarkEnd w:id="237"/>
      <w:bookmarkEnd w:id="23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239" w:name="_Toc201760898"/>
      <w:bookmarkStart w:id="240" w:name="_Toc184127923"/>
      <w:r>
        <w:rPr>
          <w:rStyle w:val="CharSectno"/>
        </w:rPr>
        <w:t>28</w:t>
      </w:r>
      <w:r>
        <w:t>.</w:t>
      </w:r>
      <w:r>
        <w:tab/>
        <w:t>Annual report to include report on reportable conduct scheme</w:t>
      </w:r>
      <w:bookmarkEnd w:id="239"/>
      <w:bookmarkEnd w:id="240"/>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241" w:name="_Toc201756765"/>
      <w:bookmarkStart w:id="242" w:name="_Toc201757077"/>
      <w:bookmarkStart w:id="243" w:name="_Toc201760899"/>
      <w:bookmarkStart w:id="244" w:name="_Toc184122238"/>
      <w:bookmarkStart w:id="245" w:name="_Toc184122634"/>
      <w:bookmarkStart w:id="246" w:name="_Toc184127924"/>
      <w:r>
        <w:rPr>
          <w:rStyle w:val="CharPartNo"/>
        </w:rPr>
        <w:t>Part IV</w:t>
      </w:r>
      <w:r>
        <w:rPr>
          <w:rStyle w:val="CharDivNo"/>
        </w:rPr>
        <w:t> </w:t>
      </w:r>
      <w:r>
        <w:t>—</w:t>
      </w:r>
      <w:r>
        <w:rPr>
          <w:rStyle w:val="CharDivText"/>
        </w:rPr>
        <w:t> </w:t>
      </w:r>
      <w:r>
        <w:rPr>
          <w:rStyle w:val="CharPartText"/>
        </w:rPr>
        <w:t>Miscellaneous</w:t>
      </w:r>
      <w:bookmarkEnd w:id="241"/>
      <w:bookmarkEnd w:id="242"/>
      <w:bookmarkEnd w:id="243"/>
      <w:bookmarkEnd w:id="244"/>
      <w:bookmarkEnd w:id="245"/>
      <w:bookmarkEnd w:id="246"/>
    </w:p>
    <w:p>
      <w:pPr>
        <w:pStyle w:val="Heading5"/>
        <w:rPr>
          <w:snapToGrid w:val="0"/>
        </w:rPr>
      </w:pPr>
      <w:bookmarkStart w:id="247" w:name="_Toc201760900"/>
      <w:bookmarkStart w:id="248" w:name="_Toc184127925"/>
      <w:r>
        <w:rPr>
          <w:rStyle w:val="CharSectno"/>
        </w:rPr>
        <w:t>29</w:t>
      </w:r>
      <w:r>
        <w:rPr>
          <w:snapToGrid w:val="0"/>
        </w:rPr>
        <w:t>.</w:t>
      </w:r>
      <w:r>
        <w:rPr>
          <w:snapToGrid w:val="0"/>
        </w:rPr>
        <w:tab/>
        <w:t>Supreme Court may determine jurisdictional questions</w:t>
      </w:r>
      <w:bookmarkEnd w:id="247"/>
      <w:bookmarkEnd w:id="248"/>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249" w:name="_Toc201760901"/>
      <w:bookmarkStart w:id="250" w:name="_Toc184127926"/>
      <w:r>
        <w:rPr>
          <w:rStyle w:val="CharSectno"/>
        </w:rPr>
        <w:t>29A</w:t>
      </w:r>
      <w:r>
        <w:t>.</w:t>
      </w:r>
      <w:r>
        <w:rPr>
          <w:snapToGrid w:val="0"/>
        </w:rPr>
        <w:tab/>
        <w:t>Delegation by Commissioner of Police</w:t>
      </w:r>
      <w:bookmarkEnd w:id="249"/>
      <w:bookmarkEnd w:id="250"/>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251" w:name="_Toc201760902"/>
      <w:bookmarkStart w:id="252" w:name="_Toc184127927"/>
      <w:r>
        <w:rPr>
          <w:rStyle w:val="CharSectno"/>
        </w:rPr>
        <w:t>30</w:t>
      </w:r>
      <w:r>
        <w:rPr>
          <w:snapToGrid w:val="0"/>
        </w:rPr>
        <w:t>.</w:t>
      </w:r>
      <w:r>
        <w:rPr>
          <w:snapToGrid w:val="0"/>
        </w:rPr>
        <w:tab/>
        <w:t>Protection of Commissioner and officers</w:t>
      </w:r>
      <w:bookmarkEnd w:id="251"/>
      <w:bookmarkEnd w:id="252"/>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253" w:name="_Toc201760903"/>
      <w:bookmarkStart w:id="254" w:name="_Toc184127928"/>
      <w:r>
        <w:rPr>
          <w:rStyle w:val="CharSectno"/>
        </w:rPr>
        <w:t>30A</w:t>
      </w:r>
      <w:r>
        <w:rPr>
          <w:snapToGrid w:val="0"/>
        </w:rPr>
        <w:t>.</w:t>
      </w:r>
      <w:r>
        <w:rPr>
          <w:snapToGrid w:val="0"/>
        </w:rPr>
        <w:tab/>
        <w:t>Protection of complainants etc.</w:t>
      </w:r>
      <w:bookmarkEnd w:id="253"/>
      <w:bookmarkEnd w:id="254"/>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255" w:name="_Toc201760904"/>
      <w:bookmarkStart w:id="256" w:name="_Toc184127929"/>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255"/>
      <w:bookmarkEnd w:id="256"/>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257" w:name="_Toc201760905"/>
      <w:bookmarkStart w:id="258" w:name="_Toc184127930"/>
      <w:r>
        <w:rPr>
          <w:rStyle w:val="CharSectno"/>
        </w:rPr>
        <w:t>30B</w:t>
      </w:r>
      <w:r>
        <w:rPr>
          <w:snapToGrid w:val="0"/>
        </w:rPr>
        <w:t>.</w:t>
      </w:r>
      <w:r>
        <w:rPr>
          <w:snapToGrid w:val="0"/>
        </w:rPr>
        <w:tab/>
        <w:t>Victimisation</w:t>
      </w:r>
      <w:bookmarkEnd w:id="257"/>
      <w:bookmarkEnd w:id="25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keepNext/>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keepNext/>
        <w:rPr>
          <w:snapToGrid w:val="0"/>
        </w:rPr>
      </w:pPr>
      <w:r>
        <w:rPr>
          <w:snapToGrid w:val="0"/>
        </w:rPr>
        <w:tab/>
        <w:t>(b)</w:t>
      </w:r>
      <w:r>
        <w:rPr>
          <w:snapToGrid w:val="0"/>
        </w:rPr>
        <w:tab/>
        <w:t>incites another person to commit the offence,</w:t>
      </w:r>
    </w:p>
    <w:p>
      <w:pPr>
        <w:pStyle w:val="Subsection"/>
        <w:keepNext/>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259" w:name="_Toc201760906"/>
      <w:bookmarkStart w:id="260" w:name="_Toc184127931"/>
      <w:r>
        <w:rPr>
          <w:rStyle w:val="CharSectno"/>
        </w:rPr>
        <w:t>31</w:t>
      </w:r>
      <w:r>
        <w:rPr>
          <w:snapToGrid w:val="0"/>
        </w:rPr>
        <w:t>.</w:t>
      </w:r>
      <w:r>
        <w:rPr>
          <w:snapToGrid w:val="0"/>
        </w:rPr>
        <w:tab/>
        <w:t>General penalty</w:t>
      </w:r>
      <w:bookmarkEnd w:id="259"/>
      <w:bookmarkEnd w:id="260"/>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261" w:name="_Toc201760907"/>
      <w:bookmarkStart w:id="262" w:name="_Toc184127932"/>
      <w:r>
        <w:rPr>
          <w:rStyle w:val="CharSectno"/>
        </w:rPr>
        <w:t>32</w:t>
      </w:r>
      <w:r>
        <w:rPr>
          <w:snapToGrid w:val="0"/>
        </w:rPr>
        <w:t>.</w:t>
      </w:r>
      <w:r>
        <w:rPr>
          <w:snapToGrid w:val="0"/>
        </w:rPr>
        <w:tab/>
        <w:t>Expenses of Act</w:t>
      </w:r>
      <w:bookmarkEnd w:id="261"/>
      <w:bookmarkEnd w:id="26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263" w:name="_Toc201760908"/>
      <w:bookmarkStart w:id="264" w:name="_Toc184127933"/>
      <w:r>
        <w:rPr>
          <w:rStyle w:val="CharSectno"/>
        </w:rPr>
        <w:t>33</w:t>
      </w:r>
      <w:r>
        <w:t>.</w:t>
      </w:r>
      <w:r>
        <w:tab/>
        <w:t>Regulations</w:t>
      </w:r>
      <w:bookmarkEnd w:id="263"/>
      <w:bookmarkEnd w:id="264"/>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265" w:name="_Toc201760909"/>
      <w:bookmarkStart w:id="266" w:name="_Toc184127934"/>
      <w:r>
        <w:rPr>
          <w:rStyle w:val="CharSectno"/>
        </w:rPr>
        <w:t>34</w:t>
      </w:r>
      <w:r>
        <w:t>.</w:t>
      </w:r>
      <w:r>
        <w:tab/>
        <w:t>Energy and water ombudsman schemes</w:t>
      </w:r>
      <w:bookmarkEnd w:id="265"/>
      <w:bookmarkEnd w:id="266"/>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yScheduleHeading"/>
      </w:pPr>
      <w:bookmarkStart w:id="267" w:name="_Toc201756776"/>
      <w:bookmarkStart w:id="268" w:name="_Toc201757088"/>
      <w:bookmarkStart w:id="269" w:name="_Toc201760910"/>
      <w:bookmarkStart w:id="270" w:name="_Toc184122249"/>
      <w:bookmarkStart w:id="271" w:name="_Toc184122645"/>
      <w:bookmarkStart w:id="272" w:name="_Toc184127935"/>
      <w:r>
        <w:rPr>
          <w:rStyle w:val="CharSchNo"/>
        </w:rPr>
        <w:t>Schedule 1</w:t>
      </w:r>
      <w:r>
        <w:t> — </w:t>
      </w:r>
      <w:r>
        <w:rPr>
          <w:rStyle w:val="CharSchText"/>
        </w:rPr>
        <w:t>Departments and authorities, and extent, to which this Act does not apply</w:t>
      </w:r>
      <w:bookmarkEnd w:id="267"/>
      <w:bookmarkEnd w:id="268"/>
      <w:bookmarkEnd w:id="269"/>
      <w:bookmarkEnd w:id="270"/>
      <w:bookmarkEnd w:id="271"/>
      <w:bookmarkEnd w:id="272"/>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rPr>
                <w:i/>
                <w:iCs/>
              </w:rPr>
            </w:pPr>
            <w:del w:id="273" w:author="Master Repository Process" w:date="2025-06-27T10:49:00Z">
              <w:r>
                <w:rPr>
                  <w:i/>
                </w:rPr>
                <w:delText xml:space="preserve">Freedom of </w:delText>
              </w:r>
            </w:del>
            <w:r>
              <w:rPr>
                <w:i/>
                <w:iCs/>
              </w:rPr>
              <w:t xml:space="preserve">Information </w:t>
            </w:r>
            <w:ins w:id="274" w:author="Master Repository Process" w:date="2025-06-27T10:49:00Z">
              <w:r>
                <w:rPr>
                  <w:i/>
                  <w:iCs/>
                </w:rPr>
                <w:t xml:space="preserve">Commissioner </w:t>
              </w:r>
            </w:ins>
            <w:r>
              <w:rPr>
                <w:i/>
                <w:iCs/>
              </w:rPr>
              <w:t>Act </w:t>
            </w:r>
            <w:del w:id="275" w:author="Master Repository Process" w:date="2025-06-27T10:49:00Z">
              <w:r>
                <w:rPr>
                  <w:i/>
                </w:rPr>
                <w:delText>1992</w:delText>
              </w:r>
            </w:del>
            <w:ins w:id="276" w:author="Master Repository Process" w:date="2025-06-27T10:49:00Z">
              <w:r>
                <w:rPr>
                  <w:i/>
                  <w:iCs/>
                </w:rPr>
                <w:t>2024</w:t>
              </w:r>
            </w:ins>
          </w:p>
        </w:tc>
        <w:tc>
          <w:tcPr>
            <w:tcW w:w="4808" w:type="dxa"/>
          </w:tcPr>
          <w:p>
            <w:pPr>
              <w:pStyle w:val="yTableNAm"/>
            </w:pPr>
            <w:r>
              <w:t>Information Commissioner.</w:t>
            </w:r>
            <w:ins w:id="277" w:author="Master Repository Process" w:date="2025-06-27T10:49:00Z">
              <w:r>
                <w:br/>
                <w:t>Information Access Deputy Commissioner.</w:t>
              </w:r>
              <w:r>
                <w:br/>
                <w:t>Privacy Deputy Commissioner.</w:t>
              </w:r>
            </w:ins>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w:t>
      </w:r>
      <w:del w:id="278" w:author="Master Repository Process" w:date="2025-06-27T10:49:00Z">
        <w:r>
          <w:delText>24</w:delText>
        </w:r>
      </w:del>
      <w:ins w:id="279" w:author="Master Repository Process" w:date="2025-06-27T10:49:00Z">
        <w:r>
          <w:t>24; No. 52 of 2024 s. 70</w:t>
        </w:r>
      </w:ins>
      <w:r>
        <w:t>.]</w:t>
      </w:r>
    </w:p>
    <w:p>
      <w:pPr>
        <w:pStyle w:val="yScheduleHeading"/>
      </w:pPr>
      <w:bookmarkStart w:id="280" w:name="_Toc201756777"/>
      <w:bookmarkStart w:id="281" w:name="_Toc201757089"/>
      <w:bookmarkStart w:id="282" w:name="_Toc201760911"/>
      <w:bookmarkStart w:id="283" w:name="_Toc184122250"/>
      <w:bookmarkStart w:id="284" w:name="_Toc184122646"/>
      <w:bookmarkStart w:id="285" w:name="_Toc184127936"/>
      <w:r>
        <w:rPr>
          <w:rStyle w:val="CharSchNo"/>
        </w:rPr>
        <w:t>Schedule 2</w:t>
      </w:r>
      <w:r>
        <w:t> — </w:t>
      </w:r>
      <w:r>
        <w:rPr>
          <w:rStyle w:val="CharSchText"/>
        </w:rPr>
        <w:t>Relevant entities to which this Act applies</w:t>
      </w:r>
      <w:bookmarkEnd w:id="280"/>
      <w:bookmarkEnd w:id="281"/>
      <w:bookmarkEnd w:id="282"/>
      <w:bookmarkEnd w:id="283"/>
      <w:bookmarkEnd w:id="284"/>
      <w:bookmarkEnd w:id="285"/>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keepNext/>
            </w:pPr>
            <w:r>
              <w:t>A provider of a drug and alcohol treatment service that has inpatient beds for children.</w:t>
            </w:r>
          </w:p>
          <w:p>
            <w:pPr>
              <w:pStyle w:val="yTableNAm"/>
            </w:pPr>
            <w:r>
              <w:t>An ambulance service.</w:t>
            </w:r>
          </w:p>
        </w:tc>
      </w:tr>
      <w:tr>
        <w:tc>
          <w:tcPr>
            <w:tcW w:w="2280" w:type="dxa"/>
            <w:noWrap/>
          </w:tcPr>
          <w:p>
            <w:pPr>
              <w:pStyle w:val="yTableNAm"/>
            </w:pPr>
            <w:r>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544" w:gutter="0"/>
          <w:cols w:space="720"/>
          <w:noEndnote/>
          <w:docGrid w:linePitch="326"/>
        </w:sectPr>
      </w:pPr>
    </w:p>
    <w:p>
      <w:pPr>
        <w:pStyle w:val="nHeading2"/>
      </w:pPr>
      <w:bookmarkStart w:id="287" w:name="_Toc201756778"/>
      <w:bookmarkStart w:id="288" w:name="_Toc201757090"/>
      <w:bookmarkStart w:id="289" w:name="_Toc201760912"/>
      <w:bookmarkStart w:id="290" w:name="_Toc184122251"/>
      <w:bookmarkStart w:id="291" w:name="_Toc184122647"/>
      <w:bookmarkStart w:id="292" w:name="_Toc184127937"/>
      <w:r>
        <w:t>Notes</w:t>
      </w:r>
      <w:bookmarkEnd w:id="287"/>
      <w:bookmarkEnd w:id="288"/>
      <w:bookmarkEnd w:id="289"/>
      <w:bookmarkEnd w:id="290"/>
      <w:bookmarkEnd w:id="291"/>
      <w:bookmarkEnd w:id="292"/>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293" w:name="_Toc201760913"/>
      <w:bookmarkStart w:id="294" w:name="_Toc184127938"/>
      <w:r>
        <w:t>Compilation table</w:t>
      </w:r>
      <w:bookmarkEnd w:id="293"/>
      <w:bookmarkEnd w:id="294"/>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shd w:val="clear" w:color="auto" w:fill="auto"/>
          </w:tcPr>
          <w:p>
            <w:pPr>
              <w:pStyle w:val="nTable"/>
              <w:spacing w:after="40"/>
              <w:rPr>
                <w:i/>
              </w:rPr>
            </w:pPr>
            <w:r>
              <w:rPr>
                <w:i/>
              </w:rPr>
              <w:t>Criminal Law (Mental Impairment) Act 2023</w:t>
            </w:r>
            <w:r>
              <w:t xml:space="preserve"> Pt. 15 Div. 22 and s. 410 and 412</w:t>
            </w:r>
          </w:p>
        </w:tc>
        <w:tc>
          <w:tcPr>
            <w:tcW w:w="1134" w:type="dxa"/>
            <w:shd w:val="clear" w:color="auto" w:fill="auto"/>
          </w:tcPr>
          <w:p>
            <w:pPr>
              <w:pStyle w:val="nTable"/>
              <w:spacing w:after="40"/>
            </w:pPr>
            <w:r>
              <w:t>10 of 2023</w:t>
            </w:r>
          </w:p>
        </w:tc>
        <w:tc>
          <w:tcPr>
            <w:tcW w:w="1276" w:type="dxa"/>
            <w:shd w:val="clear" w:color="auto" w:fill="auto"/>
          </w:tcPr>
          <w:p>
            <w:pPr>
              <w:pStyle w:val="nTable"/>
              <w:spacing w:after="40"/>
            </w:pPr>
            <w:r>
              <w:t>13 Apr 2023</w:t>
            </w:r>
          </w:p>
        </w:tc>
        <w:tc>
          <w:tcPr>
            <w:tcW w:w="2558" w:type="dxa"/>
            <w:gridSpan w:val="2"/>
            <w:shd w:val="clear" w:color="auto" w:fill="auto"/>
          </w:tcPr>
          <w:p>
            <w:pPr>
              <w:pStyle w:val="nTable"/>
              <w:spacing w:after="40"/>
              <w:rPr>
                <w:snapToGrid w:val="0"/>
              </w:rPr>
            </w:pPr>
            <w:r>
              <w:t>1 Sep 2024 (see s. 2(b) and SL 2024/175 cl. 2)</w:t>
            </w:r>
          </w:p>
        </w:tc>
      </w:tr>
      <w:tr>
        <w:trPr>
          <w:gridBefore w:val="1"/>
          <w:wBefore w:w="13" w:type="dxa"/>
          <w:cantSplit/>
          <w:ins w:id="295" w:author="Master Repository Process" w:date="2025-06-27T10:49:00Z"/>
        </w:trPr>
        <w:tc>
          <w:tcPr>
            <w:tcW w:w="2212" w:type="dxa"/>
            <w:tcBorders>
              <w:bottom w:val="single" w:sz="4" w:space="0" w:color="auto"/>
            </w:tcBorders>
            <w:shd w:val="clear" w:color="auto" w:fill="auto"/>
          </w:tcPr>
          <w:p>
            <w:pPr>
              <w:pStyle w:val="nTable"/>
              <w:spacing w:after="40"/>
              <w:rPr>
                <w:ins w:id="296" w:author="Master Repository Process" w:date="2025-06-27T10:49:00Z"/>
                <w:i/>
              </w:rPr>
            </w:pPr>
            <w:ins w:id="297" w:author="Master Repository Process" w:date="2025-06-27T10:49:00Z">
              <w:r>
                <w:rPr>
                  <w:i/>
                </w:rPr>
                <w:t>Information Commissioner Act 2024</w:t>
              </w:r>
              <w:r>
                <w:rPr>
                  <w:iCs/>
                </w:rPr>
                <w:t xml:space="preserve"> Pt. 7 Div. 5</w:t>
              </w:r>
            </w:ins>
          </w:p>
        </w:tc>
        <w:tc>
          <w:tcPr>
            <w:tcW w:w="1134" w:type="dxa"/>
            <w:tcBorders>
              <w:bottom w:val="single" w:sz="4" w:space="0" w:color="auto"/>
            </w:tcBorders>
            <w:shd w:val="clear" w:color="auto" w:fill="auto"/>
          </w:tcPr>
          <w:p>
            <w:pPr>
              <w:pStyle w:val="nTable"/>
              <w:spacing w:after="40"/>
              <w:rPr>
                <w:ins w:id="298" w:author="Master Repository Process" w:date="2025-06-27T10:49:00Z"/>
              </w:rPr>
            </w:pPr>
            <w:ins w:id="299" w:author="Master Repository Process" w:date="2025-06-27T10:49:00Z">
              <w:r>
                <w:t>52 of 2024</w:t>
              </w:r>
            </w:ins>
          </w:p>
        </w:tc>
        <w:tc>
          <w:tcPr>
            <w:tcW w:w="1276" w:type="dxa"/>
            <w:tcBorders>
              <w:bottom w:val="single" w:sz="4" w:space="0" w:color="auto"/>
            </w:tcBorders>
            <w:shd w:val="clear" w:color="auto" w:fill="auto"/>
          </w:tcPr>
          <w:p>
            <w:pPr>
              <w:pStyle w:val="nTable"/>
              <w:spacing w:after="40"/>
              <w:rPr>
                <w:ins w:id="300" w:author="Master Repository Process" w:date="2025-06-27T10:49:00Z"/>
              </w:rPr>
            </w:pPr>
            <w:ins w:id="301" w:author="Master Repository Process" w:date="2025-06-27T10:49:00Z">
              <w:r>
                <w:t>6 Dec 2024</w:t>
              </w:r>
            </w:ins>
          </w:p>
        </w:tc>
        <w:tc>
          <w:tcPr>
            <w:tcW w:w="2558" w:type="dxa"/>
            <w:gridSpan w:val="2"/>
            <w:tcBorders>
              <w:bottom w:val="single" w:sz="4" w:space="0" w:color="auto"/>
            </w:tcBorders>
            <w:shd w:val="clear" w:color="auto" w:fill="auto"/>
          </w:tcPr>
          <w:p>
            <w:pPr>
              <w:pStyle w:val="nTable"/>
              <w:spacing w:after="40"/>
              <w:rPr>
                <w:ins w:id="302" w:author="Master Repository Process" w:date="2025-06-27T10:49:00Z"/>
              </w:rPr>
            </w:pPr>
            <w:ins w:id="303" w:author="Master Repository Process" w:date="2025-06-27T10:49:00Z">
              <w:r>
                <w:t>1 Jul 2025 (see s. 2(1)(d) and SL 2025/102 cl. 2(a))</w:t>
              </w:r>
            </w:ins>
          </w:p>
        </w:tc>
      </w:tr>
    </w:tbl>
    <w:p>
      <w:pPr>
        <w:pStyle w:val="nHeading3"/>
      </w:pPr>
      <w:bookmarkStart w:id="304" w:name="_Toc201760914"/>
      <w:bookmarkStart w:id="305" w:name="_Toc184127939"/>
      <w:r>
        <w:t>Uncommenced provisions table</w:t>
      </w:r>
      <w:bookmarkEnd w:id="304"/>
      <w:bookmarkEnd w:id="30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tcBorders>
              <w:bottom w:val="single" w:sz="4" w:space="0" w:color="auto"/>
            </w:tcBorders>
            <w:shd w:val="clear" w:color="auto" w:fill="auto"/>
          </w:tcPr>
          <w:p>
            <w:pPr>
              <w:pStyle w:val="nTable"/>
              <w:spacing w:after="40"/>
              <w:ind w:right="113"/>
              <w:rPr>
                <w:i/>
              </w:rPr>
            </w:pPr>
            <w:r>
              <w:rPr>
                <w:i/>
              </w:rPr>
              <w:t>TAB (Disposal) Act 2019</w:t>
            </w:r>
            <w:r>
              <w:t xml:space="preserve"> s. 151</w:t>
            </w:r>
          </w:p>
        </w:tc>
        <w:tc>
          <w:tcPr>
            <w:tcW w:w="1134" w:type="dxa"/>
            <w:tcBorders>
              <w:bottom w:val="single" w:sz="4" w:space="0" w:color="auto"/>
            </w:tcBorders>
            <w:shd w:val="clear" w:color="auto" w:fill="auto"/>
          </w:tcPr>
          <w:p>
            <w:pPr>
              <w:pStyle w:val="nTable"/>
              <w:spacing w:after="40"/>
            </w:pPr>
            <w:r>
              <w:t>21 of 2019</w:t>
            </w:r>
          </w:p>
        </w:tc>
        <w:tc>
          <w:tcPr>
            <w:tcW w:w="1134" w:type="dxa"/>
            <w:tcBorders>
              <w:bottom w:val="single" w:sz="4" w:space="0" w:color="auto"/>
            </w:tcBorders>
            <w:shd w:val="clear" w:color="auto" w:fill="auto"/>
          </w:tcPr>
          <w:p>
            <w:pPr>
              <w:pStyle w:val="nTable"/>
              <w:spacing w:after="40"/>
            </w:pPr>
            <w:r>
              <w:t>18 Sep 2019</w:t>
            </w:r>
          </w:p>
        </w:tc>
        <w:tc>
          <w:tcPr>
            <w:tcW w:w="2552" w:type="dxa"/>
            <w:tcBorders>
              <w:bottom w:val="single" w:sz="4" w:space="0" w:color="auto"/>
            </w:tcBorders>
            <w:shd w:val="clear" w:color="auto" w:fill="auto"/>
          </w:tcPr>
          <w:p>
            <w:pPr>
              <w:pStyle w:val="nTable"/>
              <w:spacing w:after="40"/>
            </w:pPr>
            <w:r>
              <w:t>To be proclaimed (see s. 2(1)(b)(xiii))</w:t>
            </w:r>
          </w:p>
        </w:tc>
      </w:tr>
      <w:tr>
        <w:trPr>
          <w:cantSplit/>
          <w:del w:id="306" w:author="Master Repository Process" w:date="2025-06-27T10:49:00Z"/>
        </w:trPr>
        <w:tc>
          <w:tcPr>
            <w:tcW w:w="2268" w:type="dxa"/>
            <w:tcBorders>
              <w:bottom w:val="single" w:sz="4" w:space="0" w:color="auto"/>
            </w:tcBorders>
            <w:shd w:val="clear" w:color="auto" w:fill="auto"/>
          </w:tcPr>
          <w:p>
            <w:pPr>
              <w:pStyle w:val="nTable"/>
              <w:spacing w:after="40"/>
              <w:ind w:right="113"/>
              <w:rPr>
                <w:del w:id="307" w:author="Master Repository Process" w:date="2025-06-27T10:49:00Z"/>
                <w:iCs/>
              </w:rPr>
            </w:pPr>
            <w:del w:id="308" w:author="Master Repository Process" w:date="2025-06-27T10:49:00Z">
              <w:r>
                <w:rPr>
                  <w:i/>
                </w:rPr>
                <w:delText>Information Commissioner Act 2024</w:delText>
              </w:r>
              <w:r>
                <w:rPr>
                  <w:iCs/>
                </w:rPr>
                <w:delText xml:space="preserve"> Pt. 7 Div. 5</w:delText>
              </w:r>
            </w:del>
          </w:p>
        </w:tc>
        <w:tc>
          <w:tcPr>
            <w:tcW w:w="1134" w:type="dxa"/>
            <w:tcBorders>
              <w:bottom w:val="single" w:sz="4" w:space="0" w:color="auto"/>
            </w:tcBorders>
            <w:shd w:val="clear" w:color="auto" w:fill="auto"/>
          </w:tcPr>
          <w:p>
            <w:pPr>
              <w:pStyle w:val="nTable"/>
              <w:spacing w:after="40"/>
              <w:rPr>
                <w:del w:id="309" w:author="Master Repository Process" w:date="2025-06-27T10:49:00Z"/>
              </w:rPr>
            </w:pPr>
            <w:del w:id="310" w:author="Master Repository Process" w:date="2025-06-27T10:49:00Z">
              <w:r>
                <w:delText>52 of 2024</w:delText>
              </w:r>
            </w:del>
          </w:p>
        </w:tc>
        <w:tc>
          <w:tcPr>
            <w:tcW w:w="1134" w:type="dxa"/>
            <w:tcBorders>
              <w:bottom w:val="single" w:sz="4" w:space="0" w:color="auto"/>
            </w:tcBorders>
            <w:shd w:val="clear" w:color="auto" w:fill="auto"/>
          </w:tcPr>
          <w:p>
            <w:pPr>
              <w:pStyle w:val="nTable"/>
              <w:spacing w:after="40"/>
              <w:rPr>
                <w:del w:id="311" w:author="Master Repository Process" w:date="2025-06-27T10:49:00Z"/>
              </w:rPr>
            </w:pPr>
            <w:del w:id="312" w:author="Master Repository Process" w:date="2025-06-27T10:49:00Z">
              <w:r>
                <w:delText>6 Dec 2024</w:delText>
              </w:r>
            </w:del>
          </w:p>
        </w:tc>
        <w:tc>
          <w:tcPr>
            <w:tcW w:w="2552" w:type="dxa"/>
            <w:tcBorders>
              <w:bottom w:val="single" w:sz="4" w:space="0" w:color="auto"/>
            </w:tcBorders>
            <w:shd w:val="clear" w:color="auto" w:fill="auto"/>
          </w:tcPr>
          <w:p>
            <w:pPr>
              <w:pStyle w:val="nTable"/>
              <w:spacing w:after="40"/>
              <w:rPr>
                <w:del w:id="313" w:author="Master Repository Process" w:date="2025-06-27T10:49:00Z"/>
              </w:rPr>
            </w:pPr>
            <w:del w:id="314" w:author="Master Repository Process" w:date="2025-06-27T10:49:00Z">
              <w:r>
                <w:delText xml:space="preserve">Operative on commencement of the </w:delText>
              </w:r>
              <w:r>
                <w:rPr>
                  <w:i/>
                  <w:iCs/>
                </w:rPr>
                <w:delText>Privacy and Responsible Information Sharing Act 2024</w:delText>
              </w:r>
              <w:r>
                <w:delText xml:space="preserve"> Pt. 2 Div. 12 (see s. 2(1)(d))</w:delText>
              </w:r>
            </w:del>
          </w:p>
        </w:tc>
      </w:tr>
    </w:tbl>
    <w:p>
      <w:pPr>
        <w:pStyle w:val="nHeading3"/>
      </w:pPr>
      <w:bookmarkStart w:id="315" w:name="_Toc201760915"/>
      <w:bookmarkStart w:id="316" w:name="_Toc184127940"/>
      <w:r>
        <w:t>Other notes</w:t>
      </w:r>
      <w:bookmarkEnd w:id="315"/>
      <w:bookmarkEnd w:id="316"/>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5"/>
          <w:headerReference w:type="default" r:id="rId26"/>
          <w:pgSz w:w="11907" w:h="16840" w:code="9"/>
          <w:pgMar w:top="2376" w:right="2405" w:bottom="3542" w:left="2405" w:header="706"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318" w:author="Master Repository Process" w:date="2025-06-27T10:49:00Z">
                              <w:r>
                                <w:rPr>
                                  <w:sz w:val="16"/>
                                </w:rPr>
                                <w:delText>2024</w:delText>
                              </w:r>
                            </w:del>
                            <w:ins w:id="319" w:author="Master Repository Process" w:date="2025-06-27T10:49: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320" w:author="Master Repository Process" w:date="2025-06-27T10:49:00Z">
                              <w:r>
                                <w:rPr>
                                  <w:sz w:val="16"/>
                                </w:rPr>
                                <w:delText>2024</w:delText>
                              </w:r>
                            </w:del>
                            <w:ins w:id="321" w:author="Master Repository Process" w:date="2025-06-27T10:49: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322" w:author="Master Repository Process" w:date="2025-06-27T10:49:00Z">
                        <w:r>
                          <w:rPr>
                            <w:sz w:val="16"/>
                          </w:rPr>
                          <w:delText>2024</w:delText>
                        </w:r>
                      </w:del>
                      <w:ins w:id="323" w:author="Master Repository Process" w:date="2025-06-27T10:49: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324" w:author="Master Repository Process" w:date="2025-06-27T10:49:00Z">
                        <w:r>
                          <w:rPr>
                            <w:sz w:val="16"/>
                          </w:rPr>
                          <w:delText>2024</w:delText>
                        </w:r>
                      </w:del>
                      <w:ins w:id="325" w:author="Master Repository Process" w:date="2025-06-27T10:49: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10-k0-00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86" w:name="Schedule"/>
    <w:bookmarkEnd w:id="28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17" w:name="Compilation"/>
    <w:bookmarkEnd w:id="31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326" w:name="Coversheet"/>
    <w:bookmarkEnd w:id="3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25150953"/>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25877</Words>
  <Characters>124732</Characters>
  <Application>Microsoft Office Word</Application>
  <DocSecurity>0</DocSecurity>
  <Lines>3779</Lines>
  <Paragraphs>1955</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10-j0-00 - 10-k0-00</dc:title>
  <dc:subject/>
  <dc:creator/>
  <cp:keywords/>
  <dc:description/>
  <cp:lastModifiedBy>Master Repository Process</cp:lastModifiedBy>
  <cp:revision>2</cp:revision>
  <cp:lastPrinted>2016-03-16T01:33:00Z</cp:lastPrinted>
  <dcterms:created xsi:type="dcterms:W3CDTF">2025-06-27T02:48:00Z</dcterms:created>
  <dcterms:modified xsi:type="dcterms:W3CDTF">2025-06-27T02:49:00Z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Official">
    <vt:lpwstr/>
  </property>
  <property fmtid="{D5CDD505-2E9C-101B-9397-08002B2CF9AE}" pid="8" name="CommencementDate">
    <vt:lpwstr>20250701</vt:lpwstr>
  </property>
  <property fmtid="{D5CDD505-2E9C-101B-9397-08002B2CF9AE}" pid="9" name="CommencementAsAt">
    <vt:filetime>2025-06-30T16:00:00Z</vt:filetime>
  </property>
  <property fmtid="{D5CDD505-2E9C-101B-9397-08002B2CF9AE}" pid="10" name="CommencementYear">
    <vt:lpwstr>2025</vt:lpwstr>
  </property>
  <property fmtid="{D5CDD505-2E9C-101B-9397-08002B2CF9AE}" pid="11" name="FromSuffix">
    <vt:lpwstr>10-j0-00</vt:lpwstr>
  </property>
  <property fmtid="{D5CDD505-2E9C-101B-9397-08002B2CF9AE}" pid="12" name="FromAsAtDate">
    <vt:lpwstr>06 Dec 2024</vt:lpwstr>
  </property>
  <property fmtid="{D5CDD505-2E9C-101B-9397-08002B2CF9AE}" pid="13" name="ToSuffix">
    <vt:lpwstr>10-k0-00</vt:lpwstr>
  </property>
  <property fmtid="{D5CDD505-2E9C-101B-9397-08002B2CF9AE}" pid="14" name="ToAsAtDate">
    <vt:lpwstr>01 Jul 2025</vt:lpwstr>
  </property>
</Properties>
</file>