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(Explosives)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Jun 2025</w:t>
      </w:r>
      <w:r>
        <w:fldChar w:fldCharType="end"/>
      </w:r>
      <w:r>
        <w:t xml:space="preserve">, </w:t>
      </w:r>
      <w:r>
        <w:fldChar w:fldCharType="begin"/>
      </w:r>
      <w:r>
        <w:instrText xml:space="preserve"> DocProperty FromSuffix </w:instrText>
      </w:r>
      <w:r>
        <w:fldChar w:fldCharType="separate"/>
      </w:r>
      <w:r>
        <w:t>02-s0-00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02-t0-00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Dangerous Goods Safety Act 2004</w:t>
      </w:r>
    </w:p>
    <w:p>
      <w:pPr>
        <w:pStyle w:val="NameofActReg"/>
      </w:pPr>
      <w:r>
        <w:t>Dangerous Goods Safety (Explosives) Regulations 2007</w:t>
      </w:r>
    </w:p>
    <w:p>
      <w:pPr>
        <w:pStyle w:val="Heading2"/>
        <w:pageBreakBefore w:val="0"/>
      </w:pPr>
      <w:bookmarkStart w:id="1" w:name="_Toc201670407"/>
      <w:bookmarkStart w:id="2" w:name="_Toc201671071"/>
      <w:bookmarkStart w:id="3" w:name="_Toc201747053"/>
      <w:bookmarkStart w:id="4" w:name="_Toc200031506"/>
      <w:bookmarkStart w:id="5" w:name="_Toc200036494"/>
      <w:bookmarkStart w:id="6" w:name="_Toc200095313"/>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p>
    <w:p>
      <w:pPr>
        <w:pStyle w:val="Heading5"/>
      </w:pPr>
      <w:bookmarkStart w:id="7" w:name="_Toc201747054"/>
      <w:bookmarkStart w:id="8" w:name="_Toc200095314"/>
      <w:r>
        <w:rPr>
          <w:rStyle w:val="CharSectno"/>
        </w:rPr>
        <w:t>1</w:t>
      </w:r>
      <w:r>
        <w:t>.</w:t>
      </w:r>
      <w:r>
        <w:tab/>
        <w:t>Citation</w:t>
      </w:r>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Dangerous Goods Safety (Explosives) Regulations 2007</w:t>
      </w:r>
      <w:r>
        <w:t>.</w:t>
      </w:r>
    </w:p>
    <w:p>
      <w:pPr>
        <w:pStyle w:val="Heading5"/>
      </w:pPr>
      <w:bookmarkStart w:id="10" w:name="_Toc201747055"/>
      <w:bookmarkStart w:id="11" w:name="_Toc200095315"/>
      <w:r>
        <w:rPr>
          <w:rStyle w:val="CharSectno"/>
        </w:rPr>
        <w:t>2</w:t>
      </w:r>
      <w:r>
        <w:t>.</w:t>
      </w:r>
      <w:r>
        <w:tab/>
        <w:t>Commencement</w:t>
      </w:r>
      <w:bookmarkEnd w:id="10"/>
      <w:bookmarkEnd w:id="11"/>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p>
    <w:p>
      <w:pPr>
        <w:pStyle w:val="Heading5"/>
      </w:pPr>
      <w:bookmarkStart w:id="12" w:name="_Toc201747056"/>
      <w:bookmarkStart w:id="13" w:name="_Toc200095316"/>
      <w:r>
        <w:rPr>
          <w:rStyle w:val="CharSectno"/>
        </w:rPr>
        <w:t>3</w:t>
      </w:r>
      <w:r>
        <w:t>.</w:t>
      </w:r>
      <w:r>
        <w:tab/>
        <w:t>Terms used</w:t>
      </w:r>
      <w:bookmarkEnd w:id="12"/>
      <w:bookmarkEnd w:id="13"/>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tab/>
      </w:r>
      <w:r>
        <w:rPr>
          <w:rStyle w:val="CharDefText"/>
        </w:rPr>
        <w:t>ADG Code</w:t>
      </w:r>
      <w:r>
        <w:t xml:space="preserve"> has the meaning given in the </w:t>
      </w:r>
      <w:r>
        <w:rPr>
          <w:i/>
        </w:rPr>
        <w:t>Dangerous Goods Safety (Road and Rail Transport of Non</w:t>
      </w:r>
      <w:r>
        <w:rPr>
          <w:i/>
        </w:rPr>
        <w:noBreakHyphen/>
        <w:t>explosives) Regulations 2007</w:t>
      </w:r>
      <w:r>
        <w:t xml:space="preserve"> regulation 4;</w:t>
      </w:r>
    </w:p>
    <w:p>
      <w:pPr>
        <w:pStyle w:val="Defstart"/>
      </w:pPr>
      <w:r>
        <w:tab/>
      </w:r>
      <w:r>
        <w:rPr>
          <w:rStyle w:val="CharDefText"/>
        </w:rPr>
        <w:t>AE Code</w:t>
      </w:r>
      <w:r>
        <w:t xml:space="preserve"> means the </w:t>
      </w:r>
      <w:r>
        <w:rPr>
          <w:i/>
          <w:iCs/>
        </w:rPr>
        <w:t>Australian Code for the Transport of Explosives by Road and Rail</w:t>
      </w:r>
      <w:r>
        <w:t xml:space="preserve">, Third Edition 2009, published by the Commonwealth of Australia (ISBN 978 0 642 32747 5 or ISBN 978 0 642 32753 6) (also called the Australian Explosives </w:t>
      </w:r>
      <w:r>
        <w:lastRenderedPageBreak/>
        <w:t>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tab/>
      </w:r>
      <w:r>
        <w:rPr>
          <w:rStyle w:val="CharDefText"/>
        </w:rPr>
        <w:t>annual fee</w:t>
      </w:r>
      <w:r>
        <w:t>, for a trading licence, means the annual fee in Schedule 1 for the licence;</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lastRenderedPageBreak/>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keepNext/>
      </w:pPr>
      <w:r>
        <w:rPr>
          <w:b/>
        </w:rPr>
        <w:tab/>
      </w:r>
      <w:r>
        <w:rPr>
          <w:rStyle w:val="CharDefText"/>
        </w:rPr>
        <w:t>fee</w:t>
      </w:r>
      <w:r>
        <w:t xml:space="preserve"> means the relevant fee in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defined in the </w:t>
      </w:r>
      <w:r>
        <w:rPr>
          <w:i/>
          <w:iCs/>
        </w:rPr>
        <w:t>Firearms Act 2024</w:t>
      </w:r>
      <w:r>
        <w:t xml:space="preserve"> section 6,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w:t>
      </w:r>
      <w:r>
        <w:br/>
        <w:t>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safety data sheet</w:t>
      </w:r>
      <w:r>
        <w:t xml:space="preserve"> (</w:t>
      </w:r>
      <w:r>
        <w:rPr>
          <w:rStyle w:val="CharDefText"/>
        </w:rPr>
        <w:t>SDS</w:t>
      </w:r>
      <w:r>
        <w:t xml:space="preserve">), for an explosive, means a document in English that contains the information in relation to the explosive that is required by — </w:t>
      </w:r>
    </w:p>
    <w:p>
      <w:pPr>
        <w:pStyle w:val="Defpara"/>
      </w:pPr>
      <w:r>
        <w:tab/>
        <w:t>(a)</w:t>
      </w:r>
      <w:r>
        <w:tab/>
        <w:t>the National Code of Practice for the Preparation of Material Safety Data Sheets 2</w:t>
      </w:r>
      <w:r>
        <w:rPr>
          <w:vertAlign w:val="superscript"/>
        </w:rPr>
        <w:t>nd </w:t>
      </w:r>
      <w:r>
        <w:t>Edition [NOHSC: 2011 (2003)] (ISBN</w:t>
      </w:r>
      <w:r>
        <w:noBreakHyphen/>
        <w:t>1</w:t>
      </w:r>
      <w:r>
        <w:noBreakHyphen/>
        <w:t>920763</w:t>
      </w:r>
      <w:r>
        <w:noBreakHyphen/>
        <w:t>10</w:t>
      </w:r>
      <w:r>
        <w:noBreakHyphen/>
        <w:t>4); or</w:t>
      </w:r>
    </w:p>
    <w:p>
      <w:pPr>
        <w:pStyle w:val="Defpara"/>
      </w:pPr>
      <w:r>
        <w:tab/>
        <w:t>(b)</w:t>
      </w:r>
      <w:r>
        <w:tab/>
        <w:t xml:space="preserve">the Preparation of Safety Data Sheets for Hazardous Chemicals </w:t>
      </w:r>
      <w:r>
        <w:noBreakHyphen/>
        <w:t xml:space="preserve"> Code of Practice published by Safe Work Australia in February 2016 (ISBN 978</w:t>
      </w:r>
      <w:r>
        <w:noBreakHyphen/>
        <w:t>0</w:t>
      </w:r>
      <w:r>
        <w:noBreakHyphen/>
        <w:t>642</w:t>
      </w:r>
      <w:r>
        <w:noBreakHyphen/>
        <w:t>33311</w:t>
      </w:r>
      <w:r>
        <w:noBreakHyphen/>
        <w:t>7);</w:t>
      </w:r>
    </w:p>
    <w:p>
      <w:pPr>
        <w:pStyle w:val="Defstart"/>
      </w:pPr>
      <w:r>
        <w:rPr>
          <w:b/>
        </w:rPr>
        <w:tab/>
      </w:r>
      <w:r>
        <w:rPr>
          <w:rStyle w:val="CharDefText"/>
        </w:rPr>
        <w:t>Safe Work Australia</w:t>
      </w:r>
      <w:r>
        <w:t xml:space="preserve"> means Safe Work Australia established by the </w:t>
      </w:r>
      <w:r>
        <w:rPr>
          <w:i/>
        </w:rPr>
        <w:t>Safe Work Act 2008</w:t>
      </w:r>
      <w:r>
        <w:t xml:space="preserve"> (Commonwealth) section 5;</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tab/>
      </w:r>
      <w:r>
        <w:rPr>
          <w:rStyle w:val="CharDefText"/>
        </w:rPr>
        <w:t>secure nominee</w:t>
      </w:r>
      <w:r>
        <w:t>, of a licence holder, means an individual who, under regulation 23, is authorised by the licence holder to have unsupervised access to an explosive in the licence holder’s possession;</w:t>
      </w:r>
    </w:p>
    <w:p>
      <w:pPr>
        <w:pStyle w:val="Defstart"/>
      </w:pPr>
      <w:r>
        <w:rPr>
          <w:b/>
        </w:rPr>
        <w:tab/>
      </w:r>
      <w:r>
        <w:rPr>
          <w:rStyle w:val="CharDefText"/>
        </w:rPr>
        <w:t>security card</w:t>
      </w:r>
      <w:r>
        <w:t xml:space="preserve"> means a card issued under regulation 20; </w:t>
      </w:r>
    </w:p>
    <w:p>
      <w:pPr>
        <w:pStyle w:val="Defstart"/>
      </w:pPr>
      <w:r>
        <w:rPr>
          <w:b/>
        </w:rPr>
        <w:tab/>
      </w:r>
      <w:r>
        <w:rPr>
          <w:rStyle w:val="CharDefText"/>
        </w:rPr>
        <w:t>security clearance</w:t>
      </w:r>
      <w:r>
        <w:t xml:space="preserve"> for an individual, has the meaning given to that term by regulation 16;</w:t>
      </w:r>
    </w:p>
    <w:p>
      <w:pPr>
        <w:pStyle w:val="Defstart"/>
      </w:pPr>
      <w:r>
        <w:tab/>
      </w:r>
      <w:r>
        <w:rPr>
          <w:rStyle w:val="CharDefText"/>
        </w:rPr>
        <w:t>security sensitive ammonium nitrate</w:t>
      </w:r>
      <w:r>
        <w:t xml:space="preserve"> has the meaning given in the </w:t>
      </w:r>
      <w:r>
        <w:rPr>
          <w:i/>
        </w:rPr>
        <w:t>Dangerous Goods Safety (Security Sensitive Ammonium Nitrate)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tab/>
      </w:r>
      <w:r>
        <w:rPr>
          <w:rStyle w:val="CharDefText"/>
        </w:rPr>
        <w:t>SSAN</w:t>
      </w:r>
      <w:r>
        <w:t xml:space="preserve"> stands for security sensitive ammonium nitrate;</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keepNext/>
      </w:pPr>
      <w:r>
        <w:tab/>
      </w:r>
      <w:r>
        <w:rPr>
          <w:rStyle w:val="CharDefText"/>
        </w:rPr>
        <w:t>trading licence</w:t>
      </w:r>
      <w:r>
        <w:t xml:space="preserve"> means —</w:t>
      </w:r>
    </w:p>
    <w:p>
      <w:pPr>
        <w:pStyle w:val="Defpara"/>
      </w:pPr>
      <w:r>
        <w:tab/>
        <w:t>(a)</w:t>
      </w:r>
      <w:r>
        <w:tab/>
        <w:t>an explosives import/export licence; or</w:t>
      </w:r>
    </w:p>
    <w:p>
      <w:pPr>
        <w:pStyle w:val="Defpara"/>
      </w:pPr>
      <w:r>
        <w:tab/>
        <w:t>(b)</w:t>
      </w:r>
      <w:r>
        <w:tab/>
        <w:t>an explosives manufacture licence; or</w:t>
      </w:r>
    </w:p>
    <w:p>
      <w:pPr>
        <w:pStyle w:val="Defpara"/>
      </w:pPr>
      <w:r>
        <w:tab/>
        <w:t>(c)</w:t>
      </w:r>
      <w:r>
        <w:tab/>
        <w:t>an explosives manufacture (MPU) licence; or</w:t>
      </w:r>
    </w:p>
    <w:p>
      <w:pPr>
        <w:pStyle w:val="Defpara"/>
      </w:pPr>
      <w:r>
        <w:tab/>
        <w:t>(d)</w:t>
      </w:r>
      <w:r>
        <w:tab/>
        <w:t>an explosives storage licence; or</w:t>
      </w:r>
    </w:p>
    <w:p>
      <w:pPr>
        <w:pStyle w:val="Defpara"/>
      </w:pPr>
      <w:r>
        <w:tab/>
        <w:t>(e)</w:t>
      </w:r>
      <w:r>
        <w:tab/>
        <w:t>an explosives transport licence; or</w:t>
      </w:r>
    </w:p>
    <w:p>
      <w:pPr>
        <w:pStyle w:val="Defpara"/>
      </w:pPr>
      <w:r>
        <w:tab/>
        <w:t>(f)</w:t>
      </w:r>
      <w:r>
        <w:tab/>
        <w:t>an explosives supply licence;</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tab/>
      </w:r>
      <w:r>
        <w:rPr>
          <w:rStyle w:val="CharDefText"/>
        </w:rPr>
        <w:t>unsupervised access authorisation</w:t>
      </w:r>
      <w:r>
        <w:t xml:space="preserve"> means an authorisation given under regulation 23 by a licence holder for an individual to have unsupervised access to an explosive in the licence holder’s possession;</w:t>
      </w:r>
    </w:p>
    <w:p>
      <w:pPr>
        <w:pStyle w:val="Defstart"/>
      </w:pPr>
      <w:r>
        <w:tab/>
      </w:r>
      <w:r>
        <w:rPr>
          <w:rStyle w:val="CharDefText"/>
        </w:rPr>
        <w:t>UNTC</w:t>
      </w:r>
      <w:r>
        <w:t xml:space="preserve"> means the </w:t>
      </w:r>
      <w:r>
        <w:rPr>
          <w:i/>
        </w:rPr>
        <w:t>Recommendations on the Transport of Dangerous Goods, Manual of Tests and Criteria</w:t>
      </w:r>
      <w:r>
        <w:t>, Sixth revised edition, published by the United Nations (ISBN 978</w:t>
      </w:r>
      <w:r>
        <w:noBreakHyphen/>
        <w:t>92</w:t>
      </w:r>
      <w:r>
        <w:noBreakHyphen/>
        <w:t>1</w:t>
      </w:r>
      <w:r>
        <w:noBreakHyphen/>
        <w:t>139155</w:t>
      </w:r>
      <w:r>
        <w:noBreakHyphen/>
        <w:t>8);</w:t>
      </w:r>
    </w:p>
    <w:p>
      <w:pPr>
        <w:pStyle w:val="Defstart"/>
      </w:pPr>
      <w:r>
        <w:rPr>
          <w:b/>
        </w:rPr>
        <w:tab/>
      </w:r>
      <w:r>
        <w:rPr>
          <w:rStyle w:val="CharDefText"/>
        </w:rPr>
        <w:t>use</w:t>
      </w:r>
      <w:r>
        <w:t xml:space="preserve"> an explosive, means to initiate or attempt to initiate it.</w:t>
      </w:r>
    </w:p>
    <w:p>
      <w:pPr>
        <w:pStyle w:val="Footnotesection"/>
      </w:pPr>
      <w:r>
        <w:tab/>
        <w:t>[Regulation 3 amended: Gazette 24 Nov 2009 p. 4737; 16 Mar 2012 p. 1173</w:t>
      </w:r>
      <w:r>
        <w:noBreakHyphen/>
        <w:t>4 and p. 1263; 19 Feb 2013 p. 984; 2 Dec 2013 p. 5571</w:t>
      </w:r>
      <w:r>
        <w:noBreakHyphen/>
        <w:t>2; 5 Feb 2016 p. 343</w:t>
      </w:r>
      <w:r>
        <w:noBreakHyphen/>
        <w:t>4; 3 Mar 2017 p. 1474-5; 20 Mar 2018 p. 997; SL 2020/197 r. 4; SL 2021/85 r. 4; SL 2024/295 r. 4.]</w:t>
      </w:r>
    </w:p>
    <w:p>
      <w:pPr>
        <w:pStyle w:val="Heading5"/>
      </w:pPr>
      <w:bookmarkStart w:id="14" w:name="_Toc201747057"/>
      <w:bookmarkStart w:id="15" w:name="_Toc200095317"/>
      <w:r>
        <w:rPr>
          <w:rStyle w:val="CharSectno"/>
        </w:rPr>
        <w:t>4</w:t>
      </w:r>
      <w:r>
        <w:t>.</w:t>
      </w:r>
      <w:r>
        <w:tab/>
        <w:t>Examples and notes not part of law</w:t>
      </w:r>
      <w:bookmarkEnd w:id="14"/>
      <w:bookmarkEnd w:id="15"/>
    </w:p>
    <w:p>
      <w:pPr>
        <w:pStyle w:val="Subsection"/>
      </w:pPr>
      <w:r>
        <w:tab/>
      </w:r>
      <w:r>
        <w:tab/>
        <w:t>Examples and notes in these regulations do not form part of them and are provided to assist understanding.</w:t>
      </w:r>
    </w:p>
    <w:p>
      <w:pPr>
        <w:pStyle w:val="Heading5"/>
      </w:pPr>
      <w:bookmarkStart w:id="16" w:name="_Toc201747058"/>
      <w:bookmarkStart w:id="17" w:name="_Toc200095318"/>
      <w:r>
        <w:rPr>
          <w:rStyle w:val="CharSectno"/>
        </w:rPr>
        <w:t>5</w:t>
      </w:r>
      <w:r>
        <w:t>.</w:t>
      </w:r>
      <w:r>
        <w:tab/>
        <w:t>AE Code, general provisions about</w:t>
      </w:r>
      <w:bookmarkEnd w:id="16"/>
      <w:bookmarkEnd w:id="17"/>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18" w:name="_Toc201747059"/>
      <w:bookmarkStart w:id="19" w:name="_Toc200095319"/>
      <w:r>
        <w:rPr>
          <w:rStyle w:val="CharSectno"/>
        </w:rPr>
        <w:t>6</w:t>
      </w:r>
      <w:r>
        <w:t>.</w:t>
      </w:r>
      <w:r>
        <w:tab/>
        <w:t>Alternative safety measures, meaning of</w:t>
      </w:r>
      <w:bookmarkEnd w:id="18"/>
      <w:bookmarkEnd w:id="19"/>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Gazette 16 Mar 2012 p. 1174.]</w:t>
      </w:r>
    </w:p>
    <w:p>
      <w:pPr>
        <w:pStyle w:val="Heading5"/>
      </w:pPr>
      <w:bookmarkStart w:id="20" w:name="_Toc201747060"/>
      <w:bookmarkStart w:id="21" w:name="_Toc200095320"/>
      <w:r>
        <w:rPr>
          <w:rStyle w:val="CharSectno"/>
        </w:rPr>
        <w:t>7</w:t>
      </w:r>
      <w:r>
        <w:t>.</w:t>
      </w:r>
      <w:r>
        <w:tab/>
        <w:t>AS 2187, meaning of and general provisions about</w:t>
      </w:r>
      <w:bookmarkEnd w:id="20"/>
      <w:bookmarkEnd w:id="21"/>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22" w:name="_Toc201747061"/>
      <w:bookmarkStart w:id="23" w:name="_Toc200095321"/>
      <w:r>
        <w:rPr>
          <w:rStyle w:val="CharSectno"/>
        </w:rPr>
        <w:t>8</w:t>
      </w:r>
      <w:r>
        <w:t>.</w:t>
      </w:r>
      <w:r>
        <w:tab/>
        <w:t>Explosive, meaning of</w:t>
      </w:r>
      <w:bookmarkEnd w:id="22"/>
      <w:bookmarkEnd w:id="23"/>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keepNext/>
      </w:pPr>
      <w:r>
        <w:tab/>
        <w:t>(2)</w:t>
      </w:r>
      <w:r>
        <w:tab/>
        <w:t>Without limiting subregulation (1), a substance or article is an explosive for the purposes of these regulations if —</w:t>
      </w:r>
    </w:p>
    <w:p>
      <w:pPr>
        <w:pStyle w:val="Indenta"/>
        <w:keepNext/>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Gazette 24 Nov 2009 p. 4737</w:t>
      </w:r>
      <w:r>
        <w:noBreakHyphen/>
        <w:t>8.]</w:t>
      </w:r>
    </w:p>
    <w:p>
      <w:pPr>
        <w:pStyle w:val="Heading5"/>
      </w:pPr>
      <w:bookmarkStart w:id="24" w:name="_Toc201747062"/>
      <w:bookmarkStart w:id="25" w:name="_Toc200095322"/>
      <w:r>
        <w:rPr>
          <w:rStyle w:val="CharSectno"/>
        </w:rPr>
        <w:t>9</w:t>
      </w:r>
      <w:r>
        <w:t>.</w:t>
      </w:r>
      <w:r>
        <w:tab/>
        <w:t>Classification of explosives</w:t>
      </w:r>
      <w:bookmarkEnd w:id="24"/>
      <w:bookmarkEnd w:id="25"/>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keepNext/>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PermNoteHeading"/>
      </w:pPr>
      <w:r>
        <w:tab/>
        <w:t>Example for this subregulation:</w:t>
      </w:r>
    </w:p>
    <w:p>
      <w:pPr>
        <w:pStyle w:val="PermNoteText"/>
      </w:pPr>
      <w:r>
        <w:tab/>
      </w:r>
      <w:r>
        <w:tab/>
        <w:t>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Gazette 16 Mar 2012 p. 1174</w:t>
      </w:r>
      <w:r>
        <w:noBreakHyphen/>
        <w:t>5.]</w:t>
      </w:r>
    </w:p>
    <w:p>
      <w:pPr>
        <w:pStyle w:val="Heading5"/>
      </w:pPr>
      <w:bookmarkStart w:id="26" w:name="_Toc201747063"/>
      <w:bookmarkStart w:id="27" w:name="_Toc200095323"/>
      <w:r>
        <w:rPr>
          <w:rStyle w:val="CharSectno"/>
        </w:rPr>
        <w:t>10</w:t>
      </w:r>
      <w:r>
        <w:t>.</w:t>
      </w:r>
      <w:r>
        <w:tab/>
        <w:t>Supervised and related terms, meaning of</w:t>
      </w:r>
      <w:bookmarkEnd w:id="26"/>
      <w:bookmarkEnd w:id="27"/>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nominee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nominee of such a licence holder.</w:t>
      </w:r>
    </w:p>
    <w:p>
      <w:pPr>
        <w:pStyle w:val="Footnotesection"/>
      </w:pPr>
      <w:r>
        <w:tab/>
        <w:t>[Regulation 10 amended: Gazette 2 Dec 2013 p.</w:t>
      </w:r>
      <w:r>
        <w:rPr>
          <w:sz w:val="19"/>
        </w:rPr>
        <w:t> </w:t>
      </w:r>
      <w:r>
        <w:t>5572.]</w:t>
      </w:r>
    </w:p>
    <w:p>
      <w:pPr>
        <w:pStyle w:val="Heading5"/>
      </w:pPr>
      <w:bookmarkStart w:id="28" w:name="_Toc201747064"/>
      <w:bookmarkStart w:id="29" w:name="_Toc200095324"/>
      <w:r>
        <w:rPr>
          <w:rStyle w:val="CharSectno"/>
        </w:rPr>
        <w:t>11</w:t>
      </w:r>
      <w:r>
        <w:t>.</w:t>
      </w:r>
      <w:r>
        <w:tab/>
        <w:t>Supply, meaning of affected</w:t>
      </w:r>
      <w:bookmarkEnd w:id="28"/>
      <w:bookmarkEnd w:id="29"/>
    </w:p>
    <w:p>
      <w:pPr>
        <w:pStyle w:val="Subsection"/>
      </w:pPr>
      <w:r>
        <w:tab/>
      </w:r>
      <w:r>
        <w:tab/>
        <w:t>For the purposes of these regulations a person (</w:t>
      </w:r>
      <w:r>
        <w:rPr>
          <w:b/>
          <w:i/>
        </w:rPr>
        <w:t>A</w:t>
      </w:r>
      <w:r>
        <w:t>) does not supply an explosive to another person (</w:t>
      </w:r>
      <w:r>
        <w:rPr>
          <w:b/>
          <w:i/>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30" w:name="_Toc201747065"/>
      <w:bookmarkStart w:id="31" w:name="_Toc200095325"/>
      <w:r>
        <w:rPr>
          <w:rStyle w:val="CharSectno"/>
        </w:rPr>
        <w:t>12</w:t>
      </w:r>
      <w:r>
        <w:t>.</w:t>
      </w:r>
      <w:r>
        <w:tab/>
        <w:t>Explosives to which these regulations do not apply</w:t>
      </w:r>
      <w:bookmarkEnd w:id="30"/>
      <w:bookmarkEnd w:id="31"/>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keepNext/>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32" w:name="_Toc201670420"/>
      <w:bookmarkStart w:id="33" w:name="_Toc201671084"/>
      <w:bookmarkStart w:id="34" w:name="_Toc201747066"/>
      <w:bookmarkStart w:id="35" w:name="_Toc200031519"/>
      <w:bookmarkStart w:id="36" w:name="_Toc200036507"/>
      <w:bookmarkStart w:id="37" w:name="_Toc200095326"/>
      <w:r>
        <w:rPr>
          <w:rStyle w:val="CharPartNo"/>
        </w:rPr>
        <w:t>Part 2</w:t>
      </w:r>
      <w:r>
        <w:rPr>
          <w:rStyle w:val="CharDivNo"/>
        </w:rPr>
        <w:t> </w:t>
      </w:r>
      <w:r>
        <w:t>—</w:t>
      </w:r>
      <w:r>
        <w:rPr>
          <w:rStyle w:val="CharDivText"/>
        </w:rPr>
        <w:t> </w:t>
      </w:r>
      <w:r>
        <w:rPr>
          <w:rStyle w:val="CharPartText"/>
        </w:rPr>
        <w:t>Administrative matters</w:t>
      </w:r>
      <w:bookmarkEnd w:id="32"/>
      <w:bookmarkEnd w:id="33"/>
      <w:bookmarkEnd w:id="34"/>
      <w:bookmarkEnd w:id="35"/>
      <w:bookmarkEnd w:id="36"/>
      <w:bookmarkEnd w:id="37"/>
    </w:p>
    <w:p>
      <w:pPr>
        <w:pStyle w:val="Heading5"/>
      </w:pPr>
      <w:bookmarkStart w:id="38" w:name="_Toc201747067"/>
      <w:bookmarkStart w:id="39" w:name="_Toc200095327"/>
      <w:r>
        <w:rPr>
          <w:rStyle w:val="CharSectno"/>
        </w:rPr>
        <w:t>13</w:t>
      </w:r>
      <w:r>
        <w:t>.</w:t>
      </w:r>
      <w:r>
        <w:tab/>
        <w:t>Forms may be approved by Chief Officer</w:t>
      </w:r>
      <w:bookmarkEnd w:id="38"/>
      <w:bookmarkEnd w:id="39"/>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40" w:name="_Toc201747068"/>
      <w:bookmarkStart w:id="41" w:name="_Toc200095328"/>
      <w:r>
        <w:rPr>
          <w:rStyle w:val="CharSectno"/>
        </w:rPr>
        <w:t>14</w:t>
      </w:r>
      <w:r>
        <w:t>.</w:t>
      </w:r>
      <w:r>
        <w:tab/>
        <w:t>Courses may be approved by Chief Officer</w:t>
      </w:r>
      <w:bookmarkEnd w:id="40"/>
      <w:bookmarkEnd w:id="41"/>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Gazette 16 Mar 2012 p. 1175.]</w:t>
      </w:r>
    </w:p>
    <w:p>
      <w:pPr>
        <w:pStyle w:val="Heading5"/>
      </w:pPr>
      <w:bookmarkStart w:id="42" w:name="_Toc201747069"/>
      <w:bookmarkStart w:id="43" w:name="_Toc200095329"/>
      <w:r>
        <w:rPr>
          <w:rStyle w:val="CharSectno"/>
        </w:rPr>
        <w:t>15</w:t>
      </w:r>
      <w:r>
        <w:t>.</w:t>
      </w:r>
      <w:r>
        <w:tab/>
        <w:t>Declaring a substance to be an explosive</w:t>
      </w:r>
      <w:bookmarkEnd w:id="42"/>
      <w:bookmarkEnd w:id="43"/>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r>
        <w:tab/>
        <w:t>[Regulation 15 amended: Gazette 16 Mar 2012 p. 1175.]</w:t>
      </w:r>
    </w:p>
    <w:p>
      <w:pPr>
        <w:pStyle w:val="Heading2"/>
      </w:pPr>
      <w:bookmarkStart w:id="44" w:name="_Toc201670424"/>
      <w:bookmarkStart w:id="45" w:name="_Toc201671088"/>
      <w:bookmarkStart w:id="46" w:name="_Toc201747070"/>
      <w:bookmarkStart w:id="47" w:name="_Toc200031523"/>
      <w:bookmarkStart w:id="48" w:name="_Toc200036511"/>
      <w:bookmarkStart w:id="49" w:name="_Toc200095330"/>
      <w:r>
        <w:rPr>
          <w:rStyle w:val="CharPartNo"/>
        </w:rPr>
        <w:t>Part 3</w:t>
      </w:r>
      <w:r>
        <w:rPr>
          <w:rStyle w:val="CharDivNo"/>
        </w:rPr>
        <w:t> </w:t>
      </w:r>
      <w:r>
        <w:t>—</w:t>
      </w:r>
      <w:r>
        <w:rPr>
          <w:rStyle w:val="CharDivText"/>
        </w:rPr>
        <w:t> </w:t>
      </w:r>
      <w:r>
        <w:rPr>
          <w:rStyle w:val="CharPartText"/>
        </w:rPr>
        <w:t>Security matters</w:t>
      </w:r>
      <w:bookmarkEnd w:id="44"/>
      <w:bookmarkEnd w:id="45"/>
      <w:bookmarkEnd w:id="46"/>
      <w:bookmarkEnd w:id="47"/>
      <w:bookmarkEnd w:id="48"/>
      <w:bookmarkEnd w:id="49"/>
    </w:p>
    <w:p>
      <w:pPr>
        <w:pStyle w:val="Heading5"/>
      </w:pPr>
      <w:bookmarkStart w:id="50" w:name="_Toc201747071"/>
      <w:bookmarkStart w:id="51" w:name="_Toc200095331"/>
      <w:r>
        <w:rPr>
          <w:rStyle w:val="CharSectno"/>
        </w:rPr>
        <w:t>16</w:t>
      </w:r>
      <w:r>
        <w:t>.</w:t>
      </w:r>
      <w:r>
        <w:tab/>
        <w:t>Security clearance, meaning of</w:t>
      </w:r>
      <w:bookmarkEnd w:id="50"/>
      <w:bookmarkEnd w:id="51"/>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 xml:space="preserve">An individual has a security clearance for the purposes of these regulations if the person holds a written authorisation that — </w:t>
      </w:r>
    </w:p>
    <w:p>
      <w:pPr>
        <w:pStyle w:val="Indenta"/>
      </w:pPr>
      <w:r>
        <w:tab/>
        <w:t>(a)</w:t>
      </w:r>
      <w:r>
        <w:tab/>
        <w:t xml:space="preserve">is granted or issued under the law of another State or a Territory that corresponds, or substantially corresponds, to the Act; and </w:t>
      </w:r>
    </w:p>
    <w:p>
      <w:pPr>
        <w:pStyle w:val="Indenta"/>
      </w:pPr>
      <w:r>
        <w:tab/>
        <w:t>(b)</w:t>
      </w:r>
      <w:r>
        <w:tab/>
        <w:t>authorises the person to have unsupervised access to an explosive or an SSAN.</w:t>
      </w:r>
    </w:p>
    <w:p>
      <w:pPr>
        <w:pStyle w:val="Footnotesection"/>
      </w:pPr>
      <w:r>
        <w:tab/>
        <w:t>[Regulation 16 amended: Gazette 5 Feb 2016 p. 344.]</w:t>
      </w:r>
    </w:p>
    <w:p>
      <w:pPr>
        <w:pStyle w:val="Heading5"/>
      </w:pPr>
      <w:bookmarkStart w:id="52" w:name="_Toc201747072"/>
      <w:bookmarkStart w:id="53" w:name="_Toc200095332"/>
      <w:r>
        <w:rPr>
          <w:rStyle w:val="CharSectno"/>
        </w:rPr>
        <w:t>17</w:t>
      </w:r>
      <w:r>
        <w:t>.</w:t>
      </w:r>
      <w:r>
        <w:tab/>
        <w:t>Security card, application for</w:t>
      </w:r>
      <w:bookmarkEnd w:id="52"/>
      <w:bookmarkEnd w:id="53"/>
    </w:p>
    <w:p>
      <w:pPr>
        <w:pStyle w:val="Subsection"/>
      </w:pPr>
      <w:r>
        <w:tab/>
        <w:t>(1)</w:t>
      </w:r>
      <w:r>
        <w:tab/>
        <w:t>A person who wants a security card must apply to the Chief Officer.</w:t>
      </w:r>
    </w:p>
    <w:p>
      <w:pPr>
        <w:pStyle w:val="Subsection"/>
      </w:pPr>
      <w:r>
        <w:tab/>
        <w:t>(2)</w:t>
      </w:r>
      <w:r>
        <w:tab/>
        <w:t>Only an individual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Footnotesection"/>
      </w:pPr>
      <w:r>
        <w:tab/>
        <w:t>[Regulation 17 amended: Gazette 2 Dec 2013 p.</w:t>
      </w:r>
      <w:r>
        <w:rPr>
          <w:sz w:val="19"/>
        </w:rPr>
        <w:t> </w:t>
      </w:r>
      <w:r>
        <w:t>5573.]</w:t>
      </w:r>
    </w:p>
    <w:p>
      <w:pPr>
        <w:pStyle w:val="Heading5"/>
      </w:pPr>
      <w:bookmarkStart w:id="54" w:name="_Toc201747073"/>
      <w:bookmarkStart w:id="55" w:name="_Toc200095333"/>
      <w:r>
        <w:rPr>
          <w:rStyle w:val="CharSectno"/>
        </w:rPr>
        <w:t>18</w:t>
      </w:r>
      <w:r>
        <w:t>.</w:t>
      </w:r>
      <w:r>
        <w:tab/>
        <w:t>Application to be referred to Commissioner of Police</w:t>
      </w:r>
      <w:bookmarkEnd w:id="54"/>
      <w:bookmarkEnd w:id="55"/>
    </w:p>
    <w:p>
      <w:pPr>
        <w:pStyle w:val="Subsection"/>
      </w:pPr>
      <w:r>
        <w:tab/>
      </w:r>
      <w:r>
        <w:tab/>
        <w:t>The Chief Officer must refer an application made under regulation 17 to the Commissioner of Police.</w:t>
      </w:r>
    </w:p>
    <w:p>
      <w:pPr>
        <w:pStyle w:val="Heading5"/>
      </w:pPr>
      <w:bookmarkStart w:id="56" w:name="_Toc201747074"/>
      <w:bookmarkStart w:id="57" w:name="_Toc200095334"/>
      <w:r>
        <w:rPr>
          <w:rStyle w:val="CharSectno"/>
        </w:rPr>
        <w:t>19</w:t>
      </w:r>
      <w:r>
        <w:t>.</w:t>
      </w:r>
      <w:r>
        <w:tab/>
        <w:t>Commissioner of Police may object to person having security card</w:t>
      </w:r>
      <w:bookmarkEnd w:id="56"/>
      <w:bookmarkEnd w:id="57"/>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keepNex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SSAN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family violence restraining order or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family violence restraining order or violence restraining order issued under the </w:t>
      </w:r>
      <w:r>
        <w:rPr>
          <w:i/>
        </w:rPr>
        <w:t>Restraining Orders Act </w:t>
      </w:r>
      <w:r>
        <w:rPr>
          <w:i/>
          <w:iCs/>
        </w:rPr>
        <w:t>1997</w:t>
      </w:r>
      <w:r>
        <w:t>;</w:t>
      </w:r>
    </w:p>
    <w:p>
      <w:pPr>
        <w:pStyle w:val="Indenta"/>
        <w:keepLines/>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Gazette 21 Aug 2009 p. 3271-2; 5 Feb 2016 p. 345; 27 Jun 2017 p. 3432.]</w:t>
      </w:r>
    </w:p>
    <w:p>
      <w:pPr>
        <w:pStyle w:val="Heading5"/>
      </w:pPr>
      <w:bookmarkStart w:id="58" w:name="_Toc201747075"/>
      <w:bookmarkStart w:id="59" w:name="_Toc200095335"/>
      <w:r>
        <w:rPr>
          <w:rStyle w:val="CharSectno"/>
        </w:rPr>
        <w:t>20</w:t>
      </w:r>
      <w:r>
        <w:t>.</w:t>
      </w:r>
      <w:r>
        <w:tab/>
        <w:t>Security card, issue of</w:t>
      </w:r>
      <w:bookmarkEnd w:id="58"/>
      <w:bookmarkEnd w:id="59"/>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 or</w:t>
      </w:r>
    </w:p>
    <w:p>
      <w:pPr>
        <w:pStyle w:val="Indenta"/>
      </w:pPr>
      <w:r>
        <w:tab/>
        <w:t>(c)</w:t>
      </w:r>
      <w:r>
        <w:tab/>
        <w:t>the application is for a security card that would be valid at any time while a security card that the applicant already has is valid.</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spacing w:before="120"/>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name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or until the end of a period for which it is extended under regulation 21A unless sooner cancelled by the Chief Officer.</w:t>
      </w:r>
    </w:p>
    <w:p>
      <w:pPr>
        <w:pStyle w:val="Subsection"/>
      </w:pPr>
      <w:r>
        <w:tab/>
        <w:t>(7)</w:t>
      </w:r>
      <w:r>
        <w:tab/>
        <w:t>An applicant whose application is refused is not entitled to a refund of the fee.</w:t>
      </w:r>
    </w:p>
    <w:p>
      <w:pPr>
        <w:pStyle w:val="Footnotesection"/>
      </w:pPr>
      <w:r>
        <w:tab/>
        <w:t>[Regulation 20 amended: Gazette 2 Dec 2013 p.</w:t>
      </w:r>
      <w:r>
        <w:rPr>
          <w:sz w:val="19"/>
        </w:rPr>
        <w:t> </w:t>
      </w:r>
      <w:r>
        <w:t>5573; 20 Mar 2018 p. 997.]</w:t>
      </w:r>
    </w:p>
    <w:p>
      <w:pPr>
        <w:pStyle w:val="Heading5"/>
      </w:pPr>
      <w:bookmarkStart w:id="60" w:name="_Toc201747076"/>
      <w:bookmarkStart w:id="61" w:name="_Toc200095336"/>
      <w:r>
        <w:rPr>
          <w:rStyle w:val="CharSectno"/>
        </w:rPr>
        <w:t>21A</w:t>
      </w:r>
      <w:r>
        <w:t>.</w:t>
      </w:r>
      <w:r>
        <w:tab/>
        <w:t>Extension of period for which security card is valid</w:t>
      </w:r>
      <w:bookmarkEnd w:id="60"/>
      <w:bookmarkEnd w:id="61"/>
    </w:p>
    <w:p>
      <w:pPr>
        <w:pStyle w:val="Subsection"/>
      </w:pPr>
      <w:r>
        <w:tab/>
        <w:t>(1)</w:t>
      </w:r>
      <w:r>
        <w:tab/>
        <w:t>A person who has a valid security card may, within the period of 3 months before the security card is due to expire, apply to the Chief Officer for the period at the end of which the security card expires to be extended.</w:t>
      </w:r>
    </w:p>
    <w:p>
      <w:pPr>
        <w:pStyle w:val="Subsection"/>
      </w:pPr>
      <w:r>
        <w:tab/>
        <w:t>(2)</w:t>
      </w:r>
      <w:r>
        <w:tab/>
        <w:t xml:space="preserve">The application — </w:t>
      </w:r>
    </w:p>
    <w:p>
      <w:pPr>
        <w:pStyle w:val="Indenta"/>
      </w:pPr>
      <w:r>
        <w:tab/>
        <w:t>(a)</w:t>
      </w:r>
      <w:r>
        <w:tab/>
        <w:t>must be made in the approved form; and</w:t>
      </w:r>
    </w:p>
    <w:p>
      <w:pPr>
        <w:pStyle w:val="Indenta"/>
      </w:pPr>
      <w:r>
        <w:tab/>
        <w:t>(b)</w:t>
      </w:r>
      <w:r>
        <w:tab/>
        <w:t>must be accompanied by any documents specified in the approved form; and</w:t>
      </w:r>
    </w:p>
    <w:p>
      <w:pPr>
        <w:pStyle w:val="Indenta"/>
      </w:pPr>
      <w:r>
        <w:tab/>
        <w:t>(c)</w:t>
      </w:r>
      <w:r>
        <w:tab/>
        <w:t>must be accompanied by the fee.</w:t>
      </w:r>
    </w:p>
    <w:p>
      <w:pPr>
        <w:pStyle w:val="Subsection"/>
      </w:pPr>
      <w:r>
        <w:tab/>
        <w:t>(3)</w:t>
      </w:r>
      <w:r>
        <w:tab/>
        <w:t>If the photograph displayed on the applicant’s security card was taken more than a period of 6 years before the application is made, the application must also be accompanied by a photograph of the applicant taken in the period of 6 months before the application is made.</w:t>
      </w:r>
    </w:p>
    <w:p>
      <w:pPr>
        <w:pStyle w:val="Subsection"/>
      </w:pPr>
      <w:r>
        <w:tab/>
        <w:t>(4)</w:t>
      </w:r>
      <w:r>
        <w:tab/>
        <w:t>On receiving an application made in accordance with this regulation, the Chief Officer must approve the application and extend the period at the end of which the security card is due to expire by 5 years.</w:t>
      </w:r>
    </w:p>
    <w:p>
      <w:pPr>
        <w:pStyle w:val="Subsection"/>
      </w:pPr>
      <w:r>
        <w:tab/>
        <w:t>(5)</w:t>
      </w:r>
      <w:r>
        <w:tab/>
        <w:t xml:space="preserve">The Chief Officer must, on approving the application — </w:t>
      </w:r>
    </w:p>
    <w:p>
      <w:pPr>
        <w:pStyle w:val="Indenta"/>
      </w:pPr>
      <w:r>
        <w:tab/>
        <w:t>(a)</w:t>
      </w:r>
      <w:r>
        <w:tab/>
        <w:t>issue to the applicant a replacement security card showing when it is due to expire and, where applicable, displaying the photograph provided to the Chief Officer under subregulation (3); and</w:t>
      </w:r>
    </w:p>
    <w:p>
      <w:pPr>
        <w:pStyle w:val="Indenta"/>
      </w:pPr>
      <w:r>
        <w:tab/>
        <w:t>(b)</w:t>
      </w:r>
      <w:r>
        <w:tab/>
        <w:t>give to the Commissioner of Police notice of the extension of the period at the end of which the security card is due to expire.</w:t>
      </w:r>
    </w:p>
    <w:p>
      <w:pPr>
        <w:pStyle w:val="Subsection"/>
      </w:pPr>
      <w:r>
        <w:tab/>
        <w:t>(6)</w:t>
      </w:r>
      <w:r>
        <w:tab/>
        <w:t>If an application is made in accordance with this regulation but the applicant’s security card expires before the application is approved, the period at the end of which the security card is due to expire is taken to have been extended under this regulation.</w:t>
      </w:r>
    </w:p>
    <w:p>
      <w:pPr>
        <w:pStyle w:val="Footnotesection"/>
      </w:pPr>
      <w:r>
        <w:tab/>
        <w:t>[Regulation 21A inserted: Gazette 2 Dec 2013 p.</w:t>
      </w:r>
      <w:r>
        <w:rPr>
          <w:sz w:val="19"/>
        </w:rPr>
        <w:t> </w:t>
      </w:r>
      <w:r>
        <w:t>5573</w:t>
      </w:r>
      <w:r>
        <w:noBreakHyphen/>
        <w:t xml:space="preserve">4; amended: Gazette 24 Jun 2016 p. 2326.] </w:t>
      </w:r>
    </w:p>
    <w:p>
      <w:pPr>
        <w:pStyle w:val="Heading5"/>
        <w:spacing w:before="240"/>
      </w:pPr>
      <w:bookmarkStart w:id="62" w:name="_Toc201747077"/>
      <w:bookmarkStart w:id="63" w:name="_Toc200095337"/>
      <w:r>
        <w:rPr>
          <w:rStyle w:val="CharSectno"/>
        </w:rPr>
        <w:t>21</w:t>
      </w:r>
      <w:r>
        <w:t>.</w:t>
      </w:r>
      <w:r>
        <w:tab/>
        <w:t>Security card, cancelling</w:t>
      </w:r>
      <w:bookmarkEnd w:id="62"/>
      <w:bookmarkEnd w:id="63"/>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 xml:space="preserve">Dangerous Goods Safety </w:t>
      </w:r>
      <w:r>
        <w:rPr>
          <w:i/>
        </w:rPr>
        <w:t xml:space="preserve">(Security Sensitive Ammonium Nitrate) </w:t>
      </w:r>
      <w:r>
        <w:rPr>
          <w:i/>
          <w:iCs/>
        </w:rPr>
        <w:t>Regulations 2007</w:t>
      </w:r>
      <w:r>
        <w:t>, issued to him or her to the Chief Officer.</w:t>
      </w:r>
    </w:p>
    <w:p>
      <w:pPr>
        <w:pStyle w:val="Penstart"/>
      </w:pPr>
      <w:r>
        <w:tab/>
        <w:t>Penalty: a level 3 fine.</w:t>
      </w:r>
    </w:p>
    <w:p>
      <w:pPr>
        <w:pStyle w:val="Subsection"/>
        <w:spacing w:before="180"/>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Subsection"/>
      </w:pPr>
      <w:r>
        <w:tab/>
        <w:t>(6)</w:t>
      </w:r>
      <w:r>
        <w:tab/>
        <w:t>A person’s security card is to be taken to have been cancelled if the person dies.</w:t>
      </w:r>
    </w:p>
    <w:p>
      <w:pPr>
        <w:pStyle w:val="Footnotesection"/>
      </w:pPr>
      <w:r>
        <w:tab/>
        <w:t>[Regulation 21 amended: Gazette 5 Feb 2016 p.</w:t>
      </w:r>
      <w:r>
        <w:rPr>
          <w:sz w:val="19"/>
        </w:rPr>
        <w:t> </w:t>
      </w:r>
      <w:r>
        <w:rPr>
          <w:szCs w:val="24"/>
        </w:rPr>
        <w:t>345</w:t>
      </w:r>
      <w:r>
        <w:t xml:space="preserve">.] </w:t>
      </w:r>
    </w:p>
    <w:p>
      <w:pPr>
        <w:pStyle w:val="Heading5"/>
        <w:spacing w:before="180"/>
      </w:pPr>
      <w:bookmarkStart w:id="64" w:name="_Toc201747078"/>
      <w:bookmarkStart w:id="65" w:name="_Toc200095338"/>
      <w:r>
        <w:rPr>
          <w:rStyle w:val="CharSectno"/>
        </w:rPr>
        <w:t>22A</w:t>
      </w:r>
      <w:r>
        <w:t>.</w:t>
      </w:r>
      <w:r>
        <w:tab/>
        <w:t>Replacement of security cards</w:t>
      </w:r>
      <w:bookmarkEnd w:id="64"/>
      <w:bookmarkEnd w:id="65"/>
    </w:p>
    <w:p>
      <w:pPr>
        <w:pStyle w:val="Subsection"/>
      </w:pPr>
      <w:r>
        <w:tab/>
        <w:t>(1)</w:t>
      </w:r>
      <w:r>
        <w:tab/>
        <w:t>If the Chief Officer is satisfied a security card has been destroyed, lost or stolen, the Chief Officer may issue a replacement.</w:t>
      </w:r>
    </w:p>
    <w:p>
      <w:pPr>
        <w:pStyle w:val="Subsection"/>
      </w:pPr>
      <w:r>
        <w:tab/>
        <w:t>(2)</w:t>
      </w:r>
      <w:r>
        <w:tab/>
        <w:t>No fee is to be charged for issuing a replacement under subregulation (1).</w:t>
      </w:r>
    </w:p>
    <w:p>
      <w:pPr>
        <w:pStyle w:val="Footnotesection"/>
      </w:pPr>
      <w:r>
        <w:tab/>
        <w:t>[Regulation 22A inserted: Gazette 2 Dec 2013 p.</w:t>
      </w:r>
      <w:r>
        <w:rPr>
          <w:sz w:val="19"/>
        </w:rPr>
        <w:t> </w:t>
      </w:r>
      <w:r>
        <w:t>5575.]</w:t>
      </w:r>
    </w:p>
    <w:p>
      <w:pPr>
        <w:pStyle w:val="Heading5"/>
        <w:spacing w:before="180"/>
      </w:pPr>
      <w:bookmarkStart w:id="66" w:name="_Toc201747079"/>
      <w:bookmarkStart w:id="67" w:name="_Toc200095339"/>
      <w:r>
        <w:rPr>
          <w:rStyle w:val="CharSectno"/>
        </w:rPr>
        <w:t>22</w:t>
      </w:r>
      <w:r>
        <w:t>.</w:t>
      </w:r>
      <w:r>
        <w:tab/>
        <w:t>Security documents to be carried and produced</w:t>
      </w:r>
      <w:bookmarkEnd w:id="66"/>
      <w:bookmarkEnd w:id="67"/>
    </w:p>
    <w:p>
      <w:pPr>
        <w:pStyle w:val="Subsection"/>
        <w:keepNext/>
        <w:spacing w:before="120"/>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spacing w:before="120"/>
      </w:pPr>
      <w:r>
        <w:tab/>
        <w:t>(2)</w:t>
      </w:r>
      <w:r>
        <w:tab/>
        <w:t>A person who has a security document and who is in possession of an explosive or an SSAN must carry the document or have it in the vehicle in which he or she is travelling or at the place where he or she is in possession of the explosive or SSAN.</w:t>
      </w:r>
    </w:p>
    <w:p>
      <w:pPr>
        <w:pStyle w:val="Penstart"/>
      </w:pPr>
      <w:r>
        <w:tab/>
        <w:t>Penalty: a level 3 fine.</w:t>
      </w:r>
    </w:p>
    <w:p>
      <w:pPr>
        <w:pStyle w:val="Subsection"/>
      </w:pPr>
      <w:r>
        <w:tab/>
        <w:t>(3)</w:t>
      </w:r>
      <w:r>
        <w:tab/>
        <w:t>A person who has a security document and who is in possession of an explosive or an SSAN must, if asked to do so by a DGO, immediately produce it to the DGO for inspection.</w:t>
      </w:r>
    </w:p>
    <w:p>
      <w:pPr>
        <w:pStyle w:val="Penstart"/>
      </w:pPr>
      <w:r>
        <w:tab/>
        <w:t>Penalty: a level 3 fine.</w:t>
      </w:r>
    </w:p>
    <w:p>
      <w:pPr>
        <w:pStyle w:val="Footnotesection"/>
        <w:spacing w:before="80"/>
        <w:ind w:left="890" w:hanging="890"/>
      </w:pPr>
      <w:r>
        <w:tab/>
        <w:t>[Regulation 22 amended: Gazette 16 Mar 2012 p. 1175; 5 Feb 2016 p. 34.]</w:t>
      </w:r>
    </w:p>
    <w:p>
      <w:pPr>
        <w:pStyle w:val="Heading5"/>
        <w:spacing w:before="180"/>
      </w:pPr>
      <w:bookmarkStart w:id="68" w:name="_Toc201747080"/>
      <w:bookmarkStart w:id="69" w:name="_Toc200095340"/>
      <w:r>
        <w:rPr>
          <w:rStyle w:val="CharSectno"/>
        </w:rPr>
        <w:t>23</w:t>
      </w:r>
      <w:r>
        <w:t>.</w:t>
      </w:r>
      <w:r>
        <w:tab/>
        <w:t>Authorisation to have access to explosives</w:t>
      </w:r>
      <w:bookmarkEnd w:id="68"/>
      <w:bookmarkEnd w:id="69"/>
    </w:p>
    <w:p>
      <w:pPr>
        <w:pStyle w:val="Subsection"/>
        <w:spacing w:before="120"/>
      </w:pPr>
      <w:r>
        <w:tab/>
        <w:t>(1)</w:t>
      </w:r>
      <w:r>
        <w:tab/>
        <w:t xml:space="preserve">A licence or test permit holder may authorise an individual — </w:t>
      </w:r>
    </w:p>
    <w:p>
      <w:pPr>
        <w:pStyle w:val="Indenta"/>
      </w:pPr>
      <w:r>
        <w:tab/>
        <w:t>(a)</w:t>
      </w:r>
      <w:r>
        <w:tab/>
        <w:t>to have unsupervised access; or</w:t>
      </w:r>
    </w:p>
    <w:p>
      <w:pPr>
        <w:pStyle w:val="Indenta"/>
      </w:pPr>
      <w:r>
        <w:tab/>
        <w:t>(b)</w:t>
      </w:r>
      <w:r>
        <w:tab/>
        <w:t>to have supervised access,</w:t>
      </w:r>
    </w:p>
    <w:p>
      <w:pPr>
        <w:pStyle w:val="Subsection"/>
        <w:spacing w:before="120"/>
      </w:pPr>
      <w:r>
        <w:tab/>
      </w:r>
      <w:r>
        <w:tab/>
        <w:t>to an explosive in the licence or test permit holder’s possession, and may cancel such an authorisation at any time.</w:t>
      </w:r>
    </w:p>
    <w:p>
      <w:pPr>
        <w:pStyle w:val="Subsection"/>
        <w:spacing w:before="120"/>
      </w:pPr>
      <w:r>
        <w:tab/>
        <w:t>(2)</w:t>
      </w:r>
      <w:r>
        <w:tab/>
        <w:t>A licence or test permit holder must not, under subregulation (1)(a), authorise an individual to have unsupervised access to an explosive unless —</w:t>
      </w:r>
    </w:p>
    <w:p>
      <w:pPr>
        <w:pStyle w:val="Indenta"/>
      </w:pPr>
      <w:r>
        <w:tab/>
        <w:t>(a)</w:t>
      </w:r>
      <w:r>
        <w:tab/>
        <w:t>the individual has a security clearance; and</w:t>
      </w:r>
    </w:p>
    <w:p>
      <w:pPr>
        <w:pStyle w:val="Indenta"/>
      </w:pPr>
      <w:r>
        <w:tab/>
        <w:t>(b)</w:t>
      </w:r>
      <w:r>
        <w:tab/>
        <w:t>the licence or test permit holder is satisfied the individual is suitably trained to safely handle any explosive to which the individual will have unsupervised access.</w:t>
      </w:r>
    </w:p>
    <w:p>
      <w:pPr>
        <w:pStyle w:val="Penstart"/>
      </w:pPr>
      <w:r>
        <w:tab/>
        <w:t>Penalty: a level 2 fine.</w:t>
      </w:r>
    </w:p>
    <w:p>
      <w:pPr>
        <w:pStyle w:val="Subsection"/>
        <w:spacing w:before="120"/>
      </w:pPr>
      <w:r>
        <w:tab/>
        <w:t>(3)</w:t>
      </w:r>
      <w:r>
        <w:tab/>
        <w:t>An authorisation given under subregulation (1)(a) by a licence or test permit holder to an individual authorising unsupervised access must —</w:t>
      </w:r>
    </w:p>
    <w:p>
      <w:pPr>
        <w:pStyle w:val="Indenta"/>
        <w:spacing w:before="60"/>
      </w:pPr>
      <w:r>
        <w:tab/>
        <w:t>(a)</w:t>
      </w:r>
      <w:r>
        <w:tab/>
        <w:t>be in writing; and</w:t>
      </w:r>
    </w:p>
    <w:p>
      <w:pPr>
        <w:pStyle w:val="Indenta"/>
        <w:keepNext/>
        <w:spacing w:before="60"/>
      </w:pPr>
      <w:r>
        <w:tab/>
        <w:t>(b)</w:t>
      </w:r>
      <w:r>
        <w:tab/>
        <w:t>state the following —</w:t>
      </w:r>
    </w:p>
    <w:p>
      <w:pPr>
        <w:pStyle w:val="Indenti"/>
        <w:spacing w:before="60"/>
      </w:pPr>
      <w:r>
        <w:tab/>
        <w:t>(i)</w:t>
      </w:r>
      <w:r>
        <w:tab/>
        <w:t>the date on which the authorisation is given;</w:t>
      </w:r>
    </w:p>
    <w:p>
      <w:pPr>
        <w:pStyle w:val="Indenti"/>
        <w:spacing w:before="60"/>
      </w:pPr>
      <w:r>
        <w:tab/>
        <w:t>(ii)</w:t>
      </w:r>
      <w:r>
        <w:tab/>
        <w:t>the name and residential address of the individual;</w:t>
      </w:r>
    </w:p>
    <w:p>
      <w:pPr>
        <w:pStyle w:val="Indenti"/>
        <w:spacing w:before="60"/>
      </w:pPr>
      <w:r>
        <w:tab/>
        <w:t>(iii)</w:t>
      </w:r>
      <w:r>
        <w:tab/>
        <w:t>each type of explosive in the licence or test permit holder’s possession to which the individual may have unsupervised access;</w:t>
      </w:r>
    </w:p>
    <w:p>
      <w:pPr>
        <w:pStyle w:val="Indenti"/>
      </w:pPr>
      <w:r>
        <w:tab/>
        <w:t>(iv)</w:t>
      </w:r>
      <w:r>
        <w:tab/>
        <w:t>details about where and when the individual may have unsupervised access;</w:t>
      </w:r>
    </w:p>
    <w:p>
      <w:pPr>
        <w:pStyle w:val="Indenti"/>
      </w:pPr>
      <w:r>
        <w:tab/>
        <w:t>(v)</w:t>
      </w:r>
      <w:r>
        <w:tab/>
        <w:t>each other condition imposed by the licence or test permit holder on the individual in relation to unsupervised access.</w:t>
      </w:r>
    </w:p>
    <w:p>
      <w:pPr>
        <w:pStyle w:val="Subsection"/>
      </w:pPr>
      <w:r>
        <w:tab/>
        <w:t>(4)</w:t>
      </w:r>
      <w:r>
        <w:tab/>
        <w:t>An authorisation given under subregulation (1)(a) to an individual has no effect unless —</w:t>
      </w:r>
    </w:p>
    <w:p>
      <w:pPr>
        <w:pStyle w:val="Indenta"/>
      </w:pPr>
      <w:r>
        <w:tab/>
        <w:t>(a)</w:t>
      </w:r>
      <w:r>
        <w:tab/>
        <w:t>it complies with subregulation (3); and</w:t>
      </w:r>
    </w:p>
    <w:p>
      <w:pPr>
        <w:pStyle w:val="Indenta"/>
      </w:pPr>
      <w:r>
        <w:tab/>
        <w:t>(b)</w:t>
      </w:r>
      <w:r>
        <w:tab/>
        <w:t>the licence or test permit holder has a record that the individual has stated he or she understands the authorisation.</w:t>
      </w:r>
    </w:p>
    <w:p>
      <w:pPr>
        <w:pStyle w:val="Subsection"/>
      </w:pPr>
      <w:r>
        <w:tab/>
        <w:t>(5)</w:t>
      </w:r>
      <w:r>
        <w:tab/>
        <w:t>If a secure nominee of a licence or test permit holder requests the licence or test permit holder to do so, the licence or test permit holder must give the nominee a copy of each unsupervised access authorisation given by the licence or test permit holder to the nominee.</w:t>
      </w:r>
    </w:p>
    <w:p>
      <w:pPr>
        <w:pStyle w:val="Penstart"/>
      </w:pPr>
      <w:r>
        <w:tab/>
        <w:t>Penalty: a level 3 fine.</w:t>
      </w:r>
    </w:p>
    <w:p>
      <w:pPr>
        <w:pStyle w:val="Subsection"/>
      </w:pPr>
      <w:r>
        <w:tab/>
        <w:t>(6)</w:t>
      </w:r>
      <w:r>
        <w:tab/>
        <w:t>An unsupervised access authorisation given to an individual ceases to have effect if it is cancelled or the individual ceases to have a security clearance.</w:t>
      </w:r>
    </w:p>
    <w:p>
      <w:pPr>
        <w:pStyle w:val="Subsection"/>
      </w:pPr>
      <w:r>
        <w:tab/>
        <w:t>(7)</w:t>
      </w:r>
      <w:r>
        <w:tab/>
        <w:t>A licence or test permit holder who, under subregulation (1)(b), authorises an individual to have supervised access to an explosive must ensure the individual is supervised while having access to the explosive by —</w:t>
      </w:r>
    </w:p>
    <w:p>
      <w:pPr>
        <w:pStyle w:val="Indenta"/>
      </w:pPr>
      <w:r>
        <w:tab/>
        <w:t>(a)</w:t>
      </w:r>
      <w:r>
        <w:tab/>
        <w:t>the licence or test permit holder; or</w:t>
      </w:r>
    </w:p>
    <w:p>
      <w:pPr>
        <w:pStyle w:val="Indenta"/>
        <w:keepNext/>
      </w:pPr>
      <w:r>
        <w:tab/>
        <w:t>(b)</w:t>
      </w:r>
      <w:r>
        <w:tab/>
        <w:t>a secure nominee of the licence or test permit holder having access to the explosive in accordance with an unsupervised access authorisation given by the licence or test permit holder to the nominee.</w:t>
      </w:r>
    </w:p>
    <w:p>
      <w:pPr>
        <w:pStyle w:val="Penstart"/>
        <w:keepNext/>
      </w:pPr>
      <w:r>
        <w:tab/>
        <w:t>Penalty: a level 2 fine.</w:t>
      </w:r>
    </w:p>
    <w:p>
      <w:pPr>
        <w:pStyle w:val="Footnotesection"/>
      </w:pPr>
      <w:r>
        <w:tab/>
        <w:t>[Regulation 23 inserted: Gazette 2 Dec 2013 p.</w:t>
      </w:r>
      <w:r>
        <w:rPr>
          <w:sz w:val="19"/>
        </w:rPr>
        <w:t> </w:t>
      </w:r>
      <w:r>
        <w:t>5575</w:t>
      </w:r>
      <w:r>
        <w:noBreakHyphen/>
        <w:t>7; amended: Gazette 5 Feb 2016 p. 346.]</w:t>
      </w:r>
    </w:p>
    <w:p>
      <w:pPr>
        <w:pStyle w:val="Heading5"/>
      </w:pPr>
      <w:bookmarkStart w:id="70" w:name="_Toc201747081"/>
      <w:bookmarkStart w:id="71" w:name="_Toc200095341"/>
      <w:r>
        <w:rPr>
          <w:rStyle w:val="CharSectno"/>
        </w:rPr>
        <w:t>24</w:t>
      </w:r>
      <w:r>
        <w:t>.</w:t>
      </w:r>
      <w:r>
        <w:tab/>
        <w:t>Records as to secure nominees</w:t>
      </w:r>
      <w:bookmarkEnd w:id="70"/>
      <w:bookmarkEnd w:id="71"/>
    </w:p>
    <w:p>
      <w:pPr>
        <w:pStyle w:val="Subsection"/>
      </w:pPr>
      <w:r>
        <w:tab/>
        <w:t>(1)</w:t>
      </w:r>
      <w:r>
        <w:tab/>
        <w:t>A licence or test permit holder, for each individual who is a secure nominee of the licence or test permit holder, must keep —</w:t>
      </w:r>
    </w:p>
    <w:p>
      <w:pPr>
        <w:pStyle w:val="Indenta"/>
      </w:pPr>
      <w:r>
        <w:tab/>
        <w:t>(a)</w:t>
      </w:r>
      <w:r>
        <w:tab/>
        <w:t>a proper record of the secure nominee; and</w:t>
      </w:r>
    </w:p>
    <w:p>
      <w:pPr>
        <w:pStyle w:val="Indenta"/>
      </w:pPr>
      <w:r>
        <w:tab/>
        <w:t>(b)</w:t>
      </w:r>
      <w:r>
        <w:tab/>
        <w:t>a copy of each unsupervised access authorisation given by the licence or test permit holder to the secure nominee; and</w:t>
      </w:r>
    </w:p>
    <w:p>
      <w:pPr>
        <w:pStyle w:val="Indenta"/>
      </w:pPr>
      <w:r>
        <w:tab/>
        <w:t>(c)</w:t>
      </w:r>
      <w:r>
        <w:tab/>
        <w:t>the record required by regulation 23(4)(b),</w:t>
      </w:r>
    </w:p>
    <w:p>
      <w:pPr>
        <w:pStyle w:val="Subsection"/>
      </w:pPr>
      <w:r>
        <w:tab/>
      </w:r>
      <w:r>
        <w:tab/>
        <w:t>while the individual is a secure nominee of the licence or test permit holder and for 2 years after the date on which the individual ceases to be a secure nominee of the licence or test permit holder.</w:t>
      </w:r>
    </w:p>
    <w:p>
      <w:pPr>
        <w:pStyle w:val="Penstart"/>
      </w:pPr>
      <w:r>
        <w:tab/>
        <w:t>Penalty: a level 3 fine.</w:t>
      </w:r>
    </w:p>
    <w:p>
      <w:pPr>
        <w:pStyle w:val="Subsection"/>
      </w:pPr>
      <w:r>
        <w:tab/>
        <w:t>(2)</w:t>
      </w:r>
      <w:r>
        <w:tab/>
        <w:t>For the purpose of subregulation (1)(a), a proper record is not kept of a secure nominee unless a written record is made of this information —</w:t>
      </w:r>
    </w:p>
    <w:p>
      <w:pPr>
        <w:pStyle w:val="Indenta"/>
      </w:pPr>
      <w:r>
        <w:tab/>
        <w:t>(a)</w:t>
      </w:r>
      <w:r>
        <w:tab/>
        <w:t>the name and residential address of the secure nominee;</w:t>
      </w:r>
    </w:p>
    <w:p>
      <w:pPr>
        <w:pStyle w:val="Indenta"/>
      </w:pPr>
      <w:r>
        <w:tab/>
        <w:t>(b)</w:t>
      </w:r>
      <w:r>
        <w:tab/>
        <w:t>the details of each valid security card held by the secure nominee while a secure nominee;</w:t>
      </w:r>
    </w:p>
    <w:p>
      <w:pPr>
        <w:pStyle w:val="Indenta"/>
      </w:pPr>
      <w:r>
        <w:tab/>
        <w:t>(c)</w:t>
      </w:r>
      <w:r>
        <w:tab/>
        <w:t>if the secure nominee does not have a security card but is a person referred to in regulation 16(3) —</w:t>
      </w:r>
    </w:p>
    <w:p>
      <w:pPr>
        <w:pStyle w:val="Indenti"/>
      </w:pPr>
      <w:r>
        <w:tab/>
        <w:t>(i)</w:t>
      </w:r>
      <w:r>
        <w:tab/>
        <w:t>the details of the written authorisation referred to in regulation 16(3) that the person holds; and</w:t>
      </w:r>
    </w:p>
    <w:p>
      <w:pPr>
        <w:pStyle w:val="Indenti"/>
      </w:pPr>
      <w:r>
        <w:tab/>
        <w:t>(ii)</w:t>
      </w:r>
      <w:r>
        <w:tab/>
        <w:t>if the secure nominee’s usual place of residence is in the State, the date on which he or she took up such residence in the State;</w:t>
      </w:r>
    </w:p>
    <w:p>
      <w:pPr>
        <w:pStyle w:val="Indenta"/>
      </w:pPr>
      <w:r>
        <w:tab/>
        <w:t>(d)</w:t>
      </w:r>
      <w:r>
        <w:tab/>
        <w:t>if an unsupervised access authorisation given by the licence or test permit holder to the secure nominee is cancelled, the date on which it is cancelled.</w:t>
      </w:r>
    </w:p>
    <w:p>
      <w:pPr>
        <w:pStyle w:val="Footnotesection"/>
      </w:pPr>
      <w:r>
        <w:tab/>
        <w:t>[Regulation 24 inserted: Gazette 2 Dec 2013 p.</w:t>
      </w:r>
      <w:r>
        <w:rPr>
          <w:sz w:val="19"/>
        </w:rPr>
        <w:t> </w:t>
      </w:r>
      <w:r>
        <w:t>5577</w:t>
      </w:r>
      <w:r>
        <w:noBreakHyphen/>
        <w:t>8; amended: Gazette 5 Feb 2016 p. 346.]</w:t>
      </w:r>
    </w:p>
    <w:p>
      <w:pPr>
        <w:pStyle w:val="Heading5"/>
      </w:pPr>
      <w:bookmarkStart w:id="72" w:name="_Toc201747082"/>
      <w:bookmarkStart w:id="73" w:name="_Toc200095342"/>
      <w:r>
        <w:rPr>
          <w:rStyle w:val="CharSectno"/>
        </w:rPr>
        <w:t>25</w:t>
      </w:r>
      <w:r>
        <w:t>.</w:t>
      </w:r>
      <w:r>
        <w:tab/>
        <w:t>Duties of secure nominees</w:t>
      </w:r>
      <w:bookmarkEnd w:id="72"/>
      <w:bookmarkEnd w:id="73"/>
    </w:p>
    <w:p>
      <w:pPr>
        <w:pStyle w:val="Subsection"/>
      </w:pPr>
      <w:r>
        <w:tab/>
        <w:t>(1)</w:t>
      </w:r>
      <w:r>
        <w:tab/>
        <w:t>A secure nominee of a licence or test permit holder must comply with each unsupervised access authorisation given by the licence or test permit holder to the secure nominee.</w:t>
      </w:r>
    </w:p>
    <w:p>
      <w:pPr>
        <w:pStyle w:val="Penstart"/>
      </w:pPr>
      <w:r>
        <w:tab/>
        <w:t>Penalty: a level 3 fine.</w:t>
      </w:r>
    </w:p>
    <w:p>
      <w:pPr>
        <w:pStyle w:val="Subsection"/>
      </w:pPr>
      <w:r>
        <w:tab/>
        <w:t>(2)</w:t>
      </w:r>
      <w:r>
        <w:tab/>
        <w:t>A secure nominee of a licence or test permit holder who is in possession of an explosive, if asked by a DGO to do so, must give the DGO the name and address of the licence or test permit holder.</w:t>
      </w:r>
    </w:p>
    <w:p>
      <w:pPr>
        <w:pStyle w:val="Penstart"/>
      </w:pPr>
      <w:r>
        <w:tab/>
        <w:t>Penalty: a level 3 fine.</w:t>
      </w:r>
    </w:p>
    <w:p>
      <w:pPr>
        <w:pStyle w:val="Footnotesection"/>
      </w:pPr>
      <w:r>
        <w:tab/>
        <w:t>[Regulation 25 inserted: Gazette 2 Dec 2013 p.</w:t>
      </w:r>
      <w:r>
        <w:rPr>
          <w:sz w:val="19"/>
        </w:rPr>
        <w:t> </w:t>
      </w:r>
      <w:r>
        <w:t>5578; amended: Gazette 5 Feb 2016 p. 346.]</w:t>
      </w:r>
    </w:p>
    <w:p>
      <w:pPr>
        <w:pStyle w:val="Heading5"/>
      </w:pPr>
      <w:bookmarkStart w:id="74" w:name="_Toc201747083"/>
      <w:bookmarkStart w:id="75" w:name="_Toc200095343"/>
      <w:r>
        <w:rPr>
          <w:rStyle w:val="CharSectno"/>
        </w:rPr>
        <w:t>25A</w:t>
      </w:r>
      <w:r>
        <w:t>.</w:t>
      </w:r>
      <w:r>
        <w:tab/>
        <w:t>Duty to correct information in relation to an application under regulation 17 or 21A</w:t>
      </w:r>
      <w:bookmarkEnd w:id="74"/>
      <w:bookmarkEnd w:id="75"/>
      <w:r>
        <w:t xml:space="preserve"> </w:t>
      </w:r>
    </w:p>
    <w:p>
      <w:pPr>
        <w:pStyle w:val="Subsection"/>
      </w:pPr>
      <w:r>
        <w:tab/>
        <w:t>(1)</w:t>
      </w:r>
      <w:r>
        <w:tab/>
        <w:t xml:space="preserve">In this regulation — </w:t>
      </w:r>
    </w:p>
    <w:p>
      <w:pPr>
        <w:pStyle w:val="Defstart"/>
      </w:pPr>
      <w:r>
        <w:tab/>
      </w:r>
      <w:r>
        <w:rPr>
          <w:rStyle w:val="CharDefText"/>
        </w:rPr>
        <w:t>security information</w:t>
      </w:r>
      <w:r>
        <w:t xml:space="preserve"> means information given by a security card holder to the Chief Officer in, or in relation to, an application made under regulation 17 or 21A.</w:t>
      </w:r>
    </w:p>
    <w:p>
      <w:pPr>
        <w:pStyle w:val="Subsection"/>
        <w:keepNext/>
      </w:pPr>
      <w:r>
        <w:tab/>
        <w:t>(2)</w:t>
      </w:r>
      <w:r>
        <w:tab/>
        <w:t xml:space="preserve">A security card holder must, within 14 days after becoming aware that security information has become incorrect in a material respect, correct that information by written notice to the Chief Officer. </w:t>
      </w:r>
    </w:p>
    <w:p>
      <w:pPr>
        <w:pStyle w:val="Penstart"/>
        <w:keepNext/>
      </w:pPr>
      <w:r>
        <w:tab/>
        <w:t>Penalty for this subregulation: a level 3 fine.</w:t>
      </w:r>
    </w:p>
    <w:p>
      <w:pPr>
        <w:pStyle w:val="Footnotesection"/>
      </w:pPr>
      <w:r>
        <w:tab/>
        <w:t>[Regulation 25A inserted: Gazette 20 Mar 2018 p. 997.]</w:t>
      </w:r>
    </w:p>
    <w:p>
      <w:pPr>
        <w:pStyle w:val="Heading2"/>
      </w:pPr>
      <w:bookmarkStart w:id="76" w:name="_Toc201670438"/>
      <w:bookmarkStart w:id="77" w:name="_Toc201671102"/>
      <w:bookmarkStart w:id="78" w:name="_Toc201747084"/>
      <w:bookmarkStart w:id="79" w:name="_Toc200031537"/>
      <w:bookmarkStart w:id="80" w:name="_Toc200036525"/>
      <w:bookmarkStart w:id="81" w:name="_Toc200095344"/>
      <w:r>
        <w:rPr>
          <w:rStyle w:val="CharPartNo"/>
        </w:rPr>
        <w:t>Part 4</w:t>
      </w:r>
      <w:r>
        <w:t> — </w:t>
      </w:r>
      <w:r>
        <w:rPr>
          <w:rStyle w:val="CharPartText"/>
        </w:rPr>
        <w:t>Authorisation of explosives</w:t>
      </w:r>
      <w:bookmarkEnd w:id="76"/>
      <w:bookmarkEnd w:id="77"/>
      <w:bookmarkEnd w:id="78"/>
      <w:bookmarkEnd w:id="79"/>
      <w:bookmarkEnd w:id="80"/>
      <w:bookmarkEnd w:id="81"/>
    </w:p>
    <w:p>
      <w:pPr>
        <w:pStyle w:val="Heading3"/>
      </w:pPr>
      <w:bookmarkStart w:id="82" w:name="_Toc201670439"/>
      <w:bookmarkStart w:id="83" w:name="_Toc201671103"/>
      <w:bookmarkStart w:id="84" w:name="_Toc201747085"/>
      <w:bookmarkStart w:id="85" w:name="_Toc200031538"/>
      <w:bookmarkStart w:id="86" w:name="_Toc200036526"/>
      <w:bookmarkStart w:id="87" w:name="_Toc200095345"/>
      <w:r>
        <w:rPr>
          <w:rStyle w:val="CharDivNo"/>
        </w:rPr>
        <w:t>Division 1</w:t>
      </w:r>
      <w:r>
        <w:t> — </w:t>
      </w:r>
      <w:r>
        <w:rPr>
          <w:rStyle w:val="CharDivText"/>
        </w:rPr>
        <w:t>Testing unauthorised explosives</w:t>
      </w:r>
      <w:bookmarkEnd w:id="82"/>
      <w:bookmarkEnd w:id="83"/>
      <w:bookmarkEnd w:id="84"/>
      <w:bookmarkEnd w:id="85"/>
      <w:bookmarkEnd w:id="86"/>
      <w:bookmarkEnd w:id="87"/>
    </w:p>
    <w:p>
      <w:pPr>
        <w:pStyle w:val="Heading5"/>
        <w:spacing w:before="240"/>
      </w:pPr>
      <w:bookmarkStart w:id="88" w:name="_Toc201747086"/>
      <w:bookmarkStart w:id="89" w:name="_Toc200095346"/>
      <w:r>
        <w:rPr>
          <w:rStyle w:val="CharSectno"/>
        </w:rPr>
        <w:t>26</w:t>
      </w:r>
      <w:r>
        <w:t>.</w:t>
      </w:r>
      <w:r>
        <w:tab/>
        <w:t>Term used: unauthorised explosive</w:t>
      </w:r>
      <w:bookmarkEnd w:id="88"/>
      <w:bookmarkEnd w:id="89"/>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spacing w:before="240"/>
      </w:pPr>
      <w:bookmarkStart w:id="90" w:name="_Toc201747087"/>
      <w:bookmarkStart w:id="91" w:name="_Toc200095347"/>
      <w:r>
        <w:rPr>
          <w:rStyle w:val="CharSectno"/>
        </w:rPr>
        <w:t>27</w:t>
      </w:r>
      <w:r>
        <w:t>.</w:t>
      </w:r>
      <w:r>
        <w:tab/>
        <w:t>Applying for test permit</w:t>
      </w:r>
      <w:bookmarkEnd w:id="90"/>
      <w:bookmarkEnd w:id="91"/>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keepNext/>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92" w:name="_Toc201747088"/>
      <w:bookmarkStart w:id="93" w:name="_Toc200095348"/>
      <w:r>
        <w:rPr>
          <w:rStyle w:val="CharSectno"/>
        </w:rPr>
        <w:t>28</w:t>
      </w:r>
      <w:r>
        <w:t>.</w:t>
      </w:r>
      <w:r>
        <w:tab/>
        <w:t>Dealing with applications for test permits</w:t>
      </w:r>
      <w:bookmarkEnd w:id="92"/>
      <w:bookmarkEnd w:id="93"/>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keepNext/>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94" w:name="_Toc201747089"/>
      <w:bookmarkStart w:id="95" w:name="_Toc200095349"/>
      <w:r>
        <w:rPr>
          <w:rStyle w:val="CharSectno"/>
        </w:rPr>
        <w:t>29</w:t>
      </w:r>
      <w:r>
        <w:t>.</w:t>
      </w:r>
      <w:r>
        <w:tab/>
        <w:t>Test permit, effect of</w:t>
      </w:r>
      <w:bookmarkEnd w:id="94"/>
      <w:bookmarkEnd w:id="95"/>
    </w:p>
    <w:p>
      <w:pPr>
        <w:pStyle w:val="Subsection"/>
        <w:keepNext/>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nominee of the holder in accordance with an unsupervised access authorisation given by the holder to the nominee.</w:t>
      </w:r>
    </w:p>
    <w:p>
      <w:pPr>
        <w:pStyle w:val="Footnotesection"/>
      </w:pPr>
      <w:r>
        <w:tab/>
        <w:t>[Regulation 29 amended: Gazette 2 Dec 2013 p.</w:t>
      </w:r>
      <w:r>
        <w:rPr>
          <w:sz w:val="19"/>
        </w:rPr>
        <w:t> </w:t>
      </w:r>
      <w:r>
        <w:t>5578</w:t>
      </w:r>
      <w:r>
        <w:noBreakHyphen/>
        <w:t>9.]</w:t>
      </w:r>
    </w:p>
    <w:p>
      <w:pPr>
        <w:pStyle w:val="Heading3"/>
      </w:pPr>
      <w:bookmarkStart w:id="96" w:name="_Toc201670444"/>
      <w:bookmarkStart w:id="97" w:name="_Toc201671108"/>
      <w:bookmarkStart w:id="98" w:name="_Toc201747090"/>
      <w:bookmarkStart w:id="99" w:name="_Toc200031543"/>
      <w:bookmarkStart w:id="100" w:name="_Toc200036531"/>
      <w:bookmarkStart w:id="101" w:name="_Toc200095350"/>
      <w:r>
        <w:rPr>
          <w:rStyle w:val="CharDivNo"/>
        </w:rPr>
        <w:t>Division 2</w:t>
      </w:r>
      <w:r>
        <w:t> — </w:t>
      </w:r>
      <w:r>
        <w:rPr>
          <w:rStyle w:val="CharDivText"/>
        </w:rPr>
        <w:t>Authorisation procedure</w:t>
      </w:r>
      <w:bookmarkEnd w:id="96"/>
      <w:bookmarkEnd w:id="97"/>
      <w:bookmarkEnd w:id="98"/>
      <w:bookmarkEnd w:id="99"/>
      <w:bookmarkEnd w:id="100"/>
      <w:bookmarkEnd w:id="101"/>
    </w:p>
    <w:p>
      <w:pPr>
        <w:pStyle w:val="Heading5"/>
      </w:pPr>
      <w:bookmarkStart w:id="102" w:name="_Toc201747091"/>
      <w:bookmarkStart w:id="103" w:name="_Toc200095351"/>
      <w:r>
        <w:rPr>
          <w:rStyle w:val="CharSectno"/>
        </w:rPr>
        <w:t>30</w:t>
      </w:r>
      <w:r>
        <w:t>.</w:t>
      </w:r>
      <w:r>
        <w:tab/>
        <w:t>Applying to have explosive authorised</w:t>
      </w:r>
      <w:bookmarkEnd w:id="102"/>
      <w:bookmarkEnd w:id="103"/>
    </w:p>
    <w:p>
      <w:pPr>
        <w:pStyle w:val="Subsection"/>
      </w:pPr>
      <w:r>
        <w:tab/>
        <w:t>(1A)</w:t>
      </w:r>
      <w:r>
        <w:tab/>
        <w:t xml:space="preserve">In this regulation — </w:t>
      </w:r>
    </w:p>
    <w:p>
      <w:pPr>
        <w:pStyle w:val="Defstart"/>
      </w:pPr>
      <w:r>
        <w:tab/>
      </w:r>
      <w:r>
        <w:rPr>
          <w:rStyle w:val="CharDefText"/>
        </w:rPr>
        <w:t>interstate law</w:t>
      </w:r>
      <w:r>
        <w:t xml:space="preserve"> means each of these —</w:t>
      </w:r>
    </w:p>
    <w:p>
      <w:pPr>
        <w:pStyle w:val="Defpara"/>
      </w:pPr>
      <w:r>
        <w:tab/>
        <w:t>(a)</w:t>
      </w:r>
      <w:r>
        <w:tab/>
        <w:t xml:space="preserve">the </w:t>
      </w:r>
      <w:r>
        <w:rPr>
          <w:i/>
        </w:rPr>
        <w:t>Dangerous Substances (Explosives) Regulation 2004</w:t>
      </w:r>
      <w:r>
        <w:t xml:space="preserve"> (Australian Capital Territory);</w:t>
      </w:r>
    </w:p>
    <w:p>
      <w:pPr>
        <w:pStyle w:val="Defpara"/>
      </w:pPr>
      <w:r>
        <w:tab/>
        <w:t>(b)</w:t>
      </w:r>
      <w:r>
        <w:tab/>
        <w:t xml:space="preserve">the </w:t>
      </w:r>
      <w:r>
        <w:rPr>
          <w:i/>
        </w:rPr>
        <w:t>Explosives Regulation 2013</w:t>
      </w:r>
      <w:r>
        <w:t xml:space="preserve"> (New South Wales);</w:t>
      </w:r>
    </w:p>
    <w:p>
      <w:pPr>
        <w:pStyle w:val="Defpara"/>
      </w:pPr>
      <w:r>
        <w:tab/>
        <w:t>(c)</w:t>
      </w:r>
      <w:r>
        <w:tab/>
        <w:t xml:space="preserve">the </w:t>
      </w:r>
      <w:r>
        <w:rPr>
          <w:i/>
        </w:rPr>
        <w:t>Dangerous Goods Regulations</w:t>
      </w:r>
      <w:r>
        <w:t xml:space="preserve"> (Northern Territory);</w:t>
      </w:r>
    </w:p>
    <w:p>
      <w:pPr>
        <w:pStyle w:val="Defpara"/>
      </w:pPr>
      <w:r>
        <w:tab/>
        <w:t>(d)</w:t>
      </w:r>
      <w:r>
        <w:tab/>
        <w:t xml:space="preserve">the </w:t>
      </w:r>
      <w:r>
        <w:rPr>
          <w:i/>
        </w:rPr>
        <w:t>Explosives Regulation 2003</w:t>
      </w:r>
      <w:r>
        <w:t xml:space="preserve"> (Queensland);</w:t>
      </w:r>
    </w:p>
    <w:p>
      <w:pPr>
        <w:pStyle w:val="Defpara"/>
      </w:pPr>
      <w:r>
        <w:tab/>
        <w:t>(e)</w:t>
      </w:r>
      <w:r>
        <w:tab/>
        <w:t xml:space="preserve">the </w:t>
      </w:r>
      <w:r>
        <w:rPr>
          <w:i/>
        </w:rPr>
        <w:t>Explosives Regulations 2011</w:t>
      </w:r>
      <w:r>
        <w:t xml:space="preserve"> (South Australia);</w:t>
      </w:r>
    </w:p>
    <w:p>
      <w:pPr>
        <w:pStyle w:val="Defpara"/>
      </w:pPr>
      <w:r>
        <w:tab/>
        <w:t>(f)</w:t>
      </w:r>
      <w:r>
        <w:tab/>
        <w:t xml:space="preserve">the </w:t>
      </w:r>
      <w:r>
        <w:rPr>
          <w:i/>
        </w:rPr>
        <w:t>Explosives Regulations 2012</w:t>
      </w:r>
      <w:r>
        <w:t xml:space="preserve"> (Tasmania);</w:t>
      </w:r>
    </w:p>
    <w:p>
      <w:pPr>
        <w:pStyle w:val="Defpara"/>
      </w:pPr>
      <w:r>
        <w:tab/>
        <w:t>(g)</w:t>
      </w:r>
      <w:r>
        <w:tab/>
        <w:t xml:space="preserve">the </w:t>
      </w:r>
      <w:r>
        <w:rPr>
          <w:i/>
        </w:rPr>
        <w:t>Dangerous Goods Act 1985</w:t>
      </w:r>
      <w:r>
        <w:t xml:space="preserve"> (Victoria).</w:t>
      </w:r>
    </w:p>
    <w:p>
      <w:pPr>
        <w:pStyle w:val="Subsection"/>
        <w:keepNext/>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keepNext/>
      </w:pPr>
      <w:r>
        <w:tab/>
        <w:t>(vii)</w:t>
      </w:r>
      <w:r>
        <w:tab/>
        <w:t>be accompanied by an 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pPr>
      <w:r>
        <w:tab/>
      </w:r>
      <w:r>
        <w:tab/>
        <w:t>and</w:t>
      </w:r>
    </w:p>
    <w:p>
      <w:pPr>
        <w:pStyle w:val="Indenta"/>
        <w:keepNext/>
      </w:pPr>
      <w:r>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w:t>
      </w:r>
    </w:p>
    <w:p>
      <w:pPr>
        <w:pStyle w:val="Indenti"/>
      </w:pPr>
      <w:r>
        <w:tab/>
        <w:t>(iv)</w:t>
      </w:r>
      <w:r>
        <w:tab/>
        <w:t>if, under an interstate law, the explosive is an authorised explosive — the classification code given to it under each such law and details of each such authorisation;</w:t>
      </w:r>
    </w:p>
    <w:p>
      <w:pPr>
        <w:pStyle w:val="Indenta"/>
      </w:pPr>
      <w:r>
        <w:tab/>
      </w:r>
      <w:r>
        <w:tab/>
        <w:t>and</w:t>
      </w:r>
    </w:p>
    <w:p>
      <w:pPr>
        <w:pStyle w:val="Indenta"/>
      </w:pPr>
      <w:r>
        <w:tab/>
        <w:t>(g)</w:t>
      </w:r>
      <w:r>
        <w:tab/>
        <w:t>set out the history of the explosive’s use (including any adverse experiences) in Australia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if the application is made under subregulation (1)(a) — be accompanied by the fee.</w:t>
      </w:r>
    </w:p>
    <w:p>
      <w:pPr>
        <w:pStyle w:val="Footnotesection"/>
      </w:pPr>
      <w:r>
        <w:tab/>
        <w:t>[Regulation 30 amended: Gazette 16 Mar 2012 p. 1175</w:t>
      </w:r>
      <w:r>
        <w:noBreakHyphen/>
        <w:t>6; 2 Dec 2013 p. 5579; 3 Mar 2017 p. 1475; SL 2020/197 r. 5.]</w:t>
      </w:r>
    </w:p>
    <w:p>
      <w:pPr>
        <w:pStyle w:val="Heading5"/>
      </w:pPr>
      <w:bookmarkStart w:id="104" w:name="_Toc201747092"/>
      <w:bookmarkStart w:id="105" w:name="_Toc200095352"/>
      <w:r>
        <w:rPr>
          <w:rStyle w:val="CharSectno"/>
        </w:rPr>
        <w:t>31</w:t>
      </w:r>
      <w:r>
        <w:t>.</w:t>
      </w:r>
      <w:r>
        <w:tab/>
        <w:t>Authorising explosives</w:t>
      </w:r>
      <w:bookmarkEnd w:id="104"/>
      <w:bookmarkEnd w:id="105"/>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keepNext/>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Gazette 16 Mar 2012 p. 1176.]</w:t>
      </w:r>
    </w:p>
    <w:p>
      <w:pPr>
        <w:pStyle w:val="Heading5"/>
      </w:pPr>
      <w:bookmarkStart w:id="106" w:name="_Toc201747093"/>
      <w:bookmarkStart w:id="107" w:name="_Toc200095353"/>
      <w:r>
        <w:rPr>
          <w:rStyle w:val="CharSectno"/>
        </w:rPr>
        <w:t>32</w:t>
      </w:r>
      <w:r>
        <w:t>.</w:t>
      </w:r>
      <w:r>
        <w:tab/>
        <w:t>Register of authorised explosives</w:t>
      </w:r>
      <w:bookmarkEnd w:id="106"/>
      <w:bookmarkEnd w:id="107"/>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r>
        <w:tab/>
        <w:t>[Regulation 32 amended: Gazette 16 Mar 2012 p. 1176.]</w:t>
      </w:r>
    </w:p>
    <w:p>
      <w:pPr>
        <w:pStyle w:val="Heading2"/>
      </w:pPr>
      <w:bookmarkStart w:id="108" w:name="_Toc201670448"/>
      <w:bookmarkStart w:id="109" w:name="_Toc201671112"/>
      <w:bookmarkStart w:id="110" w:name="_Toc201747094"/>
      <w:bookmarkStart w:id="111" w:name="_Toc200031547"/>
      <w:bookmarkStart w:id="112" w:name="_Toc200036535"/>
      <w:bookmarkStart w:id="113" w:name="_Toc200095354"/>
      <w:r>
        <w:rPr>
          <w:rStyle w:val="CharPartNo"/>
        </w:rPr>
        <w:t>Part 5</w:t>
      </w:r>
      <w:r>
        <w:rPr>
          <w:rStyle w:val="CharDivNo"/>
        </w:rPr>
        <w:t> </w:t>
      </w:r>
      <w:r>
        <w:t>—</w:t>
      </w:r>
      <w:r>
        <w:rPr>
          <w:rStyle w:val="CharDivText"/>
        </w:rPr>
        <w:t> </w:t>
      </w:r>
      <w:r>
        <w:rPr>
          <w:rStyle w:val="CharPartText"/>
        </w:rPr>
        <w:t>General provisions about explosives</w:t>
      </w:r>
      <w:bookmarkEnd w:id="108"/>
      <w:bookmarkEnd w:id="109"/>
      <w:bookmarkEnd w:id="110"/>
      <w:bookmarkEnd w:id="111"/>
      <w:bookmarkEnd w:id="112"/>
      <w:bookmarkEnd w:id="113"/>
    </w:p>
    <w:p>
      <w:pPr>
        <w:pStyle w:val="Heading5"/>
      </w:pPr>
      <w:bookmarkStart w:id="114" w:name="_Toc201747095"/>
      <w:bookmarkStart w:id="115" w:name="_Toc200095355"/>
      <w:r>
        <w:rPr>
          <w:rStyle w:val="CharSectno"/>
        </w:rPr>
        <w:t>33</w:t>
      </w:r>
      <w:r>
        <w:t>.</w:t>
      </w:r>
      <w:r>
        <w:tab/>
        <w:t>Terms used</w:t>
      </w:r>
      <w:bookmarkEnd w:id="114"/>
      <w:bookmarkEnd w:id="115"/>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116" w:name="_Toc201747096"/>
      <w:bookmarkStart w:id="117" w:name="_Toc200095356"/>
      <w:r>
        <w:rPr>
          <w:rStyle w:val="CharSectno"/>
        </w:rPr>
        <w:t>34</w:t>
      </w:r>
      <w:r>
        <w:t>.</w:t>
      </w:r>
      <w:r>
        <w:tab/>
        <w:t>Signage at certain explosives facilities</w:t>
      </w:r>
      <w:bookmarkEnd w:id="116"/>
      <w:bookmarkEnd w:id="117"/>
    </w:p>
    <w:p>
      <w:pPr>
        <w:pStyle w:val="Subsection"/>
      </w:pPr>
      <w:r>
        <w:tab/>
        <w:t>(1)</w:t>
      </w:r>
      <w:r>
        <w:tab/>
        <w:t>If at a place to which an explosives facility licence relates there are —</w:t>
      </w:r>
    </w:p>
    <w:p>
      <w:pPr>
        <w:pStyle w:val="Indenta"/>
      </w:pPr>
      <w:r>
        <w:tab/>
        <w:t>(a)</w:t>
      </w:r>
      <w:r>
        <w:tab/>
        <w:t>explosives with a classification code of 1.1, 1.2 or 1.5 and the gross weight of the explosives is more than 2.5 kg; or</w:t>
      </w:r>
    </w:p>
    <w:p>
      <w:pPr>
        <w:pStyle w:val="Indenta"/>
      </w:pPr>
      <w:r>
        <w:tab/>
        <w:t>(b)</w:t>
      </w:r>
      <w:r>
        <w:tab/>
        <w:t>explosives with a classification code of 1.3 and the gross weight of the explosives is more than 15 kg; or</w:t>
      </w:r>
    </w:p>
    <w:p>
      <w:pPr>
        <w:pStyle w:val="Indenta"/>
      </w:pPr>
      <w:r>
        <w:tab/>
        <w:t>(c)</w:t>
      </w:r>
      <w:r>
        <w:tab/>
        <w:t>explosives with a classification code of 1.4 and the gross weight of the explosives is more than 30 kg,</w:t>
      </w:r>
    </w:p>
    <w:p>
      <w:pPr>
        <w:pStyle w:val="Subsection"/>
      </w:pPr>
      <w:r>
        <w:tab/>
      </w:r>
      <w:r>
        <w:tab/>
        <w:t>the holder of the licence must ensure that the place has proper perimeter signage.</w:t>
      </w:r>
    </w:p>
    <w:p>
      <w:pPr>
        <w:pStyle w:val="Penstart"/>
      </w:pPr>
      <w:r>
        <w:tab/>
        <w:t>Penalty: a level 2 fine.</w:t>
      </w:r>
    </w:p>
    <w:p>
      <w:pPr>
        <w:pStyle w:val="Subsection"/>
        <w:keepNext/>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at a position or positions approved in writing by the FES Commissioner;</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Gazette 16 Mar 2012 p. 1176; 19 Feb 2013 p. 985; 20 Mar 2018 p. 997</w:t>
      </w:r>
      <w:r>
        <w:noBreakHyphen/>
        <w:t>8.]</w:t>
      </w:r>
    </w:p>
    <w:p>
      <w:pPr>
        <w:pStyle w:val="Ednotesection"/>
      </w:pPr>
      <w:r>
        <w:t>[</w:t>
      </w:r>
      <w:r>
        <w:rPr>
          <w:b/>
        </w:rPr>
        <w:t>35.</w:t>
      </w:r>
      <w:r>
        <w:tab/>
        <w:t>Deleted: Gazette 5 Feb 2016 p. 346.]</w:t>
      </w:r>
    </w:p>
    <w:p>
      <w:pPr>
        <w:pStyle w:val="Heading5"/>
      </w:pPr>
      <w:bookmarkStart w:id="118" w:name="_Toc201747097"/>
      <w:bookmarkStart w:id="119" w:name="_Toc200095357"/>
      <w:r>
        <w:rPr>
          <w:rStyle w:val="CharSectno"/>
        </w:rPr>
        <w:t>36</w:t>
      </w:r>
      <w:r>
        <w:t>.</w:t>
      </w:r>
      <w:r>
        <w:tab/>
        <w:t>Explosives sites, duties of people at</w:t>
      </w:r>
      <w:bookmarkEnd w:id="118"/>
      <w:bookmarkEnd w:id="119"/>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 xml:space="preserve">Dangerous Goods Safety </w:t>
      </w:r>
      <w:r>
        <w:rPr>
          <w:i/>
        </w:rPr>
        <w:t xml:space="preserve">(Security Sensitive Ammonium Nitrate) </w:t>
      </w:r>
      <w:r>
        <w:rPr>
          <w:i/>
          <w:iCs/>
        </w:rPr>
        <w:t>Regulations 2007</w:t>
      </w:r>
      <w:r>
        <w:t>, that relates to a place in the facility —</w:t>
      </w:r>
    </w:p>
    <w:p>
      <w:pPr>
        <w:pStyle w:val="Indenti"/>
      </w:pPr>
      <w:r>
        <w:tab/>
        <w:t>(i)</w:t>
      </w:r>
      <w:r>
        <w:tab/>
        <w:t>an SSAN manufacture licence;</w:t>
      </w:r>
    </w:p>
    <w:p>
      <w:pPr>
        <w:pStyle w:val="Indenti"/>
      </w:pPr>
      <w:r>
        <w:tab/>
        <w:t>(ii)</w:t>
      </w:r>
      <w:r>
        <w:tab/>
        <w:t>an SSAN storage licence;</w:t>
      </w:r>
    </w:p>
    <w:p>
      <w:pPr>
        <w:pStyle w:val="Indenta"/>
      </w:pPr>
      <w:r>
        <w:tab/>
      </w:r>
      <w:r>
        <w:tab/>
        <w:t>or</w:t>
      </w:r>
    </w:p>
    <w:p>
      <w:pPr>
        <w:pStyle w:val="Indenta"/>
      </w:pPr>
      <w:r>
        <w:tab/>
        <w:t>(c)</w:t>
      </w:r>
      <w:r>
        <w:tab/>
        <w:t>is a secure nominee of the holder of such a licence acting in accordance with an unsupervised access authorisation given by the holder to the nominee;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as a secure nominee of the holder of such a licence and in accordance with an unsupervised access authorisation given by the holder to the nominee; or</w:t>
      </w:r>
    </w:p>
    <w:p>
      <w:pPr>
        <w:pStyle w:val="Indenta"/>
      </w:pPr>
      <w:r>
        <w:tab/>
        <w:t>(c)</w:t>
      </w:r>
      <w:r>
        <w:tab/>
        <w:t>does so while supervised by a person referred to in paragraph (a) or (b).</w:t>
      </w:r>
    </w:p>
    <w:p>
      <w:pPr>
        <w:pStyle w:val="Penstart"/>
      </w:pPr>
      <w:r>
        <w:tab/>
        <w:t>Penalty: a level 1 fine and imprisonment for 10 months.</w:t>
      </w:r>
    </w:p>
    <w:p>
      <w:pPr>
        <w:pStyle w:val="Footnotesection"/>
      </w:pPr>
      <w:r>
        <w:tab/>
        <w:t>[Regulation 36 amended: Gazette 2 Dec 2013 p.</w:t>
      </w:r>
      <w:r>
        <w:rPr>
          <w:sz w:val="19"/>
        </w:rPr>
        <w:t> </w:t>
      </w:r>
      <w:r>
        <w:t>5580; 5 Feb 2016 p. 347.]</w:t>
      </w:r>
    </w:p>
    <w:p>
      <w:pPr>
        <w:pStyle w:val="Heading5"/>
      </w:pPr>
      <w:bookmarkStart w:id="120" w:name="_Toc201747098"/>
      <w:bookmarkStart w:id="121" w:name="_Toc200095358"/>
      <w:r>
        <w:rPr>
          <w:rStyle w:val="CharSectno"/>
        </w:rPr>
        <w:t>37</w:t>
      </w:r>
      <w:r>
        <w:t>.</w:t>
      </w:r>
      <w:r>
        <w:tab/>
        <w:t>Ignition sources near explosives</w:t>
      </w:r>
      <w:bookmarkEnd w:id="120"/>
      <w:bookmarkEnd w:id="121"/>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122" w:name="_Toc201747099"/>
      <w:bookmarkStart w:id="123" w:name="_Toc200095359"/>
      <w:r>
        <w:rPr>
          <w:rStyle w:val="CharSectno"/>
        </w:rPr>
        <w:t>38</w:t>
      </w:r>
      <w:r>
        <w:t>.</w:t>
      </w:r>
      <w:r>
        <w:tab/>
        <w:t>Fire risk substances near explosives</w:t>
      </w:r>
      <w:bookmarkEnd w:id="122"/>
      <w:bookmarkEnd w:id="123"/>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keepNext/>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124" w:name="_Toc201747100"/>
      <w:bookmarkStart w:id="125" w:name="_Toc200095360"/>
      <w:r>
        <w:rPr>
          <w:rStyle w:val="CharSectno"/>
        </w:rPr>
        <w:t>39</w:t>
      </w:r>
      <w:r>
        <w:t>.</w:t>
      </w:r>
      <w:r>
        <w:tab/>
        <w:t>People affected by alcohol etc. near explosives</w:t>
      </w:r>
      <w:bookmarkEnd w:id="124"/>
      <w:bookmarkEnd w:id="125"/>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126" w:name="_Toc201747101"/>
      <w:bookmarkStart w:id="127" w:name="_Toc200095361"/>
      <w:r>
        <w:rPr>
          <w:rStyle w:val="CharSectno"/>
        </w:rPr>
        <w:t>40</w:t>
      </w:r>
      <w:r>
        <w:t>.</w:t>
      </w:r>
      <w:r>
        <w:tab/>
        <w:t>Packaging requirements for explosives</w:t>
      </w:r>
      <w:bookmarkEnd w:id="126"/>
      <w:bookmarkEnd w:id="127"/>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keepNext/>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128" w:name="_Toc201747102"/>
      <w:bookmarkStart w:id="129" w:name="_Toc200095362"/>
      <w:r>
        <w:rPr>
          <w:rStyle w:val="CharSectno"/>
        </w:rPr>
        <w:t>41</w:t>
      </w:r>
      <w:r>
        <w:t>.</w:t>
      </w:r>
      <w:r>
        <w:tab/>
        <w:t>Defective explosives not to be exported or supplied</w:t>
      </w:r>
      <w:bookmarkEnd w:id="128"/>
      <w:bookmarkEnd w:id="129"/>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130" w:name="_Toc201747103"/>
      <w:bookmarkStart w:id="131" w:name="_Toc200095363"/>
      <w:r>
        <w:rPr>
          <w:rStyle w:val="CharSectno"/>
        </w:rPr>
        <w:t>42</w:t>
      </w:r>
      <w:r>
        <w:t>.</w:t>
      </w:r>
      <w:r>
        <w:tab/>
        <w:t>MPUs, use of</w:t>
      </w:r>
      <w:bookmarkEnd w:id="130"/>
      <w:bookmarkEnd w:id="131"/>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Gazette 16 Mar 2012 p. 1176; 3 Mar 2017 p. 1475.]</w:t>
      </w:r>
    </w:p>
    <w:p>
      <w:pPr>
        <w:pStyle w:val="Heading5"/>
      </w:pPr>
      <w:bookmarkStart w:id="132" w:name="_Toc201747104"/>
      <w:bookmarkStart w:id="133" w:name="_Toc200095364"/>
      <w:r>
        <w:rPr>
          <w:rStyle w:val="CharSectno"/>
        </w:rPr>
        <w:t>43</w:t>
      </w:r>
      <w:r>
        <w:t>.</w:t>
      </w:r>
      <w:r>
        <w:tab/>
        <w:t>Falsely representing that explosive is authorised</w:t>
      </w:r>
      <w:bookmarkEnd w:id="132"/>
      <w:bookmarkEnd w:id="133"/>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pPr>
      <w:bookmarkStart w:id="134" w:name="_Toc201747105"/>
      <w:bookmarkStart w:id="135" w:name="_Toc200095365"/>
      <w:r>
        <w:rPr>
          <w:rStyle w:val="CharSectno"/>
        </w:rPr>
        <w:t>44</w:t>
      </w:r>
      <w:r>
        <w:t>.</w:t>
      </w:r>
      <w:r>
        <w:tab/>
        <w:t>Reportable situations prescribed (Act s. 9)</w:t>
      </w:r>
      <w:bookmarkEnd w:id="134"/>
      <w:bookmarkEnd w:id="135"/>
    </w:p>
    <w:p>
      <w:pPr>
        <w:pStyle w:val="Subsection"/>
        <w:keepNext/>
        <w:spacing w:before="120"/>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spacing w:before="120"/>
      </w:pPr>
      <w:r>
        <w:tab/>
        <w:t>(2)</w:t>
      </w:r>
      <w:r>
        <w:tab/>
        <w:t xml:space="preserve">Each of the following is prescribed to be a reportable situation for the purposes of the definition of </w:t>
      </w:r>
      <w:r>
        <w:rPr>
          <w:b/>
          <w:i/>
        </w:rPr>
        <w:t>reportable situation</w:t>
      </w:r>
      <w:r>
        <w:t xml:space="preserve">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keepNext/>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r>
        <w:tab/>
        <w:t>[Regulation 44 amended: Gazette 16 Mar 2012 p. 1177.]</w:t>
      </w:r>
    </w:p>
    <w:p>
      <w:pPr>
        <w:pStyle w:val="Heading2"/>
      </w:pPr>
      <w:bookmarkStart w:id="136" w:name="_Toc201670460"/>
      <w:bookmarkStart w:id="137" w:name="_Toc201671124"/>
      <w:bookmarkStart w:id="138" w:name="_Toc201747106"/>
      <w:bookmarkStart w:id="139" w:name="_Toc200031559"/>
      <w:bookmarkStart w:id="140" w:name="_Toc200036547"/>
      <w:bookmarkStart w:id="141" w:name="_Toc200095366"/>
      <w:r>
        <w:rPr>
          <w:rStyle w:val="CharPartNo"/>
        </w:rPr>
        <w:t>Part 6</w:t>
      </w:r>
      <w:r>
        <w:t> — </w:t>
      </w:r>
      <w:r>
        <w:rPr>
          <w:rStyle w:val="CharPartText"/>
        </w:rPr>
        <w:t>Possession of explosives</w:t>
      </w:r>
      <w:bookmarkEnd w:id="136"/>
      <w:bookmarkEnd w:id="137"/>
      <w:bookmarkEnd w:id="138"/>
      <w:bookmarkEnd w:id="139"/>
      <w:bookmarkEnd w:id="140"/>
      <w:bookmarkEnd w:id="141"/>
    </w:p>
    <w:p>
      <w:pPr>
        <w:pStyle w:val="Heading3"/>
      </w:pPr>
      <w:bookmarkStart w:id="142" w:name="_Toc201670461"/>
      <w:bookmarkStart w:id="143" w:name="_Toc201671125"/>
      <w:bookmarkStart w:id="144" w:name="_Toc201747107"/>
      <w:bookmarkStart w:id="145" w:name="_Toc200031560"/>
      <w:bookmarkStart w:id="146" w:name="_Toc200036548"/>
      <w:bookmarkStart w:id="147" w:name="_Toc200095367"/>
      <w:r>
        <w:rPr>
          <w:rStyle w:val="CharDivNo"/>
        </w:rPr>
        <w:t>Division 1</w:t>
      </w:r>
      <w:r>
        <w:t> — </w:t>
      </w:r>
      <w:r>
        <w:rPr>
          <w:rStyle w:val="CharDivText"/>
        </w:rPr>
        <w:t>Licensing requirements</w:t>
      </w:r>
      <w:bookmarkEnd w:id="142"/>
      <w:bookmarkEnd w:id="143"/>
      <w:bookmarkEnd w:id="144"/>
      <w:bookmarkEnd w:id="145"/>
      <w:bookmarkEnd w:id="146"/>
      <w:bookmarkEnd w:id="147"/>
    </w:p>
    <w:p>
      <w:pPr>
        <w:pStyle w:val="Heading5"/>
      </w:pPr>
      <w:bookmarkStart w:id="148" w:name="_Toc201747108"/>
      <w:bookmarkStart w:id="149" w:name="_Toc200095368"/>
      <w:r>
        <w:rPr>
          <w:rStyle w:val="CharSectno"/>
        </w:rPr>
        <w:t>45</w:t>
      </w:r>
      <w:r>
        <w:t>.</w:t>
      </w:r>
      <w:r>
        <w:tab/>
        <w:t>Unauthorised explosives</w:t>
      </w:r>
      <w:bookmarkEnd w:id="148"/>
      <w:bookmarkEnd w:id="149"/>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 secure nominee of the holder of such a permit acting in accordance with an unsupervised access authorisation given by the holder to the nominee; or</w:t>
      </w:r>
    </w:p>
    <w:p>
      <w:pPr>
        <w:pStyle w:val="Indenta"/>
      </w:pPr>
      <w:r>
        <w:tab/>
        <w:t>(c)</w:t>
      </w:r>
      <w:r>
        <w:tab/>
        <w:t>be being supervised by the holder of such a permit, or by a secure nominee of such a holder having access to the explosive in accordance with an unsupervised access authorisation given by the holder to the nominee.</w:t>
      </w:r>
    </w:p>
    <w:p>
      <w:pPr>
        <w:pStyle w:val="PermNoteHeading"/>
      </w:pPr>
      <w:r>
        <w:tab/>
        <w:t>Note for this regulation:</w:t>
      </w:r>
    </w:p>
    <w:p>
      <w:pPr>
        <w:pStyle w:val="PermNoteText"/>
      </w:pPr>
      <w:r>
        <w:tab/>
      </w:r>
      <w:r>
        <w:tab/>
        <w:t>The Act s. 12 (Unlicensed possession of dangerous goods).</w:t>
      </w:r>
    </w:p>
    <w:p>
      <w:pPr>
        <w:pStyle w:val="Footnotesection"/>
      </w:pPr>
      <w:r>
        <w:tab/>
        <w:t>[Regulation 45 amended: Gazette 2 Dec 2013 p.</w:t>
      </w:r>
      <w:r>
        <w:rPr>
          <w:sz w:val="19"/>
        </w:rPr>
        <w:t> </w:t>
      </w:r>
      <w:r>
        <w:t>5580.]</w:t>
      </w:r>
    </w:p>
    <w:p>
      <w:pPr>
        <w:pStyle w:val="Heading5"/>
      </w:pPr>
      <w:bookmarkStart w:id="150" w:name="_Toc201747109"/>
      <w:bookmarkStart w:id="151" w:name="_Toc200095369"/>
      <w:r>
        <w:rPr>
          <w:rStyle w:val="CharSectno"/>
        </w:rPr>
        <w:t>46</w:t>
      </w:r>
      <w:r>
        <w:t>.</w:t>
      </w:r>
      <w:r>
        <w:tab/>
        <w:t>Possession for which no licence is required (Sch. 4)</w:t>
      </w:r>
      <w:bookmarkEnd w:id="150"/>
      <w:bookmarkEnd w:id="151"/>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w:t>
      </w:r>
    </w:p>
    <w:p>
      <w:pPr>
        <w:pStyle w:val="Indenti"/>
      </w:pPr>
      <w:r>
        <w:tab/>
        <w:t>(i)</w:t>
      </w:r>
      <w:r>
        <w:tab/>
        <w:t>is a secure nominee of the holder of a licence that authorises the holder to possess the explosive in the circumstances; and</w:t>
      </w:r>
    </w:p>
    <w:p>
      <w:pPr>
        <w:pStyle w:val="Indenti"/>
      </w:pPr>
      <w:r>
        <w:tab/>
        <w:t>(ii)</w:t>
      </w:r>
      <w:r>
        <w:tab/>
        <w:t>possesses it in accordance with an unsupervised access authorisation given by the holder to the nominee;</w:t>
      </w:r>
    </w:p>
    <w:p>
      <w:pPr>
        <w:pStyle w:val="Indenta"/>
      </w:pPr>
      <w:r>
        <w:tab/>
      </w:r>
      <w:r>
        <w:tab/>
        <w:t>or</w:t>
      </w:r>
    </w:p>
    <w:p>
      <w:pPr>
        <w:pStyle w:val="Indenta"/>
      </w:pPr>
      <w:r>
        <w:tab/>
        <w:t>(c)</w:t>
      </w:r>
      <w:r>
        <w:tab/>
        <w:t>the person possesses the explosive while being supervised by —</w:t>
      </w:r>
    </w:p>
    <w:p>
      <w:pPr>
        <w:pStyle w:val="Indenti"/>
      </w:pPr>
      <w:r>
        <w:tab/>
        <w:t>(i)</w:t>
      </w:r>
      <w:r>
        <w:tab/>
        <w:t>the holder of a licence that authorises the holder to possess the explosive in the circumstances; or</w:t>
      </w:r>
    </w:p>
    <w:p>
      <w:pPr>
        <w:pStyle w:val="Indenti"/>
      </w:pPr>
      <w:r>
        <w:tab/>
        <w:t>(ii)</w:t>
      </w:r>
      <w:r>
        <w:tab/>
        <w:t>a secure nominee of such a holder having access to the explosive in accordance with an unsupervised access authorisation given by the holder to the nominee.</w:t>
      </w:r>
    </w:p>
    <w:p>
      <w:pPr>
        <w:pStyle w:val="Footnotesection"/>
      </w:pPr>
      <w:r>
        <w:tab/>
        <w:t>[Regulation 46 amended: Gazette 2 Dec 2013 p.</w:t>
      </w:r>
      <w:r>
        <w:rPr>
          <w:sz w:val="19"/>
        </w:rPr>
        <w:t> </w:t>
      </w:r>
      <w:r>
        <w:t>5581.]</w:t>
      </w:r>
    </w:p>
    <w:p>
      <w:pPr>
        <w:pStyle w:val="Heading5"/>
      </w:pPr>
      <w:bookmarkStart w:id="152" w:name="_Toc201747110"/>
      <w:bookmarkStart w:id="153" w:name="_Toc200095370"/>
      <w:r>
        <w:rPr>
          <w:rStyle w:val="CharSectno"/>
        </w:rPr>
        <w:t>47</w:t>
      </w:r>
      <w:r>
        <w:t>.</w:t>
      </w:r>
      <w:r>
        <w:tab/>
        <w:t>Authorised explosives, licences and permits entitling possession of</w:t>
      </w:r>
      <w:bookmarkEnd w:id="152"/>
      <w:bookmarkEnd w:id="153"/>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PermNoteHeading"/>
      </w:pPr>
      <w:r>
        <w:tab/>
        <w:t>Note for this regulation:</w:t>
      </w:r>
    </w:p>
    <w:p>
      <w:pPr>
        <w:pStyle w:val="PermNoteText"/>
      </w:pPr>
      <w:r>
        <w:tab/>
      </w:r>
      <w:r>
        <w:tab/>
        <w:t>The Act s. 12 (Unlicensed possession of dangerous goods).</w:t>
      </w:r>
    </w:p>
    <w:p>
      <w:pPr>
        <w:pStyle w:val="Heading3"/>
      </w:pPr>
      <w:bookmarkStart w:id="154" w:name="_Toc201670465"/>
      <w:bookmarkStart w:id="155" w:name="_Toc201671129"/>
      <w:bookmarkStart w:id="156" w:name="_Toc201747111"/>
      <w:bookmarkStart w:id="157" w:name="_Toc200031564"/>
      <w:bookmarkStart w:id="158" w:name="_Toc200036552"/>
      <w:bookmarkStart w:id="159" w:name="_Toc200095371"/>
      <w:r>
        <w:rPr>
          <w:rStyle w:val="CharDivNo"/>
        </w:rPr>
        <w:t>Division 2</w:t>
      </w:r>
      <w:r>
        <w:t> — </w:t>
      </w:r>
      <w:r>
        <w:rPr>
          <w:rStyle w:val="CharDivText"/>
        </w:rPr>
        <w:t>Other requirements</w:t>
      </w:r>
      <w:bookmarkEnd w:id="154"/>
      <w:bookmarkEnd w:id="155"/>
      <w:bookmarkEnd w:id="156"/>
      <w:bookmarkEnd w:id="157"/>
      <w:bookmarkEnd w:id="158"/>
      <w:bookmarkEnd w:id="159"/>
    </w:p>
    <w:p>
      <w:pPr>
        <w:pStyle w:val="Heading5"/>
      </w:pPr>
      <w:bookmarkStart w:id="160" w:name="_Toc201747112"/>
      <w:bookmarkStart w:id="161" w:name="_Toc200095372"/>
      <w:r>
        <w:rPr>
          <w:rStyle w:val="CharSectno"/>
        </w:rPr>
        <w:t>48</w:t>
      </w:r>
      <w:r>
        <w:t>.</w:t>
      </w:r>
      <w:r>
        <w:tab/>
        <w:t>Prohibited explosives, possession of</w:t>
      </w:r>
      <w:bookmarkEnd w:id="160"/>
      <w:bookmarkEnd w:id="161"/>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Gazette 16 Mar 2012 p. 1177.]</w:t>
      </w:r>
    </w:p>
    <w:p>
      <w:pPr>
        <w:pStyle w:val="Heading5"/>
      </w:pPr>
      <w:bookmarkStart w:id="162" w:name="_Toc201747113"/>
      <w:bookmarkStart w:id="163" w:name="_Toc200095373"/>
      <w:r>
        <w:rPr>
          <w:rStyle w:val="CharSectno"/>
        </w:rPr>
        <w:t>49</w:t>
      </w:r>
      <w:r>
        <w:t>.</w:t>
      </w:r>
      <w:r>
        <w:tab/>
        <w:t>Children in possession of explosives</w:t>
      </w:r>
      <w:bookmarkEnd w:id="162"/>
      <w:bookmarkEnd w:id="163"/>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164" w:name="_Toc201747114"/>
      <w:bookmarkStart w:id="165" w:name="_Toc200095374"/>
      <w:r>
        <w:rPr>
          <w:rStyle w:val="CharSectno"/>
        </w:rPr>
        <w:t>50</w:t>
      </w:r>
      <w:r>
        <w:t>.</w:t>
      </w:r>
      <w:r>
        <w:tab/>
        <w:t>Public places, possession in</w:t>
      </w:r>
      <w:bookmarkEnd w:id="164"/>
      <w:bookmarkEnd w:id="165"/>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166" w:name="_Toc201747115"/>
      <w:bookmarkStart w:id="167" w:name="_Toc200095375"/>
      <w:r>
        <w:rPr>
          <w:rStyle w:val="CharSectno"/>
        </w:rPr>
        <w:t>51</w:t>
      </w:r>
      <w:r>
        <w:t>.</w:t>
      </w:r>
      <w:r>
        <w:tab/>
        <w:t>Licences etc. to be carried</w:t>
      </w:r>
      <w:bookmarkEnd w:id="166"/>
      <w:bookmarkEnd w:id="167"/>
    </w:p>
    <w:p>
      <w:pPr>
        <w:pStyle w:val="Subsection"/>
      </w:pPr>
      <w:r>
        <w:tab/>
        <w:t>(1)</w:t>
      </w:r>
      <w:r>
        <w:tab/>
        <w:t xml:space="preserve">A person who holds a licence that authorises the person to possess an explosive and who is in possession of the explosive must — </w:t>
      </w:r>
    </w:p>
    <w:p>
      <w:pPr>
        <w:pStyle w:val="Indenta"/>
      </w:pPr>
      <w:r>
        <w:tab/>
        <w:t>(a)</w:t>
      </w:r>
      <w:r>
        <w:tab/>
        <w:t>carry the licence; or</w:t>
      </w:r>
    </w:p>
    <w:p>
      <w:pPr>
        <w:pStyle w:val="Indenta"/>
      </w:pPr>
      <w:r>
        <w:tab/>
        <w:t>(b)</w:t>
      </w:r>
      <w:r>
        <w:tab/>
        <w:t>have the licence in the vehicle in which the person is travelling; or</w:t>
      </w:r>
    </w:p>
    <w:p>
      <w:pPr>
        <w:pStyle w:val="Indenta"/>
      </w:pPr>
      <w:r>
        <w:tab/>
        <w:t>(c)</w:t>
      </w:r>
      <w:r>
        <w:tab/>
        <w:t>have the licence at the place where the person is in possession of the explosive.</w:t>
      </w:r>
    </w:p>
    <w:p>
      <w:pPr>
        <w:pStyle w:val="Penstart"/>
      </w:pPr>
      <w:r>
        <w:tab/>
        <w:t>Penalty for this subregulation: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for this subregulation: a level 3 fine.</w:t>
      </w:r>
    </w:p>
    <w:p>
      <w:pPr>
        <w:pStyle w:val="Footnotesection"/>
      </w:pPr>
      <w:r>
        <w:tab/>
        <w:t>[Regulation 51 amended: Gazette 5 Feb 2016 p. 347.]</w:t>
      </w:r>
    </w:p>
    <w:p>
      <w:pPr>
        <w:pStyle w:val="Heading5"/>
      </w:pPr>
      <w:bookmarkStart w:id="168" w:name="_Toc201747116"/>
      <w:bookmarkStart w:id="169" w:name="_Toc200095376"/>
      <w:r>
        <w:rPr>
          <w:rStyle w:val="CharSectno"/>
        </w:rPr>
        <w:t>52</w:t>
      </w:r>
      <w:r>
        <w:t>.</w:t>
      </w:r>
      <w:r>
        <w:tab/>
        <w:t>Duties to keep explosives secure</w:t>
      </w:r>
      <w:bookmarkEnd w:id="168"/>
      <w:bookmarkEnd w:id="169"/>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170" w:name="_Toc201670471"/>
      <w:bookmarkStart w:id="171" w:name="_Toc201671135"/>
      <w:bookmarkStart w:id="172" w:name="_Toc201747117"/>
      <w:bookmarkStart w:id="173" w:name="_Toc200031570"/>
      <w:bookmarkStart w:id="174" w:name="_Toc200036558"/>
      <w:bookmarkStart w:id="175" w:name="_Toc200095377"/>
      <w:r>
        <w:rPr>
          <w:rStyle w:val="CharPartNo"/>
        </w:rPr>
        <w:t>Part 7</w:t>
      </w:r>
      <w:r>
        <w:t> — </w:t>
      </w:r>
      <w:r>
        <w:rPr>
          <w:rStyle w:val="CharPartText"/>
        </w:rPr>
        <w:t>Import and export of explosives</w:t>
      </w:r>
      <w:bookmarkEnd w:id="170"/>
      <w:bookmarkEnd w:id="171"/>
      <w:bookmarkEnd w:id="172"/>
      <w:bookmarkEnd w:id="173"/>
      <w:bookmarkEnd w:id="174"/>
      <w:bookmarkEnd w:id="175"/>
    </w:p>
    <w:p>
      <w:pPr>
        <w:pStyle w:val="Heading3"/>
      </w:pPr>
      <w:bookmarkStart w:id="176" w:name="_Toc201670472"/>
      <w:bookmarkStart w:id="177" w:name="_Toc201671136"/>
      <w:bookmarkStart w:id="178" w:name="_Toc201747118"/>
      <w:bookmarkStart w:id="179" w:name="_Toc200031571"/>
      <w:bookmarkStart w:id="180" w:name="_Toc200036559"/>
      <w:bookmarkStart w:id="181" w:name="_Toc200095378"/>
      <w:r>
        <w:rPr>
          <w:rStyle w:val="CharDivNo"/>
        </w:rPr>
        <w:t>Division 1</w:t>
      </w:r>
      <w:r>
        <w:t> — </w:t>
      </w:r>
      <w:r>
        <w:rPr>
          <w:rStyle w:val="CharDivText"/>
        </w:rPr>
        <w:t>All imports and exports</w:t>
      </w:r>
      <w:bookmarkEnd w:id="176"/>
      <w:bookmarkEnd w:id="177"/>
      <w:bookmarkEnd w:id="178"/>
      <w:bookmarkEnd w:id="179"/>
      <w:bookmarkEnd w:id="180"/>
      <w:bookmarkEnd w:id="181"/>
    </w:p>
    <w:p>
      <w:pPr>
        <w:pStyle w:val="Heading5"/>
      </w:pPr>
      <w:bookmarkStart w:id="182" w:name="_Toc201747119"/>
      <w:bookmarkStart w:id="183" w:name="_Toc200095379"/>
      <w:r>
        <w:rPr>
          <w:rStyle w:val="CharSectno"/>
        </w:rPr>
        <w:t>53</w:t>
      </w:r>
      <w:r>
        <w:t>.</w:t>
      </w:r>
      <w:r>
        <w:tab/>
        <w:t>Unauthorised explosives</w:t>
      </w:r>
      <w:bookmarkEnd w:id="182"/>
      <w:bookmarkEnd w:id="183"/>
    </w:p>
    <w:p>
      <w:pPr>
        <w:pStyle w:val="Subsection"/>
        <w:spacing w:before="120"/>
      </w:pPr>
      <w:r>
        <w:tab/>
      </w:r>
      <w:r>
        <w:tab/>
        <w:t>A person who imports to the State an unauthorised explosive must hold a test permit that authorises the person to import it.</w:t>
      </w:r>
    </w:p>
    <w:p>
      <w:pPr>
        <w:pStyle w:val="Ednotedivision"/>
      </w:pPr>
      <w:r>
        <w:t>[Div. 2 (r. 54-55) deleted: Gazette 20 Mar 2018 p. 998.]</w:t>
      </w:r>
    </w:p>
    <w:p>
      <w:pPr>
        <w:pStyle w:val="Heading3"/>
      </w:pPr>
      <w:bookmarkStart w:id="184" w:name="_Toc201670474"/>
      <w:bookmarkStart w:id="185" w:name="_Toc201671138"/>
      <w:bookmarkStart w:id="186" w:name="_Toc201747120"/>
      <w:bookmarkStart w:id="187" w:name="_Toc200031573"/>
      <w:bookmarkStart w:id="188" w:name="_Toc200036561"/>
      <w:bookmarkStart w:id="189" w:name="_Toc200095380"/>
      <w:r>
        <w:rPr>
          <w:rStyle w:val="CharDivNo"/>
        </w:rPr>
        <w:t>Division 3</w:t>
      </w:r>
      <w:r>
        <w:t> — </w:t>
      </w:r>
      <w:r>
        <w:rPr>
          <w:rStyle w:val="CharDivText"/>
        </w:rPr>
        <w:t>International imports and exports</w:t>
      </w:r>
      <w:bookmarkEnd w:id="184"/>
      <w:bookmarkEnd w:id="185"/>
      <w:bookmarkEnd w:id="186"/>
      <w:bookmarkEnd w:id="187"/>
      <w:bookmarkEnd w:id="188"/>
      <w:bookmarkEnd w:id="189"/>
    </w:p>
    <w:p>
      <w:pPr>
        <w:pStyle w:val="Heading5"/>
      </w:pPr>
      <w:bookmarkStart w:id="190" w:name="_Toc201747121"/>
      <w:bookmarkStart w:id="191" w:name="_Toc200095381"/>
      <w:r>
        <w:rPr>
          <w:rStyle w:val="CharSectno"/>
        </w:rPr>
        <w:t>56</w:t>
      </w:r>
      <w:r>
        <w:t>.</w:t>
      </w:r>
      <w:r>
        <w:tab/>
        <w:t>Terms used</w:t>
      </w:r>
      <w:bookmarkEnd w:id="190"/>
      <w:bookmarkEnd w:id="191"/>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Australia;</w:t>
      </w:r>
    </w:p>
    <w:p>
      <w:pPr>
        <w:pStyle w:val="Defstart"/>
      </w:pPr>
      <w:r>
        <w:rPr>
          <w:b/>
        </w:rPr>
        <w:tab/>
      </w:r>
      <w:r>
        <w:rPr>
          <w:rStyle w:val="CharDefText"/>
        </w:rPr>
        <w:t>import</w:t>
      </w:r>
      <w:r>
        <w:t xml:space="preserve"> means to import to the State from a country outside Australia;</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192" w:name="_Toc201747122"/>
      <w:bookmarkStart w:id="193" w:name="_Toc200095382"/>
      <w:r>
        <w:rPr>
          <w:rStyle w:val="CharSectno"/>
        </w:rPr>
        <w:t>57</w:t>
      </w:r>
      <w:r>
        <w:t>.</w:t>
      </w:r>
      <w:r>
        <w:tab/>
        <w:t>Authorised explosives, licence entitling import or export</w:t>
      </w:r>
      <w:bookmarkEnd w:id="192"/>
      <w:bookmarkEnd w:id="193"/>
    </w:p>
    <w:p>
      <w:pPr>
        <w:pStyle w:val="Subsection"/>
      </w:pPr>
      <w:r>
        <w:tab/>
        <w:t>(1A)</w:t>
      </w:r>
      <w:r>
        <w:tab/>
        <w:t>This regulation does not apply to a sparkler that is an authorised explosive.</w:t>
      </w:r>
    </w:p>
    <w:p>
      <w:pPr>
        <w:pStyle w:val="Subsection"/>
        <w:keepNext/>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Gazette 16 Mar 2012 p. 1177.]</w:t>
      </w:r>
    </w:p>
    <w:p>
      <w:pPr>
        <w:pStyle w:val="Heading5"/>
      </w:pPr>
      <w:bookmarkStart w:id="194" w:name="_Toc201747123"/>
      <w:bookmarkStart w:id="195" w:name="_Toc200095383"/>
      <w:r>
        <w:rPr>
          <w:rStyle w:val="CharSectno"/>
        </w:rPr>
        <w:t>58</w:t>
      </w:r>
      <w:r>
        <w:t>.</w:t>
      </w:r>
      <w:r>
        <w:tab/>
        <w:t>International import and export, procedure for</w:t>
      </w:r>
      <w:bookmarkEnd w:id="194"/>
      <w:bookmarkEnd w:id="195"/>
    </w:p>
    <w:p>
      <w:pPr>
        <w:pStyle w:val="Subsection"/>
        <w:spacing w:before="120"/>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spacing w:before="60"/>
      </w:pPr>
      <w:r>
        <w:tab/>
        <w:t>(a)</w:t>
      </w:r>
      <w:r>
        <w:tab/>
        <w:t>if the explosive is being imported — an explosives import notice under regulation 59 in respect of the explosive at least 7 days before the date when the explosive is expected to arrive in the State;</w:t>
      </w:r>
    </w:p>
    <w:p>
      <w:pPr>
        <w:pStyle w:val="Indenta"/>
        <w:spacing w:before="60"/>
      </w:pPr>
      <w:r>
        <w:tab/>
        <w:t>(b)</w:t>
      </w:r>
      <w:r>
        <w:tab/>
        <w:t>if the explosive is being exported — an explosives export notice under regulation 59 in respect of the explosive at least 7 days before the date when the explosive is expected to leave the State;</w:t>
      </w:r>
    </w:p>
    <w:p>
      <w:pPr>
        <w:pStyle w:val="Indenta"/>
        <w:spacing w:before="60"/>
      </w:pPr>
      <w:r>
        <w:tab/>
        <w:t>(c)</w:t>
      </w:r>
      <w:r>
        <w:tab/>
        <w:t>an SDS for the explosive.</w:t>
      </w:r>
    </w:p>
    <w:p>
      <w:pPr>
        <w:pStyle w:val="Penstart"/>
        <w:spacing w:before="60"/>
      </w:pPr>
      <w:r>
        <w:tab/>
        <w:t>Penalty: a level 2 fine.</w:t>
      </w:r>
    </w:p>
    <w:p>
      <w:pPr>
        <w:pStyle w:val="Footnotesection"/>
      </w:pPr>
      <w:r>
        <w:tab/>
        <w:t>[Regulation 58 amended: Gazette 3 Mar 2017 p. 1475.]</w:t>
      </w:r>
    </w:p>
    <w:p>
      <w:pPr>
        <w:pStyle w:val="Heading5"/>
        <w:spacing w:before="180"/>
      </w:pPr>
      <w:bookmarkStart w:id="196" w:name="_Toc201747124"/>
      <w:bookmarkStart w:id="197" w:name="_Toc200095384"/>
      <w:r>
        <w:rPr>
          <w:rStyle w:val="CharSectno"/>
        </w:rPr>
        <w:t>59</w:t>
      </w:r>
      <w:r>
        <w:t>.</w:t>
      </w:r>
      <w:r>
        <w:tab/>
        <w:t>Import or export, notice to Chief Officer</w:t>
      </w:r>
      <w:bookmarkEnd w:id="196"/>
      <w:bookmarkEnd w:id="197"/>
    </w:p>
    <w:p>
      <w:pPr>
        <w:pStyle w:val="Subsection"/>
        <w:spacing w:before="120"/>
      </w:pPr>
      <w:r>
        <w:tab/>
        <w:t>(1)</w:t>
      </w:r>
      <w:r>
        <w:tab/>
        <w:t>An explosives import notice in respect of an explosive must be in an approved form and contain this information —</w:t>
      </w:r>
    </w:p>
    <w:p>
      <w:pPr>
        <w:pStyle w:val="Indenta"/>
        <w:spacing w:before="60"/>
      </w:pPr>
      <w:r>
        <w:tab/>
        <w:t>(a)</w:t>
      </w:r>
      <w:r>
        <w:tab/>
        <w:t>the details of the explosives import/export licence held by the person importing the explosive;</w:t>
      </w:r>
    </w:p>
    <w:p>
      <w:pPr>
        <w:pStyle w:val="Indenta"/>
        <w:spacing w:before="60"/>
      </w:pPr>
      <w:r>
        <w:tab/>
        <w:t>(b)</w:t>
      </w:r>
      <w:r>
        <w:tab/>
        <w:t>the name and address of both the consignee and consignor of the explosive;</w:t>
      </w:r>
    </w:p>
    <w:p>
      <w:pPr>
        <w:pStyle w:val="Indenta"/>
        <w:spacing w:before="60"/>
      </w:pPr>
      <w:r>
        <w:tab/>
        <w:t>(c)</w:t>
      </w:r>
      <w:r>
        <w:tab/>
        <w:t>the required details of the explosive being imported;</w:t>
      </w:r>
    </w:p>
    <w:p>
      <w:pPr>
        <w:pStyle w:val="Indenta"/>
        <w:spacing w:before="60"/>
      </w:pPr>
      <w:r>
        <w:tab/>
        <w:t>(d)</w:t>
      </w:r>
      <w:r>
        <w:tab/>
        <w:t xml:space="preserve">a certificate that the explosive — </w:t>
      </w:r>
    </w:p>
    <w:p>
      <w:pPr>
        <w:pStyle w:val="Indenti"/>
        <w:spacing w:before="60"/>
      </w:pPr>
      <w:r>
        <w:tab/>
        <w:t>(i)</w:t>
      </w:r>
      <w:r>
        <w:tab/>
        <w:t>is an authorised explosive; and</w:t>
      </w:r>
    </w:p>
    <w:p>
      <w:pPr>
        <w:pStyle w:val="Indenti"/>
        <w:spacing w:before="60"/>
      </w:pPr>
      <w:r>
        <w:tab/>
        <w:t>(ii)</w:t>
      </w:r>
      <w:r>
        <w:tab/>
        <w:t>is packaged in accordance with the relevant international requirements; and</w:t>
      </w:r>
    </w:p>
    <w:p>
      <w:pPr>
        <w:pStyle w:val="Indenti"/>
        <w:spacing w:before="60"/>
      </w:pPr>
      <w:r>
        <w:tab/>
        <w:t>(iii)</w:t>
      </w:r>
      <w:r>
        <w:tab/>
        <w:t>is in a safe condition to be transported;</w:t>
      </w:r>
    </w:p>
    <w:p>
      <w:pPr>
        <w:pStyle w:val="Indenta"/>
        <w:spacing w:before="60"/>
      </w:pPr>
      <w:r>
        <w:tab/>
        <w:t>(e)</w:t>
      </w:r>
      <w:r>
        <w:tab/>
        <w:t>the country from which the explosive is being imported;</w:t>
      </w:r>
    </w:p>
    <w:p>
      <w:pPr>
        <w:pStyle w:val="Indenta"/>
        <w:spacing w:before="60"/>
      </w:pPr>
      <w:r>
        <w:tab/>
        <w:t>(f)</w:t>
      </w:r>
      <w:r>
        <w:tab/>
        <w:t>details that identify the vehicle that will transport the explosive into the State;</w:t>
      </w:r>
    </w:p>
    <w:p>
      <w:pPr>
        <w:pStyle w:val="Indenta"/>
        <w:spacing w:before="60"/>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198" w:name="_Toc201747125"/>
      <w:bookmarkStart w:id="199" w:name="_Toc200095385"/>
      <w:r>
        <w:rPr>
          <w:rStyle w:val="CharSectno"/>
        </w:rPr>
        <w:t>60</w:t>
      </w:r>
      <w:r>
        <w:t>.</w:t>
      </w:r>
      <w:r>
        <w:tab/>
        <w:t>Chief Officer may direct explosive to be analysed</w:t>
      </w:r>
      <w:bookmarkEnd w:id="198"/>
      <w:bookmarkEnd w:id="199"/>
    </w:p>
    <w:p>
      <w:pPr>
        <w:pStyle w:val="Subsection"/>
        <w:spacing w:before="120"/>
      </w:pPr>
      <w:r>
        <w:tab/>
        <w:t>(1)</w:t>
      </w:r>
      <w:r>
        <w:tab/>
        <w:t xml:space="preserve">The Chief Officer may give a person importing or exporting an explosive a written notice that directs the person to do any or all of the following — </w:t>
      </w:r>
    </w:p>
    <w:p>
      <w:pPr>
        <w:pStyle w:val="Indenta"/>
        <w:spacing w:before="60"/>
      </w:pPr>
      <w:r>
        <w:tab/>
        <w:t>(a)</w:t>
      </w:r>
      <w:r>
        <w:tab/>
        <w:t>at the person’s expense, to have the explosive analysed or tested by a person specified, and in accordance with directions specified, in the notice;</w:t>
      </w:r>
    </w:p>
    <w:p>
      <w:pPr>
        <w:pStyle w:val="Indenta"/>
        <w:spacing w:before="60"/>
      </w:pPr>
      <w:r>
        <w:tab/>
        <w:t>(b)</w:t>
      </w:r>
      <w:r>
        <w:tab/>
        <w:t>to allow the explosive to be inspected by a DGO at the time and place stated in the notice, or at some other time or place agreed with a DGO.</w:t>
      </w:r>
    </w:p>
    <w:p>
      <w:pPr>
        <w:pStyle w:val="Subsection"/>
        <w:spacing w:before="120"/>
      </w:pPr>
      <w:r>
        <w:tab/>
        <w:t>(2)</w:t>
      </w:r>
      <w:r>
        <w:tab/>
        <w:t>A person given such a notice must obey it.</w:t>
      </w:r>
    </w:p>
    <w:p>
      <w:pPr>
        <w:pStyle w:val="Penstart"/>
        <w:spacing w:before="60"/>
      </w:pPr>
      <w:r>
        <w:tab/>
        <w:t>Penalty: a level 2 fine.</w:t>
      </w:r>
    </w:p>
    <w:p>
      <w:pPr>
        <w:pStyle w:val="Heading5"/>
        <w:spacing w:before="160"/>
      </w:pPr>
      <w:bookmarkStart w:id="200" w:name="_Toc201747126"/>
      <w:bookmarkStart w:id="201" w:name="_Toc200095386"/>
      <w:r>
        <w:rPr>
          <w:rStyle w:val="CharSectno"/>
        </w:rPr>
        <w:t>61</w:t>
      </w:r>
      <w:r>
        <w:t>.</w:t>
      </w:r>
      <w:r>
        <w:tab/>
        <w:t>Records to be kept by licence holders</w:t>
      </w:r>
      <w:bookmarkEnd w:id="200"/>
      <w:bookmarkEnd w:id="201"/>
    </w:p>
    <w:p>
      <w:pPr>
        <w:pStyle w:val="Subsection"/>
        <w:spacing w:before="120"/>
      </w:pPr>
      <w:r>
        <w:tab/>
        <w:t>(1)</w:t>
      </w:r>
      <w:r>
        <w:tab/>
        <w:t>The holder of an explosives import/export licence must keep a proper record of explosives imported or exported by the holder.</w:t>
      </w:r>
    </w:p>
    <w:p>
      <w:pPr>
        <w:pStyle w:val="Penstart"/>
      </w:pPr>
      <w:r>
        <w:tab/>
        <w:t>Penalty: a level 2 fine.</w:t>
      </w:r>
    </w:p>
    <w:p>
      <w:pPr>
        <w:pStyle w:val="Subsection"/>
        <w:spacing w:before="120"/>
      </w:pPr>
      <w:r>
        <w:tab/>
        <w:t>(2)</w:t>
      </w:r>
      <w:r>
        <w:tab/>
        <w:t>For the purposes of subregulation (1), a proper record is not kept unless a written record is made of this information —</w:t>
      </w:r>
    </w:p>
    <w:p>
      <w:pPr>
        <w:pStyle w:val="Indenta"/>
        <w:spacing w:before="60"/>
      </w:pPr>
      <w:r>
        <w:tab/>
        <w:t>(a)</w:t>
      </w:r>
      <w:r>
        <w:tab/>
        <w:t>the required details of the explosive imported or exported;</w:t>
      </w:r>
    </w:p>
    <w:p>
      <w:pPr>
        <w:pStyle w:val="Indenta"/>
        <w:spacing w:before="60"/>
      </w:pPr>
      <w:r>
        <w:tab/>
        <w:t>(b)</w:t>
      </w:r>
      <w:r>
        <w:tab/>
        <w:t>the date of the import or export;</w:t>
      </w:r>
    </w:p>
    <w:p>
      <w:pPr>
        <w:pStyle w:val="Indenta"/>
        <w:keepNext/>
        <w:spacing w:before="60"/>
      </w:pPr>
      <w:r>
        <w:tab/>
        <w:t>(c)</w:t>
      </w:r>
      <w:r>
        <w:tab/>
        <w:t>the name and address of both the consignee and consignor of the explosive,</w:t>
      </w:r>
    </w:p>
    <w:p>
      <w:pPr>
        <w:pStyle w:val="Subsection"/>
        <w:spacing w:before="120"/>
      </w:pPr>
      <w:r>
        <w:tab/>
      </w:r>
      <w:r>
        <w:tab/>
        <w:t>and is kept for 2 years after the date of the import or export (as the case requires).</w:t>
      </w:r>
    </w:p>
    <w:p>
      <w:pPr>
        <w:pStyle w:val="Heading5"/>
        <w:spacing w:before="160"/>
      </w:pPr>
      <w:bookmarkStart w:id="202" w:name="_Toc201747127"/>
      <w:bookmarkStart w:id="203" w:name="_Toc200095387"/>
      <w:r>
        <w:rPr>
          <w:rStyle w:val="CharSectno"/>
        </w:rPr>
        <w:t>62</w:t>
      </w:r>
      <w:r>
        <w:t>.</w:t>
      </w:r>
      <w:r>
        <w:tab/>
        <w:t>Port operators may refuse import in certain cases</w:t>
      </w:r>
      <w:bookmarkEnd w:id="202"/>
      <w:bookmarkEnd w:id="203"/>
    </w:p>
    <w:p>
      <w:pPr>
        <w:pStyle w:val="Subsection"/>
        <w:spacing w:before="120"/>
      </w:pPr>
      <w:r>
        <w:tab/>
      </w:r>
      <w:r>
        <w:tab/>
        <w:t xml:space="preserve">The harbour master of a port into which an explosive is imported may refuse to permit the explosive to be landed at the port if not satisfied — </w:t>
      </w:r>
    </w:p>
    <w:p>
      <w:pPr>
        <w:pStyle w:val="Indenta"/>
        <w:widowControl w:val="0"/>
        <w:spacing w:before="60"/>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204" w:name="_Toc201670482"/>
      <w:bookmarkStart w:id="205" w:name="_Toc201671146"/>
      <w:bookmarkStart w:id="206" w:name="_Toc201747128"/>
      <w:bookmarkStart w:id="207" w:name="_Toc200031581"/>
      <w:bookmarkStart w:id="208" w:name="_Toc200036569"/>
      <w:bookmarkStart w:id="209" w:name="_Toc200095388"/>
      <w:r>
        <w:rPr>
          <w:rStyle w:val="CharPartNo"/>
        </w:rPr>
        <w:t>Part 8</w:t>
      </w:r>
      <w:r>
        <w:t> — </w:t>
      </w:r>
      <w:r>
        <w:rPr>
          <w:rStyle w:val="CharPartText"/>
        </w:rPr>
        <w:t>Manufacture of explosives</w:t>
      </w:r>
      <w:bookmarkEnd w:id="204"/>
      <w:bookmarkEnd w:id="205"/>
      <w:bookmarkEnd w:id="206"/>
      <w:bookmarkEnd w:id="207"/>
      <w:bookmarkEnd w:id="208"/>
      <w:bookmarkEnd w:id="209"/>
    </w:p>
    <w:p>
      <w:pPr>
        <w:pStyle w:val="Heading3"/>
        <w:spacing w:before="260"/>
      </w:pPr>
      <w:bookmarkStart w:id="210" w:name="_Toc201670483"/>
      <w:bookmarkStart w:id="211" w:name="_Toc201671147"/>
      <w:bookmarkStart w:id="212" w:name="_Toc201747129"/>
      <w:bookmarkStart w:id="213" w:name="_Toc200031582"/>
      <w:bookmarkStart w:id="214" w:name="_Toc200036570"/>
      <w:bookmarkStart w:id="215" w:name="_Toc200095389"/>
      <w:r>
        <w:rPr>
          <w:rStyle w:val="CharDivNo"/>
        </w:rPr>
        <w:t>Division 1</w:t>
      </w:r>
      <w:r>
        <w:t> — </w:t>
      </w:r>
      <w:r>
        <w:rPr>
          <w:rStyle w:val="CharDivText"/>
        </w:rPr>
        <w:t>Licensing requirements</w:t>
      </w:r>
      <w:bookmarkEnd w:id="210"/>
      <w:bookmarkEnd w:id="211"/>
      <w:bookmarkEnd w:id="212"/>
      <w:bookmarkEnd w:id="213"/>
      <w:bookmarkEnd w:id="214"/>
      <w:bookmarkEnd w:id="215"/>
    </w:p>
    <w:p>
      <w:pPr>
        <w:pStyle w:val="Heading5"/>
        <w:spacing w:before="240"/>
      </w:pPr>
      <w:bookmarkStart w:id="216" w:name="_Toc201747130"/>
      <w:bookmarkStart w:id="217" w:name="_Toc200095390"/>
      <w:r>
        <w:rPr>
          <w:rStyle w:val="CharSectno"/>
        </w:rPr>
        <w:t>63</w:t>
      </w:r>
      <w:r>
        <w:t>.</w:t>
      </w:r>
      <w:r>
        <w:tab/>
        <w:t>Unauthorised explosives</w:t>
      </w:r>
      <w:bookmarkEnd w:id="216"/>
      <w:bookmarkEnd w:id="217"/>
    </w:p>
    <w:p>
      <w:pPr>
        <w:pStyle w:val="Subsection"/>
        <w:spacing w:before="180"/>
      </w:pPr>
      <w:r>
        <w:tab/>
      </w:r>
      <w:r>
        <w:tab/>
        <w:t>A person who manufactures an explosive that is neither a prohibited explosive nor an authorised explosive must hold a test permit that authorises the person to manufacture it.</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218" w:name="_Toc201747131"/>
      <w:bookmarkStart w:id="219" w:name="_Toc200095391"/>
      <w:r>
        <w:rPr>
          <w:rStyle w:val="CharSectno"/>
        </w:rPr>
        <w:t>64</w:t>
      </w:r>
      <w:r>
        <w:t>.</w:t>
      </w:r>
      <w:r>
        <w:tab/>
        <w:t>Authorised explosives, licensing for manufacture (Sch. 5)</w:t>
      </w:r>
      <w:bookmarkEnd w:id="218"/>
      <w:bookmarkEnd w:id="219"/>
    </w:p>
    <w:p>
      <w:pPr>
        <w:pStyle w:val="Subsection"/>
        <w:spacing w:before="180"/>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220" w:name="_Toc201747132"/>
      <w:bookmarkStart w:id="221" w:name="_Toc200095392"/>
      <w:r>
        <w:rPr>
          <w:rStyle w:val="CharSectno"/>
        </w:rPr>
        <w:t>65</w:t>
      </w:r>
      <w:r>
        <w:t>.</w:t>
      </w:r>
      <w:r>
        <w:tab/>
        <w:t>Bulk AN-based explosives, licences authorising manufacture of</w:t>
      </w:r>
      <w:bookmarkEnd w:id="220"/>
      <w:bookmarkEnd w:id="221"/>
    </w:p>
    <w:p>
      <w:pPr>
        <w:pStyle w:val="Subsection"/>
        <w:spacing w:before="180"/>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nominee of the holder of a shotfiring licence and manufactures the ANFO in accordance with an unsupervised access authorisation given by the holder to the nominee; or</w:t>
      </w:r>
    </w:p>
    <w:p>
      <w:pPr>
        <w:pStyle w:val="Indenta"/>
      </w:pPr>
      <w:r>
        <w:tab/>
        <w:t>(c)</w:t>
      </w:r>
      <w:r>
        <w:tab/>
        <w:t>manufactures the ANFO while being supervised by the holder of a shotfiring licence,</w:t>
      </w:r>
    </w:p>
    <w:p>
      <w:pPr>
        <w:pStyle w:val="Subsection"/>
      </w:pPr>
      <w:r>
        <w:tab/>
      </w:r>
      <w:r>
        <w:tab/>
        <w:t>and manufactures the ANFO at the place where it will be used.</w:t>
      </w:r>
    </w:p>
    <w:p>
      <w:pPr>
        <w:pStyle w:val="Subsection"/>
      </w:pPr>
      <w:r>
        <w:tab/>
        <w:t>(2)</w:t>
      </w:r>
      <w:r>
        <w:tab/>
        <w:t>A person is authorised, without holding an explosives manufacture licence, to manufacture a bulk AN-based explosive if the person —</w:t>
      </w:r>
    </w:p>
    <w:p>
      <w:pPr>
        <w:pStyle w:val="Indenta"/>
      </w:pPr>
      <w:r>
        <w:tab/>
        <w:t>(a)</w:t>
      </w:r>
      <w:r>
        <w:tab/>
        <w:t>holds an explosives manufacture (MPU) licence; or</w:t>
      </w:r>
    </w:p>
    <w:p>
      <w:pPr>
        <w:pStyle w:val="Indenta"/>
      </w:pPr>
      <w:r>
        <w:tab/>
        <w:t>(b)</w:t>
      </w:r>
      <w:r>
        <w:tab/>
        <w:t>is a secure nominee of the holder of an explosives manufacture (MPU) licence and manufactures the explosive in accordance with an unsupervised access authorisation given by the holder to the nominee; or</w:t>
      </w:r>
    </w:p>
    <w:p>
      <w:pPr>
        <w:pStyle w:val="Indenta"/>
      </w:pPr>
      <w:r>
        <w:tab/>
        <w:t>(c)</w:t>
      </w:r>
      <w:r>
        <w:tab/>
        <w:t>manufactures the explosive while being supervised by the holder of an explosives manufacture (MPU) licence,</w:t>
      </w:r>
    </w:p>
    <w:p>
      <w:pPr>
        <w:pStyle w:val="Subsection"/>
      </w:pPr>
      <w:r>
        <w:tab/>
      </w:r>
      <w:r>
        <w:tab/>
        <w:t>and manufactures the explosive using only constituents from an MPU that is a complying MPU under regulation 42(2).</w:t>
      </w:r>
    </w:p>
    <w:p>
      <w:pPr>
        <w:pStyle w:val="Footnotesection"/>
      </w:pPr>
      <w:r>
        <w:tab/>
        <w:t>[Regulation 65 amended: Gazette 2 Dec 2013 p.</w:t>
      </w:r>
      <w:r>
        <w:rPr>
          <w:sz w:val="19"/>
        </w:rPr>
        <w:t> </w:t>
      </w:r>
      <w:r>
        <w:t>5581</w:t>
      </w:r>
      <w:r>
        <w:noBreakHyphen/>
        <w:t>2.]</w:t>
      </w:r>
    </w:p>
    <w:p>
      <w:pPr>
        <w:pStyle w:val="Heading5"/>
      </w:pPr>
      <w:bookmarkStart w:id="222" w:name="_Toc201747133"/>
      <w:bookmarkStart w:id="223" w:name="_Toc200095393"/>
      <w:r>
        <w:rPr>
          <w:rStyle w:val="CharSectno"/>
        </w:rPr>
        <w:t>66</w:t>
      </w:r>
      <w:r>
        <w:t>.</w:t>
      </w:r>
      <w:r>
        <w:tab/>
        <w:t>Fireworks, licence authorising manufacture of</w:t>
      </w:r>
      <w:bookmarkEnd w:id="222"/>
      <w:bookmarkEnd w:id="223"/>
    </w:p>
    <w:p>
      <w:pPr>
        <w:pStyle w:val="Subsection"/>
      </w:pPr>
      <w:r>
        <w:tab/>
      </w:r>
      <w:r>
        <w:tab/>
        <w:t>A person is authorised, without holding an explosives manufacture licence, to manufacture a firework for use in connection with theatrical entertainment if the person —</w:t>
      </w:r>
    </w:p>
    <w:p>
      <w:pPr>
        <w:pStyle w:val="Indenta"/>
      </w:pPr>
      <w:r>
        <w:tab/>
        <w:t>(a)</w:t>
      </w:r>
      <w:r>
        <w:tab/>
        <w:t>holds a fireworks contractor licence, a fireworks operator licence, or a pyrotechnics (special use) licence, that authorises the manufacture; and</w:t>
      </w:r>
    </w:p>
    <w:p>
      <w:pPr>
        <w:pStyle w:val="Indenta"/>
      </w:pPr>
      <w:r>
        <w:tab/>
        <w:t>(b)</w:t>
      </w:r>
      <w:r>
        <w:tab/>
        <w:t>in manufacturing the firework, uses only constituents that —</w:t>
      </w:r>
    </w:p>
    <w:p>
      <w:pPr>
        <w:pStyle w:val="Indenti"/>
      </w:pPr>
      <w:r>
        <w:tab/>
        <w:t>(i)</w:t>
      </w:r>
      <w:r>
        <w:tab/>
        <w:t>are designed to be used in the manufacture of fireworks for theatrical entertainment; and</w:t>
      </w:r>
    </w:p>
    <w:p>
      <w:pPr>
        <w:pStyle w:val="Indenti"/>
      </w:pPr>
      <w:r>
        <w:tab/>
        <w:t>(ii)</w:t>
      </w:r>
      <w:r>
        <w:tab/>
        <w:t>are commercially available;</w:t>
      </w:r>
    </w:p>
    <w:p>
      <w:pPr>
        <w:pStyle w:val="Indenta"/>
      </w:pPr>
      <w:r>
        <w:tab/>
      </w:r>
      <w:r>
        <w:tab/>
        <w:t>and</w:t>
      </w:r>
    </w:p>
    <w:p>
      <w:pPr>
        <w:pStyle w:val="Indenta"/>
      </w:pPr>
      <w:r>
        <w:tab/>
        <w:t>(c)</w:t>
      </w:r>
      <w:r>
        <w:tab/>
        <w:t>uses the constituents in accordance with the instructions of their manufacturer.</w:t>
      </w:r>
    </w:p>
    <w:p>
      <w:pPr>
        <w:pStyle w:val="Heading3"/>
        <w:keepNext w:val="0"/>
      </w:pPr>
      <w:bookmarkStart w:id="224" w:name="_Toc201670488"/>
      <w:bookmarkStart w:id="225" w:name="_Toc201671152"/>
      <w:bookmarkStart w:id="226" w:name="_Toc201747134"/>
      <w:bookmarkStart w:id="227" w:name="_Toc200031587"/>
      <w:bookmarkStart w:id="228" w:name="_Toc200036575"/>
      <w:bookmarkStart w:id="229" w:name="_Toc200095394"/>
      <w:r>
        <w:rPr>
          <w:rStyle w:val="CharDivNo"/>
        </w:rPr>
        <w:t>Division 2</w:t>
      </w:r>
      <w:r>
        <w:t> — </w:t>
      </w:r>
      <w:r>
        <w:rPr>
          <w:rStyle w:val="CharDivText"/>
        </w:rPr>
        <w:t>Other requirements</w:t>
      </w:r>
      <w:bookmarkEnd w:id="224"/>
      <w:bookmarkEnd w:id="225"/>
      <w:bookmarkEnd w:id="226"/>
      <w:bookmarkEnd w:id="227"/>
      <w:bookmarkEnd w:id="228"/>
      <w:bookmarkEnd w:id="229"/>
    </w:p>
    <w:p>
      <w:pPr>
        <w:pStyle w:val="Heading5"/>
        <w:keepNext w:val="0"/>
        <w:keepLines w:val="0"/>
        <w:spacing w:before="180"/>
      </w:pPr>
      <w:bookmarkStart w:id="230" w:name="_Toc201747135"/>
      <w:bookmarkStart w:id="231" w:name="_Toc200095395"/>
      <w:r>
        <w:rPr>
          <w:rStyle w:val="CharSectno"/>
        </w:rPr>
        <w:t>67</w:t>
      </w:r>
      <w:r>
        <w:t>.</w:t>
      </w:r>
      <w:r>
        <w:tab/>
        <w:t>Containers of components to be marked</w:t>
      </w:r>
      <w:bookmarkEnd w:id="230"/>
      <w:bookmarkEnd w:id="231"/>
    </w:p>
    <w:p>
      <w:pPr>
        <w:pStyle w:val="Subsection"/>
        <w:spacing w:before="120"/>
      </w:pPr>
      <w:r>
        <w:tab/>
      </w:r>
      <w:r>
        <w:tab/>
        <w:t>A person who manufactures an explosive must keep each constituent of the explosive in a container that is clearly and conspicuously marked with the name of the constituent.</w:t>
      </w:r>
    </w:p>
    <w:p>
      <w:pPr>
        <w:pStyle w:val="Penstart"/>
        <w:spacing w:before="60"/>
      </w:pPr>
      <w:r>
        <w:tab/>
        <w:t>Penalty: a level 2 fine.</w:t>
      </w:r>
    </w:p>
    <w:p>
      <w:pPr>
        <w:pStyle w:val="Heading5"/>
      </w:pPr>
      <w:bookmarkStart w:id="232" w:name="_Toc201747136"/>
      <w:bookmarkStart w:id="233" w:name="_Toc200095396"/>
      <w:r>
        <w:rPr>
          <w:rStyle w:val="CharSectno"/>
        </w:rPr>
        <w:t>68</w:t>
      </w:r>
      <w:r>
        <w:t>.</w:t>
      </w:r>
      <w:r>
        <w:tab/>
        <w:t>Records to be kept by some manufacturers</w:t>
      </w:r>
      <w:bookmarkEnd w:id="232"/>
      <w:bookmarkEnd w:id="233"/>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234" w:name="_Toc201747137"/>
      <w:bookmarkStart w:id="235" w:name="_Toc200095397"/>
      <w:r>
        <w:rPr>
          <w:rStyle w:val="CharSectno"/>
        </w:rPr>
        <w:t>69</w:t>
      </w:r>
      <w:r>
        <w:t>.</w:t>
      </w:r>
      <w:r>
        <w:tab/>
        <w:t>Documents to be kept at place of manufacture</w:t>
      </w:r>
      <w:bookmarkEnd w:id="234"/>
      <w:bookmarkEnd w:id="235"/>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SDS for the explosive is kept at the place in a position that makes it easily accessible to — </w:t>
      </w:r>
    </w:p>
    <w:p>
      <w:pPr>
        <w:pStyle w:val="Indenta"/>
      </w:pPr>
      <w:r>
        <w:tab/>
        <w:t>(a)</w:t>
      </w:r>
      <w:r>
        <w:tab/>
        <w:t>any person handling the explosive; and</w:t>
      </w:r>
    </w:p>
    <w:p>
      <w:pPr>
        <w:pStyle w:val="Indenta"/>
        <w:keepNext/>
      </w:pPr>
      <w:r>
        <w:tab/>
        <w:t>(b)</w:t>
      </w:r>
      <w:r>
        <w:tab/>
        <w:t>any person treating an injury suffered when handling the explosive.</w:t>
      </w:r>
    </w:p>
    <w:p>
      <w:pPr>
        <w:pStyle w:val="Penstart"/>
      </w:pPr>
      <w:r>
        <w:tab/>
        <w:t>Penalty: a level 3 fine.</w:t>
      </w:r>
    </w:p>
    <w:p>
      <w:pPr>
        <w:pStyle w:val="Footnotesection"/>
      </w:pPr>
      <w:r>
        <w:tab/>
        <w:t>[Regulation 69 amended: Gazette 3 Mar 2017 p. 1475.]</w:t>
      </w:r>
    </w:p>
    <w:p>
      <w:pPr>
        <w:pStyle w:val="Heading5"/>
      </w:pPr>
      <w:bookmarkStart w:id="236" w:name="_Toc201747138"/>
      <w:bookmarkStart w:id="237" w:name="_Toc200095398"/>
      <w:r>
        <w:rPr>
          <w:rStyle w:val="CharSectno"/>
        </w:rPr>
        <w:t>70</w:t>
      </w:r>
      <w:r>
        <w:t>.</w:t>
      </w:r>
      <w:r>
        <w:tab/>
        <w:t>Bulk AN-based explosives, manufacture of</w:t>
      </w:r>
      <w:bookmarkEnd w:id="236"/>
      <w:bookmarkEnd w:id="237"/>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238" w:name="_Toc201747139"/>
      <w:bookmarkStart w:id="239" w:name="_Toc200095399"/>
      <w:r>
        <w:rPr>
          <w:rStyle w:val="CharSectno"/>
        </w:rPr>
        <w:t>71</w:t>
      </w:r>
      <w:r>
        <w:t>.</w:t>
      </w:r>
      <w:r>
        <w:tab/>
        <w:t>MPUs in operation not to be left unattended</w:t>
      </w:r>
      <w:bookmarkEnd w:id="238"/>
      <w:bookmarkEnd w:id="239"/>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spacing w:before="180"/>
      </w:pPr>
      <w:bookmarkStart w:id="240" w:name="_Toc201747140"/>
      <w:bookmarkStart w:id="241" w:name="_Toc200095400"/>
      <w:r>
        <w:rPr>
          <w:rStyle w:val="CharSectno"/>
        </w:rPr>
        <w:t>72</w:t>
      </w:r>
      <w:r>
        <w:t>.</w:t>
      </w:r>
      <w:r>
        <w:tab/>
        <w:t>Fireworks manufactured by licensee, supply and use of</w:t>
      </w:r>
      <w:bookmarkEnd w:id="240"/>
      <w:bookmarkEnd w:id="241"/>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keepNext w:val="0"/>
        <w:keepLines w:val="0"/>
        <w:spacing w:before="180"/>
      </w:pPr>
      <w:bookmarkStart w:id="242" w:name="_Toc201747141"/>
      <w:bookmarkStart w:id="243" w:name="_Toc200095401"/>
      <w:r>
        <w:rPr>
          <w:rStyle w:val="CharSectno"/>
        </w:rPr>
        <w:t>73</w:t>
      </w:r>
      <w:r>
        <w:t>.</w:t>
      </w:r>
      <w:r>
        <w:tab/>
        <w:t>Filling ammunition</w:t>
      </w:r>
      <w:bookmarkEnd w:id="242"/>
      <w:bookmarkEnd w:id="243"/>
    </w:p>
    <w:p>
      <w:pPr>
        <w:pStyle w:val="Subsection"/>
        <w:spacing w:before="120"/>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244" w:name="_Toc201670496"/>
      <w:bookmarkStart w:id="245" w:name="_Toc201671160"/>
      <w:bookmarkStart w:id="246" w:name="_Toc201747142"/>
      <w:bookmarkStart w:id="247" w:name="_Toc200031595"/>
      <w:bookmarkStart w:id="248" w:name="_Toc200036583"/>
      <w:bookmarkStart w:id="249" w:name="_Toc200095402"/>
      <w:r>
        <w:rPr>
          <w:rStyle w:val="CharPartNo"/>
        </w:rPr>
        <w:t>Part 9</w:t>
      </w:r>
      <w:r>
        <w:t> — </w:t>
      </w:r>
      <w:r>
        <w:rPr>
          <w:rStyle w:val="CharPartText"/>
        </w:rPr>
        <w:t>Storage of explosives</w:t>
      </w:r>
      <w:bookmarkEnd w:id="244"/>
      <w:bookmarkEnd w:id="245"/>
      <w:bookmarkEnd w:id="246"/>
      <w:bookmarkEnd w:id="247"/>
      <w:bookmarkEnd w:id="248"/>
      <w:bookmarkEnd w:id="249"/>
    </w:p>
    <w:p>
      <w:pPr>
        <w:pStyle w:val="Heading3"/>
      </w:pPr>
      <w:bookmarkStart w:id="250" w:name="_Toc201670497"/>
      <w:bookmarkStart w:id="251" w:name="_Toc201671161"/>
      <w:bookmarkStart w:id="252" w:name="_Toc201747143"/>
      <w:bookmarkStart w:id="253" w:name="_Toc200031596"/>
      <w:bookmarkStart w:id="254" w:name="_Toc200036584"/>
      <w:bookmarkStart w:id="255" w:name="_Toc200095403"/>
      <w:r>
        <w:rPr>
          <w:rStyle w:val="CharDivNo"/>
        </w:rPr>
        <w:t>Division 1</w:t>
      </w:r>
      <w:r>
        <w:t> — </w:t>
      </w:r>
      <w:r>
        <w:rPr>
          <w:rStyle w:val="CharDivText"/>
        </w:rPr>
        <w:t>Preliminary matters</w:t>
      </w:r>
      <w:bookmarkEnd w:id="250"/>
      <w:bookmarkEnd w:id="251"/>
      <w:bookmarkEnd w:id="252"/>
      <w:bookmarkEnd w:id="253"/>
      <w:bookmarkEnd w:id="254"/>
      <w:bookmarkEnd w:id="255"/>
    </w:p>
    <w:p>
      <w:pPr>
        <w:pStyle w:val="Heading5"/>
      </w:pPr>
      <w:bookmarkStart w:id="256" w:name="_Toc201747144"/>
      <w:bookmarkStart w:id="257" w:name="_Toc200095404"/>
      <w:r>
        <w:rPr>
          <w:rStyle w:val="CharSectno"/>
        </w:rPr>
        <w:t>74</w:t>
      </w:r>
      <w:r>
        <w:t>.</w:t>
      </w:r>
      <w:r>
        <w:tab/>
        <w:t>Term used: safely</w:t>
      </w:r>
      <w:bookmarkEnd w:id="256"/>
      <w:bookmarkEnd w:id="257"/>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Pr>
      <w:bookmarkStart w:id="258" w:name="_Toc201670499"/>
      <w:bookmarkStart w:id="259" w:name="_Toc201671163"/>
      <w:bookmarkStart w:id="260" w:name="_Toc201747145"/>
      <w:bookmarkStart w:id="261" w:name="_Toc200031598"/>
      <w:bookmarkStart w:id="262" w:name="_Toc200036586"/>
      <w:bookmarkStart w:id="263" w:name="_Toc200095405"/>
      <w:r>
        <w:rPr>
          <w:rStyle w:val="CharDivNo"/>
        </w:rPr>
        <w:t>Division 2</w:t>
      </w:r>
      <w:r>
        <w:t> — </w:t>
      </w:r>
      <w:r>
        <w:rPr>
          <w:rStyle w:val="CharDivText"/>
        </w:rPr>
        <w:t>Licensing requirements</w:t>
      </w:r>
      <w:bookmarkEnd w:id="258"/>
      <w:bookmarkEnd w:id="259"/>
      <w:bookmarkEnd w:id="260"/>
      <w:bookmarkEnd w:id="261"/>
      <w:bookmarkEnd w:id="262"/>
      <w:bookmarkEnd w:id="263"/>
    </w:p>
    <w:p>
      <w:pPr>
        <w:pStyle w:val="Heading5"/>
        <w:spacing w:before="240"/>
      </w:pPr>
      <w:bookmarkStart w:id="264" w:name="_Toc201747146"/>
      <w:bookmarkStart w:id="265" w:name="_Toc200095406"/>
      <w:r>
        <w:rPr>
          <w:rStyle w:val="CharSectno"/>
        </w:rPr>
        <w:t>75</w:t>
      </w:r>
      <w:r>
        <w:t>.</w:t>
      </w:r>
      <w:r>
        <w:tab/>
        <w:t>Unauthorised explosives</w:t>
      </w:r>
      <w:bookmarkEnd w:id="264"/>
      <w:bookmarkEnd w:id="265"/>
    </w:p>
    <w:p>
      <w:pPr>
        <w:pStyle w:val="Subsection"/>
      </w:pPr>
      <w:r>
        <w:tab/>
      </w:r>
      <w:r>
        <w:tab/>
        <w:t>A person who stores an explosive that is not an authorised explosive at a place must hold a test permit that authorises the person to store it at that place.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266" w:name="_Toc201747147"/>
      <w:bookmarkStart w:id="267" w:name="_Toc200095407"/>
      <w:r>
        <w:rPr>
          <w:rStyle w:val="CharSectno"/>
        </w:rPr>
        <w:t>76</w:t>
      </w:r>
      <w:r>
        <w:t>.</w:t>
      </w:r>
      <w:r>
        <w:tab/>
        <w:t>Authorised explosives, licensing for storage (Sch. 6)</w:t>
      </w:r>
      <w:bookmarkEnd w:id="266"/>
      <w:bookmarkEnd w:id="267"/>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76 amended: Gazette 16 Mar 2012 p. 1177.]</w:t>
      </w:r>
    </w:p>
    <w:p>
      <w:pPr>
        <w:pStyle w:val="Heading5"/>
        <w:spacing w:before="240"/>
      </w:pPr>
      <w:bookmarkStart w:id="268" w:name="_Toc201747148"/>
      <w:bookmarkStart w:id="269" w:name="_Toc200095408"/>
      <w:r>
        <w:rPr>
          <w:rStyle w:val="CharSectno"/>
        </w:rPr>
        <w:t>77A</w:t>
      </w:r>
      <w:r>
        <w:t>.</w:t>
      </w:r>
      <w:r>
        <w:tab/>
        <w:t>Explosives transport licence authorises storage of certain explosives in transit</w:t>
      </w:r>
      <w:bookmarkEnd w:id="268"/>
      <w:bookmarkEnd w:id="269"/>
    </w:p>
    <w:p>
      <w:pPr>
        <w:pStyle w:val="Subsection"/>
      </w:pPr>
      <w:r>
        <w:tab/>
        <w:t>(1)</w:t>
      </w:r>
      <w:r>
        <w:tab/>
        <w:t>In this regulation —</w:t>
      </w:r>
    </w:p>
    <w:p>
      <w:pPr>
        <w:pStyle w:val="Defstart"/>
      </w:pPr>
      <w:r>
        <w:tab/>
      </w:r>
      <w:r>
        <w:rPr>
          <w:rStyle w:val="CharDefText"/>
        </w:rPr>
        <w:t>class 1.4 explosive</w:t>
      </w:r>
      <w:r>
        <w:t xml:space="preserve"> means an explosive with a classification code of 1.4.</w:t>
      </w:r>
    </w:p>
    <w:p>
      <w:pPr>
        <w:pStyle w:val="Subsection"/>
        <w:keepNext/>
      </w:pPr>
      <w:r>
        <w:tab/>
        <w:t>(2)</w:t>
      </w:r>
      <w:r>
        <w:tab/>
        <w:t>The holder of an explosives transport licence is authorised to store a class 1.4 explosive at a place for which there is no explosives storage licence if —</w:t>
      </w:r>
    </w:p>
    <w:p>
      <w:pPr>
        <w:pStyle w:val="Indenta"/>
      </w:pPr>
      <w:r>
        <w:tab/>
        <w:t>(a)</w:t>
      </w:r>
      <w:r>
        <w:tab/>
        <w:t>the holder is authorised to possess the explosive under the explosives transport licence; and</w:t>
      </w:r>
    </w:p>
    <w:p>
      <w:pPr>
        <w:pStyle w:val="Indenta"/>
      </w:pPr>
      <w:r>
        <w:tab/>
        <w:t>(b)</w:t>
      </w:r>
      <w:r>
        <w:tab/>
        <w:t>the holder is in the course of transporting the explosive; and</w:t>
      </w:r>
    </w:p>
    <w:p>
      <w:pPr>
        <w:pStyle w:val="Indenta"/>
      </w:pPr>
      <w:r>
        <w:tab/>
        <w:t>(c)</w:t>
      </w:r>
      <w:r>
        <w:tab/>
        <w:t>the holder stores the explosive only while it is in transit in the course of being transported.</w:t>
      </w:r>
    </w:p>
    <w:p>
      <w:pPr>
        <w:pStyle w:val="Footnotesection"/>
      </w:pPr>
      <w:r>
        <w:tab/>
        <w:t>[Regulation 77A inserted: Gazette 2 Dec 2013 p.</w:t>
      </w:r>
      <w:r>
        <w:rPr>
          <w:sz w:val="19"/>
        </w:rPr>
        <w:t> </w:t>
      </w:r>
      <w:r>
        <w:t>5582.]</w:t>
      </w:r>
    </w:p>
    <w:p>
      <w:pPr>
        <w:pStyle w:val="Heading5"/>
      </w:pPr>
      <w:bookmarkStart w:id="270" w:name="_Toc201747149"/>
      <w:bookmarkStart w:id="271" w:name="_Toc200095409"/>
      <w:r>
        <w:rPr>
          <w:rStyle w:val="CharSectno"/>
        </w:rPr>
        <w:t>77</w:t>
      </w:r>
      <w:r>
        <w:t>.</w:t>
      </w:r>
      <w:r>
        <w:tab/>
        <w:t>Shotfiring licence authorises limited storage</w:t>
      </w:r>
      <w:bookmarkEnd w:id="270"/>
      <w:bookmarkEnd w:id="271"/>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spacing w:before="120"/>
      </w:pPr>
      <w:r>
        <w:tab/>
        <w:t>(2)</w:t>
      </w:r>
      <w:r>
        <w:tab/>
        <w:t>If a term used in this regulation is not defined by subregulation (1) but is defined in AS 2187.0, it has the same meaning in this regulation as it has in AS 2187.0, unless the contrary intention appears.</w:t>
      </w:r>
    </w:p>
    <w:p>
      <w:pPr>
        <w:pStyle w:val="Subsection"/>
        <w:spacing w:before="120"/>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pPr>
      <w:r>
        <w:tab/>
        <w:t>(i)</w:t>
      </w:r>
      <w:r>
        <w:tab/>
        <w:t>not more than 100 detonators; and</w:t>
      </w:r>
    </w:p>
    <w:p>
      <w:pPr>
        <w:pStyle w:val="Indenti"/>
      </w:pPr>
      <w:r>
        <w:tab/>
        <w:t>(ii)</w:t>
      </w:r>
      <w:r>
        <w:tab/>
        <w:t>blasting explosive and BE initiators the NEQ of which is not more than 10 kg.</w:t>
      </w:r>
    </w:p>
    <w:p>
      <w:pPr>
        <w:pStyle w:val="Subsection"/>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pPr>
      <w:bookmarkStart w:id="272" w:name="_Toc201747150"/>
      <w:bookmarkStart w:id="273" w:name="_Toc200095410"/>
      <w:r>
        <w:rPr>
          <w:rStyle w:val="CharSectno"/>
        </w:rPr>
        <w:t>78</w:t>
      </w:r>
      <w:r>
        <w:t>.</w:t>
      </w:r>
      <w:r>
        <w:tab/>
        <w:t>Pyrotechnics (special use) licence authorises limited storage</w:t>
      </w:r>
      <w:bookmarkEnd w:id="272"/>
      <w:bookmarkEnd w:id="273"/>
    </w:p>
    <w:p>
      <w:pPr>
        <w:pStyle w:val="Subsection"/>
      </w:pPr>
      <w:r>
        <w:tab/>
      </w:r>
      <w:r>
        <w:tab/>
        <w:t>The holder of a pyrotechnics (special use) licence is authorised to store an explosive at a place for which there is no explosives storage licence if —</w:t>
      </w:r>
    </w:p>
    <w:p>
      <w:pPr>
        <w:pStyle w:val="Indenta"/>
      </w:pPr>
      <w:r>
        <w:tab/>
        <w:t>(a)</w:t>
      </w:r>
      <w:r>
        <w:tab/>
        <w:t>the holder is authorised to possess the explosive under the pyrotechnics (special use) licence; and</w:t>
      </w:r>
    </w:p>
    <w:p>
      <w:pPr>
        <w:pStyle w:val="Indenta"/>
      </w:pPr>
      <w:r>
        <w:tab/>
        <w:t>(b)</w:t>
      </w:r>
      <w:r>
        <w:tab/>
        <w:t>the gross weight of explosives with a classification code of 1.1 or 1.2 at the place is not more than 2.5 kg; and</w:t>
      </w:r>
    </w:p>
    <w:p>
      <w:pPr>
        <w:pStyle w:val="Indenta"/>
      </w:pPr>
      <w:r>
        <w:tab/>
        <w:t>(c)</w:t>
      </w:r>
      <w:r>
        <w:tab/>
        <w:t>the gross weight of explosives with a classification code of 1.3 at the place is not more than 15 kg; and</w:t>
      </w:r>
    </w:p>
    <w:p>
      <w:pPr>
        <w:pStyle w:val="Indenta"/>
      </w:pPr>
      <w:r>
        <w:tab/>
        <w:t>(d)</w:t>
      </w:r>
      <w:r>
        <w:tab/>
        <w:t>the gross weight of explosives with a classification code of 1.4 at the place is not more than 30 kg.</w:t>
      </w:r>
    </w:p>
    <w:p>
      <w:pPr>
        <w:pStyle w:val="Footnotesection"/>
      </w:pPr>
      <w:r>
        <w:tab/>
        <w:t>[Regulation 78 amended: Gazette 20 Mar 2018 p.</w:t>
      </w:r>
      <w:r>
        <w:rPr>
          <w:sz w:val="19"/>
        </w:rPr>
        <w:t> </w:t>
      </w:r>
      <w:r>
        <w:t>998.]</w:t>
      </w:r>
    </w:p>
    <w:p>
      <w:pPr>
        <w:pStyle w:val="Heading5"/>
      </w:pPr>
      <w:bookmarkStart w:id="274" w:name="_Toc201747151"/>
      <w:bookmarkStart w:id="275" w:name="_Toc200095411"/>
      <w:r>
        <w:rPr>
          <w:rStyle w:val="CharSectno"/>
        </w:rPr>
        <w:t>79</w:t>
      </w:r>
      <w:r>
        <w:t>.</w:t>
      </w:r>
      <w:r>
        <w:tab/>
        <w:t>Fireworks contractor licence and fireworks operator licence authorise limited storage</w:t>
      </w:r>
      <w:bookmarkEnd w:id="274"/>
      <w:bookmarkEnd w:id="275"/>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 gross weight of explosives with a classification code of 1.1 or 1.2 at the place is not more than 2.5 kg; and</w:t>
      </w:r>
    </w:p>
    <w:p>
      <w:pPr>
        <w:pStyle w:val="Indenta"/>
      </w:pPr>
      <w:r>
        <w:tab/>
        <w:t>(c)</w:t>
      </w:r>
      <w:r>
        <w:tab/>
        <w:t>the gross weight of explosives with a classification code of 1.3 at the place is not more than 15 kg; and</w:t>
      </w:r>
    </w:p>
    <w:p>
      <w:pPr>
        <w:pStyle w:val="Indenta"/>
      </w:pPr>
      <w:r>
        <w:tab/>
        <w:t>(d)</w:t>
      </w:r>
      <w:r>
        <w:tab/>
        <w:t>the gross weight of explosives with a classification code of 1.4 at the place is not more than 30 kg.</w:t>
      </w:r>
    </w:p>
    <w:p>
      <w:pPr>
        <w:pStyle w:val="Footnotesection"/>
      </w:pPr>
      <w:r>
        <w:tab/>
        <w:t>[Regulation 79 amended: Gazette 20 Mar 2018 p.</w:t>
      </w:r>
      <w:r>
        <w:rPr>
          <w:sz w:val="19"/>
        </w:rPr>
        <w:t> </w:t>
      </w:r>
      <w:r>
        <w:t>998.]</w:t>
      </w:r>
    </w:p>
    <w:p>
      <w:pPr>
        <w:pStyle w:val="Ednotesection"/>
      </w:pPr>
      <w:r>
        <w:t>[</w:t>
      </w:r>
      <w:r>
        <w:rPr>
          <w:b/>
        </w:rPr>
        <w:t>80.</w:t>
      </w:r>
      <w:r>
        <w:tab/>
        <w:t>Deleted: Gazette 16 Mar 2012 p. 1178.]</w:t>
      </w:r>
    </w:p>
    <w:p>
      <w:pPr>
        <w:pStyle w:val="Heading3"/>
      </w:pPr>
      <w:bookmarkStart w:id="276" w:name="_Toc201670506"/>
      <w:bookmarkStart w:id="277" w:name="_Toc201671170"/>
      <w:bookmarkStart w:id="278" w:name="_Toc201747152"/>
      <w:bookmarkStart w:id="279" w:name="_Toc200031605"/>
      <w:bookmarkStart w:id="280" w:name="_Toc200036593"/>
      <w:bookmarkStart w:id="281" w:name="_Toc200095412"/>
      <w:r>
        <w:rPr>
          <w:rStyle w:val="CharDivNo"/>
        </w:rPr>
        <w:t>Division 3</w:t>
      </w:r>
      <w:r>
        <w:t> — </w:t>
      </w:r>
      <w:r>
        <w:rPr>
          <w:rStyle w:val="CharDivText"/>
        </w:rPr>
        <w:t>Storing Schedule 6 explosives</w:t>
      </w:r>
      <w:bookmarkEnd w:id="276"/>
      <w:bookmarkEnd w:id="277"/>
      <w:bookmarkEnd w:id="278"/>
      <w:bookmarkEnd w:id="279"/>
      <w:bookmarkEnd w:id="280"/>
      <w:bookmarkEnd w:id="281"/>
    </w:p>
    <w:p>
      <w:pPr>
        <w:pStyle w:val="Heading5"/>
      </w:pPr>
      <w:bookmarkStart w:id="282" w:name="_Toc201747153"/>
      <w:bookmarkStart w:id="283" w:name="_Toc200095413"/>
      <w:r>
        <w:rPr>
          <w:rStyle w:val="CharSectno"/>
        </w:rPr>
        <w:t>81</w:t>
      </w:r>
      <w:r>
        <w:t>.</w:t>
      </w:r>
      <w:r>
        <w:tab/>
        <w:t>Application of this Division</w:t>
      </w:r>
      <w:bookmarkEnd w:id="282"/>
      <w:bookmarkEnd w:id="283"/>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284" w:name="_Toc201747154"/>
      <w:bookmarkStart w:id="285" w:name="_Toc200095414"/>
      <w:r>
        <w:rPr>
          <w:rStyle w:val="CharSectno"/>
        </w:rPr>
        <w:t>82A</w:t>
      </w:r>
      <w:r>
        <w:t>.</w:t>
      </w:r>
      <w:r>
        <w:tab/>
        <w:t>Sparklers</w:t>
      </w:r>
      <w:bookmarkEnd w:id="284"/>
      <w:bookmarkEnd w:id="285"/>
    </w:p>
    <w:p>
      <w:pPr>
        <w:pStyle w:val="Subsection"/>
      </w:pPr>
      <w:r>
        <w:tab/>
        <w:t>(1)</w:t>
      </w:r>
      <w:r>
        <w:tab/>
        <w:t>A person storing sparklers with a gross weight of more than 1 000 kg must ensure the sparklers are stored properly.</w:t>
      </w:r>
    </w:p>
    <w:p>
      <w:pPr>
        <w:pStyle w:val="Penstart"/>
      </w:pPr>
      <w:r>
        <w:tab/>
        <w:t>Penalty for this subregulation: a level 2 fine.</w:t>
      </w:r>
    </w:p>
    <w:p>
      <w:pPr>
        <w:pStyle w:val="Subsection"/>
        <w:keepNext/>
      </w:pPr>
      <w:r>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except when it needs to be opened to deal with sparklers in it, the building or container is kept closed and locked so as to prevent removal of or access to the sparklers by unauthorised people.</w:t>
      </w:r>
    </w:p>
    <w:p>
      <w:pPr>
        <w:pStyle w:val="Footnotesection"/>
      </w:pPr>
      <w:r>
        <w:tab/>
        <w:t>[Regulation 82A inserted: Gazette 16 Mar 2012 p. 1178</w:t>
      </w:r>
      <w:r>
        <w:noBreakHyphen/>
        <w:t>9; amended: Gazette 19 Feb 2013 p. 985; 20 Mar 2018 p.</w:t>
      </w:r>
      <w:r>
        <w:rPr>
          <w:sz w:val="19"/>
        </w:rPr>
        <w:t> </w:t>
      </w:r>
      <w:r>
        <w:t>998</w:t>
      </w:r>
      <w:r>
        <w:noBreakHyphen/>
        <w:t>9.]</w:t>
      </w:r>
    </w:p>
    <w:p>
      <w:pPr>
        <w:pStyle w:val="Heading5"/>
      </w:pPr>
      <w:bookmarkStart w:id="286" w:name="_Toc201747155"/>
      <w:bookmarkStart w:id="287" w:name="_Toc200095415"/>
      <w:r>
        <w:rPr>
          <w:rStyle w:val="CharSectno"/>
        </w:rPr>
        <w:t>82</w:t>
      </w:r>
      <w:r>
        <w:t>.</w:t>
      </w:r>
      <w:r>
        <w:tab/>
        <w:t>Cartridges for safety devices etc.</w:t>
      </w:r>
      <w:bookmarkEnd w:id="286"/>
      <w:bookmarkEnd w:id="287"/>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288" w:name="_Toc201747156"/>
      <w:bookmarkStart w:id="289" w:name="_Toc200095416"/>
      <w:r>
        <w:rPr>
          <w:rStyle w:val="CharSectno"/>
        </w:rPr>
        <w:t>83</w:t>
      </w:r>
      <w:r>
        <w:t>.</w:t>
      </w:r>
      <w:r>
        <w:tab/>
        <w:t>Cartridges for nail guns etc.</w:t>
      </w:r>
      <w:bookmarkEnd w:id="288"/>
      <w:bookmarkEnd w:id="289"/>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290" w:name="_Toc201747157"/>
      <w:bookmarkStart w:id="291" w:name="_Toc200095417"/>
      <w:r>
        <w:rPr>
          <w:rStyle w:val="CharSectno"/>
        </w:rPr>
        <w:t>84</w:t>
      </w:r>
      <w:r>
        <w:t>.</w:t>
      </w:r>
      <w:r>
        <w:tab/>
        <w:t>Emergency devices</w:t>
      </w:r>
      <w:bookmarkEnd w:id="290"/>
      <w:bookmarkEnd w:id="291"/>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292" w:name="_Toc201747158"/>
      <w:bookmarkStart w:id="293" w:name="_Toc200095418"/>
      <w:r>
        <w:rPr>
          <w:rStyle w:val="CharSectno"/>
        </w:rPr>
        <w:t>85</w:t>
      </w:r>
      <w:r>
        <w:t>.</w:t>
      </w:r>
      <w:r>
        <w:tab/>
        <w:t>Ammunition propellant and black powder</w:t>
      </w:r>
      <w:bookmarkEnd w:id="292"/>
      <w:bookmarkEnd w:id="293"/>
    </w:p>
    <w:p>
      <w:pPr>
        <w:pStyle w:val="Subsection"/>
        <w:keepNext/>
      </w:pPr>
      <w:r>
        <w:tab/>
        <w:t>(1)</w:t>
      </w:r>
      <w:r>
        <w:tab/>
        <w:t>A person storing ammunition propellant or black powder must store it safely.</w:t>
      </w:r>
    </w:p>
    <w:p>
      <w:pPr>
        <w:pStyle w:val="Penstart"/>
      </w:pPr>
      <w:r>
        <w:tab/>
        <w:t>Penalty for this subregulation: a level 3 fine.</w:t>
      </w:r>
    </w:p>
    <w:p>
      <w:pPr>
        <w:pStyle w:val="Subsection"/>
      </w:pPr>
      <w:r>
        <w:tab/>
        <w:t>(2)</w:t>
      </w:r>
      <w:r>
        <w:tab/>
        <w:t>A person must not store black powder the NEQ of which is more than 2 kg in any one container.</w:t>
      </w:r>
    </w:p>
    <w:p>
      <w:pPr>
        <w:pStyle w:val="Penstart"/>
      </w:pPr>
      <w:r>
        <w:tab/>
        <w:t>Penalty for this subregulation: a level 3 fine.</w:t>
      </w:r>
    </w:p>
    <w:p>
      <w:pPr>
        <w:pStyle w:val="Footnotesection"/>
      </w:pPr>
      <w:r>
        <w:tab/>
        <w:t>[Regulation 85 amended: Gazette 20 Mar 2018 p.</w:t>
      </w:r>
      <w:r>
        <w:rPr>
          <w:sz w:val="19"/>
        </w:rPr>
        <w:t> </w:t>
      </w:r>
      <w:r>
        <w:t>999.]</w:t>
      </w:r>
    </w:p>
    <w:p>
      <w:pPr>
        <w:pStyle w:val="Heading3"/>
      </w:pPr>
      <w:bookmarkStart w:id="294" w:name="_Toc201670513"/>
      <w:bookmarkStart w:id="295" w:name="_Toc201671177"/>
      <w:bookmarkStart w:id="296" w:name="_Toc201747159"/>
      <w:bookmarkStart w:id="297" w:name="_Toc200031612"/>
      <w:bookmarkStart w:id="298" w:name="_Toc200036600"/>
      <w:bookmarkStart w:id="299" w:name="_Toc200095419"/>
      <w:r>
        <w:rPr>
          <w:rStyle w:val="CharDivNo"/>
        </w:rPr>
        <w:t>Division 4</w:t>
      </w:r>
      <w:r>
        <w:t> — </w:t>
      </w:r>
      <w:r>
        <w:rPr>
          <w:rStyle w:val="CharDivText"/>
        </w:rPr>
        <w:t>Storage under licences and permits other than explosives storage licences</w:t>
      </w:r>
      <w:bookmarkEnd w:id="294"/>
      <w:bookmarkEnd w:id="295"/>
      <w:bookmarkEnd w:id="296"/>
      <w:bookmarkEnd w:id="297"/>
      <w:bookmarkEnd w:id="298"/>
      <w:bookmarkEnd w:id="299"/>
    </w:p>
    <w:p>
      <w:pPr>
        <w:pStyle w:val="Footnoteheading"/>
      </w:pPr>
      <w:r>
        <w:tab/>
        <w:t>[Heading inserted: Gazette 16 Mar 2012 p. 1179.]</w:t>
      </w:r>
    </w:p>
    <w:p>
      <w:pPr>
        <w:pStyle w:val="Heading5"/>
      </w:pPr>
      <w:bookmarkStart w:id="300" w:name="_Toc201747160"/>
      <w:bookmarkStart w:id="301" w:name="_Toc200095420"/>
      <w:r>
        <w:rPr>
          <w:rStyle w:val="CharSectno"/>
        </w:rPr>
        <w:t>86A</w:t>
      </w:r>
      <w:r>
        <w:t>.</w:t>
      </w:r>
      <w:r>
        <w:tab/>
        <w:t>Storage by explosives transport licence holder</w:t>
      </w:r>
      <w:bookmarkEnd w:id="300"/>
      <w:bookmarkEnd w:id="301"/>
    </w:p>
    <w:p>
      <w:pPr>
        <w:pStyle w:val="Subsection"/>
      </w:pPr>
      <w:r>
        <w:tab/>
        <w:t>(1)</w:t>
      </w:r>
      <w:r>
        <w:tab/>
        <w:t>This regulation applies to a person who holds an explosives transport licence and who, under regulation 77A, stores an explosive at a place for which there is not an explosives storage licence held by the person.</w:t>
      </w:r>
    </w:p>
    <w:p>
      <w:pPr>
        <w:pStyle w:val="Subsection"/>
      </w:pPr>
      <w:r>
        <w:tab/>
        <w:t>(2)</w:t>
      </w:r>
      <w:r>
        <w:tab/>
        <w:t>The person must ensure the explosive is stored properly.</w:t>
      </w:r>
    </w:p>
    <w:p>
      <w:pPr>
        <w:pStyle w:val="Subsection"/>
      </w:pPr>
      <w:r>
        <w:tab/>
        <w:t>(3)</w:t>
      </w:r>
      <w:r>
        <w:tab/>
        <w:t>For the purposes of subregulation (2), an explosive is not stored properly unless —</w:t>
      </w:r>
    </w:p>
    <w:p>
      <w:pPr>
        <w:pStyle w:val="Indenta"/>
      </w:pPr>
      <w:r>
        <w:tab/>
        <w:t>(a)</w:t>
      </w:r>
      <w:r>
        <w:tab/>
        <w:t>it is in a building or container that is separate from and at least 5 m from other buildings and containers; and</w:t>
      </w:r>
    </w:p>
    <w:p>
      <w:pPr>
        <w:pStyle w:val="Indenta"/>
      </w:pPr>
      <w:r>
        <w:tab/>
        <w:t>(b)</w:t>
      </w:r>
      <w:r>
        <w:tab/>
        <w:t>the building or container does not contain anything other than explosives with a classification code of 1.4; and</w:t>
      </w:r>
    </w:p>
    <w:p>
      <w:pPr>
        <w:pStyle w:val="Indenta"/>
      </w:pPr>
      <w:r>
        <w:tab/>
        <w:t>(c)</w:t>
      </w:r>
      <w:r>
        <w:tab/>
        <w:t>on the outside of the entrance to the building or container are the following —</w:t>
      </w:r>
    </w:p>
    <w:p>
      <w:pPr>
        <w:pStyle w:val="Indenti"/>
      </w:pPr>
      <w:r>
        <w:tab/>
        <w:t>(i)</w:t>
      </w:r>
      <w:r>
        <w:tab/>
        <w:t>a Class 1 Label, Model No. 1.4, that complies with the AE Code Figure 3.1 and that is at least 250 mm square;</w:t>
      </w:r>
    </w:p>
    <w:p>
      <w:pPr>
        <w:pStyle w:val="Indenti"/>
      </w:pPr>
      <w:r>
        <w:tab/>
        <w:t>(ii)</w:t>
      </w:r>
      <w:r>
        <w:tab/>
        <w:t>a sign that says “EXPLOSIVES”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rPr>
        <w:t>Dangerous Goods Safety (Storage and Handling of Non-explosives) Regulations 2007</w:t>
      </w:r>
      <w:r>
        <w:t xml:space="preserve"> 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except when it needs to be opened to deal with the explosives in it, the building or container is kept closed and locked so as to prevent removal of or access to the explosives by unauthorised people.</w:t>
      </w:r>
    </w:p>
    <w:p>
      <w:pPr>
        <w:pStyle w:val="Subsection"/>
      </w:pPr>
      <w:r>
        <w:tab/>
        <w:t>(4)</w:t>
      </w:r>
      <w:r>
        <w:tab/>
        <w:t>If any of the packaging of the explosive is removed while the explosive is being stored, the person commits an offence.</w:t>
      </w:r>
    </w:p>
    <w:p>
      <w:pPr>
        <w:pStyle w:val="Penstart"/>
      </w:pPr>
      <w:r>
        <w:tab/>
        <w:t>Penalty for an offence against subregulation (2) or (4): a level 2 fine.</w:t>
      </w:r>
    </w:p>
    <w:p>
      <w:pPr>
        <w:pStyle w:val="Footnotesection"/>
      </w:pPr>
      <w:r>
        <w:tab/>
        <w:t>[Regulation 86A inserted: Gazette 2 Dec 2013 p.</w:t>
      </w:r>
      <w:r>
        <w:rPr>
          <w:sz w:val="19"/>
        </w:rPr>
        <w:t> </w:t>
      </w:r>
      <w:r>
        <w:t>5583</w:t>
      </w:r>
      <w:r>
        <w:noBreakHyphen/>
        <w:t>4.]</w:t>
      </w:r>
    </w:p>
    <w:p>
      <w:pPr>
        <w:pStyle w:val="Heading5"/>
      </w:pPr>
      <w:bookmarkStart w:id="302" w:name="_Toc201747161"/>
      <w:bookmarkStart w:id="303" w:name="_Toc200095421"/>
      <w:r>
        <w:rPr>
          <w:rStyle w:val="CharSectno"/>
        </w:rPr>
        <w:t>86</w:t>
      </w:r>
      <w:r>
        <w:t>.</w:t>
      </w:r>
      <w:r>
        <w:tab/>
        <w:t>Shotfiring licence holders, storage by</w:t>
      </w:r>
      <w:bookmarkEnd w:id="302"/>
      <w:bookmarkEnd w:id="303"/>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keepNext/>
      </w:pPr>
      <w:r>
        <w:tab/>
        <w:t>(3)</w:t>
      </w:r>
      <w:r>
        <w:tab/>
        <w:t>The person must store the explosive safely.</w:t>
      </w:r>
    </w:p>
    <w:p>
      <w:pPr>
        <w:pStyle w:val="Penstart"/>
      </w:pPr>
      <w:r>
        <w:tab/>
        <w:t>Penalty: a level 2 fine.</w:t>
      </w:r>
    </w:p>
    <w:p>
      <w:pPr>
        <w:pStyle w:val="Heading5"/>
      </w:pPr>
      <w:bookmarkStart w:id="304" w:name="_Toc201747162"/>
      <w:bookmarkStart w:id="305" w:name="_Toc200095422"/>
      <w:r>
        <w:rPr>
          <w:rStyle w:val="CharSectno"/>
        </w:rPr>
        <w:t>87</w:t>
      </w:r>
      <w:r>
        <w:t>.</w:t>
      </w:r>
      <w:r>
        <w:tab/>
        <w:t>Pyrotechnics (special use) licence holders, storage by</w:t>
      </w:r>
      <w:bookmarkEnd w:id="304"/>
      <w:bookmarkEnd w:id="305"/>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306" w:name="_Toc201747163"/>
      <w:bookmarkStart w:id="307" w:name="_Toc200095423"/>
      <w:r>
        <w:rPr>
          <w:rStyle w:val="CharSectno"/>
        </w:rPr>
        <w:t>88</w:t>
      </w:r>
      <w:r>
        <w:t>.</w:t>
      </w:r>
      <w:r>
        <w:tab/>
        <w:t>Fireworks contractor licence holders, storage by</w:t>
      </w:r>
      <w:bookmarkEnd w:id="306"/>
      <w:bookmarkEnd w:id="307"/>
    </w:p>
    <w:p>
      <w:pPr>
        <w:pStyle w:val="Subsection"/>
        <w:spacing w:before="180"/>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spacing w:before="180"/>
      </w:pPr>
      <w:r>
        <w:tab/>
        <w:t>(2)</w:t>
      </w:r>
      <w:r>
        <w:tab/>
        <w:t>The person must not store the firework in, or in any part of, a building used wholly or partly as a dwelling or a shop.</w:t>
      </w:r>
    </w:p>
    <w:p>
      <w:pPr>
        <w:pStyle w:val="Subsection"/>
        <w:keepNext/>
        <w:spacing w:before="180"/>
      </w:pPr>
      <w:r>
        <w:tab/>
        <w:t>(3)</w:t>
      </w:r>
      <w:r>
        <w:tab/>
        <w:t>The person must store the firework safely.</w:t>
      </w:r>
    </w:p>
    <w:p>
      <w:pPr>
        <w:pStyle w:val="Penstart"/>
      </w:pPr>
      <w:r>
        <w:tab/>
        <w:t>Penalty: a level 2 fine.</w:t>
      </w:r>
    </w:p>
    <w:p>
      <w:pPr>
        <w:pStyle w:val="Heading5"/>
        <w:spacing w:before="240"/>
      </w:pPr>
      <w:bookmarkStart w:id="308" w:name="_Toc201747164"/>
      <w:bookmarkStart w:id="309" w:name="_Toc200095424"/>
      <w:r>
        <w:rPr>
          <w:rStyle w:val="CharSectno"/>
        </w:rPr>
        <w:t>89</w:t>
      </w:r>
      <w:r>
        <w:t>.</w:t>
      </w:r>
      <w:r>
        <w:tab/>
        <w:t>Fireworks event permit holders, storage by</w:t>
      </w:r>
      <w:bookmarkEnd w:id="308"/>
      <w:bookmarkEnd w:id="309"/>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tab/>
        <w:t>(c)</w:t>
      </w:r>
      <w:r>
        <w:tab/>
        <w:t>the person stores at that place a firework that will be used at the event.</w:t>
      </w:r>
    </w:p>
    <w:p>
      <w:pPr>
        <w:pStyle w:val="Subsection"/>
      </w:pPr>
      <w:r>
        <w:tab/>
        <w:t>(2)</w:t>
      </w:r>
      <w:r>
        <w:tab/>
        <w:t>The requirements of this regulation are in addition to any condition included in the fireworks event permit that relates to the storage of any firework.</w:t>
      </w:r>
    </w:p>
    <w:p>
      <w:pPr>
        <w:pStyle w:val="Subsection"/>
      </w:pPr>
      <w:r>
        <w:tab/>
        <w:t>(3)</w:t>
      </w:r>
      <w:r>
        <w:tab/>
        <w:t xml:space="preserve">The person must ensure that the firework is stored at the place where the event will be conducted for not more than 48 hours or a longer period approved by the Chief Officer. </w:t>
      </w:r>
    </w:p>
    <w:p>
      <w:pPr>
        <w:pStyle w:val="Penstart"/>
      </w:pPr>
      <w:r>
        <w:tab/>
        <w:t>Penalty for this subregulation: a level 2 fine.</w:t>
      </w:r>
    </w:p>
    <w:p>
      <w:pPr>
        <w:pStyle w:val="Ednotesubsection"/>
      </w:pPr>
      <w:r>
        <w:tab/>
        <w:t>[(4)</w:t>
      </w:r>
      <w:r>
        <w:tab/>
        <w:t>deleted]</w:t>
      </w:r>
    </w:p>
    <w:p>
      <w:pPr>
        <w:pStyle w:val="Subsection"/>
      </w:pPr>
      <w:r>
        <w:tab/>
        <w:t>(5)</w:t>
      </w:r>
      <w:r>
        <w:tab/>
        <w:t>The person must ensure that the place where the firework is stored is at least 30 m from the place where any other firework is made ready for use or is ready for use or is used.</w:t>
      </w:r>
    </w:p>
    <w:p>
      <w:pPr>
        <w:pStyle w:val="Penstart"/>
      </w:pPr>
      <w:r>
        <w:tab/>
        <w:t>Penalty for this subregulation: a level 2 fine.</w:t>
      </w:r>
    </w:p>
    <w:p>
      <w:pPr>
        <w:pStyle w:val="Subsection"/>
      </w:pPr>
      <w:r>
        <w:tab/>
        <w:t>(6)</w:t>
      </w:r>
      <w:r>
        <w:tab/>
        <w:t>The person must store the firework safely.</w:t>
      </w:r>
    </w:p>
    <w:p>
      <w:pPr>
        <w:pStyle w:val="Penstart"/>
      </w:pPr>
      <w:r>
        <w:tab/>
        <w:t>Penalty for this subregulation: a level 2 fine.</w:t>
      </w:r>
    </w:p>
    <w:p>
      <w:pPr>
        <w:pStyle w:val="Footnotesection"/>
      </w:pPr>
      <w:r>
        <w:tab/>
        <w:t>[Regulation 89 inserted: Gazette 16 Mar 2012 p. 1180</w:t>
      </w:r>
      <w:r>
        <w:noBreakHyphen/>
        <w:t>1; amended: Gazette 5 Feb 2016 p. 348.]</w:t>
      </w:r>
    </w:p>
    <w:p>
      <w:pPr>
        <w:pStyle w:val="Heading3"/>
      </w:pPr>
      <w:bookmarkStart w:id="310" w:name="_Toc201670519"/>
      <w:bookmarkStart w:id="311" w:name="_Toc201671183"/>
      <w:bookmarkStart w:id="312" w:name="_Toc201747165"/>
      <w:bookmarkStart w:id="313" w:name="_Toc200031618"/>
      <w:bookmarkStart w:id="314" w:name="_Toc200036606"/>
      <w:bookmarkStart w:id="315" w:name="_Toc200095425"/>
      <w:r>
        <w:rPr>
          <w:rStyle w:val="CharDivNo"/>
        </w:rPr>
        <w:t>Division 5</w:t>
      </w:r>
      <w:r>
        <w:t> — </w:t>
      </w:r>
      <w:r>
        <w:rPr>
          <w:rStyle w:val="CharDivText"/>
        </w:rPr>
        <w:t>Storage under an explosives storage licence</w:t>
      </w:r>
      <w:bookmarkEnd w:id="310"/>
      <w:bookmarkEnd w:id="311"/>
      <w:bookmarkEnd w:id="312"/>
      <w:bookmarkEnd w:id="313"/>
      <w:bookmarkEnd w:id="314"/>
      <w:bookmarkEnd w:id="315"/>
    </w:p>
    <w:p>
      <w:pPr>
        <w:pStyle w:val="Heading5"/>
      </w:pPr>
      <w:bookmarkStart w:id="316" w:name="_Toc201747166"/>
      <w:bookmarkStart w:id="317" w:name="_Toc200095426"/>
      <w:r>
        <w:rPr>
          <w:rStyle w:val="CharSectno"/>
        </w:rPr>
        <w:t>90</w:t>
      </w:r>
      <w:r>
        <w:t>.</w:t>
      </w:r>
      <w:r>
        <w:tab/>
        <w:t>General requirements</w:t>
      </w:r>
      <w:bookmarkEnd w:id="316"/>
      <w:bookmarkEnd w:id="317"/>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spacing w:before="180"/>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spacing w:before="180"/>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Gazette 16 Mar 2012 p. 1181.]</w:t>
      </w:r>
    </w:p>
    <w:p>
      <w:pPr>
        <w:pStyle w:val="Heading5"/>
        <w:spacing w:before="240"/>
      </w:pPr>
      <w:bookmarkStart w:id="318" w:name="_Toc201747167"/>
      <w:bookmarkStart w:id="319" w:name="_Toc200095427"/>
      <w:r>
        <w:rPr>
          <w:rStyle w:val="CharSectno"/>
        </w:rPr>
        <w:t>91</w:t>
      </w:r>
      <w:r>
        <w:t>.</w:t>
      </w:r>
      <w:r>
        <w:tab/>
        <w:t>Underground storage, magazine requirements</w:t>
      </w:r>
      <w:bookmarkEnd w:id="318"/>
      <w:bookmarkEnd w:id="319"/>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spacing w:before="180"/>
      </w:pPr>
      <w:r>
        <w:tab/>
        <w:t>(2)</w:t>
      </w:r>
      <w:r>
        <w:tab/>
        <w:t>The holder of an explosives storage licence who stores underground any explosive to which the licence relates, must store the explosive in a complying magazine.</w:t>
      </w:r>
    </w:p>
    <w:p>
      <w:pPr>
        <w:pStyle w:val="Penstart"/>
      </w:pPr>
      <w:r>
        <w:tab/>
        <w:t>Penalty for this subregulation: a level 2 fine.</w:t>
      </w:r>
    </w:p>
    <w:p>
      <w:pPr>
        <w:pStyle w:val="Ednotesubsection"/>
      </w:pPr>
      <w:r>
        <w:tab/>
        <w:t>[(3)</w:t>
      </w:r>
      <w:r>
        <w:tab/>
        <w:t>deleted]</w:t>
      </w:r>
    </w:p>
    <w:p>
      <w:pPr>
        <w:pStyle w:val="Subsection"/>
        <w:spacing w:before="180"/>
      </w:pPr>
      <w:r>
        <w:tab/>
        <w:t>(4)</w:t>
      </w:r>
      <w:r>
        <w:tab/>
        <w:t>The holder of an explosives storage licence must not store explosive the NEQ of which is more than 250 kg or 500 detonators in a complying magazine that is underground and that complies with the requirements of AS 2187.1 clause 2.2.3.1, or alternative safety measures, for the construction of external portable magazines.</w:t>
      </w:r>
    </w:p>
    <w:p>
      <w:pPr>
        <w:pStyle w:val="Penstart"/>
      </w:pPr>
      <w:r>
        <w:tab/>
        <w:t>Penalty for this subregulation: a level 2 fine.</w:t>
      </w:r>
    </w:p>
    <w:p>
      <w:pPr>
        <w:pStyle w:val="Footnotesection"/>
      </w:pPr>
      <w:r>
        <w:tab/>
        <w:t>[Regulation 91 amended: Gazette 16 Mar 2012 p. 1181; 20 Mar 2018 p. 999.]</w:t>
      </w:r>
    </w:p>
    <w:p>
      <w:pPr>
        <w:pStyle w:val="Heading5"/>
        <w:spacing w:before="240"/>
      </w:pPr>
      <w:bookmarkStart w:id="320" w:name="_Toc201747168"/>
      <w:bookmarkStart w:id="321" w:name="_Toc200095428"/>
      <w:r>
        <w:rPr>
          <w:rStyle w:val="CharSectno"/>
        </w:rPr>
        <w:t>92</w:t>
      </w:r>
      <w:r>
        <w:t>.</w:t>
      </w:r>
      <w:r>
        <w:tab/>
        <w:t>Explosives storage licence holders to keep inventories etc.</w:t>
      </w:r>
      <w:bookmarkEnd w:id="320"/>
      <w:bookmarkEnd w:id="321"/>
    </w:p>
    <w:p>
      <w:pPr>
        <w:pStyle w:val="Subsection"/>
        <w:spacing w:before="180"/>
      </w:pPr>
      <w:r>
        <w:tab/>
        <w:t>(1)</w:t>
      </w:r>
      <w:r>
        <w:tab/>
        <w:t>The holder of an explosives storage licence must keep a proper inventory for any place to which the licence relates.</w:t>
      </w:r>
    </w:p>
    <w:p>
      <w:pPr>
        <w:pStyle w:val="Penstart"/>
      </w:pPr>
      <w:r>
        <w:tab/>
        <w:t>Penalty: a level 2 fine.</w:t>
      </w:r>
    </w:p>
    <w:p>
      <w:pPr>
        <w:pStyle w:val="Subsection"/>
        <w:spacing w:before="180"/>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keepNext/>
      </w:pPr>
      <w:r>
        <w:tab/>
        <w:t>(d)</w:t>
      </w:r>
      <w:r>
        <w:tab/>
        <w:t>the quantity of explosive stored at the place after each such receipt or dispatch,</w:t>
      </w:r>
    </w:p>
    <w:p>
      <w:pPr>
        <w:pStyle w:val="Subsection"/>
        <w:spacing w:before="180"/>
      </w:pPr>
      <w:r>
        <w:tab/>
      </w:r>
      <w:r>
        <w:tab/>
        <w:t>and is kept for 2 years after the date of each such receipt or dispatch.</w:t>
      </w:r>
    </w:p>
    <w:p>
      <w:pPr>
        <w:pStyle w:val="Subsection"/>
        <w:spacing w:before="180"/>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keepNext/>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loss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keepNext/>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Footnotesection"/>
      </w:pPr>
      <w:r>
        <w:tab/>
        <w:t>[Regulation 92 amended: Gazette 2 Dec 2013 p.</w:t>
      </w:r>
      <w:r>
        <w:rPr>
          <w:sz w:val="19"/>
        </w:rPr>
        <w:t> </w:t>
      </w:r>
      <w:r>
        <w:t>5584.]</w:t>
      </w:r>
    </w:p>
    <w:p>
      <w:pPr>
        <w:pStyle w:val="Heading5"/>
      </w:pPr>
      <w:bookmarkStart w:id="322" w:name="_Toc201747169"/>
      <w:bookmarkStart w:id="323" w:name="_Toc200095429"/>
      <w:r>
        <w:rPr>
          <w:rStyle w:val="CharSectno"/>
        </w:rPr>
        <w:t>93</w:t>
      </w:r>
      <w:r>
        <w:t>.</w:t>
      </w:r>
      <w:r>
        <w:tab/>
        <w:t>Documents to be kept at storage places</w:t>
      </w:r>
      <w:bookmarkEnd w:id="322"/>
      <w:bookmarkEnd w:id="323"/>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Footnotesection"/>
      </w:pPr>
      <w:r>
        <w:tab/>
        <w:t>[Regulation 93 amended: Gazette 3 Mar 2017 p. 1475.]</w:t>
      </w:r>
    </w:p>
    <w:p>
      <w:pPr>
        <w:pStyle w:val="Heading5"/>
      </w:pPr>
      <w:bookmarkStart w:id="324" w:name="_Toc201747170"/>
      <w:bookmarkStart w:id="325" w:name="_Toc200095430"/>
      <w:r>
        <w:rPr>
          <w:rStyle w:val="CharSectno"/>
        </w:rPr>
        <w:t>94</w:t>
      </w:r>
      <w:r>
        <w:t>.</w:t>
      </w:r>
      <w:r>
        <w:tab/>
        <w:t>Magazines to be kept secure</w:t>
      </w:r>
      <w:bookmarkEnd w:id="324"/>
      <w:bookmarkEnd w:id="325"/>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keepNext/>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nominee of the licence holder acting in accordance with an unsupervised access authorisation given by the holder to the nominee; and</w:t>
      </w:r>
    </w:p>
    <w:p>
      <w:pPr>
        <w:pStyle w:val="Indenta"/>
      </w:pPr>
      <w:r>
        <w:tab/>
        <w:t>(b)</w:t>
      </w:r>
      <w:r>
        <w:tab/>
        <w:t>the licence holder keeps the means of unlocking it secure from any person other than a secure nominee of the licence holder.</w:t>
      </w:r>
    </w:p>
    <w:p>
      <w:pPr>
        <w:pStyle w:val="Footnotesection"/>
      </w:pPr>
      <w:r>
        <w:tab/>
        <w:t>[Regulation 94 amended: Gazette 2 Dec 2013 p.</w:t>
      </w:r>
      <w:r>
        <w:rPr>
          <w:sz w:val="19"/>
        </w:rPr>
        <w:t> </w:t>
      </w:r>
      <w:r>
        <w:t>5585.]</w:t>
      </w:r>
    </w:p>
    <w:p>
      <w:pPr>
        <w:pStyle w:val="Heading2"/>
      </w:pPr>
      <w:bookmarkStart w:id="326" w:name="_Toc201670525"/>
      <w:bookmarkStart w:id="327" w:name="_Toc201671189"/>
      <w:bookmarkStart w:id="328" w:name="_Toc201747171"/>
      <w:bookmarkStart w:id="329" w:name="_Toc200031624"/>
      <w:bookmarkStart w:id="330" w:name="_Toc200036612"/>
      <w:bookmarkStart w:id="331" w:name="_Toc200095431"/>
      <w:r>
        <w:rPr>
          <w:rStyle w:val="CharPartNo"/>
        </w:rPr>
        <w:t>Part 10</w:t>
      </w:r>
      <w:r>
        <w:t> — </w:t>
      </w:r>
      <w:r>
        <w:rPr>
          <w:rStyle w:val="CharPartText"/>
        </w:rPr>
        <w:t>Transport of explosives</w:t>
      </w:r>
      <w:bookmarkEnd w:id="326"/>
      <w:bookmarkEnd w:id="327"/>
      <w:bookmarkEnd w:id="328"/>
      <w:bookmarkEnd w:id="329"/>
      <w:bookmarkEnd w:id="330"/>
      <w:bookmarkEnd w:id="331"/>
    </w:p>
    <w:p>
      <w:pPr>
        <w:pStyle w:val="Heading3"/>
      </w:pPr>
      <w:bookmarkStart w:id="332" w:name="_Toc201670526"/>
      <w:bookmarkStart w:id="333" w:name="_Toc201671190"/>
      <w:bookmarkStart w:id="334" w:name="_Toc201747172"/>
      <w:bookmarkStart w:id="335" w:name="_Toc200031625"/>
      <w:bookmarkStart w:id="336" w:name="_Toc200036613"/>
      <w:bookmarkStart w:id="337" w:name="_Toc200095432"/>
      <w:r>
        <w:rPr>
          <w:rStyle w:val="CharDivNo"/>
        </w:rPr>
        <w:t>Division 1</w:t>
      </w:r>
      <w:r>
        <w:t> — </w:t>
      </w:r>
      <w:r>
        <w:rPr>
          <w:rStyle w:val="CharDivText"/>
        </w:rPr>
        <w:t>Preliminary matters</w:t>
      </w:r>
      <w:bookmarkEnd w:id="332"/>
      <w:bookmarkEnd w:id="333"/>
      <w:bookmarkEnd w:id="334"/>
      <w:bookmarkEnd w:id="335"/>
      <w:bookmarkEnd w:id="336"/>
      <w:bookmarkEnd w:id="337"/>
    </w:p>
    <w:p>
      <w:pPr>
        <w:pStyle w:val="Heading5"/>
      </w:pPr>
      <w:bookmarkStart w:id="338" w:name="_Toc201747173"/>
      <w:bookmarkStart w:id="339" w:name="_Toc200095433"/>
      <w:r>
        <w:rPr>
          <w:rStyle w:val="CharSectno"/>
        </w:rPr>
        <w:t>95</w:t>
      </w:r>
      <w:r>
        <w:t>.</w:t>
      </w:r>
      <w:r>
        <w:tab/>
        <w:t>Terms used</w:t>
      </w:r>
      <w:bookmarkEnd w:id="338"/>
      <w:bookmarkEnd w:id="339"/>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340" w:name="_Toc201670528"/>
      <w:bookmarkStart w:id="341" w:name="_Toc201671192"/>
      <w:bookmarkStart w:id="342" w:name="_Toc201747174"/>
      <w:bookmarkStart w:id="343" w:name="_Toc200031627"/>
      <w:bookmarkStart w:id="344" w:name="_Toc200036615"/>
      <w:bookmarkStart w:id="345" w:name="_Toc200095434"/>
      <w:r>
        <w:rPr>
          <w:rStyle w:val="CharDivNo"/>
        </w:rPr>
        <w:t>Division 2</w:t>
      </w:r>
      <w:r>
        <w:t> — </w:t>
      </w:r>
      <w:r>
        <w:rPr>
          <w:rStyle w:val="CharDivText"/>
        </w:rPr>
        <w:t>Licensing requirements</w:t>
      </w:r>
      <w:bookmarkEnd w:id="340"/>
      <w:bookmarkEnd w:id="341"/>
      <w:bookmarkEnd w:id="342"/>
      <w:bookmarkEnd w:id="343"/>
      <w:bookmarkEnd w:id="344"/>
      <w:bookmarkEnd w:id="345"/>
    </w:p>
    <w:p>
      <w:pPr>
        <w:pStyle w:val="Heading5"/>
        <w:spacing w:before="180"/>
      </w:pPr>
      <w:bookmarkStart w:id="346" w:name="_Toc201747175"/>
      <w:bookmarkStart w:id="347" w:name="_Toc200095435"/>
      <w:r>
        <w:rPr>
          <w:rStyle w:val="CharSectno"/>
        </w:rPr>
        <w:t>96</w:t>
      </w:r>
      <w:r>
        <w:t>.</w:t>
      </w:r>
      <w:r>
        <w:tab/>
        <w:t>Unauthorised explosives</w:t>
      </w:r>
      <w:bookmarkEnd w:id="346"/>
      <w:bookmarkEnd w:id="347"/>
    </w:p>
    <w:p>
      <w:pPr>
        <w:pStyle w:val="Subsection"/>
      </w:pPr>
      <w:r>
        <w:tab/>
      </w:r>
      <w:r>
        <w:tab/>
        <w:t>A person who transports an explosive that is not an authorised explosive must hold a test permit that authorises the person to transport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348" w:name="_Toc201747176"/>
      <w:bookmarkStart w:id="349" w:name="_Toc200095436"/>
      <w:r>
        <w:rPr>
          <w:rStyle w:val="CharSectno"/>
        </w:rPr>
        <w:t>97</w:t>
      </w:r>
      <w:r>
        <w:t>.</w:t>
      </w:r>
      <w:r>
        <w:tab/>
        <w:t>Authorised explosives, licences entitling transport</w:t>
      </w:r>
      <w:bookmarkEnd w:id="348"/>
      <w:bookmarkEnd w:id="349"/>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keepNext/>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spacing w:before="120"/>
      </w:pPr>
      <w:r>
        <w:tab/>
        <w:t>(3A)</w:t>
      </w:r>
      <w:r>
        <w:tab/>
        <w:t xml:space="preserve">Despite subregulation (2), a prime contractor who transports an authorised explosive by road in a vehicle that is licensed under the </w:t>
      </w:r>
      <w:r>
        <w:rPr>
          <w:i/>
        </w:rPr>
        <w:t>Road Traffic (Vehicles) Act 2012</w:t>
      </w:r>
      <w:r>
        <w:t xml:space="preserve"> Part 2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spacing w:before="120"/>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keepLines/>
      </w:pPr>
      <w:r>
        <w:tab/>
        <w:t>(ii)</w:t>
      </w:r>
      <w:r>
        <w:tab/>
        <w:t>is a secure nominee of the holder of such a licence and transports the load in accordance with an unsupervised access authorisation given by the holder to the nominee;</w:t>
      </w:r>
    </w:p>
    <w:p>
      <w:pPr>
        <w:pStyle w:val="Indenta"/>
      </w:pPr>
      <w:r>
        <w:tab/>
      </w:r>
      <w:r>
        <w:tab/>
        <w:t>or</w:t>
      </w:r>
    </w:p>
    <w:p>
      <w:pPr>
        <w:pStyle w:val="Indenta"/>
        <w:keepNext/>
      </w:pPr>
      <w:r>
        <w:tab/>
        <w:t>(c)</w:t>
      </w:r>
      <w:r>
        <w:tab/>
        <w:t>the person holds a licence referred to in regulation 98, 99, 100 or 101 and transports the explosive under that regulation; or</w:t>
      </w:r>
    </w:p>
    <w:p>
      <w:pPr>
        <w:pStyle w:val="Ednotepara"/>
      </w:pPr>
      <w:r>
        <w:tab/>
        <w:t>[(d)</w:t>
      </w:r>
      <w:r>
        <w:tab/>
        <w:t>deleted]</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97 amended: Gazette 16 Mar 2012 p. 1181; 2 Dec 2013 p. 5585; 8 Jan 2015 p. 129; 5 Feb 2016 p. 348.]</w:t>
      </w:r>
    </w:p>
    <w:p>
      <w:pPr>
        <w:pStyle w:val="Heading5"/>
      </w:pPr>
      <w:bookmarkStart w:id="350" w:name="_Toc201747177"/>
      <w:bookmarkStart w:id="351" w:name="_Toc200095437"/>
      <w:r>
        <w:rPr>
          <w:rStyle w:val="CharSectno"/>
        </w:rPr>
        <w:t>98</w:t>
      </w:r>
      <w:r>
        <w:t>.</w:t>
      </w:r>
      <w:r>
        <w:tab/>
        <w:t>Shotfiring licence authorises limited transport</w:t>
      </w:r>
      <w:bookmarkEnd w:id="350"/>
      <w:bookmarkEnd w:id="351"/>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Ednotepara"/>
      </w:pPr>
      <w:r>
        <w:tab/>
        <w:t>[(b)</w:t>
      </w:r>
      <w:r>
        <w:tab/>
        <w:t>deleted]</w:t>
      </w:r>
    </w:p>
    <w:p>
      <w:pPr>
        <w:pStyle w:val="Indenta"/>
      </w:pPr>
      <w:r>
        <w:tab/>
        <w:t>(c)</w:t>
      </w:r>
      <w:r>
        <w:tab/>
        <w:t>not more than a Category 2 load is transported.</w:t>
      </w:r>
    </w:p>
    <w:p>
      <w:pPr>
        <w:pStyle w:val="Footnotesection"/>
      </w:pPr>
      <w:r>
        <w:tab/>
        <w:t>[Regulation 98 amended: Gazette 20 Mar 2018 p. 999.]</w:t>
      </w:r>
    </w:p>
    <w:p>
      <w:pPr>
        <w:pStyle w:val="Heading5"/>
      </w:pPr>
      <w:bookmarkStart w:id="352" w:name="_Toc201747178"/>
      <w:bookmarkStart w:id="353" w:name="_Toc200095438"/>
      <w:r>
        <w:rPr>
          <w:rStyle w:val="CharSectno"/>
        </w:rPr>
        <w:t>99</w:t>
      </w:r>
      <w:r>
        <w:t>.</w:t>
      </w:r>
      <w:r>
        <w:tab/>
        <w:t>Pyrotechnics (special use) licence authorises limited transport</w:t>
      </w:r>
      <w:bookmarkEnd w:id="352"/>
      <w:bookmarkEnd w:id="353"/>
    </w:p>
    <w:p>
      <w:pPr>
        <w:pStyle w:val="Subsection"/>
        <w:spacing w:before="180"/>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Ednotepara"/>
      </w:pPr>
      <w:r>
        <w:tab/>
        <w:t>[(b)</w:t>
      </w:r>
      <w:r>
        <w:tab/>
        <w:t>deleted]</w:t>
      </w:r>
    </w:p>
    <w:p>
      <w:pPr>
        <w:pStyle w:val="Indenta"/>
      </w:pPr>
      <w:r>
        <w:tab/>
        <w:t>(c)</w:t>
      </w:r>
      <w:r>
        <w:tab/>
        <w:t>not more than a Category 2 load is transported.</w:t>
      </w:r>
    </w:p>
    <w:p>
      <w:pPr>
        <w:pStyle w:val="Footnotesection"/>
      </w:pPr>
      <w:r>
        <w:tab/>
        <w:t>[Regulation 99 amended: Gazette 20 Mar 2018 p. 999.]</w:t>
      </w:r>
    </w:p>
    <w:p>
      <w:pPr>
        <w:pStyle w:val="Heading5"/>
        <w:spacing w:before="240"/>
      </w:pPr>
      <w:bookmarkStart w:id="354" w:name="_Toc201747179"/>
      <w:bookmarkStart w:id="355" w:name="_Toc200095439"/>
      <w:r>
        <w:rPr>
          <w:rStyle w:val="CharSectno"/>
        </w:rPr>
        <w:t>100</w:t>
      </w:r>
      <w:r>
        <w:t>.</w:t>
      </w:r>
      <w:r>
        <w:tab/>
        <w:t>Fireworks contractor licence authorises limited transport</w:t>
      </w:r>
      <w:bookmarkEnd w:id="354"/>
      <w:bookmarkEnd w:id="355"/>
    </w:p>
    <w:p>
      <w:pPr>
        <w:pStyle w:val="Subsection"/>
        <w:spacing w:before="180"/>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Ednotepara"/>
      </w:pPr>
      <w:r>
        <w:tab/>
        <w:t>[(b)</w:t>
      </w:r>
      <w:r>
        <w:tab/>
        <w:t>deleted]</w:t>
      </w:r>
    </w:p>
    <w:p>
      <w:pPr>
        <w:pStyle w:val="Indenta"/>
      </w:pPr>
      <w:r>
        <w:tab/>
        <w:t>(c)</w:t>
      </w:r>
      <w:r>
        <w:tab/>
        <w:t>not more than a Category 2 load is transported.</w:t>
      </w:r>
    </w:p>
    <w:p>
      <w:pPr>
        <w:pStyle w:val="Footnotesection"/>
      </w:pPr>
      <w:r>
        <w:tab/>
        <w:t>[Regulation 100 amended: Gazette 20 Mar 2018 p. 999.]</w:t>
      </w:r>
    </w:p>
    <w:p>
      <w:pPr>
        <w:pStyle w:val="Heading5"/>
        <w:spacing w:before="240"/>
      </w:pPr>
      <w:bookmarkStart w:id="356" w:name="_Toc201747180"/>
      <w:bookmarkStart w:id="357" w:name="_Toc200095440"/>
      <w:r>
        <w:rPr>
          <w:rStyle w:val="CharSectno"/>
        </w:rPr>
        <w:t>101</w:t>
      </w:r>
      <w:r>
        <w:t>.</w:t>
      </w:r>
      <w:r>
        <w:tab/>
        <w:t>Fireworks operator licence authorises limited transport</w:t>
      </w:r>
      <w:bookmarkEnd w:id="356"/>
      <w:bookmarkEnd w:id="357"/>
    </w:p>
    <w:p>
      <w:pPr>
        <w:pStyle w:val="Subsection"/>
        <w:spacing w:before="180"/>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Ednotepara"/>
      </w:pPr>
      <w:r>
        <w:tab/>
        <w:t>[(b)</w:t>
      </w:r>
      <w:r>
        <w:tab/>
        <w:t>deleted]</w:t>
      </w:r>
    </w:p>
    <w:p>
      <w:pPr>
        <w:pStyle w:val="Indenta"/>
      </w:pPr>
      <w:r>
        <w:tab/>
        <w:t>(c)</w:t>
      </w:r>
      <w:r>
        <w:tab/>
        <w:t>not more than a Category 2 load is transported.</w:t>
      </w:r>
    </w:p>
    <w:p>
      <w:pPr>
        <w:pStyle w:val="Subsection"/>
        <w:keepNext/>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Ednotepara"/>
      </w:pPr>
      <w:r>
        <w:tab/>
        <w:t>[(c)</w:t>
      </w:r>
      <w:r>
        <w:tab/>
        <w:t>deleted]</w:t>
      </w:r>
    </w:p>
    <w:p>
      <w:pPr>
        <w:pStyle w:val="Indenta"/>
      </w:pPr>
      <w:r>
        <w:tab/>
        <w:t>(d)</w:t>
      </w:r>
      <w:r>
        <w:tab/>
        <w:t>not more than a Category 2 load is transported.</w:t>
      </w:r>
    </w:p>
    <w:p>
      <w:pPr>
        <w:pStyle w:val="Footnotesection"/>
      </w:pPr>
      <w:r>
        <w:tab/>
        <w:t>[Regulation 101 amended: Gazette 20 Mar 2018 p. 1000.]</w:t>
      </w:r>
    </w:p>
    <w:p>
      <w:pPr>
        <w:pStyle w:val="Heading5"/>
      </w:pPr>
      <w:bookmarkStart w:id="358" w:name="_Toc201747181"/>
      <w:bookmarkStart w:id="359" w:name="_Toc200095441"/>
      <w:r>
        <w:rPr>
          <w:rStyle w:val="CharSectno"/>
        </w:rPr>
        <w:t>102</w:t>
      </w:r>
      <w:r>
        <w:t>.</w:t>
      </w:r>
      <w:r>
        <w:tab/>
        <w:t>MPUs, licensing requirements for</w:t>
      </w:r>
      <w:bookmarkEnd w:id="358"/>
      <w:bookmarkEnd w:id="359"/>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nominee of the holder of an explosives manufacture (MPU) licence acting in accordance with an unsupervised access authorisation given by the holder to the nominee.</w:t>
      </w:r>
    </w:p>
    <w:p>
      <w:pPr>
        <w:pStyle w:val="Penstart"/>
      </w:pPr>
      <w:r>
        <w:tab/>
        <w:t>Penalty: a level 1 fine or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Footnotesection"/>
      </w:pPr>
      <w:r>
        <w:tab/>
        <w:t>[Regulation 102 amended: Gazette 2 Dec 2013 p.</w:t>
      </w:r>
      <w:r>
        <w:rPr>
          <w:sz w:val="19"/>
        </w:rPr>
        <w:t> </w:t>
      </w:r>
      <w:r>
        <w:t>5585</w:t>
      </w:r>
      <w:r>
        <w:noBreakHyphen/>
        <w:t>6.]</w:t>
      </w:r>
    </w:p>
    <w:p>
      <w:pPr>
        <w:pStyle w:val="Heading3"/>
      </w:pPr>
      <w:bookmarkStart w:id="360" w:name="_Toc201670536"/>
      <w:bookmarkStart w:id="361" w:name="_Toc201671200"/>
      <w:bookmarkStart w:id="362" w:name="_Toc201747182"/>
      <w:bookmarkStart w:id="363" w:name="_Toc200031635"/>
      <w:bookmarkStart w:id="364" w:name="_Toc200036623"/>
      <w:bookmarkStart w:id="365" w:name="_Toc200095442"/>
      <w:r>
        <w:rPr>
          <w:rStyle w:val="CharDivNo"/>
        </w:rPr>
        <w:t>Division 3</w:t>
      </w:r>
      <w:r>
        <w:t> — </w:t>
      </w:r>
      <w:r>
        <w:rPr>
          <w:rStyle w:val="CharDivText"/>
        </w:rPr>
        <w:t>Transport by road or rail</w:t>
      </w:r>
      <w:bookmarkEnd w:id="360"/>
      <w:bookmarkEnd w:id="361"/>
      <w:bookmarkEnd w:id="362"/>
      <w:bookmarkEnd w:id="363"/>
      <w:bookmarkEnd w:id="364"/>
      <w:bookmarkEnd w:id="365"/>
    </w:p>
    <w:p>
      <w:pPr>
        <w:pStyle w:val="Heading5"/>
      </w:pPr>
      <w:bookmarkStart w:id="366" w:name="_Toc201747183"/>
      <w:bookmarkStart w:id="367" w:name="_Toc200095443"/>
      <w:r>
        <w:rPr>
          <w:rStyle w:val="CharSectno"/>
        </w:rPr>
        <w:t>103</w:t>
      </w:r>
      <w:r>
        <w:t>.</w:t>
      </w:r>
      <w:r>
        <w:tab/>
        <w:t>Application of this Division</w:t>
      </w:r>
      <w:bookmarkEnd w:id="366"/>
      <w:bookmarkEnd w:id="367"/>
    </w:p>
    <w:p>
      <w:pPr>
        <w:pStyle w:val="Subsection"/>
        <w:keepNext/>
      </w:pPr>
      <w:r>
        <w:tab/>
      </w:r>
      <w:r>
        <w:tab/>
        <w:t>This Division applies to and in relation to the transport of an explosive by road or rail.</w:t>
      </w:r>
    </w:p>
    <w:p>
      <w:pPr>
        <w:pStyle w:val="Heading5"/>
      </w:pPr>
      <w:bookmarkStart w:id="368" w:name="_Toc201747184"/>
      <w:bookmarkStart w:id="369" w:name="_Toc200095444"/>
      <w:r>
        <w:rPr>
          <w:rStyle w:val="CharSectno"/>
        </w:rPr>
        <w:t>104</w:t>
      </w:r>
      <w:r>
        <w:t>.</w:t>
      </w:r>
      <w:r>
        <w:tab/>
        <w:t>Contravention of AE Code Ch. 8 an offence</w:t>
      </w:r>
      <w:bookmarkEnd w:id="368"/>
      <w:bookmarkEnd w:id="369"/>
    </w:p>
    <w:p>
      <w:pPr>
        <w:pStyle w:val="Subsection"/>
        <w:keepNext/>
      </w:pPr>
      <w:r>
        <w:tab/>
        <w:t>(1)</w:t>
      </w:r>
      <w:r>
        <w:tab/>
        <w:t>If a provision of the AE Code Chapter 8 requires a person to do or not to do an act and the person contravenes the provision, the person commits an offence.</w:t>
      </w:r>
    </w:p>
    <w:p>
      <w:pPr>
        <w:pStyle w:val="Penstart"/>
        <w:keepNext/>
      </w:pPr>
      <w:r>
        <w:tab/>
        <w:t>Penalty: a level 2 fine.</w:t>
      </w:r>
    </w:p>
    <w:p>
      <w:pPr>
        <w:pStyle w:val="Subsection"/>
        <w:keepNext/>
      </w:pPr>
      <w:r>
        <w:tab/>
        <w:t>(2)</w:t>
      </w:r>
      <w:r>
        <w:tab/>
        <w:t>Subregulation (1) does not apply —</w:t>
      </w:r>
    </w:p>
    <w:p>
      <w:pPr>
        <w:pStyle w:val="Indenta"/>
        <w:keepNext/>
      </w:pPr>
      <w:r>
        <w:tab/>
        <w:t>(a)</w:t>
      </w:r>
      <w:r>
        <w:tab/>
        <w:t>to the AE Code section 8.2.3(1); or</w:t>
      </w:r>
    </w:p>
    <w:p>
      <w:pPr>
        <w:pStyle w:val="Indenta"/>
        <w:keepNext/>
      </w:pPr>
      <w:r>
        <w:tab/>
        <w:t>(b)</w:t>
      </w:r>
      <w:r>
        <w:tab/>
        <w:t>to the AE Code section 8.3.4(2); or</w:t>
      </w:r>
    </w:p>
    <w:p>
      <w:pPr>
        <w:pStyle w:val="Indenta"/>
        <w:keepNext/>
      </w:pPr>
      <w:r>
        <w:tab/>
        <w:t>(c)</w:t>
      </w:r>
      <w:r>
        <w:tab/>
        <w:t xml:space="preserve">to the AE Code section 8.4.4(1) to the extent that it requires — </w:t>
      </w:r>
    </w:p>
    <w:p>
      <w:pPr>
        <w:pStyle w:val="Indenti"/>
      </w:pPr>
      <w:r>
        <w:tab/>
        <w:t>(i)</w:t>
      </w:r>
      <w:r>
        <w:tab/>
        <w:t>the owner of a vehicle that is transporting explosives and the prime contractor to take all practicable steps to ensure a person who is driving the vehicle complies with the requirements of section 8.4.3; or</w:t>
      </w:r>
    </w:p>
    <w:p>
      <w:pPr>
        <w:pStyle w:val="Indenti"/>
      </w:pPr>
      <w:r>
        <w:tab/>
        <w:t>(ii)</w:t>
      </w:r>
      <w:r>
        <w:tab/>
        <w:t xml:space="preserve">the owner of a vehicle that is transporting explosives to ensure the person who is driving the vehicle is authorised to do so under the Act; </w:t>
      </w:r>
    </w:p>
    <w:p>
      <w:pPr>
        <w:pStyle w:val="Indenta"/>
      </w:pPr>
      <w:r>
        <w:tab/>
      </w:r>
      <w:r>
        <w:tab/>
        <w:t>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keepNext/>
      </w:pPr>
      <w:r>
        <w:tab/>
        <w:t>(2A)</w:t>
      </w:r>
      <w:r>
        <w:tab/>
        <w:t xml:space="preserve">Also, subregulation (1) does not apply insofar as it requires a person who is transporting an explosive to comply with the AE Code section 3.2.7(1), if — </w:t>
      </w:r>
    </w:p>
    <w:p>
      <w:pPr>
        <w:pStyle w:val="Indenta"/>
      </w:pPr>
      <w:r>
        <w:tab/>
        <w:t>(a)</w:t>
      </w:r>
      <w:r>
        <w:tab/>
        <w:t xml:space="preserve">the explosive being transported is identified in the AE Code as having — </w:t>
      </w:r>
    </w:p>
    <w:p>
      <w:pPr>
        <w:pStyle w:val="Indenti"/>
      </w:pPr>
      <w:r>
        <w:tab/>
        <w:t>(i)</w:t>
      </w:r>
      <w:r>
        <w:tab/>
        <w:t xml:space="preserve">the UN Number 0082, with the proper shipping name of “Explosives, Blasting, Type B” and with the classification code 1.1D; or </w:t>
      </w:r>
    </w:p>
    <w:p>
      <w:pPr>
        <w:pStyle w:val="Indenti"/>
      </w:pPr>
      <w:r>
        <w:tab/>
        <w:t>(ii)</w:t>
      </w:r>
      <w:r>
        <w:tab/>
        <w:t>the UN Number 0241, with the proper shipping name of “Explosives, Blasting, Type E” and with the classification code 1.1D; or</w:t>
      </w:r>
    </w:p>
    <w:p>
      <w:pPr>
        <w:pStyle w:val="Indenti"/>
      </w:pPr>
      <w:r>
        <w:tab/>
        <w:t>(iii)</w:t>
      </w:r>
      <w:r>
        <w:tab/>
        <w:t>the UN Number 0331, with the proper shipping name of “Explosives, Blasting, Type B” and with the classification code 1.5D; or</w:t>
      </w:r>
    </w:p>
    <w:p>
      <w:pPr>
        <w:pStyle w:val="Indenti"/>
      </w:pPr>
      <w:r>
        <w:tab/>
        <w:t>(iv)</w:t>
      </w:r>
      <w:r>
        <w:tab/>
        <w:t xml:space="preserve">the UN Number 0332, with the proper shipping name “Explosives, Blasting, Type E” and with the classification code 1.5D; </w:t>
      </w:r>
    </w:p>
    <w:p>
      <w:pPr>
        <w:pStyle w:val="Indenta"/>
      </w:pPr>
      <w:r>
        <w:tab/>
      </w:r>
      <w:r>
        <w:tab/>
        <w:t>and</w:t>
      </w:r>
    </w:p>
    <w:p>
      <w:pPr>
        <w:pStyle w:val="Indenta"/>
      </w:pPr>
      <w:r>
        <w:tab/>
        <w:t>(b)</w:t>
      </w:r>
      <w:r>
        <w:tab/>
        <w:t xml:space="preserve">the explosive is transported in an Intermediate Bulk Container that is labelled — </w:t>
      </w:r>
    </w:p>
    <w:p>
      <w:pPr>
        <w:pStyle w:val="Indenti"/>
      </w:pPr>
      <w:r>
        <w:tab/>
        <w:t>(i)</w:t>
      </w:r>
      <w:r>
        <w:tab/>
        <w:t>in accordance with the requirements for outer packaging stated in the AE Code section 3.2.1; and</w:t>
      </w:r>
    </w:p>
    <w:p>
      <w:pPr>
        <w:pStyle w:val="Indenti"/>
      </w:pPr>
      <w:r>
        <w:tab/>
        <w:t>(ii)</w:t>
      </w:r>
      <w:r>
        <w:tab/>
        <w:t>in accordance with the relevant requirements for the explosive set out in the GHS.</w:t>
      </w:r>
    </w:p>
    <w:p>
      <w:pPr>
        <w:pStyle w:val="Subsection"/>
      </w:pPr>
      <w:r>
        <w:tab/>
        <w:t>(2B)</w:t>
      </w:r>
      <w:r>
        <w:tab/>
        <w:t xml:space="preserve">In subregulation (2A) — </w:t>
      </w:r>
    </w:p>
    <w:p>
      <w:pPr>
        <w:pStyle w:val="Defstart"/>
      </w:pPr>
      <w:r>
        <w:tab/>
      </w:r>
      <w:r>
        <w:rPr>
          <w:rStyle w:val="CharDefText"/>
        </w:rPr>
        <w:t>GHS</w:t>
      </w:r>
      <w:r>
        <w:t xml:space="preserve"> has the meaning given in the </w:t>
      </w:r>
      <w:r>
        <w:rPr>
          <w:i/>
        </w:rPr>
        <w:t>Dangerous Goods Safety (Storage and Handling of Non</w:t>
      </w:r>
      <w:r>
        <w:rPr>
          <w:i/>
        </w:rPr>
        <w:noBreakHyphen/>
        <w:t>explosives) Regulations 2007</w:t>
      </w:r>
      <w:r>
        <w:t xml:space="preserve"> regulation 4;</w:t>
      </w:r>
    </w:p>
    <w:p>
      <w:pPr>
        <w:pStyle w:val="Defstart"/>
      </w:pPr>
      <w:r>
        <w:tab/>
      </w:r>
      <w:r>
        <w:rPr>
          <w:rStyle w:val="CharDefText"/>
        </w:rPr>
        <w:t>Intermediate Bulk Container</w:t>
      </w:r>
      <w:r>
        <w:t xml:space="preserve"> means an Intermediate Bulk Container within the meaning of the AE Code;</w:t>
      </w:r>
    </w:p>
    <w:p>
      <w:pPr>
        <w:pStyle w:val="Defstart"/>
      </w:pPr>
      <w:r>
        <w:tab/>
      </w:r>
      <w:r>
        <w:rPr>
          <w:rStyle w:val="CharDefText"/>
        </w:rPr>
        <w:t>UN Number</w:t>
      </w:r>
      <w:r>
        <w:t>, in relation to an explosive, means the UN Number shown in relation to the explosive in Appendix 2 of the AE Code.</w:t>
      </w:r>
    </w:p>
    <w:p>
      <w:pPr>
        <w:pStyle w:val="Subsection"/>
      </w:pPr>
      <w:r>
        <w:tab/>
        <w:t>(3)</w:t>
      </w:r>
      <w:r>
        <w:tab/>
        <w:t>Subregulation (2)(a) and (c) do not affect the operation of regulation 97(3) or section 15 of the Act.</w:t>
      </w:r>
    </w:p>
    <w:p>
      <w:pPr>
        <w:pStyle w:val="Footnotesection"/>
      </w:pPr>
      <w:r>
        <w:tab/>
        <w:t>[Regulation 104 amended: Gazette 24 Nov 2009 p. 4738; 16 Mar 2012 p. 1182; 20 Mar 2018 p. 1000</w:t>
      </w:r>
      <w:r>
        <w:noBreakHyphen/>
        <w:t>1.]</w:t>
      </w:r>
    </w:p>
    <w:p>
      <w:pPr>
        <w:pStyle w:val="Heading5"/>
      </w:pPr>
      <w:bookmarkStart w:id="370" w:name="_Toc201747185"/>
      <w:bookmarkStart w:id="371" w:name="_Toc200095445"/>
      <w:r>
        <w:rPr>
          <w:rStyle w:val="CharSectno"/>
        </w:rPr>
        <w:t>105</w:t>
      </w:r>
      <w:r>
        <w:t>.</w:t>
      </w:r>
      <w:r>
        <w:tab/>
        <w:t>Consignor’s duties</w:t>
      </w:r>
      <w:bookmarkEnd w:id="370"/>
      <w:bookmarkEnd w:id="371"/>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372" w:name="_Toc201747186"/>
      <w:bookmarkStart w:id="373" w:name="_Toc200095446"/>
      <w:r>
        <w:rPr>
          <w:rStyle w:val="CharSectno"/>
        </w:rPr>
        <w:t>106</w:t>
      </w:r>
      <w:r>
        <w:t>.</w:t>
      </w:r>
      <w:r>
        <w:tab/>
        <w:t>Prime contractor’s duties</w:t>
      </w:r>
      <w:bookmarkEnd w:id="372"/>
      <w:bookmarkEnd w:id="373"/>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Gazette 24 Nov 2009 p. 4738.]</w:t>
      </w:r>
    </w:p>
    <w:p>
      <w:pPr>
        <w:pStyle w:val="Heading5"/>
      </w:pPr>
      <w:bookmarkStart w:id="374" w:name="_Toc201747187"/>
      <w:bookmarkStart w:id="375" w:name="_Toc200095447"/>
      <w:r>
        <w:rPr>
          <w:rStyle w:val="CharSectno"/>
        </w:rPr>
        <w:t>107</w:t>
      </w:r>
      <w:r>
        <w:t>.</w:t>
      </w:r>
      <w:r>
        <w:tab/>
        <w:t>Restrictions on transporting certain loads in CBDs</w:t>
      </w:r>
      <w:bookmarkEnd w:id="374"/>
      <w:bookmarkEnd w:id="375"/>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Gazette 24 Nov 2009 p. 4738.]</w:t>
      </w:r>
    </w:p>
    <w:p>
      <w:pPr>
        <w:pStyle w:val="Heading3"/>
      </w:pPr>
      <w:bookmarkStart w:id="376" w:name="_Toc201670542"/>
      <w:bookmarkStart w:id="377" w:name="_Toc201671206"/>
      <w:bookmarkStart w:id="378" w:name="_Toc201747188"/>
      <w:bookmarkStart w:id="379" w:name="_Toc200031641"/>
      <w:bookmarkStart w:id="380" w:name="_Toc200036629"/>
      <w:bookmarkStart w:id="381" w:name="_Toc200095448"/>
      <w:r>
        <w:rPr>
          <w:rStyle w:val="CharDivNo"/>
        </w:rPr>
        <w:t>Division 4</w:t>
      </w:r>
      <w:r>
        <w:t> — </w:t>
      </w:r>
      <w:r>
        <w:rPr>
          <w:rStyle w:val="CharDivText"/>
        </w:rPr>
        <w:t>Emergencies</w:t>
      </w:r>
      <w:bookmarkEnd w:id="376"/>
      <w:bookmarkEnd w:id="377"/>
      <w:bookmarkEnd w:id="378"/>
      <w:bookmarkEnd w:id="379"/>
      <w:bookmarkEnd w:id="380"/>
      <w:bookmarkEnd w:id="381"/>
    </w:p>
    <w:p>
      <w:pPr>
        <w:pStyle w:val="Heading5"/>
      </w:pPr>
      <w:bookmarkStart w:id="382" w:name="_Toc201747189"/>
      <w:bookmarkStart w:id="383" w:name="_Toc200095449"/>
      <w:r>
        <w:rPr>
          <w:rStyle w:val="CharSectno"/>
        </w:rPr>
        <w:t>108</w:t>
      </w:r>
      <w:r>
        <w:t>.</w:t>
      </w:r>
      <w:r>
        <w:tab/>
        <w:t>Terms used</w:t>
      </w:r>
      <w:bookmarkEnd w:id="382"/>
      <w:bookmarkEnd w:id="383"/>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 xml:space="preserve">as the case requires — </w:t>
      </w:r>
    </w:p>
    <w:p>
      <w:pPr>
        <w:pStyle w:val="Defsubpara"/>
      </w:pPr>
      <w:r>
        <w:tab/>
        <w:t>(i)</w:t>
      </w:r>
      <w:r>
        <w:tab/>
        <w:t>the FES Commissioner; or</w:t>
      </w:r>
    </w:p>
    <w:p>
      <w:pPr>
        <w:pStyle w:val="Defsubpara"/>
      </w:pPr>
      <w:r>
        <w:tab/>
        <w:t>(ii)</w:t>
      </w:r>
      <w:r>
        <w:tab/>
        <w:t xml:space="preserve">the department of the Public Service principally assisting in the administration of the </w:t>
      </w:r>
      <w:r>
        <w:rPr>
          <w:i/>
        </w:rPr>
        <w:t>Fire and Emergency Services Act 1998</w:t>
      </w:r>
      <w:r>
        <w:t>.</w:t>
      </w:r>
    </w:p>
    <w:p>
      <w:pPr>
        <w:pStyle w:val="Footnotesection"/>
      </w:pPr>
      <w:r>
        <w:tab/>
        <w:t>[Regulation 108 amended: Gazette 19 Feb 2013 p. 985.]</w:t>
      </w:r>
    </w:p>
    <w:p>
      <w:pPr>
        <w:pStyle w:val="Heading5"/>
      </w:pPr>
      <w:bookmarkStart w:id="384" w:name="_Toc201747190"/>
      <w:bookmarkStart w:id="385" w:name="_Toc200095450"/>
      <w:r>
        <w:rPr>
          <w:rStyle w:val="CharSectno"/>
        </w:rPr>
        <w:t>109</w:t>
      </w:r>
      <w:r>
        <w:t>.</w:t>
      </w:r>
      <w:r>
        <w:tab/>
        <w:t>Dangerous situations, duty to notify authorities</w:t>
      </w:r>
      <w:bookmarkEnd w:id="384"/>
      <w:bookmarkEnd w:id="385"/>
    </w:p>
    <w:p>
      <w:pPr>
        <w:pStyle w:val="Subsection"/>
      </w:pPr>
      <w:r>
        <w:tab/>
        <w:t>(1)</w:t>
      </w:r>
      <w:r>
        <w:tab/>
        <w:t>This regulation applies if a vehicle transporting an explosive by road, rail or water is involved in an incident resulting in a dangerous situation.</w:t>
      </w:r>
    </w:p>
    <w:p>
      <w:pPr>
        <w:pStyle w:val="Subsection"/>
        <w:keepNext/>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keepNext/>
      </w:pPr>
      <w:r>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keepNext/>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keepNext/>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r>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Gazette 16 Mar 2012 p. 1182.]</w:t>
      </w:r>
    </w:p>
    <w:p>
      <w:pPr>
        <w:pStyle w:val="Heading3"/>
      </w:pPr>
      <w:bookmarkStart w:id="386" w:name="_Toc201670545"/>
      <w:bookmarkStart w:id="387" w:name="_Toc201671209"/>
      <w:bookmarkStart w:id="388" w:name="_Toc201747191"/>
      <w:bookmarkStart w:id="389" w:name="_Toc200031644"/>
      <w:bookmarkStart w:id="390" w:name="_Toc200036632"/>
      <w:bookmarkStart w:id="391" w:name="_Toc200095451"/>
      <w:r>
        <w:rPr>
          <w:rStyle w:val="CharDivNo"/>
        </w:rPr>
        <w:t>Division 5</w:t>
      </w:r>
      <w:r>
        <w:t> — </w:t>
      </w:r>
      <w:r>
        <w:rPr>
          <w:rStyle w:val="CharDivText"/>
        </w:rPr>
        <w:t>Transport in mines</w:t>
      </w:r>
      <w:bookmarkEnd w:id="386"/>
      <w:bookmarkEnd w:id="387"/>
      <w:bookmarkEnd w:id="388"/>
      <w:bookmarkEnd w:id="389"/>
      <w:bookmarkEnd w:id="390"/>
      <w:bookmarkEnd w:id="391"/>
    </w:p>
    <w:p>
      <w:pPr>
        <w:pStyle w:val="Heading5"/>
      </w:pPr>
      <w:bookmarkStart w:id="392" w:name="_Toc201747192"/>
      <w:bookmarkStart w:id="393" w:name="_Toc200095452"/>
      <w:r>
        <w:rPr>
          <w:rStyle w:val="CharSectno"/>
        </w:rPr>
        <w:t>110</w:t>
      </w:r>
      <w:r>
        <w:t>.</w:t>
      </w:r>
      <w:r>
        <w:tab/>
        <w:t>Contravention of certain provisions of AE Code an offence</w:t>
      </w:r>
      <w:bookmarkEnd w:id="392"/>
      <w:bookmarkEnd w:id="393"/>
    </w:p>
    <w:p>
      <w:pPr>
        <w:pStyle w:val="Subsection"/>
        <w:keepNext/>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Gazette 24 Nov 2009 p. 4739; amended: Gazette 16 Mar 2012 p. 1183.]</w:t>
      </w:r>
    </w:p>
    <w:p>
      <w:pPr>
        <w:pStyle w:val="Heading2"/>
      </w:pPr>
      <w:bookmarkStart w:id="394" w:name="_Toc201670547"/>
      <w:bookmarkStart w:id="395" w:name="_Toc201671211"/>
      <w:bookmarkStart w:id="396" w:name="_Toc201747193"/>
      <w:bookmarkStart w:id="397" w:name="_Toc200031646"/>
      <w:bookmarkStart w:id="398" w:name="_Toc200036634"/>
      <w:bookmarkStart w:id="399" w:name="_Toc200095453"/>
      <w:r>
        <w:rPr>
          <w:rStyle w:val="CharPartNo"/>
        </w:rPr>
        <w:t>Part 11A</w:t>
      </w:r>
      <w:r>
        <w:rPr>
          <w:b w:val="0"/>
        </w:rPr>
        <w:t> </w:t>
      </w:r>
      <w:r>
        <w:t>—</w:t>
      </w:r>
      <w:r>
        <w:rPr>
          <w:b w:val="0"/>
        </w:rPr>
        <w:t> </w:t>
      </w:r>
      <w:r>
        <w:rPr>
          <w:rStyle w:val="CharPartText"/>
        </w:rPr>
        <w:t>Explosives in ports</w:t>
      </w:r>
      <w:bookmarkEnd w:id="394"/>
      <w:bookmarkEnd w:id="395"/>
      <w:bookmarkEnd w:id="396"/>
      <w:bookmarkEnd w:id="397"/>
      <w:bookmarkEnd w:id="398"/>
      <w:bookmarkEnd w:id="399"/>
    </w:p>
    <w:p>
      <w:pPr>
        <w:pStyle w:val="Footnoteheading"/>
      </w:pPr>
      <w:r>
        <w:tab/>
        <w:t>[Heading inserted: Gazette 2 Dec 2013 p. 5586.]</w:t>
      </w:r>
    </w:p>
    <w:p>
      <w:pPr>
        <w:pStyle w:val="Heading3"/>
      </w:pPr>
      <w:bookmarkStart w:id="400" w:name="_Toc201670548"/>
      <w:bookmarkStart w:id="401" w:name="_Toc201671212"/>
      <w:bookmarkStart w:id="402" w:name="_Toc201747194"/>
      <w:bookmarkStart w:id="403" w:name="_Toc200031647"/>
      <w:bookmarkStart w:id="404" w:name="_Toc200036635"/>
      <w:bookmarkStart w:id="405" w:name="_Toc200095454"/>
      <w:r>
        <w:rPr>
          <w:rStyle w:val="CharDivNo"/>
        </w:rPr>
        <w:t>Division 1</w:t>
      </w:r>
      <w:r>
        <w:t> — </w:t>
      </w:r>
      <w:r>
        <w:rPr>
          <w:rStyle w:val="CharDivText"/>
        </w:rPr>
        <w:t>Preliminary matters</w:t>
      </w:r>
      <w:bookmarkEnd w:id="400"/>
      <w:bookmarkEnd w:id="401"/>
      <w:bookmarkEnd w:id="402"/>
      <w:bookmarkEnd w:id="403"/>
      <w:bookmarkEnd w:id="404"/>
      <w:bookmarkEnd w:id="405"/>
    </w:p>
    <w:p>
      <w:pPr>
        <w:pStyle w:val="Footnoteheading"/>
      </w:pPr>
      <w:r>
        <w:tab/>
        <w:t>[Heading inserted: Gazette 2 Dec 2013 p. 5586.]</w:t>
      </w:r>
    </w:p>
    <w:p>
      <w:pPr>
        <w:pStyle w:val="Heading5"/>
      </w:pPr>
      <w:bookmarkStart w:id="406" w:name="_Toc201747195"/>
      <w:bookmarkStart w:id="407" w:name="_Toc200095455"/>
      <w:r>
        <w:rPr>
          <w:rStyle w:val="CharSectno"/>
        </w:rPr>
        <w:t>111A</w:t>
      </w:r>
      <w:r>
        <w:t>.</w:t>
      </w:r>
      <w:r>
        <w:tab/>
        <w:t>Terms used</w:t>
      </w:r>
      <w:bookmarkEnd w:id="406"/>
      <w:bookmarkEnd w:id="407"/>
    </w:p>
    <w:p>
      <w:pPr>
        <w:pStyle w:val="Subsection"/>
      </w:pPr>
      <w:r>
        <w:tab/>
        <w:t>(1)</w:t>
      </w:r>
      <w:r>
        <w:tab/>
        <w:t>If a term used in this Part is not defined in subregulation (2) but is defined in AS 3846 clause 1.4, it has the same meaning in this Part as it has in that clause, unless the contrary intention appears.</w:t>
      </w:r>
    </w:p>
    <w:p>
      <w:pPr>
        <w:pStyle w:val="Subsection"/>
      </w:pPr>
      <w:r>
        <w:tab/>
        <w:t>(2)</w:t>
      </w:r>
      <w:r>
        <w:tab/>
        <w:t>In this Part —</w:t>
      </w:r>
    </w:p>
    <w:p>
      <w:pPr>
        <w:pStyle w:val="Defstart"/>
      </w:pPr>
      <w:r>
        <w:tab/>
      </w:r>
      <w:r>
        <w:rPr>
          <w:rStyle w:val="CharDefText"/>
        </w:rPr>
        <w:t>AS 3846</w:t>
      </w:r>
      <w:r>
        <w:t xml:space="preserve"> means the Australian Standard AS 3846—2005, </w:t>
      </w:r>
      <w:r>
        <w:rPr>
          <w:i/>
        </w:rPr>
        <w:t>The handling and transport of dangerous cargoes in port areas</w:t>
      </w:r>
      <w:r>
        <w:t>, published by Standards Australia (ISBN 0 7337 7000 2);</w:t>
      </w:r>
    </w:p>
    <w:p>
      <w:pPr>
        <w:pStyle w:val="Defstart"/>
      </w:pPr>
      <w:r>
        <w:tab/>
      </w:r>
      <w:r>
        <w:rPr>
          <w:rStyle w:val="CharDefText"/>
        </w:rPr>
        <w:t>berth</w:t>
      </w:r>
      <w:r>
        <w:t xml:space="preserve"> means a berth in a port area but does not include any vessel moored at the berth;</w:t>
      </w:r>
    </w:p>
    <w:p>
      <w:pPr>
        <w:pStyle w:val="Defstart"/>
      </w:pPr>
      <w:r>
        <w:tab/>
      </w:r>
      <w:r>
        <w:rPr>
          <w:rStyle w:val="CharDefText"/>
        </w:rPr>
        <w:t>handle</w:t>
      </w:r>
      <w:r>
        <w:t xml:space="preserve">, an explosive, means (despite section 3(1) of the Act) — </w:t>
      </w:r>
    </w:p>
    <w:p>
      <w:pPr>
        <w:pStyle w:val="Defpara"/>
      </w:pPr>
      <w:r>
        <w:tab/>
        <w:t>(a)</w:t>
      </w:r>
      <w:r>
        <w:tab/>
        <w:t>to load it on to a vehicle or into a container;</w:t>
      </w:r>
    </w:p>
    <w:p>
      <w:pPr>
        <w:pStyle w:val="Defpara"/>
      </w:pPr>
      <w:r>
        <w:tab/>
        <w:t>(b)</w:t>
      </w:r>
      <w:r>
        <w:tab/>
        <w:t>to unload it from a vehicle or container;</w:t>
      </w:r>
    </w:p>
    <w:p>
      <w:pPr>
        <w:pStyle w:val="Defpara"/>
      </w:pPr>
      <w:r>
        <w:tab/>
        <w:t>(c)</w:t>
      </w:r>
      <w:r>
        <w:tab/>
        <w:t>to carry, move or transport it by any means;</w:t>
      </w:r>
    </w:p>
    <w:p>
      <w:pPr>
        <w:pStyle w:val="Defpara"/>
      </w:pPr>
      <w:r>
        <w:tab/>
        <w:t>(d)</w:t>
      </w:r>
      <w:r>
        <w:tab/>
        <w:t>to store it while it awaits being so loaded, unloaded, carried, moved or transported;</w:t>
      </w:r>
    </w:p>
    <w:p>
      <w:pPr>
        <w:pStyle w:val="Defstart"/>
      </w:pPr>
      <w:r>
        <w:tab/>
      </w:r>
      <w:r>
        <w:rPr>
          <w:rStyle w:val="CharDefText"/>
        </w:rPr>
        <w:t>harbour master</w:t>
      </w:r>
      <w:r>
        <w:t> —</w:t>
      </w:r>
    </w:p>
    <w:p>
      <w:pPr>
        <w:pStyle w:val="Defpara"/>
      </w:pPr>
      <w:r>
        <w:tab/>
        <w:t>(a)</w:t>
      </w:r>
      <w:r>
        <w:tab/>
        <w:t xml:space="preserve">of a port subject to the </w:t>
      </w:r>
      <w:r>
        <w:rPr>
          <w:i/>
        </w:rPr>
        <w:t>Port Authorities Act 1999</w:t>
      </w:r>
      <w:r>
        <w:t>, has the meaning given in section 3(1) of that Act;</w:t>
      </w:r>
    </w:p>
    <w:p>
      <w:pPr>
        <w:pStyle w:val="Defpara"/>
      </w:pPr>
      <w:r>
        <w:tab/>
        <w:t>(b)</w:t>
      </w:r>
      <w:r>
        <w:tab/>
        <w:t xml:space="preserve">of a port subject to the </w:t>
      </w:r>
      <w:r>
        <w:rPr>
          <w:i/>
        </w:rPr>
        <w:t>Shipping and Pilotage Act 1967</w:t>
      </w:r>
      <w:r>
        <w:t>, has the meaning given in section 3 of that Act;</w:t>
      </w:r>
    </w:p>
    <w:p>
      <w:pPr>
        <w:pStyle w:val="Defstart"/>
      </w:pPr>
      <w:r>
        <w:tab/>
      </w:r>
      <w:r>
        <w:rPr>
          <w:rStyle w:val="CharDefText"/>
        </w:rPr>
        <w:t>operator</w:t>
      </w:r>
      <w:r>
        <w:t>, of a berth, means the person who controls and manages operations at the berth;</w:t>
      </w:r>
    </w:p>
    <w:p>
      <w:pPr>
        <w:pStyle w:val="Defstart"/>
        <w:keepNext/>
      </w:pPr>
      <w:r>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Defstart"/>
      </w:pPr>
      <w:r>
        <w:tab/>
      </w:r>
      <w:r>
        <w:rPr>
          <w:rStyle w:val="CharDefText"/>
        </w:rPr>
        <w:t>port area</w:t>
      </w:r>
      <w:r>
        <w:t xml:space="preserve"> means the area associated with a port being —</w:t>
      </w:r>
    </w:p>
    <w:p>
      <w:pPr>
        <w:pStyle w:val="Defpara"/>
      </w:pPr>
      <w:r>
        <w:tab/>
        <w:t>(a)</w:t>
      </w:r>
      <w:r>
        <w:tab/>
        <w:t xml:space="preserve">if the port is subject to the </w:t>
      </w:r>
      <w:r>
        <w:rPr>
          <w:i/>
        </w:rPr>
        <w:t>Port Authorities Act 1999</w:t>
      </w:r>
      <w:r>
        <w:t> — the area or areas described in relation to the port under section 24 of that Act; and</w:t>
      </w:r>
    </w:p>
    <w:p>
      <w:pPr>
        <w:pStyle w:val="Defpara"/>
      </w:pPr>
      <w:r>
        <w:tab/>
        <w:t>(b)</w:t>
      </w:r>
      <w:r>
        <w:tab/>
        <w:t xml:space="preserve">if the port is subject to the </w:t>
      </w:r>
      <w:r>
        <w:rPr>
          <w:i/>
        </w:rPr>
        <w:t>Shipping and Pilotage Act 1967</w:t>
      </w:r>
      <w:r>
        <w:t> — the area bounded by the limits specified in relation to the port under section 10 of that Act;</w:t>
      </w:r>
    </w:p>
    <w:p>
      <w:pPr>
        <w:pStyle w:val="Defstart"/>
      </w:pPr>
      <w:r>
        <w:tab/>
      </w:r>
      <w:r>
        <w:rPr>
          <w:rStyle w:val="CharDefText"/>
        </w:rPr>
        <w:t>prime contractor</w:t>
      </w:r>
      <w:r>
        <w:t xml:space="preserve"> has the meaning given in regulation 95(2);</w:t>
      </w:r>
    </w:p>
    <w:p>
      <w:pPr>
        <w:pStyle w:val="Defstart"/>
      </w:pPr>
      <w:r>
        <w:tab/>
      </w:r>
      <w:r>
        <w:rPr>
          <w:rStyle w:val="CharDefText"/>
        </w:rPr>
        <w:t>special berth (explosives)</w:t>
      </w:r>
      <w:r>
        <w:t xml:space="preserve"> means a berth that, under regulation 111N, is declared to be a special berth (explosives);</w:t>
      </w:r>
    </w:p>
    <w:p>
      <w:pPr>
        <w:pStyle w:val="Defstart"/>
      </w:pPr>
      <w:r>
        <w:tab/>
      </w:r>
      <w:r>
        <w:rPr>
          <w:rStyle w:val="CharDefText"/>
        </w:rPr>
        <w:t>vessel</w:t>
      </w:r>
      <w:r>
        <w:t xml:space="preserve"> means anything, including a hovercraft, capable of transporting people or things by water.</w:t>
      </w:r>
    </w:p>
    <w:p>
      <w:pPr>
        <w:pStyle w:val="Footnotesection"/>
      </w:pPr>
      <w:r>
        <w:tab/>
        <w:t>[Regulation 111A inserted: Gazette 2 Dec 2013 p.</w:t>
      </w:r>
      <w:r>
        <w:rPr>
          <w:sz w:val="19"/>
        </w:rPr>
        <w:t> </w:t>
      </w:r>
      <w:r>
        <w:t>5586</w:t>
      </w:r>
      <w:r>
        <w:noBreakHyphen/>
        <w:t>7.]</w:t>
      </w:r>
    </w:p>
    <w:p>
      <w:pPr>
        <w:pStyle w:val="Heading5"/>
      </w:pPr>
      <w:bookmarkStart w:id="408" w:name="_Toc201747196"/>
      <w:bookmarkStart w:id="409" w:name="_Toc200095456"/>
      <w:r>
        <w:rPr>
          <w:rStyle w:val="CharSectno"/>
        </w:rPr>
        <w:t>111B</w:t>
      </w:r>
      <w:r>
        <w:t>.</w:t>
      </w:r>
      <w:r>
        <w:tab/>
        <w:t>General provisions about AS 3846</w:t>
      </w:r>
      <w:bookmarkEnd w:id="408"/>
      <w:bookmarkEnd w:id="409"/>
    </w:p>
    <w:p>
      <w:pPr>
        <w:pStyle w:val="Subsection"/>
      </w:pPr>
      <w:r>
        <w:tab/>
        <w:t>(1)</w:t>
      </w:r>
      <w:r>
        <w:tab/>
        <w:t>This regulation operates for the purposes of this Part.</w:t>
      </w:r>
    </w:p>
    <w:p>
      <w:pPr>
        <w:pStyle w:val="Subsection"/>
      </w:pPr>
      <w:r>
        <w:tab/>
        <w:t>(2)</w:t>
      </w:r>
      <w:r>
        <w:tab/>
        <w:t>In a provision of AS 3846 to which this Part refers directly or indirectly —</w:t>
      </w:r>
    </w:p>
    <w:p>
      <w:pPr>
        <w:pStyle w:val="Indenta"/>
      </w:pPr>
      <w:r>
        <w:tab/>
        <w:t>(a)</w:t>
      </w:r>
      <w:r>
        <w:tab/>
        <w:t>a reference to “regulatory authority” is taken to be a reference to the Chief Officer;</w:t>
      </w:r>
    </w:p>
    <w:p>
      <w:pPr>
        <w:pStyle w:val="Indenta"/>
      </w:pPr>
      <w:r>
        <w:tab/>
        <w:t>(b)</w:t>
      </w:r>
      <w:r>
        <w:tab/>
        <w:t>a reference to “dangerous cargo” is taken to be a reference to dangerous goods.</w:t>
      </w:r>
    </w:p>
    <w:p>
      <w:pPr>
        <w:pStyle w:val="Subsection"/>
      </w:pPr>
      <w:r>
        <w:tab/>
        <w:t>(3)</w:t>
      </w:r>
      <w:r>
        <w:tab/>
        <w:t>If a term used in AS 3846 is defined in regulation 111A, it has the same meaning in AS 3846 as it has in regulation 111A, despite AS 3846 clause 1.4, unless the contrary intention appears.</w:t>
      </w:r>
    </w:p>
    <w:p>
      <w:pPr>
        <w:pStyle w:val="Subsection"/>
      </w:pPr>
      <w:r>
        <w:tab/>
        <w:t>(4)</w:t>
      </w:r>
      <w:r>
        <w:tab/>
        <w:t>If a provision of AS 3846 conflicts or is inconsistent with a provision of this Part, the provision of this Part prevails to the extent of the inconsistency.</w:t>
      </w:r>
    </w:p>
    <w:p>
      <w:pPr>
        <w:pStyle w:val="Footnotesection"/>
      </w:pPr>
      <w:r>
        <w:tab/>
        <w:t>[Regulation 111B inserted: Gazette 2 Dec 2013 p.</w:t>
      </w:r>
      <w:r>
        <w:rPr>
          <w:sz w:val="19"/>
        </w:rPr>
        <w:t> </w:t>
      </w:r>
      <w:r>
        <w:t>5588.]</w:t>
      </w:r>
    </w:p>
    <w:p>
      <w:pPr>
        <w:pStyle w:val="Heading5"/>
      </w:pPr>
      <w:bookmarkStart w:id="410" w:name="_Toc201747197"/>
      <w:bookmarkStart w:id="411" w:name="_Toc200095457"/>
      <w:r>
        <w:rPr>
          <w:rStyle w:val="CharSectno"/>
        </w:rPr>
        <w:t>111C</w:t>
      </w:r>
      <w:r>
        <w:t>.</w:t>
      </w:r>
      <w:r>
        <w:tab/>
        <w:t>Cases in which this Part does not apply</w:t>
      </w:r>
      <w:bookmarkEnd w:id="410"/>
      <w:bookmarkEnd w:id="411"/>
    </w:p>
    <w:p>
      <w:pPr>
        <w:pStyle w:val="Subsection"/>
      </w:pPr>
      <w:r>
        <w:tab/>
        <w:t>(1)</w:t>
      </w:r>
      <w:r>
        <w:tab/>
        <w:t>In this regulation —</w:t>
      </w:r>
    </w:p>
    <w:p>
      <w:pPr>
        <w:pStyle w:val="Defstart"/>
      </w:pPr>
      <w:r>
        <w:tab/>
      </w:r>
      <w:r>
        <w:rPr>
          <w:rStyle w:val="CharDefText"/>
        </w:rPr>
        <w:t>emergency device</w:t>
      </w:r>
      <w:r>
        <w:t xml:space="preserve"> means an article, containing one or more explosives with or without other substances, that is designed to be used in distress or an emergency for signalling, warning or rescue purposes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Subsection"/>
      </w:pPr>
      <w:r>
        <w:tab/>
        <w:t>(2)</w:t>
      </w:r>
      <w:r>
        <w:tab/>
        <w:t>This Part does not apply to or in relation to a vehicle in a port area if the only explosive it is carrying is an emergency device to be used in an emergency involving the vehicle or if the vehicle is in distress.</w:t>
      </w:r>
    </w:p>
    <w:p>
      <w:pPr>
        <w:pStyle w:val="Subsection"/>
      </w:pPr>
      <w:r>
        <w:tab/>
        <w:t>(3)</w:t>
      </w:r>
      <w:r>
        <w:tab/>
        <w:t>This Part does not apply to or in relation to an emergency device in a port area if it is in the area for the purposes of being used in an emergency involving a vehicle in the area or if a vehicle in the area is in distress.</w:t>
      </w:r>
    </w:p>
    <w:p>
      <w:pPr>
        <w:pStyle w:val="Subsection"/>
      </w:pPr>
      <w:r>
        <w:tab/>
        <w:t>(4)</w:t>
      </w:r>
      <w:r>
        <w:tab/>
        <w:t>This Part does not apply to or in relation to explosives in a port area that are required for the operation, safety or maintenance of a vessel and that are or will be part of the vessel’s stores or equipment.</w:t>
      </w:r>
    </w:p>
    <w:p>
      <w:pPr>
        <w:pStyle w:val="Footnotesection"/>
      </w:pPr>
      <w:r>
        <w:tab/>
        <w:t>[Regulation 111C inserted: Gazette 2 Dec 2013 p.</w:t>
      </w:r>
      <w:r>
        <w:rPr>
          <w:sz w:val="19"/>
        </w:rPr>
        <w:t> </w:t>
      </w:r>
      <w:r>
        <w:t>5588</w:t>
      </w:r>
      <w:r>
        <w:noBreakHyphen/>
        <w:t>9.]</w:t>
      </w:r>
    </w:p>
    <w:p>
      <w:pPr>
        <w:pStyle w:val="Heading3"/>
        <w:spacing w:before="220"/>
      </w:pPr>
      <w:bookmarkStart w:id="412" w:name="_Toc201670552"/>
      <w:bookmarkStart w:id="413" w:name="_Toc201671216"/>
      <w:bookmarkStart w:id="414" w:name="_Toc201747198"/>
      <w:bookmarkStart w:id="415" w:name="_Toc200031651"/>
      <w:bookmarkStart w:id="416" w:name="_Toc200036639"/>
      <w:bookmarkStart w:id="417" w:name="_Toc200095458"/>
      <w:r>
        <w:rPr>
          <w:rStyle w:val="CharDivNo"/>
        </w:rPr>
        <w:t>Division 2</w:t>
      </w:r>
      <w:r>
        <w:t> — </w:t>
      </w:r>
      <w:r>
        <w:rPr>
          <w:rStyle w:val="CharDivText"/>
        </w:rPr>
        <w:t>Explosives in port areas</w:t>
      </w:r>
      <w:bookmarkEnd w:id="412"/>
      <w:bookmarkEnd w:id="413"/>
      <w:bookmarkEnd w:id="414"/>
      <w:bookmarkEnd w:id="415"/>
      <w:bookmarkEnd w:id="416"/>
      <w:bookmarkEnd w:id="417"/>
    </w:p>
    <w:p>
      <w:pPr>
        <w:pStyle w:val="Footnoteheading"/>
        <w:keepNext/>
      </w:pPr>
      <w:r>
        <w:tab/>
        <w:t>[Heading inserted: Gazette 2 Dec 2013 p. 5589.]</w:t>
      </w:r>
    </w:p>
    <w:p>
      <w:pPr>
        <w:pStyle w:val="Heading5"/>
      </w:pPr>
      <w:bookmarkStart w:id="418" w:name="_Toc201747199"/>
      <w:bookmarkStart w:id="419" w:name="_Toc200095459"/>
      <w:r>
        <w:rPr>
          <w:rStyle w:val="CharSectno"/>
        </w:rPr>
        <w:t>111D</w:t>
      </w:r>
      <w:r>
        <w:t>.</w:t>
      </w:r>
      <w:r>
        <w:tab/>
        <w:t>Application of this Division</w:t>
      </w:r>
      <w:bookmarkEnd w:id="418"/>
      <w:bookmarkEnd w:id="419"/>
    </w:p>
    <w:p>
      <w:pPr>
        <w:pStyle w:val="Subsection"/>
      </w:pPr>
      <w:r>
        <w:tab/>
      </w:r>
      <w:r>
        <w:tab/>
        <w:t>This Division applies to explosives in a port area, whether or not at a special berth (explosives).</w:t>
      </w:r>
    </w:p>
    <w:p>
      <w:pPr>
        <w:pStyle w:val="Footnotesection"/>
      </w:pPr>
      <w:r>
        <w:tab/>
        <w:t>[Regulation 111D inserted: Gazette 2 Dec 2013 p.</w:t>
      </w:r>
      <w:r>
        <w:rPr>
          <w:sz w:val="19"/>
        </w:rPr>
        <w:t> </w:t>
      </w:r>
      <w:r>
        <w:t>5589.]</w:t>
      </w:r>
    </w:p>
    <w:p>
      <w:pPr>
        <w:pStyle w:val="Heading5"/>
      </w:pPr>
      <w:bookmarkStart w:id="420" w:name="_Toc201747200"/>
      <w:bookmarkStart w:id="421" w:name="_Toc200095460"/>
      <w:r>
        <w:rPr>
          <w:rStyle w:val="CharSectno"/>
        </w:rPr>
        <w:t>111E</w:t>
      </w:r>
      <w:r>
        <w:t>.</w:t>
      </w:r>
      <w:r>
        <w:tab/>
        <w:t>Master’s duties</w:t>
      </w:r>
      <w:bookmarkEnd w:id="420"/>
      <w:bookmarkEnd w:id="421"/>
    </w:p>
    <w:p>
      <w:pPr>
        <w:pStyle w:val="Subsection"/>
      </w:pPr>
      <w:r>
        <w:tab/>
        <w:t>(1)</w:t>
      </w:r>
      <w:r>
        <w:tab/>
        <w:t>The master of a vessel in a port area that is transporting or about to transport an explosive commits an offence if any of the requirements of AS 3846 clause 4.3.1(b), (f), (h), (k), (l), (n), (o) or (p) is contravened on board or in respect of the vessel.</w:t>
      </w:r>
    </w:p>
    <w:p>
      <w:pPr>
        <w:pStyle w:val="Subsection"/>
      </w:pPr>
      <w:r>
        <w:tab/>
        <w:t>(2)</w:t>
      </w:r>
      <w:r>
        <w:tab/>
        <w:t>The master of a vessel on which there is an explosive commits an offence if any of the requirements of AS 3846 clause 4.4 is contravened while the vessel is in a port area.</w:t>
      </w:r>
    </w:p>
    <w:p>
      <w:pPr>
        <w:pStyle w:val="Penstart"/>
      </w:pPr>
      <w:r>
        <w:tab/>
        <w:t>Penalty: a level 2 fine.</w:t>
      </w:r>
    </w:p>
    <w:p>
      <w:pPr>
        <w:pStyle w:val="Footnotesection"/>
      </w:pPr>
      <w:r>
        <w:tab/>
        <w:t>[Regulation 111E inserted: Gazette 2 Dec 2013 p.</w:t>
      </w:r>
      <w:r>
        <w:rPr>
          <w:sz w:val="19"/>
        </w:rPr>
        <w:t> </w:t>
      </w:r>
      <w:r>
        <w:t>5589.]</w:t>
      </w:r>
    </w:p>
    <w:p>
      <w:pPr>
        <w:pStyle w:val="Heading5"/>
        <w:spacing w:before="240"/>
      </w:pPr>
      <w:bookmarkStart w:id="422" w:name="_Toc201747201"/>
      <w:bookmarkStart w:id="423" w:name="_Toc200095461"/>
      <w:r>
        <w:rPr>
          <w:rStyle w:val="CharSectno"/>
        </w:rPr>
        <w:t>111F</w:t>
      </w:r>
      <w:r>
        <w:t>.</w:t>
      </w:r>
      <w:r>
        <w:tab/>
        <w:t>Prime contractor’s duties</w:t>
      </w:r>
      <w:bookmarkEnd w:id="422"/>
      <w:bookmarkEnd w:id="423"/>
    </w:p>
    <w:p>
      <w:pPr>
        <w:pStyle w:val="Subsection"/>
      </w:pPr>
      <w:r>
        <w:tab/>
      </w:r>
      <w:r>
        <w:tab/>
        <w:t>The prime contractor for the transport of an explosive by road into, in or from a port area commits an offence if any of the requirements of AS 3846 clause 4.3.1(j), (k), (l) or (n) is contravened in relation to the transport of the explosive into, in or from the port area.</w:t>
      </w:r>
    </w:p>
    <w:p>
      <w:pPr>
        <w:pStyle w:val="Penstart"/>
      </w:pPr>
      <w:r>
        <w:tab/>
        <w:t>Penalty: a level 2 fine.</w:t>
      </w:r>
    </w:p>
    <w:p>
      <w:pPr>
        <w:pStyle w:val="Footnotesection"/>
      </w:pPr>
      <w:r>
        <w:tab/>
        <w:t>[Regulation 111F inserted: Gazette 2 Dec 2013 p.</w:t>
      </w:r>
      <w:r>
        <w:rPr>
          <w:sz w:val="19"/>
        </w:rPr>
        <w:t> </w:t>
      </w:r>
      <w:r>
        <w:t>5589</w:t>
      </w:r>
      <w:r>
        <w:noBreakHyphen/>
        <w:t>90.]</w:t>
      </w:r>
    </w:p>
    <w:p>
      <w:pPr>
        <w:pStyle w:val="Heading5"/>
        <w:spacing w:before="240"/>
      </w:pPr>
      <w:bookmarkStart w:id="424" w:name="_Toc201747202"/>
      <w:bookmarkStart w:id="425" w:name="_Toc200095462"/>
      <w:r>
        <w:rPr>
          <w:rStyle w:val="CharSectno"/>
        </w:rPr>
        <w:t>111G</w:t>
      </w:r>
      <w:r>
        <w:t>.</w:t>
      </w:r>
      <w:r>
        <w:tab/>
        <w:t>Berth operator’s duties</w:t>
      </w:r>
      <w:bookmarkEnd w:id="424"/>
      <w:bookmarkEnd w:id="425"/>
    </w:p>
    <w:p>
      <w:pPr>
        <w:pStyle w:val="Subsection"/>
        <w:spacing w:before="200"/>
      </w:pPr>
      <w:r>
        <w:tab/>
      </w:r>
      <w:r>
        <w:tab/>
        <w:t>The berth operator of a berth where an explosive is being handled commits an offence if a requirement or recommendation of any of these clauses of AS 3846 is contravened —</w:t>
      </w:r>
    </w:p>
    <w:p>
      <w:pPr>
        <w:pStyle w:val="Indenta"/>
      </w:pPr>
      <w:r>
        <w:tab/>
        <w:t>(a)</w:t>
      </w:r>
      <w:r>
        <w:tab/>
        <w:t>clause 4.3.1 (other than paragraphs (d), (e), (h), (m) and (q));</w:t>
      </w:r>
    </w:p>
    <w:p>
      <w:pPr>
        <w:pStyle w:val="Indenta"/>
      </w:pPr>
      <w:r>
        <w:tab/>
        <w:t>(b)</w:t>
      </w:r>
      <w:r>
        <w:tab/>
        <w:t>clause 4.3.3(a);</w:t>
      </w:r>
    </w:p>
    <w:p>
      <w:pPr>
        <w:pStyle w:val="Indenta"/>
      </w:pPr>
      <w:r>
        <w:tab/>
        <w:t>(c)</w:t>
      </w:r>
      <w:r>
        <w:tab/>
        <w:t>clause 4.3.4;</w:t>
      </w:r>
    </w:p>
    <w:p>
      <w:pPr>
        <w:pStyle w:val="Indenta"/>
      </w:pPr>
      <w:r>
        <w:tab/>
        <w:t>(d)</w:t>
      </w:r>
      <w:r>
        <w:tab/>
        <w:t>clause 4.3.5;</w:t>
      </w:r>
    </w:p>
    <w:p>
      <w:pPr>
        <w:pStyle w:val="Indenta"/>
      </w:pPr>
      <w:r>
        <w:tab/>
        <w:t>(e)</w:t>
      </w:r>
      <w:r>
        <w:tab/>
        <w:t>clause 4.3.6.</w:t>
      </w:r>
    </w:p>
    <w:p>
      <w:pPr>
        <w:pStyle w:val="Penstart"/>
      </w:pPr>
      <w:r>
        <w:tab/>
        <w:t>Penalty: a level 2 fine.</w:t>
      </w:r>
    </w:p>
    <w:p>
      <w:pPr>
        <w:pStyle w:val="Footnotesection"/>
      </w:pPr>
      <w:r>
        <w:tab/>
        <w:t>[Regulation 111G inserted: Gazette 2 Dec 2013 p.</w:t>
      </w:r>
      <w:r>
        <w:rPr>
          <w:sz w:val="19"/>
        </w:rPr>
        <w:t> </w:t>
      </w:r>
      <w:r>
        <w:t>5590.]</w:t>
      </w:r>
    </w:p>
    <w:p>
      <w:pPr>
        <w:pStyle w:val="Heading5"/>
      </w:pPr>
      <w:bookmarkStart w:id="426" w:name="_Toc201747203"/>
      <w:bookmarkStart w:id="427" w:name="_Toc200095463"/>
      <w:r>
        <w:rPr>
          <w:rStyle w:val="CharSectno"/>
        </w:rPr>
        <w:t>111H</w:t>
      </w:r>
      <w:r>
        <w:t>.</w:t>
      </w:r>
      <w:r>
        <w:tab/>
        <w:t>Fire control equipment required at berth</w:t>
      </w:r>
      <w:bookmarkEnd w:id="426"/>
      <w:bookmarkEnd w:id="427"/>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The berth operator of the berth must ensure the berth has adequate fire control equipment.</w:t>
      </w:r>
    </w:p>
    <w:p>
      <w:pPr>
        <w:pStyle w:val="Penstart"/>
      </w:pPr>
      <w:r>
        <w:tab/>
        <w:t>Penalty: a level 1 fine.</w:t>
      </w:r>
    </w:p>
    <w:p>
      <w:pPr>
        <w:pStyle w:val="Subsection"/>
      </w:pPr>
      <w:r>
        <w:tab/>
        <w:t>(3)</w:t>
      </w:r>
      <w:r>
        <w:tab/>
        <w:t>For the purposes of subregulation (2), fire control equipment is not adequate fire control equipment unless —</w:t>
      </w:r>
    </w:p>
    <w:p>
      <w:pPr>
        <w:pStyle w:val="Indenta"/>
      </w:pPr>
      <w:r>
        <w:tab/>
        <w:t>(a)</w:t>
      </w:r>
      <w:r>
        <w:tab/>
        <w:t>it is designed and constructed either to automatically extinguish or to be capable, when used by a person, of extinguishing any fire that is reasonably foreseeable at the berth having regard to —</w:t>
      </w:r>
    </w:p>
    <w:p>
      <w:pPr>
        <w:pStyle w:val="Indenti"/>
      </w:pPr>
      <w:r>
        <w:tab/>
        <w:t>(i)</w:t>
      </w:r>
      <w:r>
        <w:tab/>
        <w:t>the types and quantities of explosives at the berth; and</w:t>
      </w:r>
    </w:p>
    <w:p>
      <w:pPr>
        <w:pStyle w:val="Indenti"/>
      </w:pPr>
      <w:r>
        <w:tab/>
        <w:t>(ii)</w:t>
      </w:r>
      <w:r>
        <w:tab/>
        <w:t>the conditions under which they are handled at the berth; and</w:t>
      </w:r>
    </w:p>
    <w:p>
      <w:pPr>
        <w:pStyle w:val="Indenti"/>
        <w:keepNext/>
      </w:pPr>
      <w:r>
        <w:tab/>
        <w:t>(iii)</w:t>
      </w:r>
      <w:r>
        <w:tab/>
        <w:t>any materials and other substances at the berth;</w:t>
      </w:r>
    </w:p>
    <w:p>
      <w:pPr>
        <w:pStyle w:val="Indenta"/>
      </w:pPr>
      <w:r>
        <w:tab/>
      </w:r>
      <w:r>
        <w:tab/>
        <w:t>and</w:t>
      </w:r>
    </w:p>
    <w:p>
      <w:pPr>
        <w:pStyle w:val="Indenta"/>
      </w:pPr>
      <w:r>
        <w:tab/>
        <w:t>(b)</w:t>
      </w:r>
      <w:r>
        <w:tab/>
        <w:t>it is designed and constructed to prevent explosives at the berth from being affected by any such fire; and</w:t>
      </w:r>
    </w:p>
    <w:p>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pPr>
        <w:pStyle w:val="Indenta"/>
      </w:pPr>
      <w:r>
        <w:tab/>
        <w:t>(d)</w:t>
      </w:r>
      <w:r>
        <w:tab/>
        <w:t>each substance it uses to extinguish any such fire is compatible with the material that is on fire.</w:t>
      </w:r>
    </w:p>
    <w:p>
      <w:pPr>
        <w:pStyle w:val="Subsection"/>
      </w:pPr>
      <w:r>
        <w:tab/>
        <w:t>(4)</w:t>
      </w:r>
      <w:r>
        <w:tab/>
        <w:t>The berth operator of the berth must ensure the fire control equipment at the berth is in proper working order.</w:t>
      </w:r>
    </w:p>
    <w:p>
      <w:pPr>
        <w:pStyle w:val="Penstart"/>
      </w:pPr>
      <w:r>
        <w:tab/>
        <w:t>Penalty: a level 1 fine.</w:t>
      </w:r>
    </w:p>
    <w:p>
      <w:pPr>
        <w:pStyle w:val="Subsection"/>
      </w:pPr>
      <w:r>
        <w:tab/>
        <w:t>(5)</w:t>
      </w:r>
      <w:r>
        <w:tab/>
        <w:t>For the purposes of subregulation (4), fire control equipment is not in proper working order unless —</w:t>
      </w:r>
    </w:p>
    <w:p>
      <w:pPr>
        <w:pStyle w:val="Indenta"/>
      </w:pPr>
      <w:r>
        <w:tab/>
        <w:t>(a)</w:t>
      </w:r>
      <w:r>
        <w:tab/>
        <w:t>it is installed, maintained and tested in accordance with the instructions of its designer and manufacturer; and</w:t>
      </w:r>
    </w:p>
    <w:p>
      <w:pPr>
        <w:pStyle w:val="Indenta"/>
      </w:pPr>
      <w:r>
        <w:tab/>
        <w:t>(b)</w:t>
      </w:r>
      <w:r>
        <w:tab/>
        <w:t>it is always in working order; and</w:t>
      </w:r>
    </w:p>
    <w:p>
      <w:pPr>
        <w:pStyle w:val="Indenta"/>
      </w:pPr>
      <w:r>
        <w:tab/>
        <w:t>(c)</w:t>
      </w:r>
      <w:r>
        <w:tab/>
        <w:t>it is always available for immediate use to extinguish a fire; and</w:t>
      </w:r>
    </w:p>
    <w:p>
      <w:pPr>
        <w:pStyle w:val="Indenta"/>
      </w:pPr>
      <w:r>
        <w:tab/>
        <w:t>(d)</w:t>
      </w:r>
      <w:r>
        <w:tab/>
        <w:t>it is not obstructed or otherwise positioned in a manner that hinders its operation or access to it or use of it.</w:t>
      </w:r>
    </w:p>
    <w:p>
      <w:pPr>
        <w:pStyle w:val="Subsection"/>
      </w:pPr>
      <w:r>
        <w:tab/>
        <w:t>(6)</w:t>
      </w:r>
      <w:r>
        <w:tab/>
        <w:t>If any fire control equipment at the berth stops working or becomes unusable, the operator of the berth must ensure that —</w:t>
      </w:r>
    </w:p>
    <w:p>
      <w:pPr>
        <w:pStyle w:val="Indenta"/>
      </w:pPr>
      <w:r>
        <w:tab/>
        <w:t>(a)</w:t>
      </w:r>
      <w:r>
        <w:tab/>
        <w:t>the implications of the equipment being inoperative or unusable are assessed; and</w:t>
      </w:r>
    </w:p>
    <w:p>
      <w:pPr>
        <w:pStyle w:val="Indenta"/>
      </w:pPr>
      <w:r>
        <w:tab/>
        <w:t>(b)</w:t>
      </w:r>
      <w:r>
        <w:tab/>
        <w:t>alternative measures are taken to control, to the same level of effectiveness, the risks that were controlled by the equipment when functioning fully; and</w:t>
      </w:r>
    </w:p>
    <w:p>
      <w:pPr>
        <w:pStyle w:val="Indenta"/>
        <w:keepNext/>
      </w:pPr>
      <w:r>
        <w:tab/>
        <w:t>(c)</w:t>
      </w:r>
      <w:r>
        <w:tab/>
        <w:t>the equipment is replaced or</w:t>
      </w:r>
      <w:r>
        <w:rPr>
          <w:rStyle w:val="DraftersNotes"/>
        </w:rPr>
        <w:t xml:space="preserve"> </w:t>
      </w:r>
      <w:r>
        <w:t>returned to full operation as soon as practicable.</w:t>
      </w:r>
    </w:p>
    <w:p>
      <w:pPr>
        <w:pStyle w:val="Penstart"/>
      </w:pPr>
      <w:r>
        <w:tab/>
        <w:t>Penalty: a level 1 fine.</w:t>
      </w:r>
    </w:p>
    <w:p>
      <w:pPr>
        <w:pStyle w:val="Subsection"/>
      </w:pPr>
      <w:r>
        <w:tab/>
        <w:t>(7)</w:t>
      </w:r>
      <w:r>
        <w:tab/>
        <w:t>If the implications assessed by the operator under subregulation (6)(a) include a significant reduction in the effectiveness of the fire control equipment, the operator must notify the FES Commissioner of the fact as soon as practicable after the equipment stops working or becomes unusable.</w:t>
      </w:r>
    </w:p>
    <w:p>
      <w:pPr>
        <w:pStyle w:val="Penstart"/>
      </w:pPr>
      <w:r>
        <w:tab/>
        <w:t>Penalty: a level 2 fine.</w:t>
      </w:r>
    </w:p>
    <w:p>
      <w:pPr>
        <w:pStyle w:val="Subsection"/>
      </w:pPr>
      <w:r>
        <w:tab/>
        <w:t>(8)</w:t>
      </w:r>
      <w:r>
        <w:tab/>
        <w:t>In determining the alternative measures required under subregulation (6)(b) the operator must have regard to the need for —</w:t>
      </w:r>
    </w:p>
    <w:p>
      <w:pPr>
        <w:pStyle w:val="Indenta"/>
      </w:pPr>
      <w:r>
        <w:tab/>
        <w:t>(a)</w:t>
      </w:r>
      <w:r>
        <w:tab/>
        <w:t>the provision of alternative fire control equipment; and</w:t>
      </w:r>
    </w:p>
    <w:p>
      <w:pPr>
        <w:pStyle w:val="Indenta"/>
      </w:pPr>
      <w:r>
        <w:tab/>
        <w:t>(b)</w:t>
      </w:r>
      <w:r>
        <w:tab/>
        <w:t>a reduction of the quantities of explosives at the berth; and</w:t>
      </w:r>
    </w:p>
    <w:p>
      <w:pPr>
        <w:pStyle w:val="Indenta"/>
      </w:pPr>
      <w:r>
        <w:tab/>
        <w:t>(c)</w:t>
      </w:r>
      <w:r>
        <w:tab/>
        <w:t>the handling of explosives to stop or be limited; and</w:t>
      </w:r>
    </w:p>
    <w:p>
      <w:pPr>
        <w:pStyle w:val="Indenta"/>
      </w:pPr>
      <w:r>
        <w:tab/>
        <w:t>(d)</w:t>
      </w:r>
      <w:r>
        <w:tab/>
        <w:t>modifications to systems of work.</w:t>
      </w:r>
    </w:p>
    <w:p>
      <w:pPr>
        <w:pStyle w:val="Footnotesection"/>
      </w:pPr>
      <w:r>
        <w:tab/>
        <w:t>[Regulation 111H inserted: Gazette 2 Dec 2013 p.</w:t>
      </w:r>
      <w:r>
        <w:rPr>
          <w:sz w:val="19"/>
        </w:rPr>
        <w:t> </w:t>
      </w:r>
      <w:r>
        <w:t>5590</w:t>
      </w:r>
      <w:r>
        <w:noBreakHyphen/>
        <w:t>3.]</w:t>
      </w:r>
    </w:p>
    <w:p>
      <w:pPr>
        <w:pStyle w:val="Heading5"/>
      </w:pPr>
      <w:bookmarkStart w:id="428" w:name="_Toc201747204"/>
      <w:bookmarkStart w:id="429" w:name="_Toc200095464"/>
      <w:r>
        <w:rPr>
          <w:rStyle w:val="CharSectno"/>
        </w:rPr>
        <w:t>111I</w:t>
      </w:r>
      <w:r>
        <w:t>.</w:t>
      </w:r>
      <w:r>
        <w:tab/>
        <w:t>Emergency plan required for berth</w:t>
      </w:r>
      <w:bookmarkEnd w:id="428"/>
      <w:bookmarkEnd w:id="429"/>
    </w:p>
    <w:p>
      <w:pPr>
        <w:pStyle w:val="Subsection"/>
      </w:pPr>
      <w:r>
        <w:tab/>
        <w:t>(1)</w:t>
      </w:r>
      <w:r>
        <w:tab/>
        <w:t>In this regulation —</w:t>
      </w:r>
    </w:p>
    <w:p>
      <w:pPr>
        <w:pStyle w:val="Defstart"/>
      </w:pPr>
      <w:r>
        <w:tab/>
      </w:r>
      <w:r>
        <w:rPr>
          <w:rStyle w:val="CharDefText"/>
        </w:rPr>
        <w:t>emergency plan</w:t>
      </w:r>
      <w:r>
        <w:t>, for a berth, means a document that contains —</w:t>
      </w:r>
    </w:p>
    <w:p>
      <w:pPr>
        <w:pStyle w:val="Defpara"/>
      </w:pPr>
      <w:r>
        <w:tab/>
        <w:t>(a)</w:t>
      </w:r>
      <w:r>
        <w:tab/>
        <w:t>a plan of the actions to be taken and the procedures to be followed; and</w:t>
      </w:r>
    </w:p>
    <w:p>
      <w:pPr>
        <w:pStyle w:val="Defpara"/>
      </w:pPr>
      <w:r>
        <w:tab/>
        <w:t>(b)</w:t>
      </w:r>
      <w:r>
        <w:tab/>
        <w:t>the information needed by people,</w:t>
      </w:r>
    </w:p>
    <w:p>
      <w:pPr>
        <w:pStyle w:val="Defstart"/>
      </w:pPr>
      <w:r>
        <w:tab/>
        <w:t>if a dangerous situation occurs at the berth.</w:t>
      </w:r>
    </w:p>
    <w:p>
      <w:pPr>
        <w:pStyle w:val="Subsection"/>
      </w:pPr>
      <w:r>
        <w:tab/>
        <w:t>(2)</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(3)</w:t>
      </w:r>
      <w:r>
        <w:tab/>
        <w:t>The operator of the berth must ensure there is an emergency plan for the berth.</w:t>
      </w:r>
    </w:p>
    <w:p>
      <w:pPr>
        <w:pStyle w:val="Penstart"/>
      </w:pPr>
      <w:r>
        <w:tab/>
        <w:t>Penalty: a level 2 fine.</w:t>
      </w:r>
    </w:p>
    <w:p>
      <w:pPr>
        <w:pStyle w:val="Subsection"/>
      </w:pPr>
      <w:r>
        <w:tab/>
        <w:t>(4)</w:t>
      </w:r>
      <w:r>
        <w:tab/>
        <w:t>The operator of the berth may at any time revise the emergency plan for the berth.</w:t>
      </w:r>
    </w:p>
    <w:p>
      <w:pPr>
        <w:pStyle w:val="Subsection"/>
      </w:pPr>
      <w:r>
        <w:tab/>
        <w:t>(5)</w:t>
      </w:r>
      <w:r>
        <w:tab/>
        <w:t>The operator of the berth must review the emergency plan and, if necessary, revise it —</w:t>
      </w:r>
    </w:p>
    <w:p>
      <w:pPr>
        <w:pStyle w:val="Indenta"/>
      </w:pPr>
      <w:r>
        <w:tab/>
        <w:t>(a)</w:t>
      </w:r>
      <w:r>
        <w:tab/>
        <w:t>whenever there is a significant change in the risk in relation to explosives at the berth to people, property or the environment; and</w:t>
      </w:r>
    </w:p>
    <w:p>
      <w:pPr>
        <w:pStyle w:val="Indenta"/>
      </w:pPr>
      <w:r>
        <w:tab/>
        <w:t>(b)</w:t>
      </w:r>
      <w:r>
        <w:tab/>
        <w:t>as soon as practicable after a dangerous situation occurs at the berth; and</w:t>
      </w:r>
    </w:p>
    <w:p>
      <w:pPr>
        <w:pStyle w:val="Indenta"/>
      </w:pPr>
      <w:r>
        <w:tab/>
        <w:t>(c)</w:t>
      </w:r>
      <w:r>
        <w:tab/>
        <w:t>in any event, at intervals of not more than 3 years from the day on which the plan was first made or last revised.</w:t>
      </w:r>
    </w:p>
    <w:p>
      <w:pPr>
        <w:pStyle w:val="Penstart"/>
      </w:pPr>
      <w:r>
        <w:tab/>
        <w:t>Penalty: a level 2 fine.</w:t>
      </w:r>
    </w:p>
    <w:p>
      <w:pPr>
        <w:pStyle w:val="Subsection"/>
      </w:pPr>
      <w:r>
        <w:tab/>
        <w:t>(6)</w:t>
      </w:r>
      <w:r>
        <w:tab/>
        <w:t>The operator of the berth must have a copy of the current emergency plan for the berth at the berth.</w:t>
      </w:r>
    </w:p>
    <w:p>
      <w:pPr>
        <w:pStyle w:val="Penstart"/>
      </w:pPr>
      <w:r>
        <w:tab/>
        <w:t>Penalty: a level 1 fine.</w:t>
      </w:r>
    </w:p>
    <w:p>
      <w:pPr>
        <w:pStyle w:val="Subsection"/>
      </w:pPr>
      <w:r>
        <w:tab/>
        <w:t>(7)</w:t>
      </w:r>
      <w:r>
        <w:tab/>
        <w:t>The operator of the berth, on request, must give a copy of the current emergency plan for the berth to the Chief Officer, a DGO or the FES Commissioner.</w:t>
      </w:r>
    </w:p>
    <w:p>
      <w:pPr>
        <w:pStyle w:val="Penstart"/>
      </w:pPr>
      <w:r>
        <w:tab/>
        <w:t>Penalty: a level 3 fine.</w:t>
      </w:r>
    </w:p>
    <w:p>
      <w:pPr>
        <w:pStyle w:val="Subsection"/>
      </w:pPr>
      <w:r>
        <w:tab/>
        <w:t>(8)</w:t>
      </w:r>
      <w:r>
        <w:tab/>
        <w:t>The Chief Officer, a DGO or the FES Commissioner, by a written notice, may direct the operator of the berth to make such amendments to the emergency plan as are specified in the notice before a date specified in the notice.</w:t>
      </w:r>
    </w:p>
    <w:p>
      <w:pPr>
        <w:pStyle w:val="Subsection"/>
      </w:pPr>
      <w:r>
        <w:tab/>
        <w:t>(9)</w:t>
      </w:r>
      <w:r>
        <w:tab/>
        <w:t>An operator given a notice under subregulation (8) must obey it.</w:t>
      </w:r>
    </w:p>
    <w:p>
      <w:pPr>
        <w:pStyle w:val="Penstart"/>
      </w:pPr>
      <w:r>
        <w:tab/>
        <w:t>Penalty: a level 3 fine.</w:t>
      </w:r>
    </w:p>
    <w:p>
      <w:pPr>
        <w:pStyle w:val="Subsection"/>
        <w:keepNext/>
      </w:pPr>
      <w:r>
        <w:tab/>
        <w:t>(10)</w:t>
      </w:r>
      <w:r>
        <w:tab/>
        <w:t>A person who, under an emergency plan for a berth, has a function and who, without a reasonable excuse, does not obey the emergency plan commits an offence.</w:t>
      </w:r>
    </w:p>
    <w:p>
      <w:pPr>
        <w:pStyle w:val="Penstart"/>
      </w:pPr>
      <w:r>
        <w:tab/>
        <w:t>Penalty: a level 2 fine.</w:t>
      </w:r>
    </w:p>
    <w:p>
      <w:pPr>
        <w:pStyle w:val="Footnotesection"/>
      </w:pPr>
      <w:r>
        <w:tab/>
        <w:t>[Regulation 111I inserted: Gazette 2 Dec 2013 p.</w:t>
      </w:r>
      <w:r>
        <w:rPr>
          <w:sz w:val="19"/>
        </w:rPr>
        <w:t> </w:t>
      </w:r>
      <w:r>
        <w:t>5593</w:t>
      </w:r>
      <w:r>
        <w:noBreakHyphen/>
        <w:t>4.]</w:t>
      </w:r>
    </w:p>
    <w:p>
      <w:pPr>
        <w:pStyle w:val="Heading5"/>
      </w:pPr>
      <w:bookmarkStart w:id="430" w:name="_Toc201747205"/>
      <w:bookmarkStart w:id="431" w:name="_Toc200095465"/>
      <w:r>
        <w:rPr>
          <w:rStyle w:val="CharSectno"/>
        </w:rPr>
        <w:t>111J</w:t>
      </w:r>
      <w:r>
        <w:t>.</w:t>
      </w:r>
      <w:r>
        <w:tab/>
        <w:t>Information for occupier of site at risk from proximity to berth handling explosives</w:t>
      </w:r>
      <w:bookmarkEnd w:id="430"/>
      <w:bookmarkEnd w:id="431"/>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If, in the event of a dangerous situation occurring at the berth, the risk in relation to explosives at the berth to people, property or the environment would extend to a place because of its proximity to the berth, the operator of the berth must ensure the occupier of the place is given at least the following —</w:t>
      </w:r>
    </w:p>
    <w:p>
      <w:pPr>
        <w:pStyle w:val="Indenta"/>
      </w:pPr>
      <w:r>
        <w:tab/>
        <w:t>(a)</w:t>
      </w:r>
      <w:r>
        <w:tab/>
        <w:t>information about the risk and what might happen if a dangerous situation occurs at the berth;</w:t>
      </w:r>
    </w:p>
    <w:p>
      <w:pPr>
        <w:pStyle w:val="Indenta"/>
      </w:pPr>
      <w:r>
        <w:tab/>
        <w:t>(b)</w:t>
      </w:r>
      <w:r>
        <w:tab/>
        <w:t>information about what to do if a dangerous situation occurs at the berth;</w:t>
      </w:r>
    </w:p>
    <w:p>
      <w:pPr>
        <w:pStyle w:val="Indenta"/>
      </w:pPr>
      <w:r>
        <w:tab/>
        <w:t>(c)</w:t>
      </w:r>
      <w:r>
        <w:tab/>
        <w:t>information about what the operator will do if a dangerous situation occurs at the berth;</w:t>
      </w:r>
    </w:p>
    <w:p>
      <w:pPr>
        <w:pStyle w:val="Indenta"/>
      </w:pPr>
      <w:r>
        <w:tab/>
        <w:t>(d)</w:t>
      </w:r>
      <w:r>
        <w:tab/>
        <w:t>information to enable the occupier to contact the berth operator.</w:t>
      </w:r>
    </w:p>
    <w:p>
      <w:pPr>
        <w:pStyle w:val="Penstart"/>
      </w:pPr>
      <w:r>
        <w:tab/>
        <w:t>Penalty: a level 2 fine.</w:t>
      </w:r>
    </w:p>
    <w:p>
      <w:pPr>
        <w:pStyle w:val="Footnotesection"/>
      </w:pPr>
      <w:r>
        <w:tab/>
        <w:t>[Regulation 111J inserted: Gazette 2 Dec 2013 p.</w:t>
      </w:r>
      <w:r>
        <w:rPr>
          <w:sz w:val="19"/>
        </w:rPr>
        <w:t> </w:t>
      </w:r>
      <w:r>
        <w:t>5595.]</w:t>
      </w:r>
    </w:p>
    <w:p>
      <w:pPr>
        <w:pStyle w:val="Heading3"/>
      </w:pPr>
      <w:bookmarkStart w:id="432" w:name="_Toc201670560"/>
      <w:bookmarkStart w:id="433" w:name="_Toc201671224"/>
      <w:bookmarkStart w:id="434" w:name="_Toc201747206"/>
      <w:bookmarkStart w:id="435" w:name="_Toc200031659"/>
      <w:bookmarkStart w:id="436" w:name="_Toc200036647"/>
      <w:bookmarkStart w:id="437" w:name="_Toc200095466"/>
      <w:r>
        <w:rPr>
          <w:rStyle w:val="CharDivNo"/>
        </w:rPr>
        <w:t>Division 3</w:t>
      </w:r>
      <w:r>
        <w:t> — </w:t>
      </w:r>
      <w:r>
        <w:rPr>
          <w:rStyle w:val="CharDivText"/>
        </w:rPr>
        <w:t>Special berth (explosives)</w:t>
      </w:r>
      <w:bookmarkEnd w:id="432"/>
      <w:bookmarkEnd w:id="433"/>
      <w:bookmarkEnd w:id="434"/>
      <w:bookmarkEnd w:id="435"/>
      <w:bookmarkEnd w:id="436"/>
      <w:bookmarkEnd w:id="437"/>
    </w:p>
    <w:p>
      <w:pPr>
        <w:pStyle w:val="Footnoteheading"/>
        <w:keepNext/>
      </w:pPr>
      <w:r>
        <w:tab/>
        <w:t>[Heading inserted: Gazette 2 Dec 2013 p. 5595.]</w:t>
      </w:r>
    </w:p>
    <w:p>
      <w:pPr>
        <w:pStyle w:val="Heading5"/>
      </w:pPr>
      <w:bookmarkStart w:id="438" w:name="_Toc201747207"/>
      <w:bookmarkStart w:id="439" w:name="_Toc200095467"/>
      <w:r>
        <w:rPr>
          <w:rStyle w:val="CharSectno"/>
        </w:rPr>
        <w:t>111K</w:t>
      </w:r>
      <w:r>
        <w:t>.</w:t>
      </w:r>
      <w:r>
        <w:tab/>
        <w:t>When special berth (explosives) required</w:t>
      </w:r>
      <w:bookmarkEnd w:id="438"/>
      <w:bookmarkEnd w:id="439"/>
    </w:p>
    <w:p>
      <w:pPr>
        <w:pStyle w:val="Subsection"/>
      </w:pPr>
      <w:r>
        <w:tab/>
        <w:t>(1)</w:t>
      </w:r>
      <w:r>
        <w:tab/>
        <w:t>A person must not handle an explosive, or allow an explosive to be handled, in a port area except at a special berth (explosives) at which the explosive may be handled under a declaration made under regulation 111N.</w:t>
      </w:r>
    </w:p>
    <w:p>
      <w:pPr>
        <w:pStyle w:val="Penstart"/>
      </w:pPr>
      <w:r>
        <w:tab/>
        <w:t>Penalty: a level 1 fine.</w:t>
      </w:r>
    </w:p>
    <w:p>
      <w:pPr>
        <w:pStyle w:val="Subsection"/>
      </w:pPr>
      <w:r>
        <w:tab/>
        <w:t>(2)</w:t>
      </w:r>
      <w:r>
        <w:tab/>
        <w:t xml:space="preserve">Subregulation (1) does not apply to a berth if — </w:t>
      </w:r>
    </w:p>
    <w:p>
      <w:pPr>
        <w:pStyle w:val="Indenta"/>
      </w:pPr>
      <w:r>
        <w:tab/>
        <w:t>(a)</w:t>
      </w:r>
      <w:r>
        <w:tab/>
        <w:t>the distance between an explosive at the berth or on any vessel at the berth and each of the following —</w:t>
      </w:r>
    </w:p>
    <w:p>
      <w:pPr>
        <w:pStyle w:val="Indenti"/>
      </w:pPr>
      <w:r>
        <w:tab/>
        <w:t>(i)</w:t>
      </w:r>
      <w:r>
        <w:tab/>
        <w:t>every protected place;</w:t>
      </w:r>
    </w:p>
    <w:p>
      <w:pPr>
        <w:pStyle w:val="Indenti"/>
      </w:pPr>
      <w:r>
        <w:tab/>
        <w:t>(ii)</w:t>
      </w:r>
      <w:r>
        <w:tab/>
        <w:t>the accommodation quarters on any vessel, other than a vessel at the berth to load or unload the explosive,</w:t>
      </w:r>
    </w:p>
    <w:p>
      <w:pPr>
        <w:pStyle w:val="Indenta"/>
      </w:pPr>
      <w:r>
        <w:tab/>
      </w:r>
      <w:r>
        <w:tab/>
        <w:t>is at least the separation distance specified in Table 4.2 in AS 3846 for the NEQ of the explosive or, if the explosive has a classification code of 1.6, for the NEQ of a single article containing the explosive; and</w:t>
      </w:r>
    </w:p>
    <w:p>
      <w:pPr>
        <w:pStyle w:val="Indenta"/>
      </w:pPr>
      <w:r>
        <w:tab/>
        <w:t>(b)</w:t>
      </w:r>
      <w:r>
        <w:tab/>
        <w:t>the distance between an explosive at the berth or on any vessel at the berth and each of the following —</w:t>
      </w:r>
    </w:p>
    <w:p>
      <w:pPr>
        <w:pStyle w:val="Indenti"/>
      </w:pPr>
      <w:r>
        <w:tab/>
        <w:t>(i)</w:t>
      </w:r>
      <w:r>
        <w:tab/>
        <w:t>every road open to and used by the public;</w:t>
      </w:r>
    </w:p>
    <w:p>
      <w:pPr>
        <w:pStyle w:val="Indenti"/>
      </w:pPr>
      <w:r>
        <w:tab/>
        <w:t>(ii)</w:t>
      </w:r>
      <w:r>
        <w:tab/>
        <w:t>every railway used by the public,</w:t>
      </w:r>
    </w:p>
    <w:p>
      <w:pPr>
        <w:pStyle w:val="Indenta"/>
      </w:pPr>
      <w:r>
        <w:tab/>
      </w:r>
      <w:r>
        <w:tab/>
        <w:t>is at least half the separation distance specified in Table 4.2 in AS 3846 for the NEQ of the explosive or, if the explosive has a classification code of 1.6, for the NEQ of a single article containing the explosive.</w:t>
      </w:r>
    </w:p>
    <w:p>
      <w:pPr>
        <w:pStyle w:val="Subsection"/>
      </w:pPr>
      <w:r>
        <w:tab/>
        <w:t>(3)</w:t>
      </w:r>
      <w:r>
        <w:tab/>
        <w:t>For the purposes of subregulation (2)(a) and (b), the NEQ of an explosive at a berth is the total NEQ of the explosive that is —</w:t>
      </w:r>
    </w:p>
    <w:p>
      <w:pPr>
        <w:pStyle w:val="Indenta"/>
      </w:pPr>
      <w:r>
        <w:tab/>
        <w:t>(a)</w:t>
      </w:r>
      <w:r>
        <w:tab/>
        <w:t>at the berth; and</w:t>
      </w:r>
    </w:p>
    <w:p>
      <w:pPr>
        <w:pStyle w:val="Indenta"/>
      </w:pPr>
      <w:r>
        <w:tab/>
        <w:t>(b)</w:t>
      </w:r>
      <w:r>
        <w:tab/>
        <w:t>on any vessel at the berth, including any explosive on board that is not handled while the vessel is at the berth.</w:t>
      </w:r>
    </w:p>
    <w:p>
      <w:pPr>
        <w:pStyle w:val="Subsection"/>
      </w:pPr>
      <w:r>
        <w:tab/>
        <w:t>(4)</w:t>
      </w:r>
      <w:r>
        <w:tab/>
        <w:t>For the purposes of subregulation (2)(a) and (b), if explosives with different classification codes are to be handled, the greater or greatest separation distance specified in Table 4.2 in AS 3846 applies.</w:t>
      </w:r>
    </w:p>
    <w:p>
      <w:pPr>
        <w:pStyle w:val="Footnotesection"/>
      </w:pPr>
      <w:r>
        <w:tab/>
        <w:t>[Regulation 111K inserted: Gazette 2 Dec 2013 p.</w:t>
      </w:r>
      <w:r>
        <w:rPr>
          <w:sz w:val="19"/>
        </w:rPr>
        <w:t> </w:t>
      </w:r>
      <w:r>
        <w:t>5595</w:t>
      </w:r>
      <w:r>
        <w:noBreakHyphen/>
        <w:t>7.]</w:t>
      </w:r>
    </w:p>
    <w:p>
      <w:pPr>
        <w:pStyle w:val="Heading5"/>
      </w:pPr>
      <w:bookmarkStart w:id="440" w:name="_Toc201747208"/>
      <w:bookmarkStart w:id="441" w:name="_Toc200095468"/>
      <w:r>
        <w:rPr>
          <w:rStyle w:val="CharSectno"/>
        </w:rPr>
        <w:t>111L</w:t>
      </w:r>
      <w:r>
        <w:t>.</w:t>
      </w:r>
      <w:r>
        <w:tab/>
        <w:t>Applying for declaration of special berth (explosives)</w:t>
      </w:r>
      <w:bookmarkEnd w:id="440"/>
      <w:bookmarkEnd w:id="441"/>
    </w:p>
    <w:p>
      <w:pPr>
        <w:pStyle w:val="Subsection"/>
      </w:pPr>
      <w:r>
        <w:tab/>
        <w:t>(1)</w:t>
      </w:r>
      <w:r>
        <w:tab/>
        <w:t>Only these persons may apply for a berth to be declared a special berth (explosives) —</w:t>
      </w:r>
    </w:p>
    <w:p>
      <w:pPr>
        <w:pStyle w:val="Indenta"/>
      </w:pPr>
      <w:r>
        <w:tab/>
        <w:t>(a)</w:t>
      </w:r>
      <w:r>
        <w:tab/>
        <w:t>the harbour master of the port;</w:t>
      </w:r>
    </w:p>
    <w:p>
      <w:pPr>
        <w:pStyle w:val="Indenta"/>
      </w:pPr>
      <w:r>
        <w:tab/>
        <w:t>(b)</w:t>
      </w:r>
      <w:r>
        <w:tab/>
        <w:t>the operator of the berth.</w:t>
      </w:r>
    </w:p>
    <w:p>
      <w:pPr>
        <w:pStyle w:val="Subsection"/>
      </w:pPr>
      <w:r>
        <w:tab/>
        <w:t>(2)</w:t>
      </w:r>
      <w:r>
        <w:tab/>
        <w:t>An application for a berth to be declared a special berth (explosives) must —</w:t>
      </w:r>
    </w:p>
    <w:p>
      <w:pPr>
        <w:pStyle w:val="Indenta"/>
      </w:pPr>
      <w:r>
        <w:tab/>
        <w:t>(a)</w:t>
      </w:r>
      <w:r>
        <w:tab/>
        <w:t>be made to the Chief Officer; and</w:t>
      </w:r>
    </w:p>
    <w:p>
      <w:pPr>
        <w:pStyle w:val="Indenta"/>
      </w:pPr>
      <w:r>
        <w:tab/>
        <w:t>(b)</w:t>
      </w:r>
      <w:r>
        <w:tab/>
        <w:t>be in an approved form; and</w:t>
      </w:r>
    </w:p>
    <w:p>
      <w:pPr>
        <w:pStyle w:val="Indenta"/>
      </w:pPr>
      <w:r>
        <w:tab/>
        <w:t>(c)</w:t>
      </w:r>
      <w:r>
        <w:tab/>
        <w:t>specify the following —</w:t>
      </w:r>
    </w:p>
    <w:p>
      <w:pPr>
        <w:pStyle w:val="Indenti"/>
      </w:pPr>
      <w:r>
        <w:tab/>
        <w:t>(i)</w:t>
      </w:r>
      <w:r>
        <w:tab/>
        <w:t>the location of the berth;</w:t>
      </w:r>
    </w:p>
    <w:p>
      <w:pPr>
        <w:pStyle w:val="Indenti"/>
      </w:pPr>
      <w:r>
        <w:tab/>
        <w:t>(ii)</w:t>
      </w:r>
      <w:r>
        <w:tab/>
        <w:t>the name of the berth operator;</w:t>
      </w:r>
    </w:p>
    <w:p>
      <w:pPr>
        <w:pStyle w:val="Indenti"/>
      </w:pPr>
      <w:r>
        <w:tab/>
        <w:t>(iii)</w:t>
      </w:r>
      <w:r>
        <w:tab/>
        <w:t>each explosive that will be handled at the berth;</w:t>
      </w:r>
    </w:p>
    <w:p>
      <w:pPr>
        <w:pStyle w:val="Indenti"/>
      </w:pPr>
      <w:r>
        <w:tab/>
        <w:t>(iv)</w:t>
      </w:r>
      <w:r>
        <w:tab/>
        <w:t>the maximum quantity of explosive that will be at the berth and on any vessel at the berth, including any explosive on board that is not handled while the vessel is at the berth;</w:t>
      </w:r>
    </w:p>
    <w:p>
      <w:pPr>
        <w:pStyle w:val="Indenti"/>
      </w:pPr>
      <w:r>
        <w:tab/>
        <w:t>(v)</w:t>
      </w:r>
      <w:r>
        <w:tab/>
        <w:t>any other matter required by the approved form;</w:t>
      </w:r>
    </w:p>
    <w:p>
      <w:pPr>
        <w:pStyle w:val="Indenta"/>
      </w:pPr>
      <w:r>
        <w:tab/>
      </w:r>
      <w:r>
        <w:tab/>
        <w:t>and</w:t>
      </w:r>
    </w:p>
    <w:p>
      <w:pPr>
        <w:pStyle w:val="Indenta"/>
      </w:pPr>
      <w:r>
        <w:tab/>
        <w:t>(d)</w:t>
      </w:r>
      <w:r>
        <w:tab/>
        <w:t>be signed by the applicant; and</w:t>
      </w:r>
    </w:p>
    <w:p>
      <w:pPr>
        <w:pStyle w:val="Indenta"/>
      </w:pPr>
      <w:r>
        <w:tab/>
        <w:t>(e)</w:t>
      </w:r>
      <w:r>
        <w:tab/>
        <w:t>be accompanied by the following —</w:t>
      </w:r>
    </w:p>
    <w:p>
      <w:pPr>
        <w:pStyle w:val="Indenti"/>
      </w:pPr>
      <w:r>
        <w:tab/>
        <w:t>(i)</w:t>
      </w:r>
      <w:r>
        <w:tab/>
        <w:t>an aerial photo of the berth and its surroundings on which are marked concentric circles with radii of 500 m, 1 000 m and 2 000 m from the centre of the berth;</w:t>
      </w:r>
    </w:p>
    <w:p>
      <w:pPr>
        <w:pStyle w:val="Indenti"/>
      </w:pPr>
      <w:r>
        <w:tab/>
        <w:t>(ii)</w:t>
      </w:r>
      <w:r>
        <w:tab/>
        <w:t>a risk assessment for the berth that complies with regulation 111M;</w:t>
      </w:r>
    </w:p>
    <w:p>
      <w:pPr>
        <w:pStyle w:val="Indenti"/>
      </w:pPr>
      <w:r>
        <w:tab/>
        <w:t>(iii)</w:t>
      </w:r>
      <w:r>
        <w:tab/>
        <w:t>the fee.</w:t>
      </w:r>
    </w:p>
    <w:p>
      <w:pPr>
        <w:pStyle w:val="Footnotesection"/>
      </w:pPr>
      <w:r>
        <w:tab/>
        <w:t>[Regulation 111L inserted: Gazette 2 Dec 2013 p.</w:t>
      </w:r>
      <w:r>
        <w:rPr>
          <w:sz w:val="19"/>
        </w:rPr>
        <w:t> </w:t>
      </w:r>
      <w:r>
        <w:t>5597</w:t>
      </w:r>
      <w:r>
        <w:noBreakHyphen/>
        <w:t>8.]</w:t>
      </w:r>
    </w:p>
    <w:p>
      <w:pPr>
        <w:pStyle w:val="Heading5"/>
      </w:pPr>
      <w:bookmarkStart w:id="442" w:name="_Toc201747209"/>
      <w:bookmarkStart w:id="443" w:name="_Toc200095469"/>
      <w:r>
        <w:rPr>
          <w:rStyle w:val="CharSectno"/>
        </w:rPr>
        <w:t>111M</w:t>
      </w:r>
      <w:r>
        <w:t>.</w:t>
      </w:r>
      <w:r>
        <w:tab/>
        <w:t>Content of risk assessment</w:t>
      </w:r>
      <w:bookmarkEnd w:id="442"/>
      <w:bookmarkEnd w:id="443"/>
    </w:p>
    <w:p>
      <w:pPr>
        <w:pStyle w:val="Subsection"/>
      </w:pPr>
      <w:r>
        <w:tab/>
      </w:r>
      <w:r>
        <w:tab/>
        <w:t>For the purposes of regulation 111L(2)(e)(ii), a risk assessment for a berth is a document that —</w:t>
      </w:r>
    </w:p>
    <w:p>
      <w:pPr>
        <w:pStyle w:val="Indenta"/>
      </w:pPr>
      <w:r>
        <w:tab/>
        <w:t>(a)</w:t>
      </w:r>
      <w:r>
        <w:tab/>
        <w:t>is in a form acceptable to the Chief Officer; and</w:t>
      </w:r>
    </w:p>
    <w:p>
      <w:pPr>
        <w:pStyle w:val="Indenta"/>
      </w:pPr>
      <w:r>
        <w:tab/>
        <w:t>(b)</w:t>
      </w:r>
      <w:r>
        <w:tab/>
        <w:t>identifies all hazards relating to the explosive that is or will be handled at the berth and to handling the explosive; and</w:t>
      </w:r>
    </w:p>
    <w:p>
      <w:pPr>
        <w:pStyle w:val="Indenta"/>
      </w:pPr>
      <w:r>
        <w:tab/>
        <w:t>(c)</w:t>
      </w:r>
      <w:r>
        <w:tab/>
        <w:t>for each hazard, assesses —</w:t>
      </w:r>
    </w:p>
    <w:p>
      <w:pPr>
        <w:pStyle w:val="Indenti"/>
      </w:pPr>
      <w:r>
        <w:tab/>
        <w:t>(i)</w:t>
      </w:r>
      <w:r>
        <w:tab/>
        <w:t>the probability of the hazard causing a fire or explosion; and</w:t>
      </w:r>
    </w:p>
    <w:p>
      <w:pPr>
        <w:pStyle w:val="Indenti"/>
      </w:pPr>
      <w:r>
        <w:tab/>
        <w:t>(ii)</w:t>
      </w:r>
      <w:r>
        <w:tab/>
        <w:t>the nature and extent of the harm to people, property and the environment that is likely to result from any such fire or explosion;</w:t>
      </w:r>
    </w:p>
    <w:p>
      <w:pPr>
        <w:pStyle w:val="Indenta"/>
      </w:pPr>
      <w:r>
        <w:tab/>
      </w:r>
      <w:r>
        <w:tab/>
        <w:t>and</w:t>
      </w:r>
    </w:p>
    <w:p>
      <w:pPr>
        <w:pStyle w:val="Indenta"/>
      </w:pPr>
      <w:r>
        <w:tab/>
        <w:t>(d)</w:t>
      </w:r>
      <w:r>
        <w:tab/>
        <w:t>for each hazard, identifies the measures that will eliminate or, if it is not reasonably practicable to eliminate, that will reduce so far as reasonably practicable —</w:t>
      </w:r>
    </w:p>
    <w:p>
      <w:pPr>
        <w:pStyle w:val="Indenti"/>
      </w:pPr>
      <w:r>
        <w:tab/>
        <w:t>(i)</w:t>
      </w:r>
      <w:r>
        <w:tab/>
        <w:t>the probability of the hazard causing a fire or explosion; and</w:t>
      </w:r>
    </w:p>
    <w:p>
      <w:pPr>
        <w:pStyle w:val="Indenti"/>
      </w:pPr>
      <w:r>
        <w:tab/>
        <w:t>(ii)</w:t>
      </w:r>
      <w:r>
        <w:tab/>
        <w:t>the harm to people, property and the environment that is likely to result from such a fire or explosion;</w:t>
      </w:r>
    </w:p>
    <w:p>
      <w:pPr>
        <w:pStyle w:val="Indenta"/>
      </w:pPr>
      <w:r>
        <w:tab/>
      </w:r>
      <w:r>
        <w:tab/>
        <w:t>and</w:t>
      </w:r>
    </w:p>
    <w:p>
      <w:pPr>
        <w:pStyle w:val="Indenta"/>
        <w:keepNext/>
      </w:pPr>
      <w:r>
        <w:tab/>
        <w:t>(e)</w:t>
      </w:r>
      <w:r>
        <w:tab/>
        <w:t>records the method of reasoning used to determine the matters referred to in paragraphs (b) to (d); and</w:t>
      </w:r>
    </w:p>
    <w:p>
      <w:pPr>
        <w:pStyle w:val="Indenta"/>
      </w:pPr>
      <w:r>
        <w:tab/>
        <w:t>(f)</w:t>
      </w:r>
      <w:r>
        <w:tab/>
        <w:t>contains the information listed in, and addresses, the items listed in AS 3846 clause 4.6.2.</w:t>
      </w:r>
    </w:p>
    <w:p>
      <w:pPr>
        <w:pStyle w:val="Footnotesection"/>
      </w:pPr>
      <w:r>
        <w:tab/>
        <w:t>[Regulation 111M inserted: Gazette 2 Dec 2013 p.</w:t>
      </w:r>
      <w:r>
        <w:rPr>
          <w:sz w:val="19"/>
        </w:rPr>
        <w:t> </w:t>
      </w:r>
      <w:r>
        <w:t>5598</w:t>
      </w:r>
      <w:r>
        <w:noBreakHyphen/>
        <w:t>9.]</w:t>
      </w:r>
    </w:p>
    <w:p>
      <w:pPr>
        <w:pStyle w:val="Heading5"/>
      </w:pPr>
      <w:bookmarkStart w:id="444" w:name="_Toc201747210"/>
      <w:bookmarkStart w:id="445" w:name="_Toc200095470"/>
      <w:r>
        <w:rPr>
          <w:rStyle w:val="CharSectno"/>
        </w:rPr>
        <w:t>111N</w:t>
      </w:r>
      <w:r>
        <w:t>.</w:t>
      </w:r>
      <w:r>
        <w:tab/>
        <w:t>Dealing with application under r. 111L</w:t>
      </w:r>
      <w:bookmarkEnd w:id="444"/>
      <w:bookmarkEnd w:id="445"/>
    </w:p>
    <w:p>
      <w:pPr>
        <w:pStyle w:val="Subsection"/>
      </w:pPr>
      <w:r>
        <w:tab/>
        <w:t>(1)</w:t>
      </w:r>
      <w:r>
        <w:tab/>
        <w:t>Any decision made by the Chief Officer under this regulation must be in writing.</w:t>
      </w:r>
    </w:p>
    <w:p>
      <w:pPr>
        <w:pStyle w:val="Subsection"/>
      </w:pPr>
      <w:r>
        <w:tab/>
        <w:t>(2)</w:t>
      </w:r>
      <w:r>
        <w:tab/>
        <w:t>On an application made under regulation 111L, the Chief Officer may declare the berth to be a special berth (explosives) for a period, not over 5 years, specified in the declaration.</w:t>
      </w:r>
    </w:p>
    <w:p>
      <w:pPr>
        <w:pStyle w:val="Subsection"/>
      </w:pPr>
      <w:r>
        <w:tab/>
        <w:t>(3)</w:t>
      </w:r>
      <w:r>
        <w:tab/>
        <w:t>Without limiting the matters the Chief Officer may consider before making a declaration under subregulation (2), he or she must not make a declaration unless he or she has considered —</w:t>
      </w:r>
    </w:p>
    <w:p>
      <w:pPr>
        <w:pStyle w:val="Indenta"/>
      </w:pPr>
      <w:r>
        <w:tab/>
        <w:t>(a)</w:t>
      </w:r>
      <w:r>
        <w:tab/>
        <w:t>the adequacy of the risk assessment accompanying the application; and</w:t>
      </w:r>
    </w:p>
    <w:p>
      <w:pPr>
        <w:pStyle w:val="Indenta"/>
      </w:pPr>
      <w:r>
        <w:tab/>
        <w:t>(b)</w:t>
      </w:r>
      <w:r>
        <w:tab/>
        <w:t>the items listed in AS 3846 clause 4.6.2.</w:t>
      </w:r>
    </w:p>
    <w:p>
      <w:pPr>
        <w:pStyle w:val="Subsection"/>
      </w:pPr>
      <w:r>
        <w:tab/>
        <w:t>(4)</w:t>
      </w:r>
      <w:r>
        <w:tab/>
        <w:t>A declaration made under subregulation (2) may specify any of these requirements that the Chief Officer considers necessary to ensure explosives are handled safely at the special berth (explosives) —</w:t>
      </w:r>
    </w:p>
    <w:p>
      <w:pPr>
        <w:pStyle w:val="Indenta"/>
      </w:pPr>
      <w:r>
        <w:tab/>
        <w:t>(a)</w:t>
      </w:r>
      <w:r>
        <w:tab/>
        <w:t>the maximum quantity of explosive that is permitted to be on any vessel at the berth, including any explosive on board that is not handled while the vessel is at the berth;</w:t>
      </w:r>
    </w:p>
    <w:p>
      <w:pPr>
        <w:pStyle w:val="Indenta"/>
      </w:pPr>
      <w:r>
        <w:tab/>
        <w:t>(b)</w:t>
      </w:r>
      <w:r>
        <w:tab/>
        <w:t>any requirements that must be obeyed when explosives are handled at the berth.</w:t>
      </w:r>
    </w:p>
    <w:p>
      <w:pPr>
        <w:pStyle w:val="Subsection"/>
      </w:pPr>
      <w:r>
        <w:tab/>
        <w:t>(5)</w:t>
      </w:r>
      <w:r>
        <w:tab/>
        <w:t>The Chief Officer may at any time amend or cancel a declaration made under subregulation (2).</w:t>
      </w:r>
    </w:p>
    <w:p>
      <w:pPr>
        <w:pStyle w:val="Footnotesection"/>
      </w:pPr>
      <w:r>
        <w:tab/>
        <w:t>[Regulation 111N inserted: Gazette 2 Dec 2013 p.</w:t>
      </w:r>
      <w:r>
        <w:rPr>
          <w:sz w:val="19"/>
        </w:rPr>
        <w:t> </w:t>
      </w:r>
      <w:r>
        <w:t>5599</w:t>
      </w:r>
      <w:r>
        <w:noBreakHyphen/>
        <w:t>600.]</w:t>
      </w:r>
    </w:p>
    <w:p>
      <w:pPr>
        <w:pStyle w:val="Heading5"/>
      </w:pPr>
      <w:bookmarkStart w:id="446" w:name="_Toc201747211"/>
      <w:bookmarkStart w:id="447" w:name="_Toc200095471"/>
      <w:r>
        <w:rPr>
          <w:rStyle w:val="CharSectno"/>
        </w:rPr>
        <w:t>111O</w:t>
      </w:r>
      <w:r>
        <w:t>.</w:t>
      </w:r>
      <w:r>
        <w:tab/>
        <w:t>Berth operator’s duties</w:t>
      </w:r>
      <w:bookmarkEnd w:id="446"/>
      <w:bookmarkEnd w:id="447"/>
    </w:p>
    <w:p>
      <w:pPr>
        <w:pStyle w:val="Subsection"/>
      </w:pPr>
      <w:r>
        <w:tab/>
      </w:r>
      <w:r>
        <w:tab/>
        <w:t>The berth operator of a special berth (explosives) where explosives are being handled commits an offence if any requirement specified in a declaration made under regulation 111N is contravened at the berth.</w:t>
      </w:r>
    </w:p>
    <w:p>
      <w:pPr>
        <w:pStyle w:val="Penstart"/>
      </w:pPr>
      <w:r>
        <w:tab/>
        <w:t>Penalty: a level 1 fine.</w:t>
      </w:r>
    </w:p>
    <w:p>
      <w:pPr>
        <w:pStyle w:val="Footnotesection"/>
      </w:pPr>
      <w:r>
        <w:tab/>
        <w:t>[Regulation 111O inserted: Gazette 2 Dec 2013 p.</w:t>
      </w:r>
      <w:r>
        <w:rPr>
          <w:sz w:val="19"/>
        </w:rPr>
        <w:t> </w:t>
      </w:r>
      <w:r>
        <w:t>5600.]</w:t>
      </w:r>
    </w:p>
    <w:p>
      <w:pPr>
        <w:pStyle w:val="Heading2"/>
      </w:pPr>
      <w:bookmarkStart w:id="448" w:name="_Toc201670566"/>
      <w:bookmarkStart w:id="449" w:name="_Toc201671230"/>
      <w:bookmarkStart w:id="450" w:name="_Toc201747212"/>
      <w:bookmarkStart w:id="451" w:name="_Toc200031665"/>
      <w:bookmarkStart w:id="452" w:name="_Toc200036653"/>
      <w:bookmarkStart w:id="453" w:name="_Toc200095472"/>
      <w:r>
        <w:rPr>
          <w:rStyle w:val="CharPartNo"/>
        </w:rPr>
        <w:t>Part 11</w:t>
      </w:r>
      <w:r>
        <w:t> — </w:t>
      </w:r>
      <w:r>
        <w:rPr>
          <w:rStyle w:val="CharPartText"/>
        </w:rPr>
        <w:t>Supply of explosives</w:t>
      </w:r>
      <w:bookmarkEnd w:id="448"/>
      <w:bookmarkEnd w:id="449"/>
      <w:bookmarkEnd w:id="450"/>
      <w:bookmarkEnd w:id="451"/>
      <w:bookmarkEnd w:id="452"/>
      <w:bookmarkEnd w:id="453"/>
    </w:p>
    <w:p>
      <w:pPr>
        <w:pStyle w:val="Heading3"/>
      </w:pPr>
      <w:bookmarkStart w:id="454" w:name="_Toc201670567"/>
      <w:bookmarkStart w:id="455" w:name="_Toc201671231"/>
      <w:bookmarkStart w:id="456" w:name="_Toc201747213"/>
      <w:bookmarkStart w:id="457" w:name="_Toc200031666"/>
      <w:bookmarkStart w:id="458" w:name="_Toc200036654"/>
      <w:bookmarkStart w:id="459" w:name="_Toc200095473"/>
      <w:r>
        <w:rPr>
          <w:rStyle w:val="CharDivNo"/>
        </w:rPr>
        <w:t>Division 1</w:t>
      </w:r>
      <w:r>
        <w:t> — </w:t>
      </w:r>
      <w:r>
        <w:rPr>
          <w:rStyle w:val="CharDivText"/>
        </w:rPr>
        <w:t>Licensing requirements</w:t>
      </w:r>
      <w:bookmarkEnd w:id="454"/>
      <w:bookmarkEnd w:id="455"/>
      <w:bookmarkEnd w:id="456"/>
      <w:bookmarkEnd w:id="457"/>
      <w:bookmarkEnd w:id="458"/>
      <w:bookmarkEnd w:id="459"/>
    </w:p>
    <w:p>
      <w:pPr>
        <w:pStyle w:val="Heading5"/>
        <w:spacing w:before="240"/>
      </w:pPr>
      <w:bookmarkStart w:id="460" w:name="_Toc201747214"/>
      <w:bookmarkStart w:id="461" w:name="_Toc200095474"/>
      <w:r>
        <w:rPr>
          <w:rStyle w:val="CharSectno"/>
        </w:rPr>
        <w:t>111</w:t>
      </w:r>
      <w:r>
        <w:t>.</w:t>
      </w:r>
      <w:r>
        <w:tab/>
        <w:t>Unauthorised explosives</w:t>
      </w:r>
      <w:bookmarkEnd w:id="460"/>
      <w:bookmarkEnd w:id="461"/>
    </w:p>
    <w:p>
      <w:pPr>
        <w:pStyle w:val="Subsection"/>
      </w:pPr>
      <w:r>
        <w:tab/>
      </w:r>
      <w:r>
        <w:tab/>
        <w:t>A person who supplies an explosive that is not an authorised explosive to another commits an offence.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462" w:name="_Toc201747215"/>
      <w:bookmarkStart w:id="463" w:name="_Toc200095475"/>
      <w:r>
        <w:rPr>
          <w:rStyle w:val="CharSectno"/>
        </w:rPr>
        <w:t>112</w:t>
      </w:r>
      <w:r>
        <w:t>.</w:t>
      </w:r>
      <w:r>
        <w:tab/>
        <w:t>Authorised explosives, licences authorising supply</w:t>
      </w:r>
      <w:bookmarkEnd w:id="462"/>
      <w:bookmarkEnd w:id="463"/>
    </w:p>
    <w:p>
      <w:pPr>
        <w:pStyle w:val="Subsection"/>
      </w:pPr>
      <w:r>
        <w:tab/>
      </w:r>
      <w:r>
        <w:tab/>
        <w:t>A person who supplies an authorised explosive to another must hold an explosives supply licence that relates to the explosive unless —</w:t>
      </w:r>
    </w:p>
    <w:p>
      <w:pPr>
        <w:pStyle w:val="Indenta"/>
      </w:pPr>
      <w:r>
        <w:tab/>
        <w:t>(a)</w:t>
      </w:r>
      <w:r>
        <w:tab/>
        <w:t>the explosive is referred to in, and the person supplies it in accordance with, Schedule 8; or</w:t>
      </w:r>
    </w:p>
    <w:p>
      <w:pPr>
        <w:pStyle w:val="Indenta"/>
      </w:pPr>
      <w:r>
        <w:tab/>
        <w:t>(b)</w:t>
      </w:r>
      <w:r>
        <w:tab/>
        <w:t>the person holds a licence referred to in regulation 113, 114A, 114, 115 or 116 and supplies the explosive in accordance with that regulation; or</w:t>
      </w:r>
    </w:p>
    <w:p>
      <w:pPr>
        <w:pStyle w:val="Indenta"/>
      </w:pPr>
      <w:r>
        <w:tab/>
        <w:t>(c)</w:t>
      </w:r>
      <w:r>
        <w:tab/>
        <w:t>in the case of a person who is a secure nominee of the holder of an explosives supply licence —</w:t>
      </w:r>
    </w:p>
    <w:p>
      <w:pPr>
        <w:pStyle w:val="Indenti"/>
      </w:pPr>
      <w:r>
        <w:tab/>
        <w:t>(i)</w:t>
      </w:r>
      <w:r>
        <w:tab/>
        <w:t>the supply is authorised by the licence;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(d)</w:t>
      </w:r>
      <w:r>
        <w:tab/>
        <w:t>in the case of a person who is a secure nominee of the holder of a licence referred to in regulation 113, 114A, 114, 115 or 116 —</w:t>
      </w:r>
    </w:p>
    <w:p>
      <w:pPr>
        <w:pStyle w:val="Indenti"/>
      </w:pPr>
      <w:r>
        <w:tab/>
        <w:t>(i)</w:t>
      </w:r>
      <w:r>
        <w:tab/>
        <w:t>the supply is in accordance with that regulation;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PermNoteHeading"/>
      </w:pPr>
      <w:r>
        <w:tab/>
        <w:t>Note for this regulation:</w:t>
      </w:r>
    </w:p>
    <w:p>
      <w:pPr>
        <w:pStyle w:val="PermNoteText"/>
      </w:pPr>
      <w:r>
        <w:tab/>
      </w:r>
      <w:r>
        <w:tab/>
        <w:t>The Act s. 11 (Unlicensed person involved with dangerous goods).</w:t>
      </w:r>
    </w:p>
    <w:p>
      <w:pPr>
        <w:pStyle w:val="Footnotesection"/>
        <w:ind w:left="890" w:hanging="890"/>
      </w:pPr>
      <w:r>
        <w:tab/>
        <w:t>[Regulation 112 amended: Gazette 16 Mar 2012 p. 1183; 2 Dec 2013 p. 5600</w:t>
      </w:r>
      <w:r>
        <w:noBreakHyphen/>
        <w:t>1.]</w:t>
      </w:r>
    </w:p>
    <w:p>
      <w:pPr>
        <w:pStyle w:val="Heading5"/>
      </w:pPr>
      <w:bookmarkStart w:id="464" w:name="_Toc201747216"/>
      <w:bookmarkStart w:id="465" w:name="_Toc200095476"/>
      <w:r>
        <w:rPr>
          <w:rStyle w:val="CharSectno"/>
        </w:rPr>
        <w:t>113</w:t>
      </w:r>
      <w:r>
        <w:t>.</w:t>
      </w:r>
      <w:r>
        <w:tab/>
        <w:t>Import/export licence authorises limited supply</w:t>
      </w:r>
      <w:bookmarkEnd w:id="464"/>
      <w:bookmarkEnd w:id="465"/>
    </w:p>
    <w:p>
      <w:pPr>
        <w:pStyle w:val="Subsection"/>
      </w:pPr>
      <w:r>
        <w:tab/>
        <w:t>(1)</w:t>
      </w:r>
      <w:r>
        <w:tab/>
        <w:t>The holder of an explosives import/export licence is authorised, without holding an explosives supply licence, to supply to a person outside the State any explosive that the holder exports under the licence.</w:t>
      </w:r>
    </w:p>
    <w:p>
      <w:pPr>
        <w:pStyle w:val="Subsection"/>
      </w:pPr>
      <w:r>
        <w:tab/>
        <w:t>(2)</w:t>
      </w:r>
      <w:r>
        <w:tab/>
        <w:t>The holder of an explosives import/export licence is authorised, without holding an explosives supply licence, to supply to any person any explosive that the holder imports under the licence.</w:t>
      </w:r>
    </w:p>
    <w:p>
      <w:pPr>
        <w:pStyle w:val="Footnotesection"/>
        <w:ind w:left="890" w:hanging="890"/>
      </w:pPr>
      <w:r>
        <w:tab/>
        <w:t>[Regulation 113 amended: Gazette 16 Mar 2012 p. 1183.]</w:t>
      </w:r>
    </w:p>
    <w:p>
      <w:pPr>
        <w:pStyle w:val="Heading5"/>
        <w:spacing w:before="180"/>
      </w:pPr>
      <w:bookmarkStart w:id="466" w:name="_Toc201747217"/>
      <w:bookmarkStart w:id="467" w:name="_Toc200095477"/>
      <w:r>
        <w:rPr>
          <w:rStyle w:val="CharSectno"/>
        </w:rPr>
        <w:t>114A</w:t>
      </w:r>
      <w:r>
        <w:t>.</w:t>
      </w:r>
      <w:r>
        <w:tab/>
        <w:t>Explosives manufacture licence authorises limited supply</w:t>
      </w:r>
      <w:bookmarkEnd w:id="466"/>
      <w:bookmarkEnd w:id="467"/>
    </w:p>
    <w:p>
      <w:pPr>
        <w:pStyle w:val="Subsection"/>
      </w:pPr>
      <w:r>
        <w:tab/>
      </w:r>
      <w:r>
        <w:tab/>
        <w:t>The holder of an explosives manufacture licence is authorised, without holding an explosives supply licence, to supply to any person any explosive that the holder manufactures under the licence.</w:t>
      </w:r>
    </w:p>
    <w:p>
      <w:pPr>
        <w:pStyle w:val="Footnotesection"/>
        <w:ind w:left="890" w:hanging="890"/>
      </w:pPr>
      <w:r>
        <w:tab/>
        <w:t>[Regulation 114A inserted: Gazette 16 Mar 2012 p. 1184.]</w:t>
      </w:r>
    </w:p>
    <w:p>
      <w:pPr>
        <w:pStyle w:val="Heading5"/>
        <w:spacing w:before="180"/>
      </w:pPr>
      <w:bookmarkStart w:id="468" w:name="_Toc201747218"/>
      <w:bookmarkStart w:id="469" w:name="_Toc200095478"/>
      <w:r>
        <w:rPr>
          <w:rStyle w:val="CharSectno"/>
        </w:rPr>
        <w:t>114</w:t>
      </w:r>
      <w:r>
        <w:t>.</w:t>
      </w:r>
      <w:r>
        <w:tab/>
        <w:t>Explosives manufacture (MPU) licence authorises limited supply</w:t>
      </w:r>
      <w:bookmarkEnd w:id="468"/>
      <w:bookmarkEnd w:id="469"/>
    </w:p>
    <w:p>
      <w:pPr>
        <w:pStyle w:val="Subsection"/>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470" w:name="_Toc201747219"/>
      <w:bookmarkStart w:id="471" w:name="_Toc200095479"/>
      <w:r>
        <w:rPr>
          <w:rStyle w:val="CharSectno"/>
        </w:rPr>
        <w:t>115</w:t>
      </w:r>
      <w:r>
        <w:t>.</w:t>
      </w:r>
      <w:r>
        <w:tab/>
        <w:t>Explosives transport licence authorises limited supply</w:t>
      </w:r>
      <w:bookmarkEnd w:id="470"/>
      <w:bookmarkEnd w:id="471"/>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472" w:name="_Toc201747220"/>
      <w:bookmarkStart w:id="473" w:name="_Toc200095480"/>
      <w:r>
        <w:rPr>
          <w:rStyle w:val="CharSectno"/>
        </w:rPr>
        <w:t>116</w:t>
      </w:r>
      <w:r>
        <w:t>.</w:t>
      </w:r>
      <w:r>
        <w:tab/>
        <w:t>Explosives driver licence authorises limited supply</w:t>
      </w:r>
      <w:bookmarkEnd w:id="472"/>
      <w:bookmarkEnd w:id="473"/>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Pr>
      <w:bookmarkStart w:id="474" w:name="_Toc201670575"/>
      <w:bookmarkStart w:id="475" w:name="_Toc201671239"/>
      <w:bookmarkStart w:id="476" w:name="_Toc201747221"/>
      <w:bookmarkStart w:id="477" w:name="_Toc200031674"/>
      <w:bookmarkStart w:id="478" w:name="_Toc200036662"/>
      <w:bookmarkStart w:id="479" w:name="_Toc200095481"/>
      <w:r>
        <w:rPr>
          <w:rStyle w:val="CharDivNo"/>
        </w:rPr>
        <w:t>Division 2</w:t>
      </w:r>
      <w:r>
        <w:t> — </w:t>
      </w:r>
      <w:r>
        <w:rPr>
          <w:rStyle w:val="CharDivText"/>
        </w:rPr>
        <w:t>Supplying explosives</w:t>
      </w:r>
      <w:bookmarkEnd w:id="474"/>
      <w:bookmarkEnd w:id="475"/>
      <w:bookmarkEnd w:id="476"/>
      <w:bookmarkEnd w:id="477"/>
      <w:bookmarkEnd w:id="478"/>
      <w:bookmarkEnd w:id="479"/>
    </w:p>
    <w:p>
      <w:pPr>
        <w:pStyle w:val="Heading5"/>
      </w:pPr>
      <w:bookmarkStart w:id="480" w:name="_Toc201747222"/>
      <w:bookmarkStart w:id="481" w:name="_Toc200095482"/>
      <w:r>
        <w:rPr>
          <w:rStyle w:val="CharSectno"/>
        </w:rPr>
        <w:t>117</w:t>
      </w:r>
      <w:r>
        <w:t>.</w:t>
      </w:r>
      <w:r>
        <w:tab/>
        <w:t>Supply to unauthorised people prohibited</w:t>
      </w:r>
      <w:bookmarkEnd w:id="480"/>
      <w:bookmarkEnd w:id="481"/>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482" w:name="_Toc201747223"/>
      <w:bookmarkStart w:id="483" w:name="_Toc200095483"/>
      <w:r>
        <w:rPr>
          <w:rStyle w:val="CharSectno"/>
        </w:rPr>
        <w:t>118</w:t>
      </w:r>
      <w:r>
        <w:t>.</w:t>
      </w:r>
      <w:r>
        <w:tab/>
        <w:t>Suppliers, duties when supplying</w:t>
      </w:r>
      <w:bookmarkEnd w:id="482"/>
      <w:bookmarkEnd w:id="483"/>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i/>
        </w:rPr>
        <w:t>A</w:t>
      </w:r>
      <w:r>
        <w:t xml:space="preserve">) supplies an explosive to a person </w:t>
      </w:r>
      <w:r>
        <w:rPr>
          <w:b/>
          <w:i/>
        </w:rPr>
        <w:t>(B</w:t>
      </w:r>
      <w:r>
        <w:t>) and supplies it to a person (</w:t>
      </w:r>
      <w:r>
        <w:rPr>
          <w:b/>
          <w:i/>
        </w:rPr>
        <w:t>C</w:t>
      </w:r>
      <w:r>
        <w:t>) for delivery to B, the requirements</w:t>
      </w:r>
      <w:r>
        <w:rPr>
          <w:bCs/>
        </w:rPr>
        <w:t xml:space="preserve">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i/>
        </w:rPr>
        <w:t>X</w:t>
      </w:r>
      <w:r>
        <w:t>) must not supply a quantity of an authorised explosive to an individual (</w:t>
      </w:r>
      <w:r>
        <w:rPr>
          <w:b/>
          <w:i/>
        </w:rPr>
        <w:t>Y</w:t>
      </w:r>
      <w:r>
        <w:t>) unless</w:t>
      </w:r>
      <w:r>
        <w:rPr>
          <w:bCs/>
        </w:rPr>
        <w:t xml:space="preserve">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a driver’s licence issued in Australia; or</w:t>
      </w:r>
    </w:p>
    <w:p>
      <w:pPr>
        <w:pStyle w:val="Indenti"/>
      </w:pPr>
      <w:r>
        <w:tab/>
        <w:t>(iia)</w:t>
      </w:r>
      <w:r>
        <w:tab/>
        <w:t xml:space="preserve">a photo card as defined in the </w:t>
      </w:r>
      <w:r>
        <w:rPr>
          <w:i/>
        </w:rPr>
        <w:t>Western Australian Photo Card Act 2014</w:t>
      </w:r>
      <w:r>
        <w:t xml:space="preserve"> section 3; or</w:t>
      </w:r>
    </w:p>
    <w:p>
      <w:pPr>
        <w:pStyle w:val="Indenti"/>
        <w:keepNext/>
      </w:pPr>
      <w:r>
        <w:tab/>
        <w:t>(iii)</w:t>
      </w:r>
      <w:r>
        <w:tab/>
        <w:t>a security card, or a written authorisation, that is valid under regulation 16,</w:t>
      </w:r>
    </w:p>
    <w:p>
      <w:pPr>
        <w:pStyle w:val="Indenta"/>
        <w:spacing w:before="100"/>
      </w:pPr>
      <w:r>
        <w:tab/>
      </w:r>
      <w:r>
        <w:tab/>
        <w:t>that shows Y’s photograph; and</w:t>
      </w:r>
    </w:p>
    <w:p>
      <w:pPr>
        <w:pStyle w:val="Indenta"/>
        <w:spacing w:before="100"/>
      </w:pPr>
      <w:r>
        <w:tab/>
        <w:t>(b)</w:t>
      </w:r>
      <w:r>
        <w:tab/>
        <w:t>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Subsection"/>
        <w:spacing w:before="180"/>
      </w:pPr>
      <w:r>
        <w:tab/>
        <w:t>(4)</w:t>
      </w:r>
      <w:r>
        <w:tab/>
        <w:t>A person (</w:t>
      </w:r>
      <w:r>
        <w:rPr>
          <w:b/>
          <w:i/>
        </w:rPr>
        <w:t>X</w:t>
      </w:r>
      <w:r>
        <w:t>) must not supply a quantity of an authorised explosive to a body corporate or partnership (</w:t>
      </w:r>
      <w:r>
        <w:rPr>
          <w:b/>
          <w:i/>
        </w:rPr>
        <w:t>Y</w:t>
      </w:r>
      <w:r>
        <w:t>) unless —</w:t>
      </w:r>
    </w:p>
    <w:p>
      <w:pPr>
        <w:pStyle w:val="Indenta"/>
        <w:spacing w:before="100"/>
      </w:pPr>
      <w:r>
        <w:tab/>
        <w:t>(a)</w:t>
      </w:r>
      <w:r>
        <w:tab/>
        <w:t>Y has produced to X, either at or within a reasonable period before the time of supply, 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Indenta"/>
        <w:spacing w:before="100"/>
      </w:pPr>
      <w:r>
        <w:tab/>
      </w:r>
      <w:r>
        <w:tab/>
        <w:t>and</w:t>
      </w:r>
    </w:p>
    <w:p>
      <w:pPr>
        <w:pStyle w:val="Indenta"/>
        <w:spacing w:before="100"/>
      </w:pPr>
      <w:r>
        <w:tab/>
        <w:t>(b)</w:t>
      </w:r>
      <w:r>
        <w:tab/>
        <w:t>the explosive is delivered to a secure nominee of Y who shows X proof that he or she is a secure nominee; and</w:t>
      </w:r>
    </w:p>
    <w:p>
      <w:pPr>
        <w:pStyle w:val="Indenta"/>
        <w:spacing w:before="100"/>
      </w:pPr>
      <w:r>
        <w:tab/>
        <w:t>(c)</w:t>
      </w:r>
      <w:r>
        <w:tab/>
        <w:t>X obtains the secure nominee’s personal receipt.</w:t>
      </w:r>
    </w:p>
    <w:p>
      <w:pPr>
        <w:pStyle w:val="Penstart"/>
        <w:spacing w:before="100"/>
      </w:pPr>
      <w:r>
        <w:tab/>
        <w:t>Penalty: a level 1 fine and imprisonment for 10 months.</w:t>
      </w:r>
    </w:p>
    <w:p>
      <w:pPr>
        <w:pStyle w:val="Subsection"/>
        <w:spacing w:before="180"/>
      </w:pPr>
      <w:r>
        <w:tab/>
        <w:t>(5)</w:t>
      </w:r>
      <w:r>
        <w:tab/>
        <w:t>A person who supplies an authorised explosive to another person must, if the other person so requests, give the other person —</w:t>
      </w:r>
    </w:p>
    <w:p>
      <w:pPr>
        <w:pStyle w:val="Indenta"/>
      </w:pPr>
      <w:r>
        <w:tab/>
        <w:t>(a)</w:t>
      </w:r>
      <w:r>
        <w:tab/>
        <w:t>the SDS for the explosive; and</w:t>
      </w:r>
    </w:p>
    <w:p>
      <w:pPr>
        <w:pStyle w:val="Indenta"/>
        <w:keepNext/>
      </w:pPr>
      <w:r>
        <w:tab/>
        <w:t>(b)</w:t>
      </w:r>
      <w:r>
        <w:tab/>
        <w:t>any instructions issued by the manufacturer of the explosive about how to use it safely.</w:t>
      </w:r>
    </w:p>
    <w:p>
      <w:pPr>
        <w:pStyle w:val="Penstart"/>
      </w:pPr>
      <w:r>
        <w:tab/>
        <w:t>Penalty: a level 3 fine.</w:t>
      </w:r>
    </w:p>
    <w:p>
      <w:pPr>
        <w:pStyle w:val="Footnotesection"/>
      </w:pPr>
      <w:r>
        <w:tab/>
        <w:t>[Regulation 118 amended: Gazette 2 Dec 2013 p.</w:t>
      </w:r>
      <w:r>
        <w:rPr>
          <w:sz w:val="19"/>
        </w:rPr>
        <w:t> </w:t>
      </w:r>
      <w:r>
        <w:t>5601; 5 Feb 2016 p. 348; 3 Mar 2017 p. 1475.]</w:t>
      </w:r>
    </w:p>
    <w:p>
      <w:pPr>
        <w:pStyle w:val="Heading5"/>
      </w:pPr>
      <w:bookmarkStart w:id="484" w:name="_Toc201747224"/>
      <w:bookmarkStart w:id="485" w:name="_Toc200095484"/>
      <w:r>
        <w:rPr>
          <w:rStyle w:val="CharSectno"/>
        </w:rPr>
        <w:t>119</w:t>
      </w:r>
      <w:r>
        <w:t>.</w:t>
      </w:r>
      <w:r>
        <w:tab/>
        <w:t>Records to be kept by suppliers</w:t>
      </w:r>
      <w:bookmarkEnd w:id="484"/>
      <w:bookmarkEnd w:id="485"/>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486" w:name="_Toc201747225"/>
      <w:bookmarkStart w:id="487" w:name="_Toc200095485"/>
      <w:r>
        <w:rPr>
          <w:rStyle w:val="CharSectno"/>
        </w:rPr>
        <w:t>120</w:t>
      </w:r>
      <w:r>
        <w:t>.</w:t>
      </w:r>
      <w:r>
        <w:tab/>
        <w:t>Receiver of explosives not to mislead supplier</w:t>
      </w:r>
      <w:bookmarkEnd w:id="486"/>
      <w:bookmarkEnd w:id="487"/>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488" w:name="_Toc201747226"/>
      <w:bookmarkStart w:id="489" w:name="_Toc200095486"/>
      <w:r>
        <w:rPr>
          <w:rStyle w:val="CharSectno"/>
        </w:rPr>
        <w:t>121</w:t>
      </w:r>
      <w:r>
        <w:t>.</w:t>
      </w:r>
      <w:r>
        <w:tab/>
        <w:t>Sale in public prohibited</w:t>
      </w:r>
      <w:bookmarkEnd w:id="488"/>
      <w:bookmarkEnd w:id="489"/>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490" w:name="_Toc201670581"/>
      <w:bookmarkStart w:id="491" w:name="_Toc201671245"/>
      <w:bookmarkStart w:id="492" w:name="_Toc201747227"/>
      <w:bookmarkStart w:id="493" w:name="_Toc200031680"/>
      <w:bookmarkStart w:id="494" w:name="_Toc200036668"/>
      <w:bookmarkStart w:id="495" w:name="_Toc200095487"/>
      <w:r>
        <w:rPr>
          <w:rStyle w:val="CharPartNo"/>
        </w:rPr>
        <w:t>Part 12</w:t>
      </w:r>
      <w:r>
        <w:t> — </w:t>
      </w:r>
      <w:r>
        <w:rPr>
          <w:rStyle w:val="CharPartText"/>
        </w:rPr>
        <w:t>Use of explosives other than fireworks</w:t>
      </w:r>
      <w:bookmarkEnd w:id="490"/>
      <w:bookmarkEnd w:id="491"/>
      <w:bookmarkEnd w:id="492"/>
      <w:bookmarkEnd w:id="493"/>
      <w:bookmarkEnd w:id="494"/>
      <w:bookmarkEnd w:id="495"/>
    </w:p>
    <w:p>
      <w:pPr>
        <w:pStyle w:val="Heading3"/>
      </w:pPr>
      <w:bookmarkStart w:id="496" w:name="_Toc201670582"/>
      <w:bookmarkStart w:id="497" w:name="_Toc201671246"/>
      <w:bookmarkStart w:id="498" w:name="_Toc201747228"/>
      <w:bookmarkStart w:id="499" w:name="_Toc200031681"/>
      <w:bookmarkStart w:id="500" w:name="_Toc200036669"/>
      <w:bookmarkStart w:id="501" w:name="_Toc200095488"/>
      <w:r>
        <w:rPr>
          <w:rStyle w:val="CharDivNo"/>
        </w:rPr>
        <w:t>Division 1</w:t>
      </w:r>
      <w:r>
        <w:t> — </w:t>
      </w:r>
      <w:r>
        <w:rPr>
          <w:rStyle w:val="CharDivText"/>
        </w:rPr>
        <w:t>Preliminary</w:t>
      </w:r>
      <w:bookmarkEnd w:id="496"/>
      <w:bookmarkEnd w:id="497"/>
      <w:bookmarkEnd w:id="498"/>
      <w:bookmarkEnd w:id="499"/>
      <w:bookmarkEnd w:id="500"/>
      <w:bookmarkEnd w:id="501"/>
    </w:p>
    <w:p>
      <w:pPr>
        <w:pStyle w:val="Heading5"/>
      </w:pPr>
      <w:bookmarkStart w:id="502" w:name="_Toc201747229"/>
      <w:bookmarkStart w:id="503" w:name="_Toc200095489"/>
      <w:r>
        <w:rPr>
          <w:rStyle w:val="CharSectno"/>
        </w:rPr>
        <w:t>122</w:t>
      </w:r>
      <w:r>
        <w:t>.</w:t>
      </w:r>
      <w:r>
        <w:tab/>
        <w:t>Term used: blast plan</w:t>
      </w:r>
      <w:bookmarkEnd w:id="502"/>
      <w:bookmarkEnd w:id="503"/>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504" w:name="_Toc201747230"/>
      <w:bookmarkStart w:id="505" w:name="_Toc200095490"/>
      <w:r>
        <w:rPr>
          <w:rStyle w:val="CharSectno"/>
        </w:rPr>
        <w:t>123</w:t>
      </w:r>
      <w:r>
        <w:t>.</w:t>
      </w:r>
      <w:r>
        <w:tab/>
        <w:t>Application of this Part</w:t>
      </w:r>
      <w:bookmarkEnd w:id="504"/>
      <w:bookmarkEnd w:id="505"/>
    </w:p>
    <w:p>
      <w:pPr>
        <w:pStyle w:val="Subsection"/>
        <w:keepNext/>
      </w:pPr>
      <w:r>
        <w:tab/>
      </w:r>
      <w:r>
        <w:tab/>
        <w:t>This Part does not apply to a firework.</w:t>
      </w:r>
    </w:p>
    <w:p>
      <w:pPr>
        <w:pStyle w:val="Heading3"/>
      </w:pPr>
      <w:bookmarkStart w:id="506" w:name="_Toc201670585"/>
      <w:bookmarkStart w:id="507" w:name="_Toc201671249"/>
      <w:bookmarkStart w:id="508" w:name="_Toc201747231"/>
      <w:bookmarkStart w:id="509" w:name="_Toc200031684"/>
      <w:bookmarkStart w:id="510" w:name="_Toc200036672"/>
      <w:bookmarkStart w:id="511" w:name="_Toc200095491"/>
      <w:r>
        <w:rPr>
          <w:rStyle w:val="CharDivNo"/>
        </w:rPr>
        <w:t>Division 2</w:t>
      </w:r>
      <w:r>
        <w:t> — </w:t>
      </w:r>
      <w:r>
        <w:rPr>
          <w:rStyle w:val="CharDivText"/>
        </w:rPr>
        <w:t>Licensing requirements</w:t>
      </w:r>
      <w:bookmarkEnd w:id="506"/>
      <w:bookmarkEnd w:id="507"/>
      <w:bookmarkEnd w:id="508"/>
      <w:bookmarkEnd w:id="509"/>
      <w:bookmarkEnd w:id="510"/>
      <w:bookmarkEnd w:id="511"/>
    </w:p>
    <w:p>
      <w:pPr>
        <w:pStyle w:val="Heading5"/>
      </w:pPr>
      <w:bookmarkStart w:id="512" w:name="_Toc201747232"/>
      <w:bookmarkStart w:id="513" w:name="_Toc200095492"/>
      <w:r>
        <w:rPr>
          <w:rStyle w:val="CharSectno"/>
        </w:rPr>
        <w:t>124</w:t>
      </w:r>
      <w:r>
        <w:t>.</w:t>
      </w:r>
      <w:r>
        <w:tab/>
        <w:t>Unauthorised explosives</w:t>
      </w:r>
      <w:bookmarkEnd w:id="512"/>
      <w:bookmarkEnd w:id="513"/>
    </w:p>
    <w:p>
      <w:pPr>
        <w:pStyle w:val="Subsection"/>
      </w:pPr>
      <w:r>
        <w:tab/>
      </w:r>
      <w:r>
        <w:tab/>
        <w:t>A person who uses an explosive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514" w:name="_Toc201747233"/>
      <w:bookmarkStart w:id="515" w:name="_Toc200095493"/>
      <w:r>
        <w:rPr>
          <w:rStyle w:val="CharSectno"/>
        </w:rPr>
        <w:t>125</w:t>
      </w:r>
      <w:r>
        <w:t>.</w:t>
      </w:r>
      <w:r>
        <w:tab/>
        <w:t>Authorised explosives, licences authorising use of</w:t>
      </w:r>
      <w:bookmarkEnd w:id="514"/>
      <w:bookmarkEnd w:id="515"/>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125 amended: Gazette 5 Feb 2016 p. 348.]</w:t>
      </w:r>
    </w:p>
    <w:p>
      <w:pPr>
        <w:pStyle w:val="Heading3"/>
      </w:pPr>
      <w:bookmarkStart w:id="516" w:name="_Toc201670588"/>
      <w:bookmarkStart w:id="517" w:name="_Toc201671252"/>
      <w:bookmarkStart w:id="518" w:name="_Toc201747234"/>
      <w:bookmarkStart w:id="519" w:name="_Toc200031687"/>
      <w:bookmarkStart w:id="520" w:name="_Toc200036675"/>
      <w:bookmarkStart w:id="521" w:name="_Toc200095494"/>
      <w:r>
        <w:rPr>
          <w:rStyle w:val="CharDivNo"/>
        </w:rPr>
        <w:t>Division 3</w:t>
      </w:r>
      <w:r>
        <w:t> — </w:t>
      </w:r>
      <w:r>
        <w:rPr>
          <w:rStyle w:val="CharDivText"/>
        </w:rPr>
        <w:t>General requirements</w:t>
      </w:r>
      <w:bookmarkEnd w:id="516"/>
      <w:bookmarkEnd w:id="517"/>
      <w:bookmarkEnd w:id="518"/>
      <w:bookmarkEnd w:id="519"/>
      <w:bookmarkEnd w:id="520"/>
      <w:bookmarkEnd w:id="521"/>
    </w:p>
    <w:p>
      <w:pPr>
        <w:pStyle w:val="Heading5"/>
      </w:pPr>
      <w:bookmarkStart w:id="522" w:name="_Toc201747235"/>
      <w:bookmarkStart w:id="523" w:name="_Toc200095495"/>
      <w:r>
        <w:rPr>
          <w:rStyle w:val="CharSectno"/>
        </w:rPr>
        <w:t>126</w:t>
      </w:r>
      <w:r>
        <w:t>.</w:t>
      </w:r>
      <w:r>
        <w:tab/>
        <w:t>Occupier’s permission needed for use</w:t>
      </w:r>
      <w:bookmarkEnd w:id="522"/>
      <w:bookmarkEnd w:id="523"/>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524" w:name="_Toc201747236"/>
      <w:bookmarkStart w:id="525" w:name="_Toc200095496"/>
      <w:r>
        <w:rPr>
          <w:rStyle w:val="CharSectno"/>
        </w:rPr>
        <w:t>127</w:t>
      </w:r>
      <w:r>
        <w:t>.</w:t>
      </w:r>
      <w:r>
        <w:tab/>
        <w:t>Manufacturer’s instructions for use to be followed</w:t>
      </w:r>
      <w:bookmarkEnd w:id="524"/>
      <w:bookmarkEnd w:id="525"/>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526" w:name="_Toc201747237"/>
      <w:bookmarkStart w:id="527" w:name="_Toc200095497"/>
      <w:r>
        <w:rPr>
          <w:rStyle w:val="CharSectno"/>
        </w:rPr>
        <w:t>128</w:t>
      </w:r>
      <w:r>
        <w:t>.</w:t>
      </w:r>
      <w:r>
        <w:tab/>
        <w:t>Children using explosives</w:t>
      </w:r>
      <w:bookmarkEnd w:id="526"/>
      <w:bookmarkEnd w:id="527"/>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528" w:name="_Toc201670592"/>
      <w:bookmarkStart w:id="529" w:name="_Toc201671256"/>
      <w:bookmarkStart w:id="530" w:name="_Toc201747238"/>
      <w:bookmarkStart w:id="531" w:name="_Toc200031691"/>
      <w:bookmarkStart w:id="532" w:name="_Toc200036679"/>
      <w:bookmarkStart w:id="533" w:name="_Toc200095498"/>
      <w:r>
        <w:rPr>
          <w:rStyle w:val="CharDivNo"/>
        </w:rPr>
        <w:t>Division 4</w:t>
      </w:r>
      <w:r>
        <w:t> — </w:t>
      </w:r>
      <w:r>
        <w:rPr>
          <w:rStyle w:val="CharDivText"/>
        </w:rPr>
        <w:t>Using explosives to blast, damage, destroy or demolish</w:t>
      </w:r>
      <w:bookmarkEnd w:id="528"/>
      <w:bookmarkEnd w:id="529"/>
      <w:bookmarkEnd w:id="530"/>
      <w:bookmarkEnd w:id="531"/>
      <w:bookmarkEnd w:id="532"/>
      <w:bookmarkEnd w:id="533"/>
    </w:p>
    <w:p>
      <w:pPr>
        <w:pStyle w:val="Heading5"/>
      </w:pPr>
      <w:bookmarkStart w:id="534" w:name="_Toc201747239"/>
      <w:bookmarkStart w:id="535" w:name="_Toc200095499"/>
      <w:r>
        <w:rPr>
          <w:rStyle w:val="CharSectno"/>
        </w:rPr>
        <w:t>129</w:t>
      </w:r>
      <w:r>
        <w:t>.</w:t>
      </w:r>
      <w:r>
        <w:tab/>
        <w:t>No use without blast plan</w:t>
      </w:r>
      <w:bookmarkEnd w:id="534"/>
      <w:bookmarkEnd w:id="535"/>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PermNoteHeading"/>
      </w:pPr>
      <w:r>
        <w:tab/>
        <w:t>Note for this subregulation:</w:t>
      </w:r>
    </w:p>
    <w:p>
      <w:pPr>
        <w:pStyle w:val="PermNoteText"/>
      </w:pPr>
      <w:r>
        <w:tab/>
      </w:r>
      <w:r>
        <w:tab/>
        <w:t xml:space="preserve">Under r. 192 a blast plan is a </w:t>
      </w:r>
      <w:r>
        <w:rPr>
          <w:b/>
          <w:i/>
        </w:rPr>
        <w:t>safety management document</w:t>
      </w:r>
      <w:r>
        <w:t xml:space="preserve"> under the Act and accordingly the Act s. 10 (among others) applies in respect of it. </w:t>
      </w:r>
    </w:p>
    <w:p>
      <w:pPr>
        <w:pStyle w:val="Ednotesubsection"/>
      </w:pPr>
      <w:r>
        <w:tab/>
        <w:t>[(2)</w:t>
      </w:r>
      <w:r>
        <w:tab/>
        <w:t>deleted]</w:t>
      </w:r>
    </w:p>
    <w:p>
      <w:pPr>
        <w:pStyle w:val="Footnotesection"/>
      </w:pPr>
      <w:r>
        <w:tab/>
        <w:t>[Regulation 129 amended: Gazette 5 Feb 2016 p. 349.]</w:t>
      </w:r>
    </w:p>
    <w:p>
      <w:pPr>
        <w:pStyle w:val="Heading5"/>
      </w:pPr>
      <w:bookmarkStart w:id="536" w:name="_Toc201747240"/>
      <w:bookmarkStart w:id="537" w:name="_Toc200095500"/>
      <w:r>
        <w:rPr>
          <w:rStyle w:val="CharSectno"/>
        </w:rPr>
        <w:t>130</w:t>
      </w:r>
      <w:r>
        <w:t>.</w:t>
      </w:r>
      <w:r>
        <w:tab/>
        <w:t>Blast plans, content of</w:t>
      </w:r>
      <w:bookmarkEnd w:id="536"/>
      <w:bookmarkEnd w:id="537"/>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tab/>
        <w:t>(2)</w:t>
      </w:r>
      <w:r>
        <w:tab/>
        <w:t>One blast plan may relate to multiple proposed uses of explosives if it is intended that they occur simultaneously or in rapid succession at one site.</w:t>
      </w:r>
    </w:p>
    <w:p>
      <w:pPr>
        <w:pStyle w:val="Footnotesection"/>
      </w:pPr>
      <w:r>
        <w:tab/>
        <w:t>[Regulation 130 amended: Gazette 16 Mar 2012 p. 1184.]</w:t>
      </w:r>
    </w:p>
    <w:p>
      <w:pPr>
        <w:pStyle w:val="Heading5"/>
        <w:spacing w:before="240"/>
      </w:pPr>
      <w:bookmarkStart w:id="538" w:name="_Toc201747241"/>
      <w:bookmarkStart w:id="539" w:name="_Toc200095501"/>
      <w:r>
        <w:rPr>
          <w:rStyle w:val="CharSectno"/>
        </w:rPr>
        <w:t>131</w:t>
      </w:r>
      <w:r>
        <w:t>.</w:t>
      </w:r>
      <w:r>
        <w:tab/>
        <w:t>Blasting in townsite, permit required for</w:t>
      </w:r>
      <w:bookmarkEnd w:id="538"/>
      <w:bookmarkEnd w:id="539"/>
    </w:p>
    <w:p>
      <w:pPr>
        <w:pStyle w:val="Subsection"/>
        <w:keepNext/>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PermNoteHeading"/>
      </w:pPr>
      <w:r>
        <w:tab/>
        <w:t>Note for this subregulation:</w:t>
      </w:r>
    </w:p>
    <w:p>
      <w:pPr>
        <w:pStyle w:val="PermNoteText"/>
      </w:pPr>
      <w:r>
        <w:tab/>
      </w:r>
      <w:r>
        <w:tab/>
        <w:t>The Act s. 11 (Unlicensed person involved with dangerous goods).</w:t>
      </w:r>
    </w:p>
    <w:p>
      <w:pPr>
        <w:pStyle w:val="Subsection"/>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540" w:name="_Toc201747242"/>
      <w:bookmarkStart w:id="541" w:name="_Toc200095502"/>
      <w:r>
        <w:rPr>
          <w:rStyle w:val="CharSectno"/>
        </w:rPr>
        <w:t>132</w:t>
      </w:r>
      <w:r>
        <w:t>.</w:t>
      </w:r>
      <w:r>
        <w:tab/>
        <w:t>General requirements for use</w:t>
      </w:r>
      <w:bookmarkEnd w:id="540"/>
      <w:bookmarkEnd w:id="541"/>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nominee of the holder complies with the prescribed requirements for or in connection with the use of an explosive, before using, when using and after using the explosive.</w:t>
      </w:r>
    </w:p>
    <w:p>
      <w:pPr>
        <w:pStyle w:val="Subsection"/>
      </w:pPr>
      <w:r>
        <w:tab/>
        <w:t>(4)</w:t>
      </w:r>
      <w:r>
        <w:tab/>
        <w:t>A secure nominee of the holder of a shotfiring licence must obey any reasonable direction given to him or her by the holder before using, when using and after using an explosive.</w:t>
      </w:r>
    </w:p>
    <w:p>
      <w:pPr>
        <w:pStyle w:val="Penstart"/>
      </w:pPr>
      <w:r>
        <w:tab/>
        <w:t>Penalty: a level 2 fine.</w:t>
      </w:r>
    </w:p>
    <w:p>
      <w:pPr>
        <w:pStyle w:val="Footnotesection"/>
      </w:pPr>
      <w:r>
        <w:tab/>
        <w:t>[Regulation 132 amended: Gazette 2 Dec 2013 p.</w:t>
      </w:r>
      <w:r>
        <w:rPr>
          <w:sz w:val="19"/>
        </w:rPr>
        <w:t> </w:t>
      </w:r>
      <w:r>
        <w:t>5601.]</w:t>
      </w:r>
    </w:p>
    <w:p>
      <w:pPr>
        <w:pStyle w:val="Heading5"/>
      </w:pPr>
      <w:bookmarkStart w:id="542" w:name="_Toc201747243"/>
      <w:bookmarkStart w:id="543" w:name="_Toc200095503"/>
      <w:r>
        <w:rPr>
          <w:rStyle w:val="CharSectno"/>
        </w:rPr>
        <w:t>133</w:t>
      </w:r>
      <w:r>
        <w:t>.</w:t>
      </w:r>
      <w:r>
        <w:tab/>
        <w:t>Blast plans to be obeyed etc.</w:t>
      </w:r>
      <w:bookmarkEnd w:id="542"/>
      <w:bookmarkEnd w:id="543"/>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Pr>
      <w:bookmarkStart w:id="544" w:name="_Toc201747244"/>
      <w:bookmarkStart w:id="545" w:name="_Toc200095504"/>
      <w:r>
        <w:rPr>
          <w:rStyle w:val="CharSectno"/>
        </w:rPr>
        <w:t>134</w:t>
      </w:r>
      <w:r>
        <w:t>.</w:t>
      </w:r>
      <w:r>
        <w:tab/>
        <w:t>Records to be kept about blasts</w:t>
      </w:r>
      <w:bookmarkEnd w:id="544"/>
      <w:bookmarkEnd w:id="545"/>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546" w:name="_Toc201670599"/>
      <w:bookmarkStart w:id="547" w:name="_Toc201671263"/>
      <w:bookmarkStart w:id="548" w:name="_Toc201747245"/>
      <w:bookmarkStart w:id="549" w:name="_Toc200031698"/>
      <w:bookmarkStart w:id="550" w:name="_Toc200036686"/>
      <w:bookmarkStart w:id="551" w:name="_Toc200095505"/>
      <w:r>
        <w:rPr>
          <w:rStyle w:val="CharDivNo"/>
        </w:rPr>
        <w:t>Division 5</w:t>
      </w:r>
      <w:r>
        <w:t> — </w:t>
      </w:r>
      <w:r>
        <w:rPr>
          <w:rStyle w:val="CharDivText"/>
        </w:rPr>
        <w:t>Use of explosives under pyrotechnics (special use) licence</w:t>
      </w:r>
      <w:bookmarkEnd w:id="546"/>
      <w:bookmarkEnd w:id="547"/>
      <w:bookmarkEnd w:id="548"/>
      <w:bookmarkEnd w:id="549"/>
      <w:bookmarkEnd w:id="550"/>
      <w:bookmarkEnd w:id="551"/>
    </w:p>
    <w:p>
      <w:pPr>
        <w:pStyle w:val="Heading5"/>
      </w:pPr>
      <w:bookmarkStart w:id="552" w:name="_Toc201747246"/>
      <w:bookmarkStart w:id="553" w:name="_Toc200095506"/>
      <w:r>
        <w:rPr>
          <w:rStyle w:val="CharSectno"/>
        </w:rPr>
        <w:t>135</w:t>
      </w:r>
      <w:r>
        <w:t>.</w:t>
      </w:r>
      <w:r>
        <w:tab/>
        <w:t>Holder of pyrotechnics (special use) licence, duties of</w:t>
      </w:r>
      <w:bookmarkEnd w:id="552"/>
      <w:bookmarkEnd w:id="553"/>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554" w:name="_Toc201670601"/>
      <w:bookmarkStart w:id="555" w:name="_Toc201671265"/>
      <w:bookmarkStart w:id="556" w:name="_Toc201747247"/>
      <w:bookmarkStart w:id="557" w:name="_Toc200031700"/>
      <w:bookmarkStart w:id="558" w:name="_Toc200036688"/>
      <w:bookmarkStart w:id="559" w:name="_Toc200095507"/>
      <w:r>
        <w:rPr>
          <w:rStyle w:val="CharPartNo"/>
        </w:rPr>
        <w:t>Part 13</w:t>
      </w:r>
      <w:r>
        <w:t> — </w:t>
      </w:r>
      <w:r>
        <w:rPr>
          <w:rStyle w:val="CharPartText"/>
        </w:rPr>
        <w:t>Use of fireworks</w:t>
      </w:r>
      <w:bookmarkEnd w:id="554"/>
      <w:bookmarkEnd w:id="555"/>
      <w:bookmarkEnd w:id="556"/>
      <w:bookmarkEnd w:id="557"/>
      <w:bookmarkEnd w:id="558"/>
      <w:bookmarkEnd w:id="559"/>
    </w:p>
    <w:p>
      <w:pPr>
        <w:pStyle w:val="Heading3"/>
      </w:pPr>
      <w:bookmarkStart w:id="560" w:name="_Toc201670602"/>
      <w:bookmarkStart w:id="561" w:name="_Toc201671266"/>
      <w:bookmarkStart w:id="562" w:name="_Toc201747248"/>
      <w:bookmarkStart w:id="563" w:name="_Toc200031701"/>
      <w:bookmarkStart w:id="564" w:name="_Toc200036689"/>
      <w:bookmarkStart w:id="565" w:name="_Toc200095508"/>
      <w:r>
        <w:rPr>
          <w:rStyle w:val="CharDivNo"/>
        </w:rPr>
        <w:t>Division 1</w:t>
      </w:r>
      <w:r>
        <w:t> — </w:t>
      </w:r>
      <w:r>
        <w:rPr>
          <w:rStyle w:val="CharDivText"/>
        </w:rPr>
        <w:t>Preliminary matters</w:t>
      </w:r>
      <w:bookmarkEnd w:id="560"/>
      <w:bookmarkEnd w:id="561"/>
      <w:bookmarkEnd w:id="562"/>
      <w:bookmarkEnd w:id="563"/>
      <w:bookmarkEnd w:id="564"/>
      <w:bookmarkEnd w:id="565"/>
    </w:p>
    <w:p>
      <w:pPr>
        <w:pStyle w:val="Heading5"/>
      </w:pPr>
      <w:bookmarkStart w:id="566" w:name="_Toc201747249"/>
      <w:bookmarkStart w:id="567" w:name="_Toc200095509"/>
      <w:r>
        <w:rPr>
          <w:rStyle w:val="CharSectno"/>
        </w:rPr>
        <w:t>136</w:t>
      </w:r>
      <w:r>
        <w:t>.</w:t>
      </w:r>
      <w:r>
        <w:tab/>
        <w:t>Terms used</w:t>
      </w:r>
      <w:bookmarkEnd w:id="566"/>
      <w:bookmarkEnd w:id="567"/>
    </w:p>
    <w:p>
      <w:pPr>
        <w:pStyle w:val="Subsection"/>
      </w:pPr>
      <w:r>
        <w:tab/>
      </w:r>
      <w:r>
        <w:tab/>
        <w:t xml:space="preserve">In this Part — </w:t>
      </w:r>
    </w:p>
    <w:p>
      <w:pPr>
        <w:pStyle w:val="Defstart"/>
      </w:pPr>
      <w:r>
        <w:tab/>
      </w:r>
      <w:r>
        <w:rPr>
          <w:rStyle w:val="CharDefText"/>
        </w:rPr>
        <w:t>close proximity firework</w:t>
      </w:r>
      <w:r>
        <w:t xml:space="preserve"> means a firework, whether designed and labelled to be used indoors or outdoors, that is — </w:t>
      </w:r>
    </w:p>
    <w:p>
      <w:pPr>
        <w:pStyle w:val="Defpara"/>
      </w:pPr>
      <w:r>
        <w:tab/>
        <w:t>(a)</w:t>
      </w:r>
      <w:r>
        <w:tab/>
        <w:t xml:space="preserve">designed to be ignited by using electricity only; and </w:t>
      </w:r>
    </w:p>
    <w:p>
      <w:pPr>
        <w:pStyle w:val="Defpara"/>
      </w:pPr>
      <w:r>
        <w:tab/>
        <w:t>(b)</w:t>
      </w:r>
      <w:r>
        <w:tab/>
        <w:t xml:space="preserve">either — </w:t>
      </w:r>
    </w:p>
    <w:p>
      <w:pPr>
        <w:pStyle w:val="Defsubpara"/>
      </w:pPr>
      <w:r>
        <w:tab/>
        <w:t>(i)</w:t>
      </w:r>
      <w:r>
        <w:tab/>
        <w:t>manufactured commercially and is designed and labelled as suitable to be used in close proximity to a person; or</w:t>
      </w:r>
    </w:p>
    <w:p>
      <w:pPr>
        <w:pStyle w:val="Defsubpara"/>
      </w:pPr>
      <w:r>
        <w:tab/>
        <w:t>(ii)</w:t>
      </w:r>
      <w:r>
        <w:tab/>
        <w:t>manufactured from commercially available constituents that are designed and labelled as suitable to manufacture fireworks to be used in close proximity to a person;</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than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close proximity firework used where people are present or proximate to create a theatrical effect for the purposes of a concert or theatrical performance; or</w:t>
      </w:r>
    </w:p>
    <w:p>
      <w:pPr>
        <w:pStyle w:val="Defpara"/>
        <w:keepNext/>
      </w:pPr>
      <w:r>
        <w:tab/>
        <w:t>(e)</w:t>
      </w:r>
      <w:r>
        <w:tab/>
        <w:t>a cracker chain used under regulation 144 at a public ceremony.</w:t>
      </w:r>
    </w:p>
    <w:p>
      <w:pPr>
        <w:pStyle w:val="Footnotesection"/>
      </w:pPr>
      <w:r>
        <w:tab/>
        <w:t>[Regulation 136 amended: Gazette 16 Mar 2012 p. 1184; 2 Dec 2013 p. 5601; 20 Mar 2018 p. 1001</w:t>
      </w:r>
      <w:r>
        <w:noBreakHyphen/>
        <w:t>2.]</w:t>
      </w:r>
    </w:p>
    <w:p>
      <w:pPr>
        <w:pStyle w:val="Heading3"/>
      </w:pPr>
      <w:bookmarkStart w:id="568" w:name="_Toc201670604"/>
      <w:bookmarkStart w:id="569" w:name="_Toc201671268"/>
      <w:bookmarkStart w:id="570" w:name="_Toc201747250"/>
      <w:bookmarkStart w:id="571" w:name="_Toc200031703"/>
      <w:bookmarkStart w:id="572" w:name="_Toc200036691"/>
      <w:bookmarkStart w:id="573" w:name="_Toc200095510"/>
      <w:r>
        <w:rPr>
          <w:rStyle w:val="CharDivNo"/>
        </w:rPr>
        <w:t>Division 2</w:t>
      </w:r>
      <w:r>
        <w:t> — </w:t>
      </w:r>
      <w:r>
        <w:rPr>
          <w:rStyle w:val="CharDivText"/>
        </w:rPr>
        <w:t>Licensing requirements</w:t>
      </w:r>
      <w:bookmarkEnd w:id="568"/>
      <w:bookmarkEnd w:id="569"/>
      <w:bookmarkEnd w:id="570"/>
      <w:bookmarkEnd w:id="571"/>
      <w:bookmarkEnd w:id="572"/>
      <w:bookmarkEnd w:id="573"/>
    </w:p>
    <w:p>
      <w:pPr>
        <w:pStyle w:val="Heading5"/>
      </w:pPr>
      <w:bookmarkStart w:id="574" w:name="_Toc201747251"/>
      <w:bookmarkStart w:id="575" w:name="_Toc200095511"/>
      <w:r>
        <w:rPr>
          <w:rStyle w:val="CharSectno"/>
        </w:rPr>
        <w:t>137</w:t>
      </w:r>
      <w:r>
        <w:t>.</w:t>
      </w:r>
      <w:r>
        <w:tab/>
        <w:t>Unauthorised explosives</w:t>
      </w:r>
      <w:bookmarkEnd w:id="574"/>
      <w:bookmarkEnd w:id="575"/>
    </w:p>
    <w:p>
      <w:pPr>
        <w:pStyle w:val="Subsection"/>
      </w:pPr>
      <w:r>
        <w:tab/>
      </w:r>
      <w:r>
        <w:tab/>
        <w:t>A person who uses a firework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pPr>
      <w:bookmarkStart w:id="576" w:name="_Toc201747252"/>
      <w:bookmarkStart w:id="577" w:name="_Toc200095512"/>
      <w:r>
        <w:rPr>
          <w:rStyle w:val="CharSectno"/>
        </w:rPr>
        <w:t>138</w:t>
      </w:r>
      <w:r>
        <w:t>.</w:t>
      </w:r>
      <w:r>
        <w:tab/>
        <w:t>Fireworks, licences authorising use of</w:t>
      </w:r>
      <w:bookmarkEnd w:id="576"/>
      <w:bookmarkEnd w:id="577"/>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keepNext/>
      </w:pPr>
      <w:r>
        <w:tab/>
        <w:t>(iii)</w:t>
      </w:r>
      <w:r>
        <w:tab/>
        <w:t>a pyrotechnics (special use) licence that authorises the use of the firework at the time and place and in the circumstances.</w:t>
      </w:r>
    </w:p>
    <w:p>
      <w:pPr>
        <w:pStyle w:val="PermNoteHeading"/>
      </w:pPr>
      <w:r>
        <w:tab/>
        <w:t>Note for this regulation:</w:t>
      </w:r>
    </w:p>
    <w:p>
      <w:pPr>
        <w:pStyle w:val="PermNoteText"/>
        <w:keepNext/>
      </w:pPr>
      <w:r>
        <w:tab/>
      </w:r>
      <w:r>
        <w:tab/>
        <w:t>The Act s. 11 (Unlicensed person involved with dangerous goods).</w:t>
      </w:r>
    </w:p>
    <w:p>
      <w:pPr>
        <w:pStyle w:val="Footnotesection"/>
      </w:pPr>
      <w:r>
        <w:tab/>
        <w:t>[Regulation 138 amended: Gazette 16 Mar 2012 p. 1184</w:t>
      </w:r>
      <w:r>
        <w:noBreakHyphen/>
        <w:t>5.]</w:t>
      </w:r>
    </w:p>
    <w:p>
      <w:pPr>
        <w:pStyle w:val="Heading5"/>
      </w:pPr>
      <w:bookmarkStart w:id="578" w:name="_Toc201747253"/>
      <w:bookmarkStart w:id="579" w:name="_Toc200095513"/>
      <w:r>
        <w:rPr>
          <w:rStyle w:val="CharSectno"/>
        </w:rPr>
        <w:t>139</w:t>
      </w:r>
      <w:r>
        <w:t>.</w:t>
      </w:r>
      <w:r>
        <w:tab/>
        <w:t>Using certain fireworks outdoors other than at fireworks events</w:t>
      </w:r>
      <w:bookmarkEnd w:id="578"/>
      <w:bookmarkEnd w:id="579"/>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close proximity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t>the FES Commissioner; and</w:t>
      </w:r>
    </w:p>
    <w:p>
      <w:pPr>
        <w:pStyle w:val="Indenta"/>
      </w:pPr>
      <w:r>
        <w:tab/>
        <w:t>(b)</w:t>
      </w:r>
      <w:r>
        <w:tab/>
        <w:t>the local government of the district in which the firework will be used.</w:t>
      </w:r>
    </w:p>
    <w:p>
      <w:pPr>
        <w:pStyle w:val="Penstart"/>
      </w:pPr>
      <w:r>
        <w:tab/>
        <w:t>Penalty: a level 2 fine.</w:t>
      </w:r>
    </w:p>
    <w:p>
      <w:pPr>
        <w:pStyle w:val="Subsection"/>
        <w:keepNext/>
      </w:pPr>
      <w:r>
        <w:tab/>
        <w:t>(3)</w:t>
      </w:r>
      <w:r>
        <w:tab/>
        <w:t>A fireworks notice must be in an approved form and contain this information —</w:t>
      </w:r>
    </w:p>
    <w:p>
      <w:pPr>
        <w:pStyle w:val="Indenta"/>
      </w:pPr>
      <w:r>
        <w:tab/>
        <w:t>(a)</w:t>
      </w:r>
      <w:r>
        <w:tab/>
        <w:t>the details of the fireworks operator licence that the person holds;</w:t>
      </w:r>
    </w:p>
    <w:p>
      <w:pPr>
        <w:pStyle w:val="Indenta"/>
        <w:keepNext/>
      </w:pPr>
      <w:r>
        <w:tab/>
        <w:t>(b)</w:t>
      </w:r>
      <w:r>
        <w:tab/>
        <w:t>a description of the proposed use of the fireworks including —</w:t>
      </w:r>
    </w:p>
    <w:p>
      <w:pPr>
        <w:pStyle w:val="Indenti"/>
      </w:pPr>
      <w:r>
        <w:tab/>
        <w:t>(i)</w:t>
      </w:r>
      <w:r>
        <w:tab/>
        <w:t>the date, time and intended duration of the use of the fireworks; and</w:t>
      </w:r>
    </w:p>
    <w:p>
      <w:pPr>
        <w:pStyle w:val="Indenti"/>
        <w:keepNext/>
      </w:pPr>
      <w:r>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On receiving a fireworks notice from a person, the FES Commissioner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the FES Commissioner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The FES Commissioner or a local government may amend or cancel a notice it has given to a person under this regulation by advising the person in writing.</w:t>
      </w:r>
    </w:p>
    <w:p>
      <w:pPr>
        <w:pStyle w:val="Subsection"/>
        <w:keepNext/>
      </w:pPr>
      <w:r>
        <w:tab/>
        <w:t>(7)</w:t>
      </w:r>
      <w:r>
        <w:tab/>
        <w:t>A person who is given a written notice under subregulation (4) must comply with it.</w:t>
      </w:r>
    </w:p>
    <w:p>
      <w:pPr>
        <w:pStyle w:val="Penstart"/>
        <w:keepNext/>
      </w:pPr>
      <w:r>
        <w:tab/>
        <w:t>Penalty: a level 2 fine.</w:t>
      </w:r>
    </w:p>
    <w:p>
      <w:pPr>
        <w:pStyle w:val="Footnotesection"/>
      </w:pPr>
      <w:r>
        <w:tab/>
        <w:t>[Regulation 139 inserted: Gazette 16 Mar 2012 p. 1185</w:t>
      </w:r>
      <w:r>
        <w:noBreakHyphen/>
        <w:t>7; amended: Gazette 19 Feb 2013 p. 985; 20 Mar 2018 p 1002.]</w:t>
      </w:r>
    </w:p>
    <w:p>
      <w:pPr>
        <w:pStyle w:val="Ednotesection"/>
      </w:pPr>
      <w:r>
        <w:t>[</w:t>
      </w:r>
      <w:r>
        <w:rPr>
          <w:b/>
        </w:rPr>
        <w:t>140.</w:t>
      </w:r>
      <w:r>
        <w:tab/>
        <w:t>Deleted: Gazette 16 Mar 2012 p. 1187.]</w:t>
      </w:r>
    </w:p>
    <w:p>
      <w:pPr>
        <w:pStyle w:val="Heading3"/>
      </w:pPr>
      <w:bookmarkStart w:id="580" w:name="_Toc201670608"/>
      <w:bookmarkStart w:id="581" w:name="_Toc201671272"/>
      <w:bookmarkStart w:id="582" w:name="_Toc201747254"/>
      <w:bookmarkStart w:id="583" w:name="_Toc200031707"/>
      <w:bookmarkStart w:id="584" w:name="_Toc200036695"/>
      <w:bookmarkStart w:id="585" w:name="_Toc200095514"/>
      <w:r>
        <w:rPr>
          <w:rStyle w:val="CharDivNo"/>
        </w:rPr>
        <w:t>Division 3</w:t>
      </w:r>
      <w:r>
        <w:t> — </w:t>
      </w:r>
      <w:r>
        <w:rPr>
          <w:rStyle w:val="CharDivText"/>
        </w:rPr>
        <w:t>General requirements</w:t>
      </w:r>
      <w:bookmarkEnd w:id="580"/>
      <w:bookmarkEnd w:id="581"/>
      <w:bookmarkEnd w:id="582"/>
      <w:bookmarkEnd w:id="583"/>
      <w:bookmarkEnd w:id="584"/>
      <w:bookmarkEnd w:id="585"/>
    </w:p>
    <w:p>
      <w:pPr>
        <w:pStyle w:val="Heading5"/>
      </w:pPr>
      <w:bookmarkStart w:id="586" w:name="_Toc201747255"/>
      <w:bookmarkStart w:id="587" w:name="_Toc200095515"/>
      <w:r>
        <w:rPr>
          <w:rStyle w:val="CharSectno"/>
        </w:rPr>
        <w:t>141</w:t>
      </w:r>
      <w:r>
        <w:t>.</w:t>
      </w:r>
      <w:r>
        <w:tab/>
        <w:t>Occupier’s permission needed for use</w:t>
      </w:r>
      <w:bookmarkEnd w:id="586"/>
      <w:bookmarkEnd w:id="587"/>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588" w:name="_Toc201747256"/>
      <w:bookmarkStart w:id="589" w:name="_Toc200095516"/>
      <w:r>
        <w:rPr>
          <w:rStyle w:val="CharSectno"/>
        </w:rPr>
        <w:t>142</w:t>
      </w:r>
      <w:r>
        <w:t>.</w:t>
      </w:r>
      <w:r>
        <w:tab/>
        <w:t>Manufacturer’s instructions for use to be followed</w:t>
      </w:r>
      <w:bookmarkEnd w:id="588"/>
      <w:bookmarkEnd w:id="589"/>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590" w:name="_Toc201747257"/>
      <w:bookmarkStart w:id="591" w:name="_Toc200095517"/>
      <w:r>
        <w:rPr>
          <w:rStyle w:val="CharSectno"/>
        </w:rPr>
        <w:t>143</w:t>
      </w:r>
      <w:r>
        <w:t>.</w:t>
      </w:r>
      <w:r>
        <w:tab/>
        <w:t>General requirements for use</w:t>
      </w:r>
      <w:bookmarkEnd w:id="590"/>
      <w:bookmarkEnd w:id="591"/>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nominee of the holder complies with the prescribed requirements for or in connection with the use of a firework, before using, when using and after using the firework.</w:t>
      </w:r>
    </w:p>
    <w:p>
      <w:pPr>
        <w:pStyle w:val="Subsection"/>
      </w:pPr>
      <w:r>
        <w:tab/>
        <w:t>(4)</w:t>
      </w:r>
      <w:r>
        <w:tab/>
        <w:t>A secure nominee of the holder of a relevant licence must obey any reasonable direction given to him or her by the holder before using, when using and after using a firework.</w:t>
      </w:r>
    </w:p>
    <w:p>
      <w:pPr>
        <w:pStyle w:val="Penstart"/>
      </w:pPr>
      <w:r>
        <w:tab/>
        <w:t>Penalty: a level 2 fine.</w:t>
      </w:r>
    </w:p>
    <w:p>
      <w:pPr>
        <w:pStyle w:val="Footnotesection"/>
      </w:pPr>
      <w:r>
        <w:tab/>
        <w:t>[Regulation 143 amended: Gazette 2 Dec 2013 p.</w:t>
      </w:r>
      <w:r>
        <w:rPr>
          <w:sz w:val="19"/>
        </w:rPr>
        <w:t> </w:t>
      </w:r>
      <w:r>
        <w:t>5602.]</w:t>
      </w:r>
    </w:p>
    <w:p>
      <w:pPr>
        <w:pStyle w:val="Heading5"/>
      </w:pPr>
      <w:bookmarkStart w:id="592" w:name="_Toc201747258"/>
      <w:bookmarkStart w:id="593" w:name="_Toc200095518"/>
      <w:r>
        <w:rPr>
          <w:rStyle w:val="CharSectno"/>
        </w:rPr>
        <w:t>144</w:t>
      </w:r>
      <w:r>
        <w:t>.</w:t>
      </w:r>
      <w:r>
        <w:tab/>
        <w:t>Cracker chains, use of</w:t>
      </w:r>
      <w:bookmarkEnd w:id="592"/>
      <w:bookmarkEnd w:id="593"/>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594" w:name="_Toc201747259"/>
      <w:bookmarkStart w:id="595" w:name="_Toc200095519"/>
      <w:r>
        <w:rPr>
          <w:rStyle w:val="CharSectno"/>
        </w:rPr>
        <w:t>145</w:t>
      </w:r>
      <w:r>
        <w:t>.</w:t>
      </w:r>
      <w:r>
        <w:tab/>
        <w:t>Records to be kept by fireworks contractors</w:t>
      </w:r>
      <w:bookmarkEnd w:id="594"/>
      <w:bookmarkEnd w:id="595"/>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596" w:name="_Toc201670614"/>
      <w:bookmarkStart w:id="597" w:name="_Toc201671278"/>
      <w:bookmarkStart w:id="598" w:name="_Toc201747260"/>
      <w:bookmarkStart w:id="599" w:name="_Toc200031713"/>
      <w:bookmarkStart w:id="600" w:name="_Toc200036701"/>
      <w:bookmarkStart w:id="601" w:name="_Toc200095520"/>
      <w:r>
        <w:rPr>
          <w:rStyle w:val="CharDivNo"/>
        </w:rPr>
        <w:t>Division 4</w:t>
      </w:r>
      <w:r>
        <w:t> — </w:t>
      </w:r>
      <w:r>
        <w:rPr>
          <w:rStyle w:val="CharDivText"/>
        </w:rPr>
        <w:t>Fireworks events</w:t>
      </w:r>
      <w:bookmarkEnd w:id="596"/>
      <w:bookmarkEnd w:id="597"/>
      <w:bookmarkEnd w:id="598"/>
      <w:bookmarkEnd w:id="599"/>
      <w:bookmarkEnd w:id="600"/>
      <w:bookmarkEnd w:id="601"/>
    </w:p>
    <w:p>
      <w:pPr>
        <w:pStyle w:val="Heading5"/>
      </w:pPr>
      <w:bookmarkStart w:id="602" w:name="_Toc201747261"/>
      <w:bookmarkStart w:id="603" w:name="_Toc200095521"/>
      <w:r>
        <w:rPr>
          <w:rStyle w:val="CharSectno"/>
        </w:rPr>
        <w:t>146</w:t>
      </w:r>
      <w:r>
        <w:t>.</w:t>
      </w:r>
      <w:r>
        <w:tab/>
        <w:t>Term used: event firework</w:t>
      </w:r>
      <w:bookmarkEnd w:id="602"/>
      <w:bookmarkEnd w:id="603"/>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604" w:name="_Toc201747262"/>
      <w:bookmarkStart w:id="605" w:name="_Toc200095522"/>
      <w:r>
        <w:rPr>
          <w:rStyle w:val="CharSectno"/>
        </w:rPr>
        <w:t>147</w:t>
      </w:r>
      <w:r>
        <w:t>.</w:t>
      </w:r>
      <w:r>
        <w:tab/>
        <w:t>Fireworks used at fireworks events, requirements for</w:t>
      </w:r>
      <w:bookmarkEnd w:id="604"/>
      <w:bookmarkEnd w:id="605"/>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606" w:name="_Toc201747263"/>
      <w:bookmarkStart w:id="607" w:name="_Toc200095523"/>
      <w:r>
        <w:rPr>
          <w:rStyle w:val="CharSectno"/>
        </w:rPr>
        <w:t>148</w:t>
      </w:r>
      <w:r>
        <w:t>.</w:t>
      </w:r>
      <w:r>
        <w:tab/>
        <w:t>Fireworks event permits, preliminary matters</w:t>
      </w:r>
      <w:bookmarkEnd w:id="606"/>
      <w:bookmarkEnd w:id="607"/>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the FES Commissioner;</w:t>
      </w:r>
    </w:p>
    <w:p>
      <w:pPr>
        <w:pStyle w:val="Indenta"/>
      </w:pPr>
      <w:r>
        <w:tab/>
        <w:t>(c)</w:t>
      </w:r>
      <w:r>
        <w:tab/>
        <w:t>the local government of the district in which the event will occur.</w:t>
      </w:r>
    </w:p>
    <w:p>
      <w:pPr>
        <w:pStyle w:val="Ednotepara"/>
      </w:pPr>
      <w:r>
        <w:tab/>
        <w:t>[(d)</w:t>
      </w:r>
      <w:r>
        <w:tab/>
        <w:t>deleted]</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On receiving a fireworks event notice, the FES Commissioner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objects to it on the grounds that the FES Commissioner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Gazette 16 Mar 2012 p. 1187; 19 Feb 2013 p. 985-6; 20 Mar 2018 p. 1002.]</w:t>
      </w:r>
    </w:p>
    <w:p>
      <w:pPr>
        <w:pStyle w:val="Heading5"/>
      </w:pPr>
      <w:bookmarkStart w:id="608" w:name="_Toc201747264"/>
      <w:bookmarkStart w:id="609" w:name="_Toc200095524"/>
      <w:r>
        <w:rPr>
          <w:rStyle w:val="CharSectno"/>
        </w:rPr>
        <w:t>149</w:t>
      </w:r>
      <w:r>
        <w:t>.</w:t>
      </w:r>
      <w:r>
        <w:tab/>
        <w:t>Application for fireworks event permit</w:t>
      </w:r>
      <w:bookmarkEnd w:id="608"/>
      <w:bookmarkEnd w:id="609"/>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keepNext/>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i"/>
      </w:pPr>
      <w:r>
        <w:tab/>
        <w:t>(iv)</w:t>
      </w:r>
      <w:r>
        <w:tab/>
        <w:t>if an explosives management plan for the purposes of the applicant’s fireworks contractor licence is not provided to the Chief Officer within the period of 5 years ending on the day on which the application is made — an explosives management plan that complies with the requirements set out in regulation 164(2)(f)(i) to (iii);</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w:t>
      </w:r>
    </w:p>
    <w:p>
      <w:pPr>
        <w:pStyle w:val="Indenti"/>
      </w:pPr>
      <w:r>
        <w:tab/>
        <w:t>(i)</w:t>
      </w:r>
      <w:r>
        <w:tab/>
        <w:t>if the application is made more than 14 days before the date of the proposed event, the fee;</w:t>
      </w:r>
    </w:p>
    <w:p>
      <w:pPr>
        <w:pStyle w:val="Indenti"/>
      </w:pPr>
      <w:r>
        <w:tab/>
        <w:t>(ii)</w:t>
      </w:r>
      <w:r>
        <w:tab/>
        <w:t>if the application is made within 14 days before the date of the proposed event, the fee plus a fee of $41.00.</w:t>
      </w:r>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the following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pPr>
      <w:r>
        <w:tab/>
        <w:t>(iiia)</w:t>
      </w:r>
      <w:r>
        <w:tab/>
        <w:t>the number of event fireworks that are ground displays (if any);</w:t>
      </w:r>
    </w:p>
    <w:p>
      <w:pPr>
        <w:pStyle w:val="Indenti"/>
      </w:pPr>
      <w:r>
        <w:tab/>
        <w:t>(iiib)</w:t>
      </w:r>
      <w:r>
        <w:tab/>
        <w:t>the number of event fireworks that are aerial shells (if any);</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tab/>
        <w:t>(e)</w:t>
      </w:r>
      <w:r>
        <w:tab/>
        <w:t>any other information the form reasonably requires to be provided.</w:t>
      </w:r>
    </w:p>
    <w:p>
      <w:pPr>
        <w:pStyle w:val="Footnotesection"/>
      </w:pPr>
      <w:r>
        <w:tab/>
        <w:t>[Regulation 149 amended: Gazette 16 Mar 2012 p. 1187</w:t>
      </w:r>
      <w:r>
        <w:noBreakHyphen/>
        <w:t>8; 2 Dec 2013 p. 5602</w:t>
      </w:r>
      <w:r>
        <w:noBreakHyphen/>
        <w:t>3; 26 Jun 2015 p. 2267; 24 Jun 2016 p. 2326; 23 Jun 2017 p. 3284; 25 Jun 2018 p. 2298; 18 Jun 2019 p. 2040; SL 2022/122 r. 4.]</w:t>
      </w:r>
    </w:p>
    <w:p>
      <w:pPr>
        <w:pStyle w:val="Heading5"/>
      </w:pPr>
      <w:bookmarkStart w:id="610" w:name="_Toc201747265"/>
      <w:bookmarkStart w:id="611" w:name="_Toc200095525"/>
      <w:r>
        <w:rPr>
          <w:rStyle w:val="CharSectno"/>
        </w:rPr>
        <w:t>150</w:t>
      </w:r>
      <w:r>
        <w:t>.</w:t>
      </w:r>
      <w:r>
        <w:tab/>
        <w:t>Dealing with applications for fireworks event permits</w:t>
      </w:r>
      <w:bookmarkEnd w:id="610"/>
      <w:bookmarkEnd w:id="611"/>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keepNext/>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spacing w:before="120"/>
      </w:pPr>
      <w:r>
        <w:tab/>
        <w:t>(7)</w:t>
      </w:r>
      <w:r>
        <w:tab/>
        <w:t>A fireworks event permit may be issued subject to conditions decided by the Chief Officer and specified in it.</w:t>
      </w:r>
    </w:p>
    <w:p>
      <w:pPr>
        <w:pStyle w:val="Subsection"/>
        <w:keepNext/>
        <w:spacing w:before="120"/>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spacing w:before="60"/>
      </w:pPr>
      <w:r>
        <w:tab/>
        <w:t>(f)</w:t>
      </w:r>
      <w:r>
        <w:tab/>
        <w:t>any condition that is reasonably necessary to minimise any risk in relation to the fireworks that will be used in the event in relation to people, property and the environment;</w:t>
      </w:r>
    </w:p>
    <w:p>
      <w:pPr>
        <w:pStyle w:val="Indenta"/>
        <w:spacing w:before="60"/>
      </w:pPr>
      <w:r>
        <w:tab/>
        <w:t>(g)</w:t>
      </w:r>
      <w:r>
        <w:tab/>
        <w:t>any reasonable condition specified in a response made by a person under regulation 148;</w:t>
      </w:r>
    </w:p>
    <w:p>
      <w:pPr>
        <w:pStyle w:val="Indenta"/>
        <w:spacing w:before="60"/>
      </w:pPr>
      <w:r>
        <w:tab/>
        <w:t>(h)</w:t>
      </w:r>
      <w:r>
        <w:tab/>
        <w:t xml:space="preserve">any condition — </w:t>
      </w:r>
    </w:p>
    <w:p>
      <w:pPr>
        <w:pStyle w:val="Indenti"/>
        <w:spacing w:before="60"/>
      </w:pPr>
      <w:r>
        <w:tab/>
        <w:t>(i)</w:t>
      </w:r>
      <w:r>
        <w:tab/>
        <w:t>to ensure people in the vicinity of the proposed event are notified of it;</w:t>
      </w:r>
    </w:p>
    <w:p>
      <w:pPr>
        <w:pStyle w:val="Indenti"/>
        <w:spacing w:before="60"/>
      </w:pPr>
      <w:r>
        <w:tab/>
        <w:t>(ii)</w:t>
      </w:r>
      <w:r>
        <w:tab/>
        <w:t>to minimise any disturbance of those people.</w:t>
      </w:r>
    </w:p>
    <w:p>
      <w:pPr>
        <w:pStyle w:val="Subsection"/>
        <w:spacing w:before="120"/>
      </w:pPr>
      <w:r>
        <w:tab/>
        <w:t>(9)</w:t>
      </w:r>
      <w:r>
        <w:tab/>
        <w:t>The Chief Officer must give an applicant written notice of a decision made under this regulation as soon as practicable after it is made.</w:t>
      </w:r>
    </w:p>
    <w:p>
      <w:pPr>
        <w:pStyle w:val="Footnotesection"/>
        <w:spacing w:before="80"/>
        <w:ind w:left="890" w:hanging="890"/>
      </w:pPr>
      <w:r>
        <w:tab/>
        <w:t>[Regulation 150 amended: Gazette 16 Mar 2012 p. 1188.]</w:t>
      </w:r>
    </w:p>
    <w:p>
      <w:pPr>
        <w:pStyle w:val="Heading5"/>
      </w:pPr>
      <w:bookmarkStart w:id="612" w:name="_Toc201747266"/>
      <w:bookmarkStart w:id="613" w:name="_Toc200095526"/>
      <w:r>
        <w:rPr>
          <w:rStyle w:val="CharSectno"/>
        </w:rPr>
        <w:t>151</w:t>
      </w:r>
      <w:r>
        <w:t>.</w:t>
      </w:r>
      <w:r>
        <w:tab/>
        <w:t>Amending, suspending and cancelling fireworks event permits</w:t>
      </w:r>
      <w:bookmarkEnd w:id="612"/>
      <w:bookmarkEnd w:id="613"/>
    </w:p>
    <w:p>
      <w:pPr>
        <w:pStyle w:val="Subsection"/>
      </w:pPr>
      <w:r>
        <w:tab/>
      </w:r>
      <w:r>
        <w:tab/>
        <w:t>The Chief Officer may amend, suspend or cancel a fireworks event permit by advising the permit holder in writing.</w:t>
      </w:r>
    </w:p>
    <w:p>
      <w:pPr>
        <w:pStyle w:val="Heading5"/>
      </w:pPr>
      <w:bookmarkStart w:id="614" w:name="_Toc201747267"/>
      <w:bookmarkStart w:id="615" w:name="_Toc200095527"/>
      <w:r>
        <w:rPr>
          <w:rStyle w:val="CharSectno"/>
        </w:rPr>
        <w:t>152</w:t>
      </w:r>
      <w:r>
        <w:t>.</w:t>
      </w:r>
      <w:r>
        <w:tab/>
        <w:t>Fireworks event, conduct of</w:t>
      </w:r>
      <w:bookmarkEnd w:id="614"/>
      <w:bookmarkEnd w:id="615"/>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616" w:name="_Toc201747268"/>
      <w:bookmarkStart w:id="617" w:name="_Toc200095528"/>
      <w:r>
        <w:rPr>
          <w:rStyle w:val="CharSectno"/>
        </w:rPr>
        <w:t>153</w:t>
      </w:r>
      <w:r>
        <w:t>.</w:t>
      </w:r>
      <w:r>
        <w:tab/>
        <w:t>Records to be kept by fireworks event permit holders</w:t>
      </w:r>
      <w:bookmarkEnd w:id="616"/>
      <w:bookmarkEnd w:id="617"/>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keepNext/>
      </w:pPr>
      <w:r>
        <w:tab/>
        <w:t>(h)</w:t>
      </w:r>
      <w:r>
        <w:tab/>
        <w:t>the details of the holder’s fireworks contractor licence,</w:t>
      </w:r>
    </w:p>
    <w:p>
      <w:pPr>
        <w:pStyle w:val="Subsection"/>
      </w:pPr>
      <w:r>
        <w:tab/>
      </w:r>
      <w:r>
        <w:tab/>
        <w:t>and is kept for 2 years after the date of the event.</w:t>
      </w:r>
    </w:p>
    <w:p>
      <w:pPr>
        <w:pStyle w:val="Heading2"/>
      </w:pPr>
      <w:bookmarkStart w:id="618" w:name="_Toc201670623"/>
      <w:bookmarkStart w:id="619" w:name="_Toc201671287"/>
      <w:bookmarkStart w:id="620" w:name="_Toc201747269"/>
      <w:bookmarkStart w:id="621" w:name="_Toc200031722"/>
      <w:bookmarkStart w:id="622" w:name="_Toc200036710"/>
      <w:bookmarkStart w:id="623" w:name="_Toc200095529"/>
      <w:r>
        <w:rPr>
          <w:rStyle w:val="CharPartNo"/>
        </w:rPr>
        <w:t>Part 14</w:t>
      </w:r>
      <w:r>
        <w:rPr>
          <w:rStyle w:val="CharDivNo"/>
        </w:rPr>
        <w:t> </w:t>
      </w:r>
      <w:r>
        <w:t>—</w:t>
      </w:r>
      <w:r>
        <w:rPr>
          <w:rStyle w:val="CharDivText"/>
        </w:rPr>
        <w:t> </w:t>
      </w:r>
      <w:r>
        <w:rPr>
          <w:rStyle w:val="CharPartText"/>
        </w:rPr>
        <w:t>Disposal of explosives</w:t>
      </w:r>
      <w:bookmarkEnd w:id="618"/>
      <w:bookmarkEnd w:id="619"/>
      <w:bookmarkEnd w:id="620"/>
      <w:bookmarkEnd w:id="621"/>
      <w:bookmarkEnd w:id="622"/>
      <w:bookmarkEnd w:id="623"/>
    </w:p>
    <w:p>
      <w:pPr>
        <w:pStyle w:val="Heading5"/>
      </w:pPr>
      <w:bookmarkStart w:id="624" w:name="_Toc201747270"/>
      <w:bookmarkStart w:id="625" w:name="_Toc200095530"/>
      <w:r>
        <w:rPr>
          <w:rStyle w:val="CharSectno"/>
        </w:rPr>
        <w:t>154</w:t>
      </w:r>
      <w:r>
        <w:t>.</w:t>
      </w:r>
      <w:r>
        <w:tab/>
        <w:t>Who can dispose of explosives</w:t>
      </w:r>
      <w:bookmarkEnd w:id="624"/>
      <w:bookmarkEnd w:id="625"/>
    </w:p>
    <w:p>
      <w:pPr>
        <w:pStyle w:val="Subsection"/>
      </w:pPr>
      <w:r>
        <w:tab/>
      </w:r>
      <w:r>
        <w:tab/>
        <w:t>A person must not destroy or dispose of an explosive unless the person has a licence that authorises the person to use the explosive.</w:t>
      </w:r>
    </w:p>
    <w:p>
      <w:pPr>
        <w:pStyle w:val="Heading5"/>
      </w:pPr>
      <w:bookmarkStart w:id="626" w:name="_Toc201747271"/>
      <w:bookmarkStart w:id="627" w:name="_Toc200095531"/>
      <w:r>
        <w:rPr>
          <w:rStyle w:val="CharSectno"/>
        </w:rPr>
        <w:t>155</w:t>
      </w:r>
      <w:r>
        <w:t>.</w:t>
      </w:r>
      <w:r>
        <w:tab/>
        <w:t>Improper disposal of explosives</w:t>
      </w:r>
      <w:bookmarkEnd w:id="626"/>
      <w:bookmarkEnd w:id="627"/>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628" w:name="_Toc201670626"/>
      <w:bookmarkStart w:id="629" w:name="_Toc201671290"/>
      <w:bookmarkStart w:id="630" w:name="_Toc201747272"/>
      <w:bookmarkStart w:id="631" w:name="_Toc200031725"/>
      <w:bookmarkStart w:id="632" w:name="_Toc200036713"/>
      <w:bookmarkStart w:id="633" w:name="_Toc200095532"/>
      <w:r>
        <w:rPr>
          <w:rStyle w:val="CharPartNo"/>
        </w:rPr>
        <w:t>Part 15</w:t>
      </w:r>
      <w:r>
        <w:t> — </w:t>
      </w:r>
      <w:r>
        <w:rPr>
          <w:rStyle w:val="CharPartText"/>
        </w:rPr>
        <w:t>Licences</w:t>
      </w:r>
      <w:bookmarkEnd w:id="628"/>
      <w:bookmarkEnd w:id="629"/>
      <w:bookmarkEnd w:id="630"/>
      <w:bookmarkEnd w:id="631"/>
      <w:bookmarkEnd w:id="632"/>
      <w:bookmarkEnd w:id="633"/>
    </w:p>
    <w:p>
      <w:pPr>
        <w:pStyle w:val="Heading3"/>
      </w:pPr>
      <w:bookmarkStart w:id="634" w:name="_Toc201670627"/>
      <w:bookmarkStart w:id="635" w:name="_Toc201671291"/>
      <w:bookmarkStart w:id="636" w:name="_Toc201747273"/>
      <w:bookmarkStart w:id="637" w:name="_Toc200031726"/>
      <w:bookmarkStart w:id="638" w:name="_Toc200036714"/>
      <w:bookmarkStart w:id="639" w:name="_Toc200095533"/>
      <w:r>
        <w:rPr>
          <w:rStyle w:val="CharDivNo"/>
        </w:rPr>
        <w:t>Division 1</w:t>
      </w:r>
      <w:r>
        <w:t> — </w:t>
      </w:r>
      <w:r>
        <w:rPr>
          <w:rStyle w:val="CharDivText"/>
        </w:rPr>
        <w:t>Preliminary matters</w:t>
      </w:r>
      <w:bookmarkEnd w:id="634"/>
      <w:bookmarkEnd w:id="635"/>
      <w:bookmarkEnd w:id="636"/>
      <w:bookmarkEnd w:id="637"/>
      <w:bookmarkEnd w:id="638"/>
      <w:bookmarkEnd w:id="639"/>
    </w:p>
    <w:p>
      <w:pPr>
        <w:pStyle w:val="Heading5"/>
      </w:pPr>
      <w:bookmarkStart w:id="640" w:name="_Toc201747274"/>
      <w:bookmarkStart w:id="641" w:name="_Toc200095534"/>
      <w:r>
        <w:rPr>
          <w:rStyle w:val="CharSectno"/>
        </w:rPr>
        <w:t>156</w:t>
      </w:r>
      <w:r>
        <w:t>.</w:t>
      </w:r>
      <w:r>
        <w:tab/>
        <w:t>Terms used</w:t>
      </w:r>
      <w:bookmarkEnd w:id="640"/>
      <w:bookmarkEnd w:id="641"/>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642" w:name="_Toc201670629"/>
      <w:bookmarkStart w:id="643" w:name="_Toc201671293"/>
      <w:bookmarkStart w:id="644" w:name="_Toc201747275"/>
      <w:bookmarkStart w:id="645" w:name="_Toc200031728"/>
      <w:bookmarkStart w:id="646" w:name="_Toc200036716"/>
      <w:bookmarkStart w:id="647" w:name="_Toc200095535"/>
      <w:r>
        <w:rPr>
          <w:rStyle w:val="CharDivNo"/>
        </w:rPr>
        <w:t>Division 2</w:t>
      </w:r>
      <w:r>
        <w:t> — </w:t>
      </w:r>
      <w:r>
        <w:rPr>
          <w:rStyle w:val="CharDivText"/>
        </w:rPr>
        <w:t>General matters</w:t>
      </w:r>
      <w:bookmarkEnd w:id="642"/>
      <w:bookmarkEnd w:id="643"/>
      <w:bookmarkEnd w:id="644"/>
      <w:bookmarkEnd w:id="645"/>
      <w:bookmarkEnd w:id="646"/>
      <w:bookmarkEnd w:id="647"/>
    </w:p>
    <w:p>
      <w:pPr>
        <w:pStyle w:val="Heading5"/>
      </w:pPr>
      <w:bookmarkStart w:id="648" w:name="_Toc201747276"/>
      <w:bookmarkStart w:id="649" w:name="_Toc200095536"/>
      <w:r>
        <w:rPr>
          <w:rStyle w:val="CharSectno"/>
        </w:rPr>
        <w:t>157</w:t>
      </w:r>
      <w:r>
        <w:t>.</w:t>
      </w:r>
      <w:r>
        <w:tab/>
        <w:t>Applying for licence</w:t>
      </w:r>
      <w:bookmarkEnd w:id="648"/>
      <w:bookmarkEnd w:id="649"/>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application is not for a trading licence, be accompanied by the fee; and</w:t>
      </w:r>
    </w:p>
    <w:p>
      <w:pPr>
        <w:pStyle w:val="Indenta"/>
      </w:pPr>
      <w:r>
        <w:tab/>
        <w:t>(da)</w:t>
      </w:r>
      <w:r>
        <w:tab/>
        <w:t>if the application is for a trading licence, be accompanied by —</w:t>
      </w:r>
    </w:p>
    <w:p>
      <w:pPr>
        <w:pStyle w:val="Indenti"/>
      </w:pPr>
      <w:r>
        <w:tab/>
        <w:t>(i)</w:t>
      </w:r>
      <w:r>
        <w:tab/>
        <w:t>the annual fee (if any) payable for the 1</w:t>
      </w:r>
      <w:r>
        <w:rPr>
          <w:vertAlign w:val="superscript"/>
        </w:rPr>
        <w:t>st</w:t>
      </w:r>
      <w:r>
        <w:t> year of the licence applied for; and</w:t>
      </w:r>
    </w:p>
    <w:p>
      <w:pPr>
        <w:pStyle w:val="Indenti"/>
      </w:pPr>
      <w:r>
        <w:tab/>
        <w:t>(ii)</w:t>
      </w:r>
      <w:r>
        <w:tab/>
        <w:t>if the application is not accompanied by a certificate given under subregulation (8), a checking fee equal to the amount (if any) required to be paid under subparagraph (i);</w:t>
      </w:r>
    </w:p>
    <w:p>
      <w:pPr>
        <w:pStyle w:val="Indenta"/>
      </w:pPr>
      <w:r>
        <w:tab/>
      </w:r>
      <w:r>
        <w:tab/>
        <w:t>and</w:t>
      </w:r>
    </w:p>
    <w:p>
      <w:pPr>
        <w:pStyle w:val="Indenta"/>
      </w:pPr>
      <w:r>
        <w:tab/>
        <w:t>(d)</w:t>
      </w:r>
      <w:r>
        <w:tab/>
        <w:t>be made to the Chief Officer.</w:t>
      </w:r>
    </w:p>
    <w:p>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Subsection"/>
        <w:keepNext/>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keepNext/>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keepNext/>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An application by a body corporate or partnership must be accompanied by proof of the incorporation of the body or the existence of the partnership.</w:t>
      </w:r>
    </w:p>
    <w:p>
      <w:pPr>
        <w:pStyle w:val="Ednotesubsection"/>
      </w:pPr>
      <w:r>
        <w:tab/>
        <w:t>[(6)</w:t>
      </w:r>
      <w:r>
        <w:tab/>
        <w:t>deleted]</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Subsection"/>
      </w:pPr>
      <w:r>
        <w:tab/>
        <w:t>(8)</w:t>
      </w:r>
      <w:r>
        <w:tab/>
        <w:t>In addition to any document that is required to accompany the application, an application for a trading licence may be accompanied by a certificate that complies with subregulation (9) and is signed by a person approved by the Chief Officer.</w:t>
      </w:r>
    </w:p>
    <w:p>
      <w:pPr>
        <w:pStyle w:val="Subsection"/>
      </w:pPr>
      <w:r>
        <w:tab/>
        <w:t>(9)</w:t>
      </w:r>
      <w:r>
        <w:tab/>
        <w:t>A certificate given by a person under subregulation (8) must —</w:t>
      </w:r>
    </w:p>
    <w:p>
      <w:pPr>
        <w:pStyle w:val="Indenta"/>
      </w:pPr>
      <w:r>
        <w:tab/>
        <w:t>(a)</w:t>
      </w:r>
      <w:r>
        <w:tab/>
        <w:t>if it relates to an application for a trading licence that, under subregulation (7), is accompanied by a written explosives management plan,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 and</w:t>
      </w:r>
    </w:p>
    <w:p>
      <w:pPr>
        <w:pStyle w:val="Indenti"/>
      </w:pPr>
      <w:r>
        <w:tab/>
        <w:t>(iv)</w:t>
      </w:r>
      <w:r>
        <w:tab/>
        <w:t>has read the explosives management plan; and</w:t>
      </w:r>
    </w:p>
    <w:p>
      <w:pPr>
        <w:pStyle w:val="Indenti"/>
      </w:pPr>
      <w:r>
        <w:tab/>
        <w:t>(v)</w:t>
      </w:r>
      <w:r>
        <w:tab/>
        <w:t>is satisfied the plan complies with regulation 161; and</w:t>
      </w:r>
    </w:p>
    <w:p>
      <w:pPr>
        <w:pStyle w:val="Indenti"/>
      </w:pPr>
      <w:r>
        <w:tab/>
        <w:t>(vi)</w:t>
      </w:r>
      <w:r>
        <w:tab/>
        <w:t>has done a risk assessment of the activities the licence would authorise and, having regard to section 8 of the Act, is satisfied the applicant has taken or will take all reasonably practicable measures to minimise the risk to people, property and the environment in relation to the explosives to which the licence would relate; and</w:t>
      </w:r>
    </w:p>
    <w:p>
      <w:pPr>
        <w:pStyle w:val="Indenti"/>
      </w:pPr>
      <w:r>
        <w:tab/>
        <w:t>(vii)</w:t>
      </w:r>
      <w:r>
        <w:tab/>
        <w:t>if the trading licence would relate to a site, is satisfied the site can be operated in accordance with these regulations; and</w:t>
      </w:r>
    </w:p>
    <w:p>
      <w:pPr>
        <w:pStyle w:val="Indenti"/>
      </w:pPr>
      <w:r>
        <w:tab/>
        <w:t>(viii)</w:t>
      </w:r>
      <w:r>
        <w:tab/>
        <w:t>is satisfied the explosives to which the licence would relate will be secure;</w:t>
      </w:r>
    </w:p>
    <w:p>
      <w:pPr>
        <w:pStyle w:val="Indenta"/>
      </w:pPr>
      <w:r>
        <w:tab/>
        <w:t>(b)</w:t>
      </w:r>
      <w:r>
        <w:tab/>
        <w:t>if it relates to an application for any other trading licence,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w:t>
      </w:r>
    </w:p>
    <w:p>
      <w:pPr>
        <w:pStyle w:val="Footnotesection"/>
        <w:keepLines w:val="0"/>
        <w:spacing w:before="80"/>
        <w:ind w:left="890" w:hanging="890"/>
      </w:pPr>
      <w:r>
        <w:tab/>
        <w:t>[Regulation 157 amended: Gazette 16 Mar 2012 p. 1188 and p. 1263</w:t>
      </w:r>
      <w:r>
        <w:noBreakHyphen/>
        <w:t>4; 2 Dec 2013 p. 5603</w:t>
      </w:r>
      <w:r>
        <w:noBreakHyphen/>
        <w:t>5; 5 Feb 2016 p. 349.]</w:t>
      </w:r>
    </w:p>
    <w:p>
      <w:pPr>
        <w:pStyle w:val="Heading5"/>
      </w:pPr>
      <w:bookmarkStart w:id="650" w:name="_Toc201747277"/>
      <w:bookmarkStart w:id="651" w:name="_Toc200095537"/>
      <w:r>
        <w:rPr>
          <w:rStyle w:val="CharSectno"/>
        </w:rPr>
        <w:t>158</w:t>
      </w:r>
      <w:r>
        <w:t>.</w:t>
      </w:r>
      <w:r>
        <w:tab/>
        <w:t>Medical evidence</w:t>
      </w:r>
      <w:bookmarkEnd w:id="650"/>
      <w:bookmarkEnd w:id="651"/>
    </w:p>
    <w:p>
      <w:pPr>
        <w:pStyle w:val="Subsection"/>
        <w:keepNext/>
      </w:pPr>
      <w:r>
        <w:tab/>
      </w:r>
      <w:r>
        <w:tab/>
        <w:t>The medical evidence for the purposes of an application for a licence, or a renewal application, by an individual is a report —</w:t>
      </w:r>
    </w:p>
    <w:p>
      <w:pPr>
        <w:pStyle w:val="Indenta"/>
      </w:pPr>
      <w:r>
        <w:tab/>
        <w:t>(a)</w:t>
      </w:r>
      <w:r>
        <w:tab/>
        <w:t>that is made by a medical practitioner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set of medical standards described as the commercial standards in </w:t>
      </w:r>
      <w:r>
        <w:rPr>
          <w:i/>
        </w:rPr>
        <w:t>Assessing Fitness to Drive for commercial and private vehicle drivers</w:t>
      </w:r>
      <w:r>
        <w:t>, Fourth Edition 2012, published by Austroads Ltd (ISBN 978-1-921991-01-1).</w:t>
      </w:r>
    </w:p>
    <w:p>
      <w:pPr>
        <w:pStyle w:val="Footnotesection"/>
      </w:pPr>
      <w:r>
        <w:tab/>
        <w:t>[Regulation 158 amended: Gazette 24 Nov 2009 p. 4739; 2 Dec 2013 p. 5605.]</w:t>
      </w:r>
    </w:p>
    <w:p>
      <w:pPr>
        <w:pStyle w:val="Heading5"/>
      </w:pPr>
      <w:bookmarkStart w:id="652" w:name="_Toc201747278"/>
      <w:bookmarkStart w:id="653" w:name="_Toc200095538"/>
      <w:r>
        <w:rPr>
          <w:rStyle w:val="CharSectno"/>
        </w:rPr>
        <w:t>159</w:t>
      </w:r>
      <w:r>
        <w:t>.</w:t>
      </w:r>
      <w:r>
        <w:tab/>
        <w:t>Competency evidence</w:t>
      </w:r>
      <w:bookmarkEnd w:id="652"/>
      <w:bookmarkEnd w:id="653"/>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654" w:name="_Toc201747279"/>
      <w:bookmarkStart w:id="655" w:name="_Toc200095539"/>
      <w:r>
        <w:rPr>
          <w:rStyle w:val="CharSectno"/>
        </w:rPr>
        <w:t>160</w:t>
      </w:r>
      <w:r>
        <w:t>.</w:t>
      </w:r>
      <w:r>
        <w:tab/>
        <w:t>Driver licence evidence</w:t>
      </w:r>
      <w:bookmarkEnd w:id="654"/>
      <w:bookmarkEnd w:id="655"/>
    </w:p>
    <w:p>
      <w:pPr>
        <w:pStyle w:val="Subsection"/>
      </w:pPr>
      <w:r>
        <w:tab/>
        <w:t>(1)</w:t>
      </w:r>
      <w:r>
        <w:tab/>
        <w:t xml:space="preserve">In this regulation — </w:t>
      </w:r>
    </w:p>
    <w:p>
      <w:pPr>
        <w:pStyle w:val="Defstart"/>
      </w:pPr>
      <w:r>
        <w:tab/>
      </w:r>
      <w:r>
        <w:rPr>
          <w:rStyle w:val="CharDefText"/>
        </w:rPr>
        <w:t>driver licence</w:t>
      </w:r>
      <w:r>
        <w:t xml:space="preserve"> means an Australian driver licence as defined in the </w:t>
      </w:r>
      <w:r>
        <w:rPr>
          <w:i/>
        </w:rPr>
        <w:t>Road Traffic (Authorisation to Drive) Act 2008</w:t>
      </w:r>
      <w:r>
        <w:t xml:space="preserve"> section 3(1) but does not include a provisional licence;</w:t>
      </w:r>
    </w:p>
    <w:p>
      <w:pPr>
        <w:pStyle w:val="Defstart"/>
      </w:pPr>
      <w:r>
        <w:tab/>
      </w:r>
      <w:r>
        <w:rPr>
          <w:rStyle w:val="CharDefText"/>
        </w:rPr>
        <w:t>provisional licence</w:t>
      </w:r>
      <w:r>
        <w:t xml:space="preserve"> has the meaning given in the </w:t>
      </w:r>
      <w:r>
        <w:rPr>
          <w:i/>
        </w:rPr>
        <w:t>Road Traffic (Authorisation to Drive) Act 2008</w:t>
      </w:r>
      <w:r>
        <w:t xml:space="preserve"> section 3(1).</w:t>
      </w:r>
    </w:p>
    <w:p>
      <w:pPr>
        <w:pStyle w:val="Subsection"/>
      </w:pPr>
      <w:r>
        <w:tab/>
        <w:t>(2)</w:t>
      </w:r>
      <w:r>
        <w:tab/>
        <w:t>The driver licence evidence for an application, or a renewal application, for an explosives driver licence is —</w:t>
      </w:r>
    </w:p>
    <w:p>
      <w:pPr>
        <w:pStyle w:val="Indenta"/>
      </w:pPr>
      <w:r>
        <w:tab/>
        <w:t>(a)</w:t>
      </w:r>
      <w:r>
        <w:tab/>
        <w:t>a copy of the applicant’s driver licence;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Footnotesection"/>
      </w:pPr>
      <w:r>
        <w:tab/>
        <w:t>[Regulation 160 amended: Gazette 8 Jan 2015 p. 130; 5 Feb 2016 p. 349.]</w:t>
      </w:r>
    </w:p>
    <w:p>
      <w:pPr>
        <w:pStyle w:val="Heading5"/>
      </w:pPr>
      <w:bookmarkStart w:id="656" w:name="_Toc201747280"/>
      <w:bookmarkStart w:id="657" w:name="_Toc200095540"/>
      <w:r>
        <w:rPr>
          <w:rStyle w:val="CharSectno"/>
        </w:rPr>
        <w:t>161</w:t>
      </w:r>
      <w:r>
        <w:t>.</w:t>
      </w:r>
      <w:r>
        <w:tab/>
        <w:t>Explosives management plans</w:t>
      </w:r>
      <w:bookmarkEnd w:id="656"/>
      <w:bookmarkEnd w:id="657"/>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keepNext/>
      </w:pPr>
      <w:r>
        <w:tab/>
        <w:t>(2A)</w:t>
      </w:r>
      <w:r>
        <w:tab/>
        <w:t>In subregulations (2) and (4) —</w:t>
      </w:r>
    </w:p>
    <w:p>
      <w:pPr>
        <w:pStyle w:val="Defstart"/>
      </w:pPr>
      <w:r>
        <w:tab/>
      </w:r>
      <w:r>
        <w:rPr>
          <w:rStyle w:val="CharDefText"/>
        </w:rPr>
        <w:t>explosive</w:t>
      </w:r>
      <w:r>
        <w:t xml:space="preserve"> includes a constituent of an explosive that is a security sensitive ammonium nitrate.</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keepNext/>
      </w:pPr>
      <w:r>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keepNext/>
      </w:pPr>
      <w:r>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keepNext/>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Footnotesection"/>
      </w:pPr>
      <w:r>
        <w:tab/>
        <w:t>[Regulation 161 amended: Gazette 16 Mar 2012 p. 1188</w:t>
      </w:r>
      <w:r>
        <w:noBreakHyphen/>
        <w:t>9; 5 Feb 2016 p. 349.]</w:t>
      </w:r>
    </w:p>
    <w:p>
      <w:pPr>
        <w:pStyle w:val="Heading5"/>
      </w:pPr>
      <w:bookmarkStart w:id="658" w:name="_Toc201747281"/>
      <w:bookmarkStart w:id="659" w:name="_Toc200095541"/>
      <w:r>
        <w:rPr>
          <w:rStyle w:val="CharSectno"/>
        </w:rPr>
        <w:t>162</w:t>
      </w:r>
      <w:r>
        <w:t>.</w:t>
      </w:r>
      <w:r>
        <w:tab/>
        <w:t>Chief Officer’s powers for dealing with applications for licences</w:t>
      </w:r>
      <w:bookmarkEnd w:id="658"/>
      <w:bookmarkEnd w:id="659"/>
    </w:p>
    <w:p>
      <w:pPr>
        <w:pStyle w:val="Subsection"/>
      </w:pPr>
      <w:r>
        <w:tab/>
        <w:t>(1)</w:t>
      </w:r>
      <w:r>
        <w:tab/>
        <w:t>For the purposes of deciding an application for a licence, the Chief Officer may request the applicant to do 1 or more of the following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does not comply with the requirements set out in regulation 164(2)(f)(i) to (iii);</w:t>
      </w:r>
    </w:p>
    <w:p>
      <w:pPr>
        <w:pStyle w:val="Indenta"/>
        <w:keepNext/>
      </w:pPr>
      <w:r>
        <w:tab/>
        <w:t>(e)</w:t>
      </w:r>
      <w:r>
        <w:tab/>
        <w:t>if the applicant is an individual, to give the Chief Officer a report by —</w:t>
      </w:r>
    </w:p>
    <w:p>
      <w:pPr>
        <w:pStyle w:val="Indenti"/>
      </w:pPr>
      <w:r>
        <w:tab/>
        <w:t>(i)</w:t>
      </w:r>
      <w:r>
        <w:tab/>
        <w:t>a medical practitioner about the person’s physical health and fitness to engage safely in the activities that would be authorised by the licence; and</w:t>
      </w:r>
    </w:p>
    <w:p>
      <w:pPr>
        <w:pStyle w:val="Indenti"/>
      </w:pPr>
      <w:r>
        <w:tab/>
        <w:t>(ii)</w:t>
      </w:r>
      <w:r>
        <w:tab/>
        <w:t xml:space="preserve">a person registered under the </w:t>
      </w:r>
      <w:r>
        <w:rPr>
          <w:i/>
        </w:rPr>
        <w:t>Health Practitioner Regulation National Law (Western Australia)</w:t>
      </w:r>
      <w:r>
        <w:t xml:space="preserve"> in the psychology profession about the person’s mental health and fitness to engage safely in the activities that would be authorised by the licence.</w:t>
      </w:r>
    </w:p>
    <w:p>
      <w:pPr>
        <w:pStyle w:val="Subsection"/>
      </w:pPr>
      <w:r>
        <w:tab/>
        <w:t>(2)</w:t>
      </w:r>
      <w:r>
        <w:tab/>
        <w:t>On an application for a licence made by an individual, the Chief Officer may request the applicant to demonstrate he or she —</w:t>
      </w:r>
    </w:p>
    <w:p>
      <w:pPr>
        <w:pStyle w:val="Indenta"/>
      </w:pPr>
      <w:r>
        <w:tab/>
        <w:t>(a)</w:t>
      </w:r>
      <w:r>
        <w:tab/>
        <w:t>is competent to engage safely in the activities that would be authorised by the licence; or</w:t>
      </w:r>
    </w:p>
    <w:p>
      <w:pPr>
        <w:pStyle w:val="Indenta"/>
      </w:pPr>
      <w:r>
        <w:tab/>
        <w:t>(b)</w:t>
      </w:r>
      <w:r>
        <w:tab/>
        <w:t>is competent to keep any explosive possessed under the licence secure; or</w:t>
      </w:r>
    </w:p>
    <w:p>
      <w:pPr>
        <w:pStyle w:val="Indenta"/>
      </w:pPr>
      <w:r>
        <w:tab/>
        <w:t>(c)</w:t>
      </w:r>
      <w:r>
        <w:tab/>
        <w:t>is competent to do both of the above.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Gazette 24 Nov 2009 p. 4740; 2 Dec 2013 p. 5606; SL 2022/122 r. 5.]</w:t>
      </w:r>
    </w:p>
    <w:p>
      <w:pPr>
        <w:pStyle w:val="Heading5"/>
      </w:pPr>
      <w:bookmarkStart w:id="660" w:name="_Toc201747282"/>
      <w:bookmarkStart w:id="661" w:name="_Toc200095542"/>
      <w:r>
        <w:rPr>
          <w:rStyle w:val="CharSectno"/>
        </w:rPr>
        <w:t>163</w:t>
      </w:r>
      <w:r>
        <w:t>.</w:t>
      </w:r>
      <w:r>
        <w:tab/>
        <w:t>Licence for place that is or may be major hazard facility</w:t>
      </w:r>
      <w:bookmarkEnd w:id="660"/>
      <w:bookmarkEnd w:id="661"/>
    </w:p>
    <w:p>
      <w:pPr>
        <w:pStyle w:val="Subsection"/>
        <w:spacing w:before="120"/>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spacing w:before="120"/>
      </w:pPr>
      <w:r>
        <w:tab/>
        <w:t>(2)</w:t>
      </w:r>
      <w:r>
        <w:tab/>
        <w:t xml:space="preserve">If — </w:t>
      </w:r>
    </w:p>
    <w:p>
      <w:pPr>
        <w:pStyle w:val="Indenta"/>
      </w:pPr>
      <w:r>
        <w:tab/>
        <w:t>(a)</w:t>
      </w:r>
      <w:r>
        <w:tab/>
        <w:t>an application is made for an explosives manufacture licence, or an explosives storage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spacing w:before="120"/>
      </w:pPr>
      <w:r>
        <w:tab/>
        <w:t>(3)</w:t>
      </w:r>
      <w:r>
        <w:tab/>
        <w:t xml:space="preserve">If — </w:t>
      </w:r>
    </w:p>
    <w:p>
      <w:pPr>
        <w:pStyle w:val="Indenta"/>
        <w:spacing w:before="60"/>
      </w:pPr>
      <w:r>
        <w:tab/>
        <w:t>(a)</w:t>
      </w:r>
      <w:r>
        <w:tab/>
        <w:t>an application is made for an explosives manufacture licence, or an explosives storage licence, in respect of a dangerous goods site that, under the MHF Regulations, is not an MHF; but</w:t>
      </w:r>
    </w:p>
    <w:p>
      <w:pPr>
        <w:pStyle w:val="Indenta"/>
        <w:spacing w:before="60"/>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spacing w:before="120"/>
      </w:pPr>
      <w:r>
        <w:tab/>
      </w:r>
      <w:r>
        <w:tab/>
        <w:t xml:space="preserve">the Chief Officer may refuse to decide the application until either — </w:t>
      </w:r>
    </w:p>
    <w:p>
      <w:pPr>
        <w:pStyle w:val="Indenta"/>
        <w:spacing w:before="60"/>
      </w:pPr>
      <w:r>
        <w:tab/>
        <w:t>(c)</w:t>
      </w:r>
      <w:r>
        <w:tab/>
        <w:t>a decision is made not to classify the site as an MHF; or</w:t>
      </w:r>
    </w:p>
    <w:p>
      <w:pPr>
        <w:pStyle w:val="Indenta"/>
        <w:spacing w:before="60"/>
      </w:pPr>
      <w:r>
        <w:tab/>
        <w:t>(d)</w:t>
      </w:r>
      <w:r>
        <w:tab/>
        <w:t>the site is classified as an MHF and a safety report for the site is approved under those regulations.</w:t>
      </w:r>
    </w:p>
    <w:p>
      <w:pPr>
        <w:pStyle w:val="Footnotesection"/>
        <w:spacing w:before="80"/>
        <w:ind w:left="890" w:hanging="890"/>
      </w:pPr>
      <w:r>
        <w:tab/>
        <w:t>[Regulation 163 amended: Gazette 16 Mar 2012 p. 1264.]</w:t>
      </w:r>
    </w:p>
    <w:p>
      <w:pPr>
        <w:pStyle w:val="Heading5"/>
      </w:pPr>
      <w:bookmarkStart w:id="662" w:name="_Toc201747283"/>
      <w:bookmarkStart w:id="663" w:name="_Toc200095543"/>
      <w:r>
        <w:rPr>
          <w:rStyle w:val="CharSectno"/>
        </w:rPr>
        <w:t>164</w:t>
      </w:r>
      <w:r>
        <w:t>.</w:t>
      </w:r>
      <w:r>
        <w:tab/>
        <w:t>Deciding applications for licences</w:t>
      </w:r>
      <w:bookmarkEnd w:id="662"/>
      <w:bookmarkEnd w:id="663"/>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Ednotepara"/>
        <w:spacing w:before="80"/>
      </w:pPr>
      <w:r>
        <w:tab/>
        <w:t>[(b)</w:t>
      </w:r>
      <w:r>
        <w:tab/>
        <w:t>deleted]</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Ednotepara"/>
        <w:spacing w:before="80"/>
      </w:pPr>
      <w:r>
        <w:tab/>
        <w:t>[(e)</w:t>
      </w:r>
      <w:r>
        <w:tab/>
        <w:t>deleted]</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spacing w:before="120"/>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Ednotesubsection"/>
        <w:spacing w:before="120"/>
      </w:pPr>
      <w:r>
        <w:tab/>
        <w:t>[(6)</w:t>
      </w:r>
      <w:r>
        <w:tab/>
        <w:t>deleted]</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Gazette 16 Mar 2012 p. 1189</w:t>
      </w:r>
      <w:r>
        <w:noBreakHyphen/>
        <w:t>90; 2 Dec 2013 p. 5606</w:t>
      </w:r>
      <w:r>
        <w:noBreakHyphen/>
        <w:t>7.]</w:t>
      </w:r>
    </w:p>
    <w:p>
      <w:pPr>
        <w:pStyle w:val="Heading5"/>
        <w:spacing w:before="180"/>
      </w:pPr>
      <w:bookmarkStart w:id="664" w:name="_Toc201747284"/>
      <w:bookmarkStart w:id="665" w:name="_Toc200095544"/>
      <w:r>
        <w:rPr>
          <w:rStyle w:val="CharSectno"/>
        </w:rPr>
        <w:t>165</w:t>
      </w:r>
      <w:r>
        <w:t>.</w:t>
      </w:r>
      <w:r>
        <w:tab/>
        <w:t>Body corporate and partnership to have qualified officer</w:t>
      </w:r>
      <w:bookmarkEnd w:id="664"/>
      <w:bookmarkEnd w:id="665"/>
      <w:r>
        <w:t xml:space="preserve"> </w:t>
      </w:r>
    </w:p>
    <w:p>
      <w:pPr>
        <w:pStyle w:val="Subsection"/>
        <w:keepNext/>
      </w:pPr>
      <w:r>
        <w:tab/>
        <w:t>(1)</w:t>
      </w:r>
      <w:r>
        <w:tab/>
        <w:t>In this regulation —</w:t>
      </w:r>
    </w:p>
    <w:p>
      <w:pPr>
        <w:pStyle w:val="Defstart"/>
      </w:pPr>
      <w:r>
        <w:tab/>
      </w:r>
      <w:r>
        <w:rPr>
          <w:rStyle w:val="CharDefText"/>
        </w:rPr>
        <w:t>officer</w:t>
      </w:r>
      <w:r>
        <w:t>, of a body corporate or a partnership, means an individual who is concerned in the management of, or employed by, the body or partnership;</w:t>
      </w:r>
    </w:p>
    <w:p>
      <w:pPr>
        <w:pStyle w:val="Defstart"/>
      </w:pPr>
      <w:r>
        <w:tab/>
      </w:r>
      <w:r>
        <w:rPr>
          <w:rStyle w:val="CharDefText"/>
        </w:rPr>
        <w:t>qualified officer</w:t>
      </w:r>
      <w:r>
        <w:t>, of a body corporate or a partnership that holds a licence, means an officer of the body or partnership who —</w:t>
      </w:r>
    </w:p>
    <w:p>
      <w:pPr>
        <w:pStyle w:val="Defpara"/>
      </w:pPr>
      <w:r>
        <w:tab/>
        <w:t>(a)</w:t>
      </w:r>
      <w:r>
        <w:tab/>
        <w:t>has reached 21 years of age; and</w:t>
      </w:r>
    </w:p>
    <w:p>
      <w:pPr>
        <w:pStyle w:val="Defpara"/>
      </w:pPr>
      <w:r>
        <w:tab/>
        <w:t>(b)</w:t>
      </w:r>
      <w:r>
        <w:tab/>
        <w:t>is competent to engage safely in the activities that are authorised by the licence and to keep any explosive possessed under the licence secure; and</w:t>
      </w:r>
    </w:p>
    <w:p>
      <w:pPr>
        <w:pStyle w:val="Defpara"/>
      </w:pPr>
      <w:r>
        <w:tab/>
        <w:t>(c)</w:t>
      </w:r>
      <w:r>
        <w:tab/>
        <w:t>has a security clearance.</w:t>
      </w:r>
    </w:p>
    <w:p>
      <w:pPr>
        <w:pStyle w:val="Subsection"/>
      </w:pPr>
      <w:r>
        <w:tab/>
        <w:t>(2)</w:t>
      </w:r>
      <w:r>
        <w:tab/>
        <w:t>A body corporate or a partnership that holds a licence must have one or more qualified officers.</w:t>
      </w:r>
    </w:p>
    <w:p>
      <w:pPr>
        <w:pStyle w:val="Penstart"/>
      </w:pPr>
      <w:r>
        <w:tab/>
        <w:t>Penalty: a level 3 fine.</w:t>
      </w:r>
    </w:p>
    <w:p>
      <w:pPr>
        <w:pStyle w:val="Subsection"/>
        <w:spacing w:before="120"/>
      </w:pPr>
      <w:r>
        <w:tab/>
        <w:t>(3)</w:t>
      </w:r>
      <w:r>
        <w:tab/>
        <w:t>A body corporate or a partnership that holds a licence must keep a proper record of at least one of its qualified officers.</w:t>
      </w:r>
    </w:p>
    <w:p>
      <w:pPr>
        <w:pStyle w:val="Penstart"/>
      </w:pPr>
      <w:r>
        <w:tab/>
        <w:t>Penalty: a level 3 fine.</w:t>
      </w:r>
    </w:p>
    <w:p>
      <w:pPr>
        <w:pStyle w:val="Subsection"/>
        <w:spacing w:before="120"/>
      </w:pPr>
      <w:r>
        <w:tab/>
        <w:t>(4)</w:t>
      </w:r>
      <w:r>
        <w:tab/>
        <w:t>For the purpose of subregulation (3), a proper record is not kept of a qualified officer unless a written record is made of this information —</w:t>
      </w:r>
    </w:p>
    <w:p>
      <w:pPr>
        <w:pStyle w:val="Indenta"/>
      </w:pPr>
      <w:r>
        <w:tab/>
        <w:t>(a)</w:t>
      </w:r>
      <w:r>
        <w:tab/>
        <w:t>the officer’s personal details;</w:t>
      </w:r>
    </w:p>
    <w:p>
      <w:pPr>
        <w:pStyle w:val="Indenta"/>
      </w:pPr>
      <w:r>
        <w:tab/>
        <w:t>(b)</w:t>
      </w:r>
      <w:r>
        <w:tab/>
        <w:t>the officer’s date of birth;</w:t>
      </w:r>
    </w:p>
    <w:p>
      <w:pPr>
        <w:pStyle w:val="Indenta"/>
      </w:pPr>
      <w:r>
        <w:tab/>
        <w:t>(c)</w:t>
      </w:r>
      <w:r>
        <w:tab/>
        <w:t>the position the officer holds in the body corporate or partnership;</w:t>
      </w:r>
    </w:p>
    <w:p>
      <w:pPr>
        <w:pStyle w:val="Indenta"/>
      </w:pPr>
      <w:r>
        <w:tab/>
        <w:t>(d)</w:t>
      </w:r>
      <w:r>
        <w:tab/>
        <w:t>details of the security clearance held by the officer,</w:t>
      </w:r>
    </w:p>
    <w:p>
      <w:pPr>
        <w:pStyle w:val="Subsection"/>
      </w:pPr>
      <w:r>
        <w:tab/>
      </w:r>
      <w:r>
        <w:tab/>
        <w:t>and is kept while the officer is, and for 2 years after the date on which the officer ceases to be, an officer of the body or partnership.</w:t>
      </w:r>
    </w:p>
    <w:p>
      <w:pPr>
        <w:pStyle w:val="Subsection"/>
      </w:pPr>
      <w:r>
        <w:tab/>
        <w:t>(5)</w:t>
      </w:r>
      <w:r>
        <w:tab/>
        <w:t>The Chief Officer at any time may direct an individual who is recorded by a body corporate or a partnership under subregulation (3) to demonstrate to the Chief Officer that he or she is competent —</w:t>
      </w:r>
    </w:p>
    <w:p>
      <w:pPr>
        <w:pStyle w:val="Indenta"/>
      </w:pPr>
      <w:r>
        <w:tab/>
        <w:t>(a)</w:t>
      </w:r>
      <w:r>
        <w:tab/>
        <w:t>to engage safely in the activities that are authorised by the licence held by the body corporate or partnership; and</w:t>
      </w:r>
    </w:p>
    <w:p>
      <w:pPr>
        <w:pStyle w:val="Indenta"/>
      </w:pPr>
      <w:r>
        <w:tab/>
        <w:t>(b)</w:t>
      </w:r>
      <w:r>
        <w:tab/>
        <w:t>to keep any explosive possessed under the licence secure.</w:t>
      </w:r>
    </w:p>
    <w:p>
      <w:pPr>
        <w:pStyle w:val="Subsection"/>
      </w:pPr>
      <w:r>
        <w:tab/>
        <w:t>(6)</w:t>
      </w:r>
      <w:r>
        <w:tab/>
        <w:t>The power in subregulation (5) may be exercised whether or not the individual is an officer of the body corporate or partnership.</w:t>
      </w:r>
    </w:p>
    <w:p>
      <w:pPr>
        <w:pStyle w:val="Subsection"/>
      </w:pPr>
      <w:r>
        <w:tab/>
        <w:t>(7)</w:t>
      </w:r>
      <w:r>
        <w:tab/>
        <w:t>A person who does not comply with a direction given under subregulation (5) commits an offence.</w:t>
      </w:r>
    </w:p>
    <w:p>
      <w:pPr>
        <w:pStyle w:val="Penstart"/>
      </w:pPr>
      <w:r>
        <w:tab/>
        <w:t>Penalty: a level 3 fine.</w:t>
      </w:r>
    </w:p>
    <w:p>
      <w:pPr>
        <w:pStyle w:val="Footnotesection"/>
      </w:pPr>
      <w:r>
        <w:tab/>
        <w:t>[Regulation 165 inserted: Gazette 2 Dec 2013 p.</w:t>
      </w:r>
      <w:r>
        <w:rPr>
          <w:sz w:val="19"/>
        </w:rPr>
        <w:t> </w:t>
      </w:r>
      <w:r>
        <w:t>5607</w:t>
      </w:r>
      <w:r>
        <w:noBreakHyphen/>
        <w:t>8; amended: Gazette 5 Feb 2016 p. 350.]</w:t>
      </w:r>
    </w:p>
    <w:p>
      <w:pPr>
        <w:pStyle w:val="Heading5"/>
      </w:pPr>
      <w:bookmarkStart w:id="666" w:name="_Toc201747285"/>
      <w:bookmarkStart w:id="667" w:name="_Toc200095545"/>
      <w:r>
        <w:rPr>
          <w:rStyle w:val="CharSectno"/>
        </w:rPr>
        <w:t>165A</w:t>
      </w:r>
      <w:r>
        <w:t>.</w:t>
      </w:r>
      <w:r>
        <w:tab/>
        <w:t>Fireworks contractor licence requirements</w:t>
      </w:r>
      <w:bookmarkEnd w:id="666"/>
      <w:bookmarkEnd w:id="667"/>
    </w:p>
    <w:p>
      <w:pPr>
        <w:pStyle w:val="Subsection"/>
      </w:pPr>
      <w:r>
        <w:tab/>
        <w:t>(1)</w:t>
      </w:r>
      <w:r>
        <w:tab/>
        <w:t>An individual who holds a fireworks contractor licence must hold a fireworks operator licence.</w:t>
      </w:r>
    </w:p>
    <w:p>
      <w:pPr>
        <w:pStyle w:val="Penstart"/>
      </w:pPr>
      <w:r>
        <w:tab/>
        <w:t>Penalty for this subregulation: a level 3 fine.</w:t>
      </w:r>
    </w:p>
    <w:p>
      <w:pPr>
        <w:pStyle w:val="Subsection"/>
      </w:pPr>
      <w:r>
        <w:tab/>
        <w:t>(2)</w:t>
      </w:r>
      <w:r>
        <w:tab/>
        <w:t>A body corporate or a partnership that holds a fireworks contractor licence must have at least one individual who is concerned in the management of, or employed by, the body or partnership who holds a fireworks operator licence.</w:t>
      </w:r>
    </w:p>
    <w:p>
      <w:pPr>
        <w:pStyle w:val="Penstart"/>
      </w:pPr>
      <w:r>
        <w:tab/>
        <w:t>Penalty for this subregulation: a level 3 fine.</w:t>
      </w:r>
    </w:p>
    <w:p>
      <w:pPr>
        <w:pStyle w:val="Footnotesection"/>
      </w:pPr>
      <w:r>
        <w:tab/>
        <w:t>[Regulation 165A inserted: Gazette 5 Feb 2016 p. 350.]</w:t>
      </w:r>
    </w:p>
    <w:p>
      <w:pPr>
        <w:pStyle w:val="Heading5"/>
      </w:pPr>
      <w:bookmarkStart w:id="668" w:name="_Toc201747286"/>
      <w:bookmarkStart w:id="669" w:name="_Toc200095546"/>
      <w:r>
        <w:rPr>
          <w:rStyle w:val="CharSectno"/>
        </w:rPr>
        <w:t>166</w:t>
      </w:r>
      <w:r>
        <w:t>.</w:t>
      </w:r>
      <w:r>
        <w:tab/>
        <w:t>Conditions of licences</w:t>
      </w:r>
      <w:bookmarkEnd w:id="668"/>
      <w:bookmarkEnd w:id="669"/>
    </w:p>
    <w:p>
      <w:pPr>
        <w:pStyle w:val="Subsection"/>
        <w:spacing w:before="180"/>
      </w:pPr>
      <w:r>
        <w:tab/>
        <w:t>(1)</w:t>
      </w:r>
      <w:r>
        <w:tab/>
        <w:t>A licence may be subject to conditions decided by the Chief Officer and imposed when it is issued or while it has effect.</w:t>
      </w:r>
    </w:p>
    <w:p>
      <w:pPr>
        <w:pStyle w:val="Subsection"/>
        <w:spacing w:before="180"/>
      </w:pPr>
      <w:r>
        <w:tab/>
        <w:t>(2)</w:t>
      </w:r>
      <w:r>
        <w:tab/>
        <w:t>Any such conditions must be specified in the licence.</w:t>
      </w:r>
    </w:p>
    <w:p>
      <w:pPr>
        <w:pStyle w:val="Subsection"/>
        <w:keepNext/>
        <w:spacing w:before="180"/>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spacing w:before="180"/>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keepNext/>
        <w:spacing w:before="120"/>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670" w:name="_Toc201747287"/>
      <w:bookmarkStart w:id="671" w:name="_Toc200095547"/>
      <w:r>
        <w:rPr>
          <w:rStyle w:val="CharSectno"/>
        </w:rPr>
        <w:t>167</w:t>
      </w:r>
      <w:r>
        <w:t>.</w:t>
      </w:r>
      <w:r>
        <w:tab/>
        <w:t>Duration of licences</w:t>
      </w:r>
      <w:bookmarkEnd w:id="670"/>
      <w:bookmarkEnd w:id="671"/>
    </w:p>
    <w:p>
      <w:pPr>
        <w:pStyle w:val="Subsection"/>
      </w:pPr>
      <w:r>
        <w:tab/>
        <w:t>(1A)</w:t>
      </w:r>
      <w:r>
        <w:tab/>
        <w:t>In this regulation —</w:t>
      </w:r>
    </w:p>
    <w:p>
      <w:pPr>
        <w:pStyle w:val="Defstart"/>
      </w:pPr>
      <w:r>
        <w:tab/>
      </w:r>
      <w:r>
        <w:rPr>
          <w:rStyle w:val="CharDefText"/>
        </w:rPr>
        <w:t>existing trading licence</w:t>
      </w:r>
      <w:r>
        <w:t xml:space="preserve"> means a trading licence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(1C)</w:t>
      </w:r>
      <w:r>
        <w:tab/>
        <w:t>Each existing trading licence has effect for 5 years commencing on —</w:t>
      </w:r>
    </w:p>
    <w:p>
      <w:pPr>
        <w:pStyle w:val="Indenta"/>
      </w:pPr>
      <w:r>
        <w:tab/>
        <w:t>(a)</w:t>
      </w:r>
      <w:r>
        <w:tab/>
        <w:t>if it has never been renewed, the date on which it was issued; or</w:t>
      </w:r>
    </w:p>
    <w:p>
      <w:pPr>
        <w:pStyle w:val="Indenta"/>
      </w:pPr>
      <w:r>
        <w:tab/>
        <w:t>(b)</w:t>
      </w:r>
      <w:r>
        <w:tab/>
        <w:t>if it has been renewed, the date on which the last renewal took effect,</w:t>
      </w:r>
    </w:p>
    <w:p>
      <w:pPr>
        <w:pStyle w:val="Subsection"/>
      </w:pPr>
      <w:r>
        <w:tab/>
      </w:r>
      <w:r>
        <w:tab/>
        <w:t>unless it is cancelled in that period.</w:t>
      </w:r>
    </w:p>
    <w:p>
      <w:pPr>
        <w:pStyle w:val="Subsection"/>
      </w:pPr>
      <w:r>
        <w:tab/>
        <w:t>(1D)</w:t>
      </w:r>
      <w:r>
        <w:tab/>
        <w:t>A trading licence issued on or after 1 April 2012 has effect for 5 years unless it is cancelled in that period.</w:t>
      </w:r>
    </w:p>
    <w:p>
      <w:pPr>
        <w:pStyle w:val="Subsection"/>
      </w:pPr>
      <w:r>
        <w:tab/>
        <w:t>(1)</w:t>
      </w:r>
      <w:r>
        <w:tab/>
        <w:t>A licence other than a trading licence has effect for 5 years commencing on the date on which it was issued, unless it is cancelled in that period.</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tab/>
        <w:t>(c)</w:t>
      </w:r>
      <w:r>
        <w:tab/>
        <w:t>the holder, being an individual, dies.</w:t>
      </w:r>
    </w:p>
    <w:p>
      <w:pPr>
        <w:pStyle w:val="Footnotesection"/>
      </w:pPr>
      <w:r>
        <w:tab/>
        <w:t>[Regulation 167 amended: Gazette 16 Mar 2012 p. 1264</w:t>
      </w:r>
      <w:r>
        <w:noBreakHyphen/>
        <w:t>5; 2 Dec 2013 p. 5609; 24 Oct 2014 p. 4121; amended: Gazette 5 Feb 2016 p. 350.]</w:t>
      </w:r>
    </w:p>
    <w:p>
      <w:pPr>
        <w:pStyle w:val="Heading5"/>
      </w:pPr>
      <w:bookmarkStart w:id="672" w:name="_Toc201747288"/>
      <w:bookmarkStart w:id="673" w:name="_Toc200095548"/>
      <w:r>
        <w:rPr>
          <w:rStyle w:val="CharSectno"/>
        </w:rPr>
        <w:t>168A</w:t>
      </w:r>
      <w:r>
        <w:t>.</w:t>
      </w:r>
      <w:r>
        <w:tab/>
        <w:t>Licence suspended in certain circumstances</w:t>
      </w:r>
      <w:bookmarkEnd w:id="672"/>
      <w:bookmarkEnd w:id="673"/>
    </w:p>
    <w:p>
      <w:pPr>
        <w:pStyle w:val="Subsection"/>
      </w:pPr>
      <w:r>
        <w:tab/>
        <w:t>(1)</w:t>
      </w:r>
      <w:r>
        <w:tab/>
        <w:t>A licence is to be taken to have been suspended for any period during which the holder, being an individual, does not have a security clearance.</w:t>
      </w:r>
    </w:p>
    <w:p>
      <w:pPr>
        <w:pStyle w:val="Subsection"/>
      </w:pPr>
      <w:r>
        <w:tab/>
        <w:t>(2)</w:t>
      </w:r>
      <w:r>
        <w:tab/>
        <w:t xml:space="preserve">A fireworks contractor licence is to be taken to have been suspended for any period during which — </w:t>
      </w:r>
    </w:p>
    <w:p>
      <w:pPr>
        <w:pStyle w:val="Indenta"/>
      </w:pPr>
      <w:r>
        <w:tab/>
        <w:t>(a)</w:t>
      </w:r>
      <w:r>
        <w:tab/>
        <w:t>the licence holder, being an individual, does not hold a fireworks operator licence; or</w:t>
      </w:r>
    </w:p>
    <w:p>
      <w:pPr>
        <w:pStyle w:val="Indenta"/>
      </w:pPr>
      <w:r>
        <w:tab/>
        <w:t>(b)</w:t>
      </w:r>
      <w:r>
        <w:tab/>
        <w:t>the licence holder, being a body corporate or a partnership, does not have an individual who holds a fireworks operator licence concerned in the management of, or employed by, the body or partnership.</w:t>
      </w:r>
    </w:p>
    <w:p>
      <w:pPr>
        <w:pStyle w:val="Footnotesection"/>
      </w:pPr>
      <w:r>
        <w:tab/>
        <w:t>[Regulation 168A inserted: Gazette 5 Feb 2016 p. 351.]</w:t>
      </w:r>
    </w:p>
    <w:p>
      <w:pPr>
        <w:pStyle w:val="Heading5"/>
        <w:spacing w:before="180"/>
      </w:pPr>
      <w:bookmarkStart w:id="674" w:name="_Toc201747289"/>
      <w:bookmarkStart w:id="675" w:name="_Toc200095549"/>
      <w:r>
        <w:rPr>
          <w:rStyle w:val="CharSectno"/>
        </w:rPr>
        <w:t>168</w:t>
      </w:r>
      <w:r>
        <w:t>.</w:t>
      </w:r>
      <w:r>
        <w:tab/>
        <w:t>Form of licences</w:t>
      </w:r>
      <w:bookmarkEnd w:id="674"/>
      <w:bookmarkEnd w:id="675"/>
    </w:p>
    <w:p>
      <w:pPr>
        <w:pStyle w:val="Subsection"/>
      </w:pPr>
      <w:r>
        <w:tab/>
        <w:t>(1)</w:t>
      </w:r>
      <w:r>
        <w:tab/>
        <w:t>A licence must be in such form as the Chief Officer decides.</w:t>
      </w:r>
    </w:p>
    <w:p>
      <w:pPr>
        <w:pStyle w:val="Ednotesubsection"/>
      </w:pPr>
      <w:r>
        <w:tab/>
        <w:t>[(2)</w:t>
      </w:r>
      <w:r>
        <w:tab/>
        <w:t>deleted]</w:t>
      </w:r>
    </w:p>
    <w:p>
      <w:pPr>
        <w:pStyle w:val="Footnotesection"/>
      </w:pPr>
      <w:r>
        <w:tab/>
        <w:t>[Regulation 168 amended: Gazette 5 Feb 2016 p. 351.]</w:t>
      </w:r>
    </w:p>
    <w:p>
      <w:pPr>
        <w:pStyle w:val="Heading5"/>
        <w:spacing w:before="180"/>
      </w:pPr>
      <w:bookmarkStart w:id="676" w:name="_Toc201747290"/>
      <w:bookmarkStart w:id="677" w:name="_Toc200095550"/>
      <w:r>
        <w:rPr>
          <w:rStyle w:val="CharSectno"/>
        </w:rPr>
        <w:t>169</w:t>
      </w:r>
      <w:r>
        <w:t>.</w:t>
      </w:r>
      <w:r>
        <w:tab/>
        <w:t>Licences not transferable etc.</w:t>
      </w:r>
      <w:bookmarkEnd w:id="676"/>
      <w:bookmarkEnd w:id="677"/>
    </w:p>
    <w:p>
      <w:pPr>
        <w:pStyle w:val="Subsection"/>
        <w:keepNext/>
      </w:pPr>
      <w:r>
        <w:tab/>
        <w:t>(1)</w:t>
      </w:r>
      <w:r>
        <w:tab/>
        <w:t>A licence is valid only for the person to whom it is issued.</w:t>
      </w:r>
    </w:p>
    <w:p>
      <w:pPr>
        <w:pStyle w:val="Subsection"/>
        <w:keepNext/>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678" w:name="_Toc201747291"/>
      <w:bookmarkStart w:id="679" w:name="_Toc200095551"/>
      <w:r>
        <w:rPr>
          <w:rStyle w:val="CharSectno"/>
        </w:rPr>
        <w:t>170</w:t>
      </w:r>
      <w:r>
        <w:t>.</w:t>
      </w:r>
      <w:r>
        <w:tab/>
        <w:t>Licences may be surrendered</w:t>
      </w:r>
      <w:bookmarkEnd w:id="678"/>
      <w:bookmarkEnd w:id="679"/>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spacing w:before="240"/>
      </w:pPr>
      <w:bookmarkStart w:id="680" w:name="_Toc201747292"/>
      <w:bookmarkStart w:id="681" w:name="_Toc200095552"/>
      <w:r>
        <w:rPr>
          <w:rStyle w:val="CharSectno"/>
        </w:rPr>
        <w:t>171</w:t>
      </w:r>
      <w:r>
        <w:t>.</w:t>
      </w:r>
      <w:r>
        <w:tab/>
        <w:t>Lost licences may be replaced</w:t>
      </w:r>
      <w:bookmarkEnd w:id="680"/>
      <w:bookmarkEnd w:id="681"/>
    </w:p>
    <w:p>
      <w:pPr>
        <w:pStyle w:val="Subsection"/>
      </w:pPr>
      <w:r>
        <w:tab/>
        <w:t>(1)</w:t>
      </w:r>
      <w:r>
        <w:tab/>
        <w:t>If the Chief Officer is satisfied that a licence has been destroyed, lost or stolen, the Chief Officer may issue a replacement.</w:t>
      </w:r>
    </w:p>
    <w:p>
      <w:pPr>
        <w:pStyle w:val="Ednotesubsection"/>
      </w:pPr>
      <w:r>
        <w:tab/>
        <w:t>[(2)</w:t>
      </w:r>
      <w:r>
        <w:tab/>
        <w:t>deleted]</w:t>
      </w:r>
    </w:p>
    <w:p>
      <w:pPr>
        <w:pStyle w:val="Subsection"/>
      </w:pPr>
      <w:r>
        <w:tab/>
        <w:t>(3)</w:t>
      </w:r>
      <w:r>
        <w:tab/>
        <w:t>No fee is to be charged for issuing a replacement under subregulation (1).</w:t>
      </w:r>
    </w:p>
    <w:p>
      <w:pPr>
        <w:pStyle w:val="Footnotesection"/>
      </w:pPr>
      <w:r>
        <w:tab/>
        <w:t>[Regulation 171 amended: Gazette 2 Dec 2013 p.</w:t>
      </w:r>
      <w:r>
        <w:rPr>
          <w:sz w:val="19"/>
        </w:rPr>
        <w:t> </w:t>
      </w:r>
      <w:r>
        <w:t>5609; 5 Feb 2016 p. 351.]</w:t>
      </w:r>
    </w:p>
    <w:p>
      <w:pPr>
        <w:pStyle w:val="Heading5"/>
        <w:spacing w:before="240"/>
      </w:pPr>
      <w:bookmarkStart w:id="682" w:name="_Toc201747293"/>
      <w:bookmarkStart w:id="683" w:name="_Toc200095553"/>
      <w:r>
        <w:rPr>
          <w:rStyle w:val="CharSectno"/>
        </w:rPr>
        <w:t>172</w:t>
      </w:r>
      <w:r>
        <w:t>.</w:t>
      </w:r>
      <w:r>
        <w:tab/>
        <w:t>Amending licences</w:t>
      </w:r>
      <w:bookmarkEnd w:id="682"/>
      <w:bookmarkEnd w:id="683"/>
    </w:p>
    <w:p>
      <w:pPr>
        <w:pStyle w:val="Subsection"/>
        <w:keepNext/>
        <w:spacing w:before="180"/>
      </w:pPr>
      <w:r>
        <w:tab/>
        <w:t>(1)</w:t>
      </w:r>
      <w:r>
        <w:tab/>
        <w:t xml:space="preserve">In this regulation — </w:t>
      </w:r>
    </w:p>
    <w:p>
      <w:pPr>
        <w:pStyle w:val="Defstart"/>
      </w:pPr>
      <w:r>
        <w:tab/>
      </w:r>
      <w:r>
        <w:rPr>
          <w:rStyle w:val="CharDefText"/>
        </w:rPr>
        <w:t>amend</w:t>
      </w:r>
      <w:r>
        <w:t>, a licence, includes —</w:t>
      </w:r>
    </w:p>
    <w:p>
      <w:pPr>
        <w:pStyle w:val="Defpara"/>
      </w:pPr>
      <w:r>
        <w:tab/>
        <w:t>(a)</w:t>
      </w:r>
      <w:r>
        <w:tab/>
        <w:t>to amend the licence to delete the name of the holder of the licence and substitute another; and</w:t>
      </w:r>
    </w:p>
    <w:p>
      <w:pPr>
        <w:pStyle w:val="Defpara"/>
      </w:pPr>
      <w:r>
        <w:tab/>
        <w:t>(b)</w:t>
      </w:r>
      <w:r>
        <w:tab/>
        <w:t>to amend, include and remove a condition of the licence.</w:t>
      </w:r>
    </w:p>
    <w:p>
      <w:pPr>
        <w:pStyle w:val="Subsection"/>
        <w:spacing w:before="180"/>
      </w:pPr>
      <w:r>
        <w:tab/>
        <w:t>(2)</w:t>
      </w:r>
      <w:r>
        <w:tab/>
        <w:t>A licence holder may apply to amend the licence.</w:t>
      </w:r>
    </w:p>
    <w:p>
      <w:pPr>
        <w:pStyle w:val="Subsection"/>
        <w:spacing w:before="180"/>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proposed amendment relates to an explosives storage licence and would increase the maximum quantity of explosives specified in it to a quantity that would mean a greater annual fee is payable for the licence than has already been paid — be accompanied by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be made to the Chief Officer.</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166 and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pPr>
      <w:r>
        <w:tab/>
        <w:t>(10)</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Indenta"/>
      </w:pPr>
      <w:r>
        <w:tab/>
        <w:t>(a)</w:t>
      </w:r>
      <w:r>
        <w:tab/>
        <w:t>the annual fee already paid; and</w:t>
      </w:r>
    </w:p>
    <w:p>
      <w:pPr>
        <w:pStyle w:val="Indenta"/>
      </w:pPr>
      <w:r>
        <w:tab/>
        <w:t>(b)</w:t>
      </w:r>
      <w:r>
        <w:tab/>
        <w:t>the lower annual fee,</w:t>
      </w:r>
    </w:p>
    <w:p>
      <w:pPr>
        <w:pStyle w:val="Subsection"/>
      </w:pPr>
      <w:r>
        <w:tab/>
      </w:r>
      <w:r>
        <w:tab/>
        <w:t>adjusted proportionally for the remaining part of the year for which the annual fee was paid.</w:t>
      </w:r>
    </w:p>
    <w:p>
      <w:pPr>
        <w:pStyle w:val="Footnotesection"/>
      </w:pPr>
      <w:r>
        <w:tab/>
        <w:t>[Regulation 172 amended: Gazette 16 Mar 2012 p. 1265; 19 Feb 2013 p. 986; 2 Dec 2013 p. 5609</w:t>
      </w:r>
      <w:r>
        <w:noBreakHyphen/>
        <w:t>10.]</w:t>
      </w:r>
    </w:p>
    <w:p>
      <w:pPr>
        <w:pStyle w:val="Heading5"/>
      </w:pPr>
      <w:bookmarkStart w:id="684" w:name="_Toc201747294"/>
      <w:bookmarkStart w:id="685" w:name="_Toc200095554"/>
      <w:r>
        <w:rPr>
          <w:rStyle w:val="CharSectno"/>
        </w:rPr>
        <w:t>173</w:t>
      </w:r>
      <w:r>
        <w:t>.</w:t>
      </w:r>
      <w:r>
        <w:tab/>
        <w:t>Procedure for renewing licences</w:t>
      </w:r>
      <w:bookmarkEnd w:id="684"/>
      <w:bookmarkEnd w:id="685"/>
    </w:p>
    <w:p>
      <w:pPr>
        <w:pStyle w:val="Subsection"/>
        <w:keepNext/>
      </w:pPr>
      <w:r>
        <w:tab/>
        <w:t>(1A)</w:t>
      </w:r>
      <w:r>
        <w:tab/>
        <w:t>This regulation does not apply to a trading licence.</w:t>
      </w:r>
    </w:p>
    <w:p>
      <w:pPr>
        <w:pStyle w:val="Subsection"/>
      </w:pPr>
      <w:r>
        <w:tab/>
        <w:t>(1)</w:t>
      </w:r>
      <w:r>
        <w:tab/>
        <w:t>The holder of a licence that, under regulation 167(1)(a), will expire within 3 months may apply for a new licence of the same kind before it expires.</w:t>
      </w:r>
    </w:p>
    <w:p>
      <w:pPr>
        <w:pStyle w:val="Subsection"/>
        <w:keepNext/>
        <w:keepLines/>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Ednotepara"/>
      </w:pPr>
      <w:r>
        <w:tab/>
        <w:t>[(g)</w:t>
      </w:r>
      <w:r>
        <w:tab/>
        <w:t>deleted]</w:t>
      </w:r>
    </w:p>
    <w:p>
      <w:pPr>
        <w:pStyle w:val="Indenta"/>
      </w:pPr>
      <w:r>
        <w:tab/>
        <w:t>(h)</w:t>
      </w:r>
      <w:r>
        <w:tab/>
        <w:t>if it is for a pyrotechnics (special use) licence, be accompanied by the evidence referred to in regulation 157(3)(g); and</w:t>
      </w:r>
    </w:p>
    <w:p>
      <w:pPr>
        <w:pStyle w:val="Indenta"/>
      </w:pPr>
      <w:r>
        <w:tab/>
        <w:t>(i)</w:t>
      </w:r>
      <w:r>
        <w:tab/>
        <w:t>be accompanied by the fee; and</w:t>
      </w:r>
    </w:p>
    <w:p>
      <w:pPr>
        <w:pStyle w:val="Indenta"/>
      </w:pPr>
      <w:r>
        <w:tab/>
        <w:t>(j)</w:t>
      </w:r>
      <w:r>
        <w:tab/>
        <w:t>be made to the Chief Officer.</w:t>
      </w:r>
    </w:p>
    <w:p>
      <w:pPr>
        <w:pStyle w:val="Ednotesubsection"/>
      </w:pPr>
      <w:r>
        <w:tab/>
        <w:t>[(4)</w:t>
      </w:r>
      <w:r>
        <w:tab/>
        <w:t>deleted]</w:t>
      </w:r>
    </w:p>
    <w:p>
      <w:pPr>
        <w:pStyle w:val="Subsection"/>
      </w:pPr>
      <w:r>
        <w:tab/>
        <w:t>(5)</w:t>
      </w:r>
      <w:r>
        <w:tab/>
        <w:t>Subject to subregulation (6B), regulations 162 to 164, with any necessary changes, apply in relation to dealing with a renewal application as if it were an application for a licence.</w:t>
      </w:r>
    </w:p>
    <w:p>
      <w:pPr>
        <w:pStyle w:val="Subsection"/>
      </w:pPr>
      <w:r>
        <w:tab/>
        <w:t>(6A)</w:t>
      </w:r>
      <w:r>
        <w:tab/>
        <w:t>Subregulation (6B) applies if a renewal application relates to a licence that is suspended under regulation 168A.</w:t>
      </w:r>
    </w:p>
    <w:p>
      <w:pPr>
        <w:pStyle w:val="Subsection"/>
      </w:pPr>
      <w:r>
        <w:tab/>
        <w:t>(6B)</w:t>
      </w:r>
      <w:r>
        <w:tab/>
        <w:t>Regulation 164(2)(c)(ii), as applied by subregulation (5), does not have effect in relation to the renewal application but, if the renewal application is granted, the licence continues to be suspended under regulation 168A.</w:t>
      </w:r>
    </w:p>
    <w:p>
      <w:pPr>
        <w:pStyle w:val="Subsection"/>
      </w:pPr>
      <w:r>
        <w:tab/>
        <w:t>(6)</w:t>
      </w:r>
      <w:r>
        <w:tab/>
        <w:t>Regulations 166 and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keepNext/>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Footnotesection"/>
      </w:pPr>
      <w:r>
        <w:tab/>
        <w:t>[Regulation 173 amended: Gazette 16 Mar 2012 p. 1266; 2 Dec 2013 p. 5610; 24 Oct 2014 p. 4121; 5 Feb 2016 p. 352; SL 2022/122 r. 6.]</w:t>
      </w:r>
    </w:p>
    <w:p>
      <w:pPr>
        <w:pStyle w:val="Heading5"/>
        <w:keepNext w:val="0"/>
        <w:keepLines w:val="0"/>
      </w:pPr>
      <w:bookmarkStart w:id="686" w:name="_Toc201747295"/>
      <w:bookmarkStart w:id="687" w:name="_Toc200095555"/>
      <w:r>
        <w:rPr>
          <w:rStyle w:val="CharSectno"/>
        </w:rPr>
        <w:t>174A</w:t>
      </w:r>
      <w:r>
        <w:t>.</w:t>
      </w:r>
      <w:r>
        <w:tab/>
        <w:t>Trading licences, renewal of</w:t>
      </w:r>
      <w:bookmarkEnd w:id="686"/>
      <w:bookmarkEnd w:id="687"/>
    </w:p>
    <w:p>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pPr>
        <w:pStyle w:val="Indenta"/>
      </w:pPr>
      <w:r>
        <w:tab/>
        <w:t>(a)</w:t>
      </w:r>
      <w:r>
        <w:tab/>
        <w:t>the holder of the existing trading licence is dead or, being a body corporate or partnership, is dissolved; or</w:t>
      </w:r>
    </w:p>
    <w:p>
      <w:pPr>
        <w:pStyle w:val="Indenta"/>
      </w:pPr>
      <w:r>
        <w:tab/>
        <w:t>(b)</w:t>
      </w:r>
      <w:r>
        <w:tab/>
        <w:t>the holder of the existing trading licence does not want it renewed; or</w:t>
      </w:r>
    </w:p>
    <w:p>
      <w:pPr>
        <w:pStyle w:val="Indenta"/>
      </w:pPr>
      <w:r>
        <w:tab/>
        <w:t>(c)</w:t>
      </w:r>
      <w:r>
        <w:tab/>
        <w:t>if the existing trading licence relates to a place specified in it, a trading licence is not needed for the place; or</w:t>
      </w:r>
    </w:p>
    <w:p>
      <w:pPr>
        <w:pStyle w:val="Indenta"/>
      </w:pPr>
      <w:r>
        <w:tab/>
        <w:t>(d)</w:t>
      </w:r>
      <w:r>
        <w:tab/>
        <w:t>the annual fee payable for the first year of the new trading licence has not been paid.</w:t>
      </w:r>
    </w:p>
    <w:p>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pPr>
        <w:pStyle w:val="Footnotesection"/>
      </w:pPr>
      <w:r>
        <w:tab/>
        <w:t>[Regulation 174A inserted: Gazette 16 Mar 2012 p. 1266.]</w:t>
      </w:r>
    </w:p>
    <w:p>
      <w:pPr>
        <w:pStyle w:val="Heading3"/>
      </w:pPr>
      <w:bookmarkStart w:id="688" w:name="_Toc201670650"/>
      <w:bookmarkStart w:id="689" w:name="_Toc201671314"/>
      <w:bookmarkStart w:id="690" w:name="_Toc201747296"/>
      <w:bookmarkStart w:id="691" w:name="_Toc200031749"/>
      <w:bookmarkStart w:id="692" w:name="_Toc200036737"/>
      <w:bookmarkStart w:id="693" w:name="_Toc200095556"/>
      <w:r>
        <w:rPr>
          <w:rStyle w:val="CharDivNo"/>
        </w:rPr>
        <w:t>Division 3</w:t>
      </w:r>
      <w:r>
        <w:t> — </w:t>
      </w:r>
      <w:r>
        <w:rPr>
          <w:rStyle w:val="CharDivText"/>
        </w:rPr>
        <w:t>Suspending and cancelling licences</w:t>
      </w:r>
      <w:bookmarkEnd w:id="688"/>
      <w:bookmarkEnd w:id="689"/>
      <w:bookmarkEnd w:id="690"/>
      <w:bookmarkEnd w:id="691"/>
      <w:bookmarkEnd w:id="692"/>
      <w:bookmarkEnd w:id="693"/>
    </w:p>
    <w:p>
      <w:pPr>
        <w:pStyle w:val="Heading5"/>
      </w:pPr>
      <w:bookmarkStart w:id="694" w:name="_Toc201747297"/>
      <w:bookmarkStart w:id="695" w:name="_Toc200095557"/>
      <w:r>
        <w:rPr>
          <w:rStyle w:val="CharSectno"/>
        </w:rPr>
        <w:t>174</w:t>
      </w:r>
      <w:r>
        <w:t>.</w:t>
      </w:r>
      <w:r>
        <w:tab/>
        <w:t>Grounds for suspending or cancelling</w:t>
      </w:r>
      <w:bookmarkEnd w:id="694"/>
      <w:bookmarkEnd w:id="695"/>
    </w:p>
    <w:p>
      <w:pPr>
        <w:pStyle w:val="Subsection"/>
      </w:pPr>
      <w:r>
        <w:tab/>
        <w:t>(1)</w:t>
      </w:r>
      <w:r>
        <w:tab/>
        <w:t>Grounds to suspend a licence exist if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or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keepNext/>
      </w:pPr>
      <w:r>
        <w:tab/>
        <w:t>(2)</w:t>
      </w:r>
      <w:r>
        <w:tab/>
        <w:t xml:space="preserve">Grounds to suspend or cancel a licence exist if — </w:t>
      </w:r>
    </w:p>
    <w:p>
      <w:pPr>
        <w:pStyle w:val="Indenta"/>
        <w:keepNext/>
      </w:pPr>
      <w:r>
        <w:tab/>
        <w:t>(a)</w:t>
      </w:r>
      <w:r>
        <w:tab/>
        <w:t>either —</w:t>
      </w:r>
    </w:p>
    <w:p>
      <w:pPr>
        <w:pStyle w:val="Indenti"/>
      </w:pPr>
      <w:r>
        <w:tab/>
        <w:t>(i)</w:t>
      </w:r>
      <w:r>
        <w:tab/>
        <w:t>the holder; or</w:t>
      </w:r>
    </w:p>
    <w:p>
      <w:pPr>
        <w:pStyle w:val="Indenti"/>
        <w:keepNext/>
      </w:pPr>
      <w:r>
        <w:tab/>
        <w:t>(ii)</w:t>
      </w:r>
      <w:r>
        <w:tab/>
        <w:t>an individual who, under regulation 165, is, and is recorded by the holder as, a qualified officer of the holder,</w:t>
      </w:r>
    </w:p>
    <w:p>
      <w:pPr>
        <w:pStyle w:val="Indenta"/>
      </w:pPr>
      <w:r>
        <w:tab/>
      </w:r>
      <w:r>
        <w:tab/>
        <w:t>is convicted in this State or elsewhere of a relevant offence; or</w:t>
      </w:r>
    </w:p>
    <w:p>
      <w:pPr>
        <w:pStyle w:val="Indenta"/>
      </w:pPr>
      <w:r>
        <w:tab/>
        <w:t>(b)</w:t>
      </w:r>
      <w:r>
        <w:tab/>
        <w:t>the holder has not paid any fee payable under these regulations; or</w:t>
      </w:r>
    </w:p>
    <w:p>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Footnotesection"/>
      </w:pPr>
      <w:r>
        <w:tab/>
        <w:t>[Regulation 174 amended: Gazette 16 Mar 2012 p. 1190 and p. 1266</w:t>
      </w:r>
      <w:r>
        <w:noBreakHyphen/>
        <w:t>7; 2 Dec 2013 p. 5610</w:t>
      </w:r>
      <w:r>
        <w:noBreakHyphen/>
        <w:t>11.]</w:t>
      </w:r>
    </w:p>
    <w:p>
      <w:pPr>
        <w:pStyle w:val="Heading5"/>
      </w:pPr>
      <w:bookmarkStart w:id="696" w:name="_Toc201747298"/>
      <w:bookmarkStart w:id="697" w:name="_Toc200095558"/>
      <w:r>
        <w:rPr>
          <w:rStyle w:val="CharSectno"/>
        </w:rPr>
        <w:t>175</w:t>
      </w:r>
      <w:r>
        <w:t>.</w:t>
      </w:r>
      <w:r>
        <w:tab/>
        <w:t>Procedure for suspending or cancelling</w:t>
      </w:r>
      <w:bookmarkEnd w:id="696"/>
      <w:bookmarkEnd w:id="697"/>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spacing w:before="180"/>
      </w:pPr>
      <w:bookmarkStart w:id="698" w:name="_Toc201747299"/>
      <w:bookmarkStart w:id="699" w:name="_Toc200095559"/>
      <w:r>
        <w:rPr>
          <w:rStyle w:val="CharSectno"/>
        </w:rPr>
        <w:t>176</w:t>
      </w:r>
      <w:r>
        <w:t>.</w:t>
      </w:r>
      <w:r>
        <w:tab/>
        <w:t>Suspension in urgent circumstances</w:t>
      </w:r>
      <w:bookmarkEnd w:id="698"/>
      <w:bookmarkEnd w:id="699"/>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spacing w:before="120"/>
      </w:pPr>
      <w:r>
        <w:tab/>
        <w:t>(3)</w:t>
      </w:r>
      <w:r>
        <w:tab/>
        <w:t>This regulation does not prevent the Chief Officer from also taking action under regulation 175 to cancel a licence.</w:t>
      </w:r>
    </w:p>
    <w:p>
      <w:pPr>
        <w:pStyle w:val="Heading5"/>
        <w:spacing w:before="180"/>
      </w:pPr>
      <w:bookmarkStart w:id="700" w:name="_Toc201747300"/>
      <w:bookmarkStart w:id="701" w:name="_Toc200095560"/>
      <w:r>
        <w:rPr>
          <w:rStyle w:val="CharSectno"/>
        </w:rPr>
        <w:t>177</w:t>
      </w:r>
      <w:r>
        <w:t>.</w:t>
      </w:r>
      <w:r>
        <w:tab/>
        <w:t>Licences etc. to be returned on cancellation etc.</w:t>
      </w:r>
      <w:bookmarkEnd w:id="700"/>
      <w:bookmarkEnd w:id="701"/>
    </w:p>
    <w:p>
      <w:pPr>
        <w:pStyle w:val="Subsection"/>
        <w:spacing w:before="120"/>
      </w:pPr>
      <w:r>
        <w:tab/>
      </w:r>
      <w:r>
        <w:tab/>
        <w:t>If the Chief Officer suspends or cancels a licence, the holder must return the licence to the Chief Officer within 14 days after the date of receiving notice of the suspension or cancellation.</w:t>
      </w:r>
    </w:p>
    <w:p>
      <w:pPr>
        <w:pStyle w:val="Penstart"/>
        <w:spacing w:before="60"/>
      </w:pPr>
      <w:r>
        <w:tab/>
        <w:t>Penalty: a level 3 fine.</w:t>
      </w:r>
    </w:p>
    <w:p>
      <w:pPr>
        <w:pStyle w:val="Footnotesection"/>
      </w:pPr>
      <w:r>
        <w:tab/>
        <w:t>[Regulation 177 amended: Gazette 5 Feb 2016 p. 352.]</w:t>
      </w:r>
    </w:p>
    <w:p>
      <w:pPr>
        <w:pStyle w:val="Heading5"/>
        <w:spacing w:before="180"/>
      </w:pPr>
      <w:bookmarkStart w:id="702" w:name="_Toc201747301"/>
      <w:bookmarkStart w:id="703" w:name="_Toc200095561"/>
      <w:r>
        <w:rPr>
          <w:rStyle w:val="CharSectno"/>
        </w:rPr>
        <w:t>178</w:t>
      </w:r>
      <w:r>
        <w:t>.</w:t>
      </w:r>
      <w:r>
        <w:tab/>
        <w:t>Suspension may be terminated</w:t>
      </w:r>
      <w:bookmarkEnd w:id="702"/>
      <w:bookmarkEnd w:id="703"/>
    </w:p>
    <w:p>
      <w:pPr>
        <w:pStyle w:val="Subsection"/>
        <w:spacing w:before="120"/>
      </w:pPr>
      <w:r>
        <w:tab/>
      </w:r>
      <w:r>
        <w:tab/>
        <w:t>The Chief Officer may terminate the suspension of a licence at any time by giving the holder a written notice of the fact.</w:t>
      </w:r>
    </w:p>
    <w:p>
      <w:pPr>
        <w:pStyle w:val="Heading3"/>
        <w:spacing w:before="200"/>
      </w:pPr>
      <w:bookmarkStart w:id="704" w:name="_Toc201670656"/>
      <w:bookmarkStart w:id="705" w:name="_Toc201671320"/>
      <w:bookmarkStart w:id="706" w:name="_Toc201747302"/>
      <w:bookmarkStart w:id="707" w:name="_Toc200031755"/>
      <w:bookmarkStart w:id="708" w:name="_Toc200036743"/>
      <w:bookmarkStart w:id="709" w:name="_Toc200095562"/>
      <w:r>
        <w:rPr>
          <w:rStyle w:val="CharDivNo"/>
        </w:rPr>
        <w:t>Division 4</w:t>
      </w:r>
      <w:r>
        <w:t> — </w:t>
      </w:r>
      <w:r>
        <w:rPr>
          <w:rStyle w:val="CharDivText"/>
        </w:rPr>
        <w:t>Duties of licence holders</w:t>
      </w:r>
      <w:bookmarkEnd w:id="704"/>
      <w:bookmarkEnd w:id="705"/>
      <w:bookmarkEnd w:id="706"/>
      <w:bookmarkEnd w:id="707"/>
      <w:bookmarkEnd w:id="708"/>
      <w:bookmarkEnd w:id="709"/>
    </w:p>
    <w:p>
      <w:pPr>
        <w:pStyle w:val="Heading5"/>
        <w:spacing w:before="180"/>
      </w:pPr>
      <w:bookmarkStart w:id="710" w:name="_Toc201747303"/>
      <w:bookmarkStart w:id="711" w:name="_Toc200095563"/>
      <w:r>
        <w:rPr>
          <w:rStyle w:val="CharSectno"/>
        </w:rPr>
        <w:t>179A</w:t>
      </w:r>
      <w:r>
        <w:t>.</w:t>
      </w:r>
      <w:r>
        <w:tab/>
        <w:t>Annual fees for trading licences</w:t>
      </w:r>
      <w:bookmarkEnd w:id="710"/>
      <w:bookmarkEnd w:id="711"/>
    </w:p>
    <w:p>
      <w:pPr>
        <w:pStyle w:val="Subsection"/>
        <w:spacing w:before="120"/>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spacing w:before="120"/>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pPr>
        <w:pStyle w:val="Subsection"/>
        <w:spacing w:before="120"/>
      </w:pPr>
      <w:r>
        <w:tab/>
        <w:t>(3)</w:t>
      </w:r>
      <w:r>
        <w:tab/>
        <w:t>The holder of a trading licence must pay the annual fee (if any) for the licence before, on or within 3 months after —</w:t>
      </w:r>
    </w:p>
    <w:p>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spacing w:before="60"/>
      </w:pPr>
      <w:r>
        <w:tab/>
        <w:t>(b)</w:t>
      </w:r>
      <w:r>
        <w:tab/>
        <w:t>in any other case, each anniversary of —</w:t>
      </w:r>
    </w:p>
    <w:p>
      <w:pPr>
        <w:pStyle w:val="Indenti"/>
        <w:widowControl w:val="0"/>
        <w:spacing w:before="60"/>
      </w:pPr>
      <w:r>
        <w:tab/>
        <w:t>(i)</w:t>
      </w:r>
      <w:r>
        <w:tab/>
        <w:t>if the licence has never been renewed, the date on which it was granted; or</w:t>
      </w:r>
    </w:p>
    <w:p>
      <w:pPr>
        <w:pStyle w:val="Indenti"/>
      </w:pPr>
      <w:r>
        <w:tab/>
        <w:t>(ii)</w:t>
      </w:r>
      <w:r>
        <w:tab/>
        <w:t>if the licence has been renewed, the date on which the last renewal took effect.</w:t>
      </w:r>
    </w:p>
    <w:p>
      <w:pPr>
        <w:pStyle w:val="Subsection"/>
      </w:pPr>
      <w:r>
        <w:tab/>
        <w:t>(4)</w:t>
      </w:r>
      <w:r>
        <w:tab/>
        <w:t>If an annual fee is paid in the grace period, the holder must pay, with the annual fee, a late payment fee of $41.00.</w:t>
      </w:r>
    </w:p>
    <w:p>
      <w:pPr>
        <w:pStyle w:val="Footnotesection"/>
      </w:pPr>
      <w:r>
        <w:tab/>
        <w:t>[Regulation 179A inserted: Gazette 16 Mar 2012 p. 1267; amended: Gazette 2 Dec 2013 p. 5611; 26 Jun 2015 p. 2267; 24 Jun 2016 p. 2326; 23 Jun 2017 p. 3284; 25 Jun 2018 p. 2298; 18 Jun 2019 p. 2040.]</w:t>
      </w:r>
    </w:p>
    <w:p>
      <w:pPr>
        <w:pStyle w:val="Heading5"/>
      </w:pPr>
      <w:bookmarkStart w:id="712" w:name="_Toc201747304"/>
      <w:bookmarkStart w:id="713" w:name="_Toc200095564"/>
      <w:r>
        <w:rPr>
          <w:rStyle w:val="CharSectno"/>
        </w:rPr>
        <w:t>179</w:t>
      </w:r>
      <w:r>
        <w:t>.</w:t>
      </w:r>
      <w:r>
        <w:tab/>
        <w:t>Wrong information, duty to correct</w:t>
      </w:r>
      <w:bookmarkEnd w:id="712"/>
      <w:bookmarkEnd w:id="713"/>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714" w:name="_Toc201747305"/>
      <w:bookmarkStart w:id="715" w:name="_Toc200095565"/>
      <w:r>
        <w:rPr>
          <w:rStyle w:val="CharSectno"/>
        </w:rPr>
        <w:t>180</w:t>
      </w:r>
      <w:r>
        <w:t>.</w:t>
      </w:r>
      <w:r>
        <w:tab/>
        <w:t>Licence holder to notify Chief Officer of certain convictions and charges</w:t>
      </w:r>
      <w:bookmarkEnd w:id="714"/>
      <w:bookmarkEnd w:id="715"/>
    </w:p>
    <w:p>
      <w:pPr>
        <w:pStyle w:val="Subsection"/>
      </w:pPr>
      <w:r>
        <w:tab/>
      </w:r>
      <w:r>
        <w:tab/>
        <w:t>If —</w:t>
      </w:r>
    </w:p>
    <w:p>
      <w:pPr>
        <w:pStyle w:val="Indenta"/>
      </w:pPr>
      <w:r>
        <w:tab/>
        <w:t>(a)</w:t>
      </w:r>
      <w:r>
        <w:tab/>
        <w:t>the holder of a licence; or</w:t>
      </w:r>
    </w:p>
    <w:p>
      <w:pPr>
        <w:pStyle w:val="Indenta"/>
      </w:pPr>
      <w:r>
        <w:tab/>
        <w:t>(b)</w:t>
      </w:r>
      <w:r>
        <w:tab/>
        <w:t>an individual who, under regulation 165, is, and is recorded by the holder as, a qualified officer of the holder,</w:t>
      </w:r>
    </w:p>
    <w:p>
      <w:pPr>
        <w:pStyle w:val="Subsection"/>
      </w:pPr>
      <w:r>
        <w:tab/>
      </w:r>
      <w:r>
        <w:tab/>
        <w:t>is charged with or convicted of a relevant offence, in this State or elsewhere, the holder must give the Chief Officer written notice of the fact as soon as practicable.</w:t>
      </w:r>
    </w:p>
    <w:p>
      <w:pPr>
        <w:pStyle w:val="Penstart"/>
      </w:pPr>
      <w:r>
        <w:tab/>
        <w:t>Penalty: a level 3 fine.</w:t>
      </w:r>
    </w:p>
    <w:p>
      <w:pPr>
        <w:pStyle w:val="Footnotesection"/>
      </w:pPr>
      <w:r>
        <w:tab/>
        <w:t>[Regulation 180 inserted: Gazette 2 Dec 2013 p.</w:t>
      </w:r>
      <w:r>
        <w:rPr>
          <w:sz w:val="19"/>
        </w:rPr>
        <w:t> </w:t>
      </w:r>
      <w:r>
        <w:t>5611</w:t>
      </w:r>
      <w:r>
        <w:noBreakHyphen/>
        <w:t>12.]</w:t>
      </w:r>
    </w:p>
    <w:p>
      <w:pPr>
        <w:pStyle w:val="Heading5"/>
      </w:pPr>
      <w:bookmarkStart w:id="716" w:name="_Toc201747306"/>
      <w:bookmarkStart w:id="717" w:name="_Toc200095566"/>
      <w:r>
        <w:rPr>
          <w:rStyle w:val="CharSectno"/>
        </w:rPr>
        <w:t>181</w:t>
      </w:r>
      <w:r>
        <w:t>.</w:t>
      </w:r>
      <w:r>
        <w:tab/>
        <w:t>Licences relating to places, notification of development</w:t>
      </w:r>
      <w:bookmarkEnd w:id="716"/>
      <w:bookmarkEnd w:id="717"/>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keepNext/>
      </w:pPr>
      <w:r>
        <w:tab/>
        <w:t>(2)</w:t>
      </w:r>
      <w:r>
        <w:tab/>
        <w:t>The holder of an explosives manufacture licence must give the Chief Officer written notice of any proposed development at the site to which the licence relates.</w:t>
      </w:r>
    </w:p>
    <w:p>
      <w:pPr>
        <w:pStyle w:val="Penstart"/>
      </w:pPr>
      <w:r>
        <w:tab/>
        <w:t>Penalty: a level 3 fine.</w:t>
      </w:r>
    </w:p>
    <w:p>
      <w:pPr>
        <w:pStyle w:val="Footnotesection"/>
      </w:pPr>
      <w:r>
        <w:tab/>
        <w:t>[Regulation 181 amended: Gazette 2 Dec 2013 p.</w:t>
      </w:r>
      <w:r>
        <w:rPr>
          <w:sz w:val="19"/>
        </w:rPr>
        <w:t> </w:t>
      </w:r>
      <w:r>
        <w:t>5612.]</w:t>
      </w:r>
    </w:p>
    <w:p>
      <w:pPr>
        <w:pStyle w:val="Heading5"/>
      </w:pPr>
      <w:bookmarkStart w:id="718" w:name="_Toc201747307"/>
      <w:bookmarkStart w:id="719" w:name="_Toc200095567"/>
      <w:r>
        <w:rPr>
          <w:rStyle w:val="CharSectno"/>
        </w:rPr>
        <w:t>182</w:t>
      </w:r>
      <w:r>
        <w:t>.</w:t>
      </w:r>
      <w:r>
        <w:tab/>
        <w:t>Condition of licence, contravening</w:t>
      </w:r>
      <w:bookmarkEnd w:id="718"/>
      <w:bookmarkEnd w:id="719"/>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Footnotesection"/>
      </w:pPr>
      <w:r>
        <w:tab/>
        <w:t>[Regulation 182 amended: Gazette 16 Mar 2012 p. 1190.]</w:t>
      </w:r>
    </w:p>
    <w:p>
      <w:pPr>
        <w:pStyle w:val="Heading3"/>
      </w:pPr>
      <w:bookmarkStart w:id="720" w:name="_Toc201670662"/>
      <w:bookmarkStart w:id="721" w:name="_Toc201671326"/>
      <w:bookmarkStart w:id="722" w:name="_Toc201747308"/>
      <w:bookmarkStart w:id="723" w:name="_Toc200031761"/>
      <w:bookmarkStart w:id="724" w:name="_Toc200036749"/>
      <w:bookmarkStart w:id="725" w:name="_Toc200095568"/>
      <w:r>
        <w:rPr>
          <w:rStyle w:val="CharDivNo"/>
        </w:rPr>
        <w:t>Division 4A</w:t>
      </w:r>
      <w:r>
        <w:t> — </w:t>
      </w:r>
      <w:r>
        <w:rPr>
          <w:rStyle w:val="CharDivText"/>
        </w:rPr>
        <w:t>Mutual recognition</w:t>
      </w:r>
      <w:bookmarkEnd w:id="720"/>
      <w:bookmarkEnd w:id="721"/>
      <w:bookmarkEnd w:id="722"/>
      <w:bookmarkEnd w:id="723"/>
      <w:bookmarkEnd w:id="724"/>
      <w:bookmarkEnd w:id="725"/>
    </w:p>
    <w:p>
      <w:pPr>
        <w:pStyle w:val="Footnoteheading"/>
      </w:pPr>
      <w:r>
        <w:tab/>
        <w:t>[Heading inserted: Gazette 5 Feb 2016 p. 352.]</w:t>
      </w:r>
    </w:p>
    <w:p>
      <w:pPr>
        <w:pStyle w:val="Heading5"/>
      </w:pPr>
      <w:bookmarkStart w:id="726" w:name="_Toc201747309"/>
      <w:bookmarkStart w:id="727" w:name="_Toc200095569"/>
      <w:r>
        <w:rPr>
          <w:rStyle w:val="CharSectno"/>
        </w:rPr>
        <w:t>182A</w:t>
      </w:r>
      <w:r>
        <w:t>.</w:t>
      </w:r>
      <w:r>
        <w:tab/>
        <w:t>Terms used</w:t>
      </w:r>
      <w:bookmarkEnd w:id="726"/>
      <w:bookmarkEnd w:id="727"/>
    </w:p>
    <w:p>
      <w:pPr>
        <w:pStyle w:val="Subsection"/>
      </w:pPr>
      <w:r>
        <w:tab/>
      </w:r>
      <w:r>
        <w:tab/>
        <w:t xml:space="preserve">In this Division — </w:t>
      </w:r>
    </w:p>
    <w:p>
      <w:pPr>
        <w:pStyle w:val="Defstart"/>
      </w:pPr>
      <w:r>
        <w:tab/>
      </w:r>
      <w:r>
        <w:rPr>
          <w:rStyle w:val="CharDefText"/>
        </w:rPr>
        <w:t>another participating jurisdiction</w:t>
      </w:r>
      <w:r>
        <w:t xml:space="preserve"> means a participating jurisdiction other than this State;</w:t>
      </w:r>
    </w:p>
    <w:p>
      <w:pPr>
        <w:pStyle w:val="Defstart"/>
      </w:pPr>
      <w:r>
        <w:tab/>
      </w:r>
      <w:r>
        <w:rPr>
          <w:rStyle w:val="CharDefText"/>
        </w:rPr>
        <w:t>corresponding law</w:t>
      </w:r>
      <w:r>
        <w:t xml:space="preserve"> means a law of another State or a Territory corresponding, or substantially corresponding, to these regulations;</w:t>
      </w:r>
    </w:p>
    <w:p>
      <w:pPr>
        <w:pStyle w:val="Defstart"/>
      </w:pPr>
      <w:r>
        <w:tab/>
      </w:r>
      <w:r>
        <w:rPr>
          <w:rStyle w:val="CharDefText"/>
        </w:rPr>
        <w:t>participating jurisdiction</w:t>
      </w:r>
      <w:r>
        <w:t xml:space="preserve"> means — </w:t>
      </w:r>
    </w:p>
    <w:p>
      <w:pPr>
        <w:pStyle w:val="Defpara"/>
      </w:pPr>
      <w:r>
        <w:tab/>
        <w:t>(a)</w:t>
      </w:r>
      <w:r>
        <w:tab/>
        <w:t>this State; and</w:t>
      </w:r>
    </w:p>
    <w:p>
      <w:pPr>
        <w:pStyle w:val="Defpara"/>
      </w:pPr>
      <w:r>
        <w:tab/>
        <w:t>(b)</w:t>
      </w:r>
      <w:r>
        <w:tab/>
        <w:t>another State or a Territory that has a corresponding law;</w:t>
      </w:r>
    </w:p>
    <w:p>
      <w:pPr>
        <w:pStyle w:val="Defstart"/>
      </w:pPr>
      <w:r>
        <w:tab/>
      </w:r>
      <w:r>
        <w:rPr>
          <w:rStyle w:val="CharDefText"/>
        </w:rPr>
        <w:t>relevant licence</w:t>
      </w:r>
      <w:r>
        <w:t xml:space="preserve"> means — </w:t>
      </w:r>
    </w:p>
    <w:p>
      <w:pPr>
        <w:pStyle w:val="Defpara"/>
      </w:pPr>
      <w:r>
        <w:tab/>
        <w:t>(a)</w:t>
      </w:r>
      <w:r>
        <w:tab/>
        <w:t>an explosives driver licence;</w:t>
      </w:r>
    </w:p>
    <w:p>
      <w:pPr>
        <w:pStyle w:val="Defpara"/>
      </w:pPr>
      <w:r>
        <w:tab/>
        <w:t>(b)</w:t>
      </w:r>
      <w:r>
        <w:tab/>
        <w:t>a shotfiring licence;</w:t>
      </w:r>
    </w:p>
    <w:p>
      <w:pPr>
        <w:pStyle w:val="Defpara"/>
      </w:pPr>
      <w:r>
        <w:tab/>
        <w:t>(c)</w:t>
      </w:r>
      <w:r>
        <w:tab/>
        <w:t>a fireworks operator licence;</w:t>
      </w:r>
    </w:p>
    <w:p>
      <w:pPr>
        <w:pStyle w:val="Defpara"/>
      </w:pPr>
      <w:r>
        <w:tab/>
        <w:t>(d)</w:t>
      </w:r>
      <w:r>
        <w:tab/>
        <w:t>a pyrotechnics (special use) licence.</w:t>
      </w:r>
    </w:p>
    <w:p>
      <w:pPr>
        <w:pStyle w:val="Footnotesection"/>
      </w:pPr>
      <w:r>
        <w:tab/>
        <w:t>[Regulation 182A inserted: Gazette 5 Feb 2016 p. 352</w:t>
      </w:r>
      <w:r>
        <w:noBreakHyphen/>
        <w:t>3.]</w:t>
      </w:r>
    </w:p>
    <w:p>
      <w:pPr>
        <w:pStyle w:val="Heading5"/>
      </w:pPr>
      <w:bookmarkStart w:id="728" w:name="_Toc201747310"/>
      <w:bookmarkStart w:id="729" w:name="_Toc200095570"/>
      <w:r>
        <w:rPr>
          <w:rStyle w:val="CharSectno"/>
        </w:rPr>
        <w:t>182B</w:t>
      </w:r>
      <w:r>
        <w:t>.</w:t>
      </w:r>
      <w:r>
        <w:tab/>
        <w:t>Recognition of licences granted in other participating jurisdiction</w:t>
      </w:r>
      <w:bookmarkEnd w:id="728"/>
      <w:bookmarkEnd w:id="729"/>
    </w:p>
    <w:p>
      <w:pPr>
        <w:pStyle w:val="Subsection"/>
      </w:pPr>
      <w:r>
        <w:tab/>
        <w:t>(1)</w:t>
      </w:r>
      <w:r>
        <w:tab/>
        <w:t xml:space="preserve">This regulation applies to a licence granted in another participating jurisdiction if — </w:t>
      </w:r>
    </w:p>
    <w:p>
      <w:pPr>
        <w:pStyle w:val="Indenta"/>
      </w:pPr>
      <w:r>
        <w:tab/>
        <w:t>(a)</w:t>
      </w:r>
      <w:r>
        <w:tab/>
        <w:t>the licence is granted under a provision of a corresponding law; and</w:t>
      </w:r>
    </w:p>
    <w:p>
      <w:pPr>
        <w:pStyle w:val="Indenta"/>
      </w:pPr>
      <w:r>
        <w:tab/>
        <w:t>(b)</w:t>
      </w:r>
      <w:r>
        <w:tab/>
        <w:t>the licence authorises the holder to carry out the activities that would be authorised by a relevant licence; and</w:t>
      </w:r>
    </w:p>
    <w:p>
      <w:pPr>
        <w:pStyle w:val="Indenta"/>
      </w:pPr>
      <w:r>
        <w:tab/>
        <w:t>(c)</w:t>
      </w:r>
      <w:r>
        <w:tab/>
        <w:t>in the case of a licence held by an individual — the licence authorises the holder to have unsupervised access to an explosive or an SSAN; and</w:t>
      </w:r>
    </w:p>
    <w:p>
      <w:pPr>
        <w:pStyle w:val="Indenta"/>
      </w:pPr>
      <w:r>
        <w:tab/>
        <w:t>(d)</w:t>
      </w:r>
      <w:r>
        <w:tab/>
        <w:t>the licence has effect in the other jurisdiction.</w:t>
      </w:r>
    </w:p>
    <w:p>
      <w:pPr>
        <w:pStyle w:val="Subsection"/>
      </w:pPr>
      <w:r>
        <w:tab/>
        <w:t>(2)</w:t>
      </w:r>
      <w:r>
        <w:tab/>
        <w:t xml:space="preserve">Except for circumstances that do not exist in this State, the licence has effect in this State as if it were a relevant licence granted by the Chief Officer under regulation 164. </w:t>
      </w:r>
    </w:p>
    <w:p>
      <w:pPr>
        <w:pStyle w:val="Footnotesection"/>
      </w:pPr>
      <w:r>
        <w:tab/>
        <w:t>[Regulation 182B inserted: Gazette 5 Feb 2016 p. 353.]</w:t>
      </w:r>
    </w:p>
    <w:p>
      <w:pPr>
        <w:pStyle w:val="Heading3"/>
      </w:pPr>
      <w:bookmarkStart w:id="730" w:name="_Toc201670665"/>
      <w:bookmarkStart w:id="731" w:name="_Toc201671329"/>
      <w:bookmarkStart w:id="732" w:name="_Toc201747311"/>
      <w:bookmarkStart w:id="733" w:name="_Toc200031764"/>
      <w:bookmarkStart w:id="734" w:name="_Toc200036752"/>
      <w:bookmarkStart w:id="735" w:name="_Toc200095571"/>
      <w:r>
        <w:rPr>
          <w:rStyle w:val="CharDivNo"/>
        </w:rPr>
        <w:t>Division 5</w:t>
      </w:r>
      <w:r>
        <w:t> — </w:t>
      </w:r>
      <w:r>
        <w:rPr>
          <w:rStyle w:val="CharDivText"/>
        </w:rPr>
        <w:t>Miscellaneous matters</w:t>
      </w:r>
      <w:bookmarkEnd w:id="730"/>
      <w:bookmarkEnd w:id="731"/>
      <w:bookmarkEnd w:id="732"/>
      <w:bookmarkEnd w:id="733"/>
      <w:bookmarkEnd w:id="734"/>
      <w:bookmarkEnd w:id="735"/>
    </w:p>
    <w:p>
      <w:pPr>
        <w:pStyle w:val="Heading5"/>
      </w:pPr>
      <w:bookmarkStart w:id="736" w:name="_Toc201747312"/>
      <w:bookmarkStart w:id="737" w:name="_Toc200095572"/>
      <w:r>
        <w:rPr>
          <w:rStyle w:val="CharSectno"/>
        </w:rPr>
        <w:t>183</w:t>
      </w:r>
      <w:r>
        <w:t>.</w:t>
      </w:r>
      <w:r>
        <w:tab/>
        <w:t>Register of licences</w:t>
      </w:r>
      <w:bookmarkEnd w:id="736"/>
      <w:bookmarkEnd w:id="737"/>
    </w:p>
    <w:p>
      <w:pPr>
        <w:pStyle w:val="Subsection"/>
      </w:pPr>
      <w:r>
        <w:tab/>
        <w:t>(1)</w:t>
      </w:r>
      <w:r>
        <w:tab/>
        <w:t>The Chief Officer must keep a register of all licences.</w:t>
      </w:r>
    </w:p>
    <w:p>
      <w:pPr>
        <w:pStyle w:val="Subsection"/>
      </w:pPr>
      <w:r>
        <w:tab/>
        <w:t>(2)</w:t>
      </w:r>
      <w:r>
        <w:tab/>
        <w:t xml:space="preserve">The register must record, in relation to each licence, this information — </w:t>
      </w:r>
    </w:p>
    <w:p>
      <w:pPr>
        <w:pStyle w:val="Indenta"/>
      </w:pPr>
      <w:r>
        <w:tab/>
        <w:t>(a)</w:t>
      </w:r>
      <w:r>
        <w:tab/>
        <w:t>the name of the holder of the licence;</w:t>
      </w:r>
    </w:p>
    <w:p>
      <w:pPr>
        <w:pStyle w:val="Indenta"/>
      </w:pPr>
      <w:r>
        <w:tab/>
        <w:t>(b)</w:t>
      </w:r>
      <w:r>
        <w:tab/>
        <w:t>the date on which the licence was issued;</w:t>
      </w:r>
    </w:p>
    <w:p>
      <w:pPr>
        <w:pStyle w:val="Indenta"/>
      </w:pPr>
      <w:r>
        <w:tab/>
        <w:t>(c)</w:t>
      </w:r>
      <w:r>
        <w:tab/>
        <w:t>the date (if any) on which the licence was renewed;</w:t>
      </w:r>
    </w:p>
    <w:p>
      <w:pPr>
        <w:pStyle w:val="Indenta"/>
      </w:pPr>
      <w:r>
        <w:tab/>
        <w:t>(d)</w:t>
      </w:r>
      <w:r>
        <w:tab/>
        <w:t>the date (if any) on which the licence was suspended;</w:t>
      </w:r>
    </w:p>
    <w:p>
      <w:pPr>
        <w:pStyle w:val="Indenta"/>
      </w:pPr>
      <w:r>
        <w:tab/>
        <w:t>(e)</w:t>
      </w:r>
      <w:r>
        <w:tab/>
        <w:t>the date (if any) on which the licence was cancelled.</w:t>
      </w:r>
    </w:p>
    <w:p>
      <w:pPr>
        <w:pStyle w:val="Subsection"/>
      </w:pPr>
      <w:r>
        <w:tab/>
        <w:t>(3A)</w:t>
      </w:r>
      <w:r>
        <w:tab/>
        <w:t>The register may record any other information relevant to a licence holder or to the issue, amendment, renewal, suspension or cancellation of a licence that the Chief Officer thinks fit.</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Subsection"/>
      </w:pPr>
      <w:r>
        <w:tab/>
        <w:t>(5)</w:t>
      </w:r>
      <w:r>
        <w:tab/>
        <w:t>The Chief Officer must ensure the information listed in subregulation (2) and recorded in the register is accessible to the public during normal office hours.</w:t>
      </w:r>
    </w:p>
    <w:p>
      <w:pPr>
        <w:pStyle w:val="Footnotesection"/>
      </w:pPr>
      <w:r>
        <w:tab/>
        <w:t>[Regulation 183 amended: Gazette 2 Dec 2013 p.</w:t>
      </w:r>
      <w:r>
        <w:rPr>
          <w:sz w:val="19"/>
        </w:rPr>
        <w:t> </w:t>
      </w:r>
      <w:r>
        <w:t>5612</w:t>
      </w:r>
      <w:r>
        <w:noBreakHyphen/>
        <w:t>13.]</w:t>
      </w:r>
    </w:p>
    <w:p>
      <w:pPr>
        <w:pStyle w:val="Ednotesection"/>
      </w:pPr>
      <w:r>
        <w:t>[</w:t>
      </w:r>
      <w:r>
        <w:rPr>
          <w:b/>
        </w:rPr>
        <w:t>184.</w:t>
      </w:r>
      <w:r>
        <w:tab/>
        <w:t>Deleted: Gazette 16 Mar 2012 p. 1267]</w:t>
      </w:r>
    </w:p>
    <w:p>
      <w:pPr>
        <w:pStyle w:val="Heading2"/>
      </w:pPr>
      <w:bookmarkStart w:id="738" w:name="_Toc201670667"/>
      <w:bookmarkStart w:id="739" w:name="_Toc201671331"/>
      <w:bookmarkStart w:id="740" w:name="_Toc201747313"/>
      <w:bookmarkStart w:id="741" w:name="_Toc200031766"/>
      <w:bookmarkStart w:id="742" w:name="_Toc200036754"/>
      <w:bookmarkStart w:id="743" w:name="_Toc200095573"/>
      <w:r>
        <w:rPr>
          <w:rStyle w:val="CharPartNo"/>
        </w:rPr>
        <w:t>Part 16</w:t>
      </w:r>
      <w:r>
        <w:rPr>
          <w:rStyle w:val="CharDivNo"/>
        </w:rPr>
        <w:t> </w:t>
      </w:r>
      <w:r>
        <w:t>—</w:t>
      </w:r>
      <w:r>
        <w:rPr>
          <w:rStyle w:val="CharDivText"/>
        </w:rPr>
        <w:t> </w:t>
      </w:r>
      <w:r>
        <w:rPr>
          <w:rStyle w:val="CharPartText"/>
        </w:rPr>
        <w:t>Fees for using State explosives facilities</w:t>
      </w:r>
      <w:bookmarkEnd w:id="738"/>
      <w:bookmarkEnd w:id="739"/>
      <w:bookmarkEnd w:id="740"/>
      <w:bookmarkEnd w:id="741"/>
      <w:bookmarkEnd w:id="742"/>
      <w:bookmarkEnd w:id="743"/>
    </w:p>
    <w:p>
      <w:pPr>
        <w:pStyle w:val="Heading5"/>
      </w:pPr>
      <w:bookmarkStart w:id="744" w:name="_Toc201747314"/>
      <w:bookmarkStart w:id="745" w:name="_Toc200095574"/>
      <w:r>
        <w:rPr>
          <w:rStyle w:val="CharSectno"/>
        </w:rPr>
        <w:t>185</w:t>
      </w:r>
      <w:r>
        <w:t>.</w:t>
      </w:r>
      <w:r>
        <w:tab/>
        <w:t>Terms used</w:t>
      </w:r>
      <w:bookmarkEnd w:id="744"/>
      <w:bookmarkEnd w:id="745"/>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r>
        <w:rPr>
          <w:rStyle w:val="CharDefText"/>
        </w:rPr>
        <w:t>Kalgoorlie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Kalgoorlie facility;</w:t>
      </w:r>
    </w:p>
    <w:p>
      <w:pPr>
        <w:pStyle w:val="Defstart"/>
      </w:pPr>
      <w:r>
        <w:rPr>
          <w:b/>
        </w:rPr>
        <w:tab/>
      </w:r>
      <w:r>
        <w:rPr>
          <w:rStyle w:val="CharDefText"/>
        </w:rPr>
        <w:t>type B facility</w:t>
      </w:r>
      <w:r>
        <w:t xml:space="preserve"> means an SEF other than the Baldivis facility or the Kalgoorlie facility.</w:t>
      </w:r>
    </w:p>
    <w:p>
      <w:pPr>
        <w:pStyle w:val="Heading5"/>
      </w:pPr>
      <w:bookmarkStart w:id="746" w:name="_Toc201747315"/>
      <w:bookmarkStart w:id="747" w:name="_Toc200095575"/>
      <w:r>
        <w:rPr>
          <w:rStyle w:val="CharSectno"/>
        </w:rPr>
        <w:t>186</w:t>
      </w:r>
      <w:r>
        <w:t>.</w:t>
      </w:r>
      <w:r>
        <w:tab/>
        <w:t>Application of this Part</w:t>
      </w:r>
      <w:bookmarkEnd w:id="746"/>
      <w:bookmarkEnd w:id="747"/>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748" w:name="_Toc201747316"/>
      <w:bookmarkStart w:id="749" w:name="_Toc200095576"/>
      <w:r>
        <w:rPr>
          <w:rStyle w:val="CharSectno"/>
        </w:rPr>
        <w:t>187</w:t>
      </w:r>
      <w:r>
        <w:t>.</w:t>
      </w:r>
      <w:r>
        <w:tab/>
        <w:t>Fees to be paid annually</w:t>
      </w:r>
      <w:bookmarkEnd w:id="748"/>
      <w:bookmarkEnd w:id="749"/>
    </w:p>
    <w:p>
      <w:pPr>
        <w:pStyle w:val="Subsection"/>
      </w:pPr>
      <w:r>
        <w:tab/>
      </w:r>
      <w:r>
        <w:tab/>
        <w:t>The fees payable under this Part by the holder of a licence referred to in this Part for use of an SEF must be paid in advance —</w:t>
      </w:r>
    </w:p>
    <w:p>
      <w:pPr>
        <w:pStyle w:val="Indenta"/>
      </w:pPr>
      <w:r>
        <w:tab/>
        <w:t>(a)</w:t>
      </w:r>
      <w:r>
        <w:tab/>
        <w:t>if the holder was lawfully using the SEF immediately before 1 May 2012, before 1 May in each year;</w:t>
      </w:r>
    </w:p>
    <w:p>
      <w:pPr>
        <w:pStyle w:val="Indenta"/>
      </w:pPr>
      <w:r>
        <w:tab/>
        <w:t>(b)</w:t>
      </w:r>
      <w:r>
        <w:tab/>
        <w:t>in any other case, before —</w:t>
      </w:r>
    </w:p>
    <w:p>
      <w:pPr>
        <w:pStyle w:val="Indenti"/>
      </w:pPr>
      <w:r>
        <w:tab/>
        <w:t>(i)</w:t>
      </w:r>
      <w:r>
        <w:tab/>
        <w:t>the first day on which the holder is authorised to use the SEF; and</w:t>
      </w:r>
    </w:p>
    <w:p>
      <w:pPr>
        <w:pStyle w:val="Indenti"/>
      </w:pPr>
      <w:r>
        <w:tab/>
        <w:t>(ii)</w:t>
      </w:r>
      <w:r>
        <w:tab/>
        <w:t>subsequently, before 1 May in each year.</w:t>
      </w:r>
    </w:p>
    <w:p>
      <w:pPr>
        <w:pStyle w:val="Footnotesection"/>
      </w:pPr>
      <w:r>
        <w:tab/>
        <w:t>[Regulation 187 inserted: Gazette 16 Mar 2012 p. 1268.]</w:t>
      </w:r>
    </w:p>
    <w:p>
      <w:pPr>
        <w:pStyle w:val="Heading5"/>
        <w:spacing w:before="240"/>
      </w:pPr>
      <w:bookmarkStart w:id="750" w:name="_Toc201747317"/>
      <w:bookmarkStart w:id="751" w:name="_Toc200095577"/>
      <w:r>
        <w:rPr>
          <w:rStyle w:val="CharSectno"/>
        </w:rPr>
        <w:t>188</w:t>
      </w:r>
      <w:r>
        <w:t>.</w:t>
      </w:r>
      <w:r>
        <w:tab/>
        <w:t>Fees for using SEF to manufacture explosives</w:t>
      </w:r>
      <w:bookmarkEnd w:id="750"/>
      <w:bookmarkEnd w:id="751"/>
    </w:p>
    <w:p>
      <w:pPr>
        <w:pStyle w:val="Subsection"/>
        <w:spacing w:before="180"/>
      </w:pPr>
      <w:r>
        <w:tab/>
      </w:r>
      <w:r>
        <w:tab/>
        <w:t>The holder of an explosives manufacture licence that authorises the manufacture of an explosive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 xml:space="preserve">[Regulation 188 amended: Gazette 25 Jun 2010 p. 2876; 16 Mar 2012 p. 1268; 11 Jan 2013 p. 54; 28 Jun 2013 p. 2823; </w:t>
      </w:r>
      <w:r>
        <w:rPr>
          <w:sz w:val="22"/>
        </w:rPr>
        <w:t>17 Jun 2014 p. 1</w:t>
      </w:r>
      <w:r>
        <w:t>989.]</w:t>
      </w:r>
    </w:p>
    <w:p>
      <w:pPr>
        <w:pStyle w:val="Heading5"/>
        <w:spacing w:before="240"/>
      </w:pPr>
      <w:bookmarkStart w:id="752" w:name="_Toc201747318"/>
      <w:bookmarkStart w:id="753" w:name="_Toc200095578"/>
      <w:r>
        <w:rPr>
          <w:rStyle w:val="CharSectno"/>
        </w:rPr>
        <w:t>189</w:t>
      </w:r>
      <w:r>
        <w:t>.</w:t>
      </w:r>
      <w:r>
        <w:tab/>
        <w:t>Fees for using SEF to store explosives</w:t>
      </w:r>
      <w:bookmarkEnd w:id="752"/>
      <w:bookmarkEnd w:id="753"/>
    </w:p>
    <w:p>
      <w:pPr>
        <w:pStyle w:val="Subsection"/>
        <w:spacing w:before="180"/>
      </w:pPr>
      <w:r>
        <w:tab/>
      </w:r>
      <w:r>
        <w:tab/>
        <w:t>The holder of an explosives storage licence that authorises the storage of an explosive at an SEF must pay for each year a fee being —</w:t>
      </w:r>
    </w:p>
    <w:p>
      <w:pPr>
        <w:pStyle w:val="Indenta"/>
        <w:spacing w:before="100"/>
      </w:pPr>
      <w:r>
        <w:tab/>
        <w:t>(a)</w:t>
      </w:r>
      <w:r>
        <w:tab/>
        <w:t>if the explosive is stored in a magazine provided by the State at a type A facility —</w:t>
      </w:r>
    </w:p>
    <w:p>
      <w:pPr>
        <w:pStyle w:val="Indenti"/>
        <w:spacing w:before="100"/>
      </w:pPr>
      <w:r>
        <w:tab/>
        <w:t>(i)</w:t>
      </w:r>
      <w:r>
        <w:tab/>
        <w:t>if the licence authorises the storage of less than 100 kg of explosive — $270;</w:t>
      </w:r>
    </w:p>
    <w:p>
      <w:pPr>
        <w:pStyle w:val="Indenti"/>
        <w:keepNext/>
        <w:keepLines/>
        <w:spacing w:before="100"/>
      </w:pPr>
      <w:r>
        <w:tab/>
        <w:t>(ii)</w:t>
      </w:r>
      <w:r>
        <w:tab/>
        <w:t>if the licence authorises the storage of 100 kg or more but not more than 1 000 kg of explosive — $270 plus $2.30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$479.00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ind w:left="890" w:hanging="890"/>
      </w:pPr>
      <w:r>
        <w:tab/>
        <w:t>[Regulation 189 amended: Gazette 25 Jun 2010 p. 2876; 16 Mar 2012 p. 1268</w:t>
      </w:r>
      <w:r>
        <w:noBreakHyphen/>
        <w:t xml:space="preserve">9; 11 Jan 2013 p. 54; 28 Jun 2013 p. 2824; </w:t>
      </w:r>
      <w:r>
        <w:rPr>
          <w:sz w:val="22"/>
        </w:rPr>
        <w:t>17 Jun 2014 p. 1</w:t>
      </w:r>
      <w:r>
        <w:t>989.]</w:t>
      </w:r>
    </w:p>
    <w:p>
      <w:pPr>
        <w:pStyle w:val="Heading5"/>
        <w:spacing w:before="240"/>
      </w:pPr>
      <w:bookmarkStart w:id="754" w:name="_Toc201747319"/>
      <w:bookmarkStart w:id="755" w:name="_Toc200095579"/>
      <w:r>
        <w:rPr>
          <w:rStyle w:val="CharSectno"/>
        </w:rPr>
        <w:t>190</w:t>
      </w:r>
      <w:r>
        <w:t>.</w:t>
      </w:r>
      <w:r>
        <w:tab/>
        <w:t>Fees for using SEF to manufacture or store SRSs</w:t>
      </w:r>
      <w:bookmarkEnd w:id="754"/>
      <w:bookmarkEnd w:id="755"/>
    </w:p>
    <w:p>
      <w:pPr>
        <w:pStyle w:val="Subsection"/>
      </w:pPr>
      <w:r>
        <w:tab/>
        <w:t>(1)</w:t>
      </w:r>
      <w:r>
        <w:tab/>
        <w:t xml:space="preserve">In this regulation — </w:t>
      </w:r>
    </w:p>
    <w:p>
      <w:pPr>
        <w:pStyle w:val="Defstart"/>
      </w:pPr>
      <w:r>
        <w:tab/>
      </w:r>
      <w:r>
        <w:rPr>
          <w:rStyle w:val="CharDefText"/>
        </w:rPr>
        <w:t>SSAN licence</w:t>
      </w:r>
      <w:r>
        <w:t xml:space="preserve"> means either of the following licences issued under the </w:t>
      </w:r>
      <w:r>
        <w:rPr>
          <w:i/>
        </w:rPr>
        <w:t>Dangerous Goods Safety (Security Sensitive Ammonium Nitrate) Regulations 2007</w:t>
      </w:r>
      <w:r>
        <w:t xml:space="preserve"> — </w:t>
      </w:r>
    </w:p>
    <w:p>
      <w:pPr>
        <w:pStyle w:val="Defpara"/>
      </w:pPr>
      <w:r>
        <w:tab/>
        <w:t>(a)</w:t>
      </w:r>
      <w:r>
        <w:tab/>
        <w:t>an SSAN manufacture licence;</w:t>
      </w:r>
    </w:p>
    <w:p>
      <w:pPr>
        <w:pStyle w:val="Defpara"/>
      </w:pPr>
      <w:r>
        <w:tab/>
        <w:t>(b)</w:t>
      </w:r>
      <w:r>
        <w:tab/>
        <w:t>an SSAN storage licence.</w:t>
      </w:r>
    </w:p>
    <w:p>
      <w:pPr>
        <w:pStyle w:val="Subsection"/>
      </w:pPr>
      <w:r>
        <w:tab/>
        <w:t>(2)</w:t>
      </w:r>
      <w:r>
        <w:tab/>
        <w:t>The holder of an SSAN licence that authorises the manufacture or storage of an SSAN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keepLines w:val="0"/>
        <w:ind w:left="890" w:hanging="890"/>
      </w:pPr>
      <w:r>
        <w:tab/>
        <w:t xml:space="preserve">[Regulation 190 amended: Gazette 25 Jun 2010 p. 2876; 16 Mar 2012 p. 1269; 11 Jan 2013 p. 54-5; 28 Jun 2013 p. 2824; </w:t>
      </w:r>
      <w:r>
        <w:rPr>
          <w:sz w:val="22"/>
        </w:rPr>
        <w:t>17 Jun 2014 p. 1</w:t>
      </w:r>
      <w:r>
        <w:t>989; 5 Feb 2016 p. 354.]</w:t>
      </w:r>
    </w:p>
    <w:p>
      <w:pPr>
        <w:pStyle w:val="Heading2"/>
      </w:pPr>
      <w:bookmarkStart w:id="756" w:name="_Toc201670674"/>
      <w:bookmarkStart w:id="757" w:name="_Toc201671338"/>
      <w:bookmarkStart w:id="758" w:name="_Toc201747320"/>
      <w:bookmarkStart w:id="759" w:name="_Toc200031773"/>
      <w:bookmarkStart w:id="760" w:name="_Toc200036761"/>
      <w:bookmarkStart w:id="761" w:name="_Toc200095580"/>
      <w:r>
        <w:rPr>
          <w:rStyle w:val="CharPartNo"/>
        </w:rPr>
        <w:t>Part 17</w:t>
      </w:r>
      <w:r>
        <w:rPr>
          <w:rStyle w:val="CharDivNo"/>
        </w:rPr>
        <w:t> </w:t>
      </w:r>
      <w:r>
        <w:t>—</w:t>
      </w:r>
      <w:r>
        <w:rPr>
          <w:rStyle w:val="CharDivText"/>
        </w:rPr>
        <w:t> </w:t>
      </w:r>
      <w:r>
        <w:rPr>
          <w:rStyle w:val="CharPartText"/>
        </w:rPr>
        <w:t>Miscellaneous matters</w:t>
      </w:r>
      <w:bookmarkEnd w:id="756"/>
      <w:bookmarkEnd w:id="757"/>
      <w:bookmarkEnd w:id="758"/>
      <w:bookmarkEnd w:id="759"/>
      <w:bookmarkEnd w:id="760"/>
      <w:bookmarkEnd w:id="761"/>
    </w:p>
    <w:p>
      <w:pPr>
        <w:pStyle w:val="Ednotesection"/>
        <w:spacing w:before="160"/>
      </w:pPr>
      <w:r>
        <w:t>[</w:t>
      </w:r>
      <w:r>
        <w:rPr>
          <w:b/>
        </w:rPr>
        <w:t>191.</w:t>
      </w:r>
      <w:r>
        <w:tab/>
        <w:t>Deleted: Gazette 5 Feb 2016 p. 354.]</w:t>
      </w:r>
    </w:p>
    <w:p>
      <w:pPr>
        <w:pStyle w:val="Heading5"/>
        <w:spacing w:before="160"/>
      </w:pPr>
      <w:bookmarkStart w:id="762" w:name="_Toc201747321"/>
      <w:bookmarkStart w:id="763" w:name="_Toc200095581"/>
      <w:r>
        <w:rPr>
          <w:rStyle w:val="CharSectno"/>
        </w:rPr>
        <w:t>192</w:t>
      </w:r>
      <w:r>
        <w:t>.</w:t>
      </w:r>
      <w:r>
        <w:tab/>
        <w:t>Safety management documents prescribed (Act s. 3)</w:t>
      </w:r>
      <w:bookmarkEnd w:id="762"/>
      <w:bookmarkEnd w:id="763"/>
    </w:p>
    <w:p>
      <w:pPr>
        <w:pStyle w:val="Subsection"/>
        <w:spacing w:before="120"/>
      </w:pPr>
      <w:r>
        <w:tab/>
      </w:r>
      <w:r>
        <w:tab/>
        <w:t xml:space="preserve">Each of the following documents is prescribed to be a safety management document for the purposes of the definition of </w:t>
      </w:r>
      <w:r>
        <w:rPr>
          <w:b/>
          <w:i/>
        </w:rPr>
        <w:t>safety management document</w:t>
      </w:r>
      <w:r>
        <w:t xml:space="preserve"> in the Act section 3 —</w:t>
      </w:r>
    </w:p>
    <w:p>
      <w:pPr>
        <w:pStyle w:val="Indenta"/>
        <w:spacing w:before="60"/>
      </w:pPr>
      <w:r>
        <w:tab/>
        <w:t>(a)</w:t>
      </w:r>
      <w:r>
        <w:tab/>
        <w:t>an explosives management plan referred to in regulation 161;</w:t>
      </w:r>
    </w:p>
    <w:p>
      <w:pPr>
        <w:pStyle w:val="Indenta"/>
        <w:spacing w:before="60"/>
      </w:pPr>
      <w:r>
        <w:tab/>
        <w:t>(b)</w:t>
      </w:r>
      <w:r>
        <w:tab/>
        <w:t>a blast plan referred to in regulation 130 and required to be prepared for the use of an explosive.</w:t>
      </w:r>
    </w:p>
    <w:p>
      <w:pPr>
        <w:pStyle w:val="Footnotesection"/>
        <w:spacing w:before="60"/>
        <w:ind w:left="890" w:hanging="890"/>
        <w:rPr>
          <w:rStyle w:val="CharSectno"/>
        </w:rPr>
      </w:pPr>
      <w:r>
        <w:tab/>
        <w:t>[Regulation 192 amended: SL 2022/122 r. 7.]</w:t>
      </w:r>
    </w:p>
    <w:p>
      <w:pPr>
        <w:pStyle w:val="Heading5"/>
        <w:spacing w:before="160"/>
      </w:pPr>
      <w:bookmarkStart w:id="764" w:name="_Toc201747322"/>
      <w:bookmarkStart w:id="765" w:name="_Toc200095582"/>
      <w:r>
        <w:rPr>
          <w:rStyle w:val="CharSectno"/>
        </w:rPr>
        <w:t>193</w:t>
      </w:r>
      <w:r>
        <w:t>.</w:t>
      </w:r>
      <w:r>
        <w:tab/>
        <w:t>False or misleading information, offences</w:t>
      </w:r>
      <w:bookmarkEnd w:id="764"/>
      <w:bookmarkEnd w:id="765"/>
    </w:p>
    <w:p>
      <w:pPr>
        <w:pStyle w:val="Subsection"/>
        <w:spacing w:before="120"/>
      </w:pPr>
      <w:r>
        <w:tab/>
        <w:t>(1)</w:t>
      </w:r>
      <w:r>
        <w:tab/>
        <w:t>A person must not record any information that the person knows is false or misleading in a plan, record or report that is required to be kept or made under these regulations.</w:t>
      </w:r>
    </w:p>
    <w:p>
      <w:pPr>
        <w:pStyle w:val="Penstart"/>
        <w:spacing w:before="60"/>
      </w:pPr>
      <w:r>
        <w:tab/>
        <w:t>Penalty: a level 1 fine and imprisonment for 10 months.</w:t>
      </w:r>
    </w:p>
    <w:p>
      <w:pPr>
        <w:pStyle w:val="Subsection"/>
        <w:spacing w:before="100"/>
      </w:pPr>
      <w:r>
        <w:tab/>
        <w:t>(2)</w:t>
      </w:r>
      <w:r>
        <w:tab/>
        <w:t>A person must not give materially false or misleading information in, or in connection with —</w:t>
      </w:r>
    </w:p>
    <w:p>
      <w:pPr>
        <w:pStyle w:val="Indenta"/>
        <w:spacing w:before="100"/>
      </w:pPr>
      <w:r>
        <w:tab/>
        <w:t>(a)</w:t>
      </w:r>
      <w:r>
        <w:tab/>
        <w:t>any notice that the person is required to give to another person under these regulations; or</w:t>
      </w:r>
    </w:p>
    <w:p>
      <w:pPr>
        <w:pStyle w:val="Indenta"/>
      </w:pPr>
      <w:r>
        <w:tab/>
        <w:t>(b)</w:t>
      </w:r>
      <w:r>
        <w:tab/>
        <w:t>an application for or in relation to a licence; or</w:t>
      </w:r>
    </w:p>
    <w:p>
      <w:pPr>
        <w:pStyle w:val="Indenta"/>
      </w:pPr>
      <w:r>
        <w:tab/>
        <w:t>(c)</w:t>
      </w:r>
      <w:r>
        <w:tab/>
        <w:t>any other application that may be made under these regulations; or</w:t>
      </w:r>
    </w:p>
    <w:p>
      <w:pPr>
        <w:pStyle w:val="Indenta"/>
      </w:pPr>
      <w:r>
        <w:tab/>
        <w:t>(d)</w:t>
      </w:r>
      <w:r>
        <w:tab/>
        <w:t>any certificate that may be given under these regulations.</w:t>
      </w:r>
    </w:p>
    <w:p>
      <w:pPr>
        <w:pStyle w:val="Penstart"/>
        <w:keepNext/>
        <w:keepLines/>
        <w:spacing w:before="60"/>
      </w:pPr>
      <w:r>
        <w:tab/>
        <w:t>Penalty: a level 1 fine and imprisonment for 10 months.</w:t>
      </w:r>
    </w:p>
    <w:p>
      <w:pPr>
        <w:pStyle w:val="Footnotesection"/>
        <w:spacing w:before="60"/>
        <w:ind w:left="890" w:hanging="890"/>
      </w:pPr>
      <w:r>
        <w:tab/>
        <w:t>[Regulation 193 amended: Gazette 2 Dec 2013 p.</w:t>
      </w:r>
      <w:r>
        <w:rPr>
          <w:sz w:val="19"/>
        </w:rPr>
        <w:t> </w:t>
      </w:r>
      <w:r>
        <w:t>5613.]</w:t>
      </w:r>
    </w:p>
    <w:p>
      <w:pPr>
        <w:pStyle w:val="Heading5"/>
        <w:keepLines w:val="0"/>
        <w:spacing w:before="160"/>
      </w:pPr>
      <w:bookmarkStart w:id="766" w:name="_Toc201747323"/>
      <w:bookmarkStart w:id="767" w:name="_Toc200095583"/>
      <w:r>
        <w:rPr>
          <w:rStyle w:val="CharSectno"/>
        </w:rPr>
        <w:t>194</w:t>
      </w:r>
      <w:r>
        <w:t>.</w:t>
      </w:r>
      <w:r>
        <w:tab/>
        <w:t>Duties in respect of explosives management plan</w:t>
      </w:r>
      <w:bookmarkEnd w:id="766"/>
      <w:bookmarkEnd w:id="767"/>
    </w:p>
    <w:p>
      <w:pPr>
        <w:pStyle w:val="Subsection"/>
        <w:keepNext/>
      </w:pPr>
      <w:r>
        <w:tab/>
        <w:t>(1)</w:t>
      </w:r>
      <w:r>
        <w:tab/>
        <w:t xml:space="preserve">In this regulation — </w:t>
      </w:r>
    </w:p>
    <w:p>
      <w:pPr>
        <w:pStyle w:val="Defstart"/>
        <w:keepNext/>
      </w:pPr>
      <w:r>
        <w:tab/>
      </w:r>
      <w:r>
        <w:rPr>
          <w:rStyle w:val="CharDefText"/>
        </w:rPr>
        <w:t>relevant licence</w:t>
      </w:r>
      <w:r>
        <w:t xml:space="preserve"> means — </w:t>
      </w:r>
    </w:p>
    <w:p>
      <w:pPr>
        <w:pStyle w:val="Defpara"/>
      </w:pPr>
      <w:r>
        <w:tab/>
        <w:t>(a)</w:t>
      </w:r>
      <w:r>
        <w:tab/>
        <w:t>an explosives manufacture licence; or</w:t>
      </w:r>
    </w:p>
    <w:p>
      <w:pPr>
        <w:pStyle w:val="Defpara"/>
      </w:pPr>
      <w:r>
        <w:tab/>
        <w:t>(b)</w:t>
      </w:r>
      <w:r>
        <w:tab/>
        <w:t>an explosives manufacture (MPU) licence; or</w:t>
      </w:r>
    </w:p>
    <w:p>
      <w:pPr>
        <w:pStyle w:val="Defpara"/>
      </w:pPr>
      <w:r>
        <w:tab/>
        <w:t>(c)</w:t>
      </w:r>
      <w:r>
        <w:tab/>
        <w:t>an explosives storage licence; or</w:t>
      </w:r>
    </w:p>
    <w:p>
      <w:pPr>
        <w:pStyle w:val="Defpara"/>
      </w:pPr>
      <w:r>
        <w:tab/>
        <w:t>(d)</w:t>
      </w:r>
      <w:r>
        <w:tab/>
        <w:t>an explosives transport licence; or</w:t>
      </w:r>
    </w:p>
    <w:p>
      <w:pPr>
        <w:pStyle w:val="Defpara"/>
      </w:pPr>
      <w:r>
        <w:tab/>
        <w:t>(e)</w:t>
      </w:r>
      <w:r>
        <w:tab/>
        <w:t>a fireworks contractor licence.</w:t>
      </w:r>
    </w:p>
    <w:p>
      <w:pPr>
        <w:pStyle w:val="Subsection"/>
      </w:pPr>
      <w:r>
        <w:tab/>
        <w:t>(2)</w:t>
      </w:r>
      <w:r>
        <w:tab/>
        <w:t>It is a condition of a relevant licence that the holder obey the explosives management plan for the purposes of the licence.</w:t>
      </w:r>
    </w:p>
    <w:p>
      <w:pPr>
        <w:pStyle w:val="Subsection"/>
      </w:pPr>
      <w:r>
        <w:tab/>
        <w:t>(3)</w:t>
      </w:r>
      <w:r>
        <w:tab/>
        <w:t>If a body corporate or a partnership is the holder of a relevant licence, each individual who, under regulation 165, is, and is recorded by the holder as, a qualified officer of the holder must ensure the explosives management plan for the purposes of the licence is complied with by the body corporate or partnership.</w:t>
      </w:r>
    </w:p>
    <w:p>
      <w:pPr>
        <w:pStyle w:val="Penstart"/>
      </w:pPr>
      <w:r>
        <w:tab/>
        <w:t>Penalty for this subregulation: a level 2 fine.</w:t>
      </w:r>
    </w:p>
    <w:p>
      <w:pPr>
        <w:pStyle w:val="Subsection"/>
      </w:pPr>
      <w:r>
        <w:tab/>
        <w:t>(4)</w:t>
      </w:r>
      <w:r>
        <w:tab/>
        <w:t>If the holder of a relevant licence is a body corporate or a partnership, each individual concerned in the management of, or employed by, the body or partnership must obey the explosives management plan for the purposes of the licence.</w:t>
      </w:r>
    </w:p>
    <w:p>
      <w:pPr>
        <w:pStyle w:val="Penstart"/>
      </w:pPr>
      <w:r>
        <w:tab/>
        <w:t>Penalty for this subregulation: a level 2 fine.</w:t>
      </w:r>
    </w:p>
    <w:p>
      <w:pPr>
        <w:pStyle w:val="Subsection"/>
      </w:pPr>
      <w:r>
        <w:tab/>
        <w:t>(5)</w:t>
      </w:r>
      <w:r>
        <w:tab/>
        <w:t xml:space="preserve">Subregulation (6) applies if a person works at a place — </w:t>
      </w:r>
    </w:p>
    <w:p>
      <w:pPr>
        <w:pStyle w:val="Indenta"/>
      </w:pPr>
      <w:r>
        <w:tab/>
        <w:t>(a)</w:t>
      </w:r>
      <w:r>
        <w:tab/>
        <w:t>to which an explosives manufacture licence or explosives storage licence relates; or</w:t>
      </w:r>
    </w:p>
    <w:p>
      <w:pPr>
        <w:pStyle w:val="Indenta"/>
      </w:pPr>
      <w:r>
        <w:tab/>
        <w:t>(b)</w:t>
      </w:r>
      <w:r>
        <w:tab/>
        <w:t>where the loading or unloading of explosives in connection with transporting them is carried out in connection with an explosives transport licence.</w:t>
      </w:r>
    </w:p>
    <w:p>
      <w:pPr>
        <w:pStyle w:val="Subsection"/>
        <w:keepNext/>
      </w:pPr>
      <w:r>
        <w:tab/>
        <w:t>(6)</w:t>
      </w:r>
      <w:r>
        <w:tab/>
        <w:t>The person must comply with the explosives management plan for the purposes of the explosives manufacture licence, explosives storage licence or explosives transport licence.</w:t>
      </w:r>
    </w:p>
    <w:p>
      <w:pPr>
        <w:pStyle w:val="Penstart"/>
        <w:keepNext/>
      </w:pPr>
      <w:r>
        <w:tab/>
        <w:t>Penalty for this subregulation: a level 2 fine.</w:t>
      </w:r>
    </w:p>
    <w:p>
      <w:pPr>
        <w:pStyle w:val="Footnotesection"/>
      </w:pPr>
      <w:r>
        <w:tab/>
        <w:t>[Regulation 194 amended: Gazette 2 Dec 2013 p.</w:t>
      </w:r>
      <w:r>
        <w:rPr>
          <w:sz w:val="19"/>
        </w:rPr>
        <w:t> </w:t>
      </w:r>
      <w:r>
        <w:t>5613</w:t>
      </w:r>
      <w:r>
        <w:noBreakHyphen/>
        <w:t xml:space="preserve">14; 5 Feb 2016 p. 354; SL 2022/122 r. 8.] </w:t>
      </w:r>
    </w:p>
    <w:p>
      <w:pPr>
        <w:pStyle w:val="Heading5"/>
        <w:spacing w:before="180"/>
      </w:pPr>
      <w:bookmarkStart w:id="768" w:name="_Toc201747324"/>
      <w:bookmarkStart w:id="769" w:name="_Toc200095584"/>
      <w:r>
        <w:rPr>
          <w:rStyle w:val="CharSectno"/>
        </w:rPr>
        <w:t>195</w:t>
      </w:r>
      <w:r>
        <w:t>.</w:t>
      </w:r>
      <w:r>
        <w:tab/>
        <w:t>Conditions of a permit, contravening</w:t>
      </w:r>
      <w:bookmarkEnd w:id="768"/>
      <w:bookmarkEnd w:id="769"/>
    </w:p>
    <w:p>
      <w:pPr>
        <w:pStyle w:val="Subsection"/>
        <w:spacing w:before="120"/>
      </w:pPr>
      <w:r>
        <w:tab/>
        <w:t>(1)</w:t>
      </w:r>
      <w:r>
        <w:tab/>
        <w:t xml:space="preserve">A person who has — </w:t>
      </w:r>
    </w:p>
    <w:p>
      <w:pPr>
        <w:pStyle w:val="Indenta"/>
      </w:pPr>
      <w:r>
        <w:tab/>
        <w:t>(a)</w:t>
      </w:r>
      <w:r>
        <w:tab/>
        <w:t>a test permit; or</w:t>
      </w:r>
    </w:p>
    <w:p>
      <w:pPr>
        <w:pStyle w:val="Indenta"/>
      </w:pPr>
      <w:r>
        <w:tab/>
        <w:t>(b)</w:t>
      </w:r>
      <w:r>
        <w:tab/>
        <w:t>a fireworks event permit; or</w:t>
      </w:r>
    </w:p>
    <w:p>
      <w:pPr>
        <w:pStyle w:val="Indenta"/>
        <w:keepNext/>
      </w:pPr>
      <w:r>
        <w:tab/>
        <w:t>(c)</w:t>
      </w:r>
      <w:r>
        <w:tab/>
        <w:t>a permit issued under regulation 131,</w:t>
      </w:r>
    </w:p>
    <w:p>
      <w:pPr>
        <w:pStyle w:val="Subsection"/>
      </w:pPr>
      <w:r>
        <w:tab/>
      </w:r>
      <w:r>
        <w:tab/>
        <w:t>must obey any condition that is in the permit.</w:t>
      </w:r>
    </w:p>
    <w:p>
      <w:pPr>
        <w:pStyle w:val="Penstart"/>
      </w:pPr>
      <w:r>
        <w:tab/>
        <w:t>Penalty: a level 1 fine and imprisonment for 10 months.</w:t>
      </w:r>
    </w:p>
    <w:p>
      <w:pPr>
        <w:pStyle w:val="Ednotesubsection"/>
      </w:pPr>
      <w:r>
        <w:tab/>
        <w:t>[(2)</w:t>
      </w:r>
      <w:r>
        <w:tab/>
        <w:t>deleted]</w:t>
      </w:r>
    </w:p>
    <w:p>
      <w:pPr>
        <w:pStyle w:val="Footnotesection"/>
        <w:ind w:left="890" w:hanging="890"/>
      </w:pPr>
      <w:r>
        <w:tab/>
        <w:t>[Regulation 195 amended: Gazette 16 Mar 2012 p. 1191.]</w:t>
      </w:r>
    </w:p>
    <w:p>
      <w:pPr>
        <w:pStyle w:val="Heading5"/>
        <w:spacing w:before="180"/>
      </w:pPr>
      <w:bookmarkStart w:id="770" w:name="_Toc201747325"/>
      <w:bookmarkStart w:id="771" w:name="_Toc200095585"/>
      <w:r>
        <w:rPr>
          <w:rStyle w:val="CharSectno"/>
        </w:rPr>
        <w:t>196</w:t>
      </w:r>
      <w:r>
        <w:t>.</w:t>
      </w:r>
      <w:r>
        <w:tab/>
        <w:t>Permits have no effect if holder’s licence ceases to have effect</w:t>
      </w:r>
      <w:bookmarkEnd w:id="770"/>
      <w:bookmarkEnd w:id="771"/>
    </w:p>
    <w:p>
      <w:pPr>
        <w:pStyle w:val="Subsection"/>
      </w:pPr>
      <w:r>
        <w:tab/>
      </w:r>
      <w:r>
        <w:tab/>
        <w:t>If, when a licence ceases to have effect, the holder also holds a permit issued under these regulations, the permit ceases to have effect at the same time.</w:t>
      </w:r>
    </w:p>
    <w:p>
      <w:pPr>
        <w:pStyle w:val="Heading5"/>
        <w:spacing w:before="180"/>
      </w:pPr>
      <w:bookmarkStart w:id="772" w:name="_Toc201747326"/>
      <w:bookmarkStart w:id="773" w:name="_Toc200095586"/>
      <w:r>
        <w:rPr>
          <w:rStyle w:val="CharSectno"/>
        </w:rPr>
        <w:t>197</w:t>
      </w:r>
      <w:r>
        <w:t>.</w:t>
      </w:r>
      <w:r>
        <w:tab/>
        <w:t>Prescribed offences and modified penalties (Act s. 56)</w:t>
      </w:r>
      <w:bookmarkEnd w:id="772"/>
      <w:bookmarkEnd w:id="773"/>
    </w:p>
    <w:p>
      <w:pPr>
        <w:pStyle w:val="Subsection"/>
      </w:pPr>
      <w:r>
        <w:tab/>
      </w:r>
      <w:r>
        <w:tab/>
        <w:t xml:space="preserve">For the purposes of the Act section 56 — </w:t>
      </w:r>
    </w:p>
    <w:p>
      <w:pPr>
        <w:pStyle w:val="Indenta"/>
      </w:pPr>
      <w:r>
        <w:tab/>
        <w:t>(a)</w:t>
      </w:r>
      <w:r>
        <w:tab/>
        <w:t>each offence under these regulations the penalty for which is a level 2 fine or a level 3 fine is a prescribed offence unless the provision creating the offence is listed in the Table to this regulation; and</w:t>
      </w:r>
    </w:p>
    <w:p>
      <w:pPr>
        <w:pStyle w:val="Indenta"/>
        <w:keepNext/>
      </w:pPr>
      <w:r>
        <w:tab/>
        <w:t>(b)</w:t>
      </w:r>
      <w:r>
        <w:tab/>
        <w:t>the modified penalty for each such prescribed offence is 10% of the maximum fine for the offence under these regulations.</w:t>
      </w:r>
    </w:p>
    <w:p>
      <w:pPr>
        <w:pStyle w:val="MiscellaneousHeading"/>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194(6)</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PermNoteHeading"/>
        <w:keepNext w:val="0"/>
        <w:spacing w:before="120"/>
      </w:pPr>
      <w:r>
        <w:tab/>
        <w:t>Note for this regulation:</w:t>
      </w:r>
    </w:p>
    <w:p>
      <w:pPr>
        <w:pStyle w:val="PermNoteText"/>
      </w:pPr>
      <w:r>
        <w:tab/>
      </w:r>
      <w:r>
        <w:tab/>
        <w:t xml:space="preserve">The </w:t>
      </w:r>
      <w:r>
        <w:rPr>
          <w:i/>
          <w:iCs/>
        </w:rPr>
        <w:t>Dangerous Goods Safety (General) Regulations 2007</w:t>
      </w:r>
      <w:r>
        <w:t xml:space="preserve"> prescribe the form of an infringement notice and other matters for the purposes of the Act s. 56.</w:t>
      </w:r>
    </w:p>
    <w:p>
      <w:pPr>
        <w:pStyle w:val="Footnotesection"/>
      </w:pPr>
      <w:r>
        <w:tab/>
        <w:t>[Regulation 197 amended: SL 2022/122 r. 9.]</w:t>
      </w:r>
    </w:p>
    <w:p>
      <w:pPr>
        <w:pStyle w:val="Ednotesection"/>
      </w:pPr>
      <w:r>
        <w:t>[</w:t>
      </w:r>
      <w:r>
        <w:rPr>
          <w:b/>
        </w:rPr>
        <w:t>197A.</w:t>
      </w:r>
      <w:r>
        <w:tab/>
        <w:t>Deleted: SL 2021/85 r. 5.]</w:t>
      </w:r>
    </w:p>
    <w:p>
      <w:pPr>
        <w:pStyle w:val="Heading2"/>
      </w:pPr>
      <w:bookmarkStart w:id="774" w:name="_Toc201670681"/>
      <w:bookmarkStart w:id="775" w:name="_Toc201671345"/>
      <w:bookmarkStart w:id="776" w:name="_Toc201747327"/>
      <w:bookmarkStart w:id="777" w:name="_Toc200031780"/>
      <w:bookmarkStart w:id="778" w:name="_Toc200036768"/>
      <w:bookmarkStart w:id="779" w:name="_Toc200095587"/>
      <w:r>
        <w:rPr>
          <w:rStyle w:val="CharPartNo"/>
        </w:rPr>
        <w:t>Part 18</w:t>
      </w:r>
      <w:r>
        <w:rPr>
          <w:rStyle w:val="CharDivNo"/>
        </w:rPr>
        <w:t> </w:t>
      </w:r>
      <w:r>
        <w:t>—</w:t>
      </w:r>
      <w:r>
        <w:rPr>
          <w:rStyle w:val="CharDivText"/>
        </w:rPr>
        <w:t> </w:t>
      </w:r>
      <w:r>
        <w:rPr>
          <w:rStyle w:val="CharPartText"/>
        </w:rPr>
        <w:t>Transitional matters</w:t>
      </w:r>
      <w:bookmarkEnd w:id="774"/>
      <w:bookmarkEnd w:id="775"/>
      <w:bookmarkEnd w:id="776"/>
      <w:bookmarkEnd w:id="777"/>
      <w:bookmarkEnd w:id="778"/>
      <w:bookmarkEnd w:id="779"/>
    </w:p>
    <w:p>
      <w:pPr>
        <w:pStyle w:val="Heading5"/>
      </w:pPr>
      <w:bookmarkStart w:id="780" w:name="_Toc201747328"/>
      <w:bookmarkStart w:id="781" w:name="_Toc200095588"/>
      <w:r>
        <w:rPr>
          <w:rStyle w:val="CharSectno"/>
        </w:rPr>
        <w:t>198</w:t>
      </w:r>
      <w:r>
        <w:t>.</w:t>
      </w:r>
      <w:r>
        <w:tab/>
        <w:t>Transitional status of secure employees</w:t>
      </w:r>
      <w:bookmarkEnd w:id="780"/>
      <w:bookmarkEnd w:id="781"/>
    </w:p>
    <w:p>
      <w:pPr>
        <w:pStyle w:val="Subsection"/>
      </w:pPr>
      <w:r>
        <w:tab/>
      </w:r>
      <w:r>
        <w:tab/>
        <w:t xml:space="preserve">If immediately before the day on which the </w:t>
      </w:r>
      <w:r>
        <w:rPr>
          <w:i/>
        </w:rPr>
        <w:t>Dangerous Goods Safety (Explosives) Amendment Regulations 2013</w:t>
      </w:r>
      <w:r>
        <w:t xml:space="preserve"> regulation 10 commences an individual is a secure employee of a licence holder, then, on the commencement of that regulation, the person is taken to be a secure nominee of the licence holder until —</w:t>
      </w:r>
    </w:p>
    <w:p>
      <w:pPr>
        <w:pStyle w:val="Indenta"/>
      </w:pPr>
      <w:r>
        <w:tab/>
        <w:t>(a)</w:t>
      </w:r>
      <w:r>
        <w:tab/>
        <w:t>the person, under regulation 23, is authorised by the licence holder to have unsupervised access to an explosive in the licence holder’s possession; or</w:t>
      </w:r>
    </w:p>
    <w:p>
      <w:pPr>
        <w:pStyle w:val="Indenta"/>
      </w:pPr>
      <w:r>
        <w:tab/>
        <w:t>(b)</w:t>
      </w:r>
      <w:r>
        <w:tab/>
        <w:t>the end of 3 months after the date of that commencement,</w:t>
      </w:r>
    </w:p>
    <w:p>
      <w:pPr>
        <w:pStyle w:val="Subsection"/>
      </w:pPr>
      <w:r>
        <w:tab/>
      </w:r>
      <w:r>
        <w:tab/>
        <w:t>whichever happens first.</w:t>
      </w:r>
    </w:p>
    <w:p>
      <w:pPr>
        <w:pStyle w:val="Footnotesection"/>
      </w:pPr>
      <w:r>
        <w:tab/>
        <w:t>[Regulation 198 inserted: Gazette 2 Dec 2013 p.</w:t>
      </w:r>
      <w:r>
        <w:rPr>
          <w:sz w:val="19"/>
        </w:rPr>
        <w:t> </w:t>
      </w:r>
      <w:r>
        <w:t>5614.]</w:t>
      </w:r>
    </w:p>
    <w:p>
      <w:pPr>
        <w:pStyle w:val="Heading5"/>
      </w:pPr>
      <w:bookmarkStart w:id="782" w:name="_Toc201747329"/>
      <w:bookmarkStart w:id="783" w:name="_Toc200095589"/>
      <w:r>
        <w:rPr>
          <w:rStyle w:val="CharSectno"/>
        </w:rPr>
        <w:t>199</w:t>
      </w:r>
      <w:r>
        <w:t>.</w:t>
      </w:r>
      <w:r>
        <w:tab/>
        <w:t>Assessing fitness to drive</w:t>
      </w:r>
      <w:bookmarkEnd w:id="782"/>
      <w:bookmarkEnd w:id="783"/>
    </w:p>
    <w:p>
      <w:pPr>
        <w:pStyle w:val="Subsection"/>
      </w:pPr>
      <w:r>
        <w:tab/>
      </w:r>
      <w:r>
        <w:tab/>
        <w:t xml:space="preserve">If a certificate that complies with regulation 158(c) as in force immediately before the date on which the </w:t>
      </w:r>
      <w:r>
        <w:rPr>
          <w:i/>
        </w:rPr>
        <w:t>Dangerous Goods Safety (Explosives) Amendment Regulations 2013</w:t>
      </w:r>
      <w:r>
        <w:t xml:space="preserve"> regulation 31 commences is issued within one year after that date, it is taken to be a certificate that complies with regulation 158(c) as in force after that date.</w:t>
      </w:r>
    </w:p>
    <w:p>
      <w:pPr>
        <w:pStyle w:val="Footnotesection"/>
      </w:pPr>
      <w:r>
        <w:tab/>
        <w:t>[Regulation 199 inserted: Gazette 2 Dec 2013 p.</w:t>
      </w:r>
      <w:r>
        <w:rPr>
          <w:sz w:val="19"/>
        </w:rPr>
        <w:t> </w:t>
      </w:r>
      <w:r>
        <w:t>5614.]</w:t>
      </w:r>
    </w:p>
    <w:p>
      <w:pPr>
        <w:pStyle w:val="Ednotesection"/>
        <w:ind w:left="890" w:hanging="890"/>
      </w:pPr>
      <w:r>
        <w:t>[</w:t>
      </w:r>
      <w:r>
        <w:rPr>
          <w:b/>
        </w:rPr>
        <w:t>200</w:t>
      </w:r>
      <w:r>
        <w:rPr>
          <w:b/>
        </w:rPr>
        <w:noBreakHyphen/>
        <w:t>206.</w:t>
      </w:r>
      <w:r>
        <w:tab/>
        <w:t>Deleted: Gazette 2 Dec 2013 p. 5614.]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784" w:name="_Toc200027213"/>
      <w:bookmarkStart w:id="785" w:name="_Toc200027304"/>
      <w:bookmarkStart w:id="786" w:name="_Toc200027458"/>
      <w:bookmarkStart w:id="787" w:name="_Toc200027667"/>
      <w:bookmarkStart w:id="788" w:name="_Toc200450495"/>
      <w:bookmarkStart w:id="789" w:name="_Toc201671348"/>
      <w:bookmarkStart w:id="790" w:name="_Toc201747330"/>
      <w:bookmarkStart w:id="791" w:name="_Toc200031783"/>
      <w:bookmarkStart w:id="792" w:name="_Toc200036771"/>
      <w:bookmarkStart w:id="793" w:name="_Toc200095590"/>
      <w:bookmarkStart w:id="794" w:name="_Toc201670684"/>
      <w:r>
        <w:rPr>
          <w:rStyle w:val="CharSchNo"/>
        </w:rPr>
        <w:t>Schedule 1</w:t>
      </w:r>
      <w:r>
        <w:t> — </w:t>
      </w:r>
      <w:r>
        <w:rPr>
          <w:rStyle w:val="CharSchText"/>
        </w:rPr>
        <w:t>Fees</w:t>
      </w:r>
      <w:bookmarkEnd w:id="784"/>
      <w:bookmarkEnd w:id="785"/>
      <w:bookmarkEnd w:id="786"/>
      <w:bookmarkEnd w:id="787"/>
      <w:bookmarkEnd w:id="788"/>
      <w:bookmarkEnd w:id="789"/>
      <w:bookmarkEnd w:id="790"/>
      <w:bookmarkEnd w:id="791"/>
      <w:bookmarkEnd w:id="792"/>
      <w:bookmarkEnd w:id="793"/>
    </w:p>
    <w:p>
      <w:pPr>
        <w:pStyle w:val="yShoulderClause"/>
      </w:pPr>
      <w:r>
        <w:t>[r. 3]</w:t>
      </w:r>
    </w:p>
    <w:p>
      <w:pPr>
        <w:pStyle w:val="yFootnoteheading"/>
        <w:spacing w:after="60"/>
      </w:pPr>
      <w:r>
        <w:tab/>
        <w:t>[Heading inserted: SL </w:t>
      </w:r>
      <w:del w:id="795" w:author="Master Repository Process" w:date="2025-06-27T11:14:00Z">
        <w:r>
          <w:delText>2024/97</w:delText>
        </w:r>
      </w:del>
      <w:ins w:id="796" w:author="Master Repository Process" w:date="2025-06-27T11:14:00Z">
        <w:r>
          <w:t>2025/90</w:t>
        </w:r>
      </w:ins>
      <w:r>
        <w:t xml:space="preserve"> r. 4.]</w:t>
      </w:r>
    </w:p>
    <w:tbl>
      <w:tblPr>
        <w:tblW w:w="6804" w:type="dxa"/>
        <w:tblInd w:w="142" w:type="dxa"/>
        <w:tblLayout w:type="fixed"/>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bCs/>
              </w:rPr>
            </w:pPr>
            <w:r>
              <w:rPr>
                <w:b/>
                <w:bCs/>
              </w:rPr>
              <w:t>Column 1</w:t>
            </w:r>
          </w:p>
          <w:p>
            <w:pPr>
              <w:pStyle w:val="yTableNAm"/>
              <w:jc w:val="center"/>
              <w:rPr>
                <w:b/>
                <w:bCs/>
              </w:rPr>
            </w:pPr>
            <w:r>
              <w:rPr>
                <w:b/>
                <w:bCs/>
              </w:rPr>
              <w:t>Matter</w:t>
            </w:r>
          </w:p>
        </w:tc>
        <w:tc>
          <w:tcPr>
            <w:tcW w:w="1134" w:type="dxa"/>
            <w:tcBorders>
              <w:top w:val="single" w:sz="4" w:space="0" w:color="auto"/>
              <w:bottom w:val="single" w:sz="4" w:space="0" w:color="auto"/>
            </w:tcBorders>
            <w:noWrap/>
          </w:tcPr>
          <w:p>
            <w:pPr>
              <w:pStyle w:val="yTableNAm"/>
              <w:ind w:right="-106"/>
              <w:jc w:val="center"/>
              <w:rPr>
                <w:b/>
              </w:rPr>
            </w:pPr>
            <w:r>
              <w:rPr>
                <w:b/>
              </w:rPr>
              <w:t>Column 2</w:t>
            </w:r>
          </w:p>
          <w:p>
            <w:pPr>
              <w:pStyle w:val="yTableNAm"/>
              <w:jc w:val="center"/>
              <w:rPr>
                <w:b/>
              </w:rPr>
            </w:pPr>
            <w:r>
              <w:rPr>
                <w:b/>
              </w:rPr>
              <w:t>Fee</w:t>
            </w:r>
          </w:p>
          <w:p>
            <w:pPr>
              <w:pStyle w:val="yTableNAm"/>
              <w:jc w:val="center"/>
              <w:rPr>
                <w:b/>
              </w:rPr>
            </w:pPr>
            <w:r>
              <w:rPr>
                <w:b/>
              </w:rPr>
              <w:t>$</w:t>
            </w:r>
          </w:p>
        </w:tc>
      </w:tr>
      <w:tr>
        <w:trPr>
          <w:cantSplit/>
        </w:trPr>
        <w:tc>
          <w:tcPr>
            <w:tcW w:w="709" w:type="dxa"/>
            <w:noWrap/>
          </w:tcPr>
          <w:p>
            <w:pPr>
              <w:pStyle w:val="yTableNAm"/>
            </w:pPr>
            <w:r>
              <w:t>1.</w:t>
            </w:r>
          </w:p>
        </w:tc>
        <w:tc>
          <w:tcPr>
            <w:tcW w:w="4961" w:type="dxa"/>
            <w:noWrap/>
          </w:tcPr>
          <w:p>
            <w:pPr>
              <w:pStyle w:val="yTableNAm"/>
              <w:rPr>
                <w:rStyle w:val="DraftersNotes"/>
                <w:b w:val="0"/>
                <w:i w:val="0"/>
              </w:rPr>
            </w:pPr>
            <w:r>
              <w:t>Application for a security card (r. 17(3)(d))</w:t>
            </w:r>
          </w:p>
        </w:tc>
        <w:tc>
          <w:tcPr>
            <w:tcW w:w="1134" w:type="dxa"/>
            <w:noWrap/>
            <w:vAlign w:val="bottom"/>
          </w:tcPr>
          <w:p>
            <w:pPr>
              <w:pStyle w:val="yTableNAm"/>
              <w:jc w:val="right"/>
            </w:pPr>
            <w:r>
              <w:t>185.00</w:t>
            </w:r>
          </w:p>
        </w:tc>
      </w:tr>
      <w:tr>
        <w:trPr>
          <w:cantSplit/>
        </w:trPr>
        <w:tc>
          <w:tcPr>
            <w:tcW w:w="709" w:type="dxa"/>
            <w:noWrap/>
          </w:tcPr>
          <w:p>
            <w:pPr>
              <w:pStyle w:val="yTableNAm"/>
            </w:pPr>
            <w:r>
              <w:t>2.</w:t>
            </w:r>
          </w:p>
        </w:tc>
        <w:tc>
          <w:tcPr>
            <w:tcW w:w="4961" w:type="dxa"/>
            <w:noWrap/>
          </w:tcPr>
          <w:p>
            <w:pPr>
              <w:pStyle w:val="yTableNAm"/>
            </w:pPr>
            <w:r>
              <w:t>Application to extend period for which a security card is valid (r. 21A(2)(c))</w:t>
            </w:r>
          </w:p>
        </w:tc>
        <w:tc>
          <w:tcPr>
            <w:tcW w:w="1134" w:type="dxa"/>
            <w:noWrap/>
            <w:vAlign w:val="bottom"/>
          </w:tcPr>
          <w:p>
            <w:pPr>
              <w:pStyle w:val="yTableNAm"/>
              <w:jc w:val="right"/>
            </w:pPr>
            <w:r>
              <w:t>54.50</w:t>
            </w:r>
          </w:p>
        </w:tc>
      </w:tr>
      <w:tr>
        <w:trPr>
          <w:cantSplit/>
        </w:trPr>
        <w:tc>
          <w:tcPr>
            <w:tcW w:w="709" w:type="dxa"/>
            <w:noWrap/>
          </w:tcPr>
          <w:p>
            <w:pPr>
              <w:pStyle w:val="yTableNAm"/>
            </w:pPr>
            <w:r>
              <w:t>3.</w:t>
            </w:r>
          </w:p>
        </w:tc>
        <w:tc>
          <w:tcPr>
            <w:tcW w:w="4961" w:type="dxa"/>
            <w:noWrap/>
          </w:tcPr>
          <w:p>
            <w:pPr>
              <w:pStyle w:val="yTableNAm"/>
            </w:pPr>
            <w:r>
              <w:t>Application for a test permit for an unauthorised explosive (r. 27(2)(d))</w:t>
            </w:r>
          </w:p>
        </w:tc>
        <w:tc>
          <w:tcPr>
            <w:tcW w:w="1134" w:type="dxa"/>
            <w:noWrap/>
            <w:vAlign w:val="bottom"/>
          </w:tcPr>
          <w:p>
            <w:pPr>
              <w:pStyle w:val="yTableNAm"/>
              <w:jc w:val="right"/>
            </w:pPr>
            <w:del w:id="797" w:author="Master Repository Process" w:date="2025-06-27T11:14:00Z">
              <w:r>
                <w:delText>225</w:delText>
              </w:r>
            </w:del>
            <w:ins w:id="798" w:author="Master Repository Process" w:date="2025-06-27T11:14:00Z">
              <w:r>
                <w:t>230</w:t>
              </w:r>
            </w:ins>
            <w:r>
              <w:t>.00</w:t>
            </w:r>
          </w:p>
        </w:tc>
      </w:tr>
      <w:tr>
        <w:trPr>
          <w:cantSplit/>
        </w:trPr>
        <w:tc>
          <w:tcPr>
            <w:tcW w:w="709" w:type="dxa"/>
            <w:noWrap/>
          </w:tcPr>
          <w:p>
            <w:pPr>
              <w:pStyle w:val="yTableNAm"/>
            </w:pPr>
            <w:r>
              <w:t>4.</w:t>
            </w:r>
          </w:p>
        </w:tc>
        <w:tc>
          <w:tcPr>
            <w:tcW w:w="4961" w:type="dxa"/>
            <w:noWrap/>
          </w:tcPr>
          <w:p>
            <w:pPr>
              <w:pStyle w:val="yTableNAm"/>
              <w:rPr>
                <w:rStyle w:val="DraftersNotes"/>
                <w:b w:val="0"/>
                <w:i w:val="0"/>
              </w:rPr>
            </w:pPr>
            <w:r>
              <w:t>Application to have an explosive authorised (r. 30(2)(j)) —</w:t>
            </w:r>
          </w:p>
        </w:tc>
        <w:tc>
          <w:tcPr>
            <w:tcW w:w="1134" w:type="dxa"/>
            <w:noWrap/>
            <w:vAlign w:val="bottom"/>
          </w:tcPr>
          <w:p>
            <w:pPr>
              <w:pStyle w:val="yTableNAm"/>
              <w:jc w:val="right"/>
              <w:rPr>
                <w:highlight w:val="yellow"/>
              </w:rPr>
            </w:pPr>
          </w:p>
        </w:tc>
      </w:tr>
      <w:tr>
        <w:trPr>
          <w:cantSplit/>
        </w:trPr>
        <w:tc>
          <w:tcPr>
            <w:tcW w:w="709" w:type="dxa"/>
            <w:noWrap/>
          </w:tcPr>
          <w:p>
            <w:pPr>
              <w:pStyle w:val="yTableNAm"/>
            </w:pPr>
          </w:p>
        </w:tc>
        <w:tc>
          <w:tcPr>
            <w:tcW w:w="4961" w:type="dxa"/>
            <w:noWrap/>
          </w:tcPr>
          <w:p>
            <w:pPr>
              <w:pStyle w:val="yTableNAm"/>
              <w:ind w:left="459" w:hanging="425"/>
            </w:pPr>
            <w:r>
              <w:t>(a)</w:t>
            </w:r>
            <w:r>
              <w:tab/>
              <w:t>if the explosive is authorised under an interstate law (as defined in r. 30(1A))</w:t>
            </w:r>
          </w:p>
        </w:tc>
        <w:tc>
          <w:tcPr>
            <w:tcW w:w="1134" w:type="dxa"/>
            <w:noWrap/>
            <w:vAlign w:val="bottom"/>
          </w:tcPr>
          <w:p>
            <w:pPr>
              <w:pStyle w:val="yTableNAm"/>
              <w:jc w:val="right"/>
              <w:rPr>
                <w:highlight w:val="yellow"/>
              </w:rPr>
            </w:pPr>
            <w:del w:id="799" w:author="Master Repository Process" w:date="2025-06-27T11:14:00Z">
              <w:r>
                <w:delText>182</w:delText>
              </w:r>
            </w:del>
            <w:ins w:id="800" w:author="Master Repository Process" w:date="2025-06-27T11:14:00Z">
              <w:r>
                <w:t>186</w:t>
              </w:r>
            </w:ins>
            <w:r>
              <w:t>.00</w:t>
            </w:r>
          </w:p>
        </w:tc>
      </w:tr>
      <w:tr>
        <w:trPr>
          <w:cantSplit/>
        </w:trPr>
        <w:tc>
          <w:tcPr>
            <w:tcW w:w="709" w:type="dxa"/>
            <w:noWrap/>
          </w:tcPr>
          <w:p>
            <w:pPr>
              <w:pStyle w:val="yTableNAm"/>
            </w:pPr>
          </w:p>
        </w:tc>
        <w:tc>
          <w:tcPr>
            <w:tcW w:w="4961" w:type="dxa"/>
            <w:noWrap/>
          </w:tcPr>
          <w:p>
            <w:pPr>
              <w:pStyle w:val="yTableNAm"/>
              <w:ind w:left="459" w:hanging="425"/>
            </w:pPr>
            <w:r>
              <w:t>(b)</w:t>
            </w:r>
            <w:r>
              <w:tab/>
              <w:t>otherwise</w:t>
            </w:r>
          </w:p>
        </w:tc>
        <w:tc>
          <w:tcPr>
            <w:tcW w:w="1134" w:type="dxa"/>
            <w:noWrap/>
            <w:vAlign w:val="bottom"/>
          </w:tcPr>
          <w:p>
            <w:pPr>
              <w:pStyle w:val="yTableNAm"/>
              <w:jc w:val="right"/>
              <w:rPr>
                <w:highlight w:val="yellow"/>
              </w:rPr>
            </w:pPr>
            <w:del w:id="801" w:author="Master Repository Process" w:date="2025-06-27T11:14:00Z">
              <w:r>
                <w:delText>735</w:delText>
              </w:r>
            </w:del>
            <w:ins w:id="802" w:author="Master Repository Process" w:date="2025-06-27T11:14:00Z">
              <w:r>
                <w:t>753</w:t>
              </w:r>
            </w:ins>
            <w:r>
              <w:t>.00</w:t>
            </w:r>
          </w:p>
        </w:tc>
      </w:tr>
      <w:tr>
        <w:trPr>
          <w:cantSplit/>
        </w:trPr>
        <w:tc>
          <w:tcPr>
            <w:tcW w:w="709" w:type="dxa"/>
            <w:noWrap/>
          </w:tcPr>
          <w:p>
            <w:pPr>
              <w:pStyle w:val="yTableNAm"/>
            </w:pPr>
            <w:r>
              <w:t>5.</w:t>
            </w:r>
          </w:p>
        </w:tc>
        <w:tc>
          <w:tcPr>
            <w:tcW w:w="4961" w:type="dxa"/>
            <w:noWrap/>
          </w:tcPr>
          <w:p>
            <w:pPr>
              <w:pStyle w:val="yTableNAm"/>
            </w:pPr>
            <w:r>
              <w:t>Application for a berth to be declared a special berth (explosives) (r. 111L(2)(e)(iii))</w:t>
            </w:r>
          </w:p>
        </w:tc>
        <w:tc>
          <w:tcPr>
            <w:tcW w:w="1134" w:type="dxa"/>
            <w:noWrap/>
            <w:vAlign w:val="bottom"/>
          </w:tcPr>
          <w:p>
            <w:pPr>
              <w:pStyle w:val="yTableNAm"/>
              <w:jc w:val="right"/>
            </w:pPr>
            <w:r>
              <w:t>5 </w:t>
            </w:r>
            <w:del w:id="803" w:author="Master Repository Process" w:date="2025-06-27T11:14:00Z">
              <w:r>
                <w:delText>380</w:delText>
              </w:r>
            </w:del>
            <w:ins w:id="804" w:author="Master Repository Process" w:date="2025-06-27T11:14:00Z">
              <w:r>
                <w:t>510</w:t>
              </w:r>
            </w:ins>
            <w:r>
              <w:t>.00</w:t>
            </w:r>
          </w:p>
        </w:tc>
      </w:tr>
      <w:tr>
        <w:trPr>
          <w:cantSplit/>
        </w:trPr>
        <w:tc>
          <w:tcPr>
            <w:tcW w:w="709" w:type="dxa"/>
            <w:noWrap/>
          </w:tcPr>
          <w:p>
            <w:pPr>
              <w:pStyle w:val="yTableNAm"/>
              <w:keepNext/>
            </w:pPr>
            <w:r>
              <w:t>6.</w:t>
            </w:r>
          </w:p>
        </w:tc>
        <w:tc>
          <w:tcPr>
            <w:tcW w:w="4961" w:type="dxa"/>
            <w:noWrap/>
          </w:tcPr>
          <w:p>
            <w:pPr>
              <w:pStyle w:val="yTableNAm"/>
              <w:keepNext/>
            </w:pPr>
            <w:r>
              <w:t xml:space="preserve">Application for a fireworks event permit (r. 149(1)(e)) — </w:t>
            </w:r>
          </w:p>
        </w:tc>
        <w:tc>
          <w:tcPr>
            <w:tcW w:w="1134" w:type="dxa"/>
            <w:noWrap/>
            <w:vAlign w:val="bottom"/>
          </w:tcPr>
          <w:p>
            <w:pPr>
              <w:pStyle w:val="yTableNAm"/>
              <w:jc w:val="right"/>
              <w:rPr>
                <w:highlight w:val="yellow"/>
              </w:rPr>
            </w:pPr>
          </w:p>
        </w:tc>
      </w:tr>
      <w:tr>
        <w:trPr>
          <w:cantSplit/>
        </w:trPr>
        <w:tc>
          <w:tcPr>
            <w:tcW w:w="709" w:type="dxa"/>
            <w:noWrap/>
          </w:tcPr>
          <w:p>
            <w:pPr>
              <w:pStyle w:val="yTableNAm"/>
              <w:keepNext/>
            </w:pPr>
          </w:p>
        </w:tc>
        <w:tc>
          <w:tcPr>
            <w:tcW w:w="4961" w:type="dxa"/>
            <w:noWrap/>
          </w:tcPr>
          <w:p>
            <w:pPr>
              <w:pStyle w:val="yTableNAm"/>
              <w:keepNext/>
              <w:ind w:left="459" w:hanging="425"/>
            </w:pPr>
            <w:r>
              <w:t>(a)</w:t>
            </w:r>
            <w:r>
              <w:tab/>
              <w:t>if the event fireworks include a ground display but no aerial shells</w:t>
            </w:r>
          </w:p>
        </w:tc>
        <w:tc>
          <w:tcPr>
            <w:tcW w:w="1134" w:type="dxa"/>
            <w:noWrap/>
            <w:vAlign w:val="bottom"/>
          </w:tcPr>
          <w:p>
            <w:pPr>
              <w:pStyle w:val="yTableNAm"/>
              <w:jc w:val="right"/>
              <w:rPr>
                <w:highlight w:val="yellow"/>
              </w:rPr>
            </w:pPr>
            <w:del w:id="805" w:author="Master Repository Process" w:date="2025-06-27T11:14:00Z">
              <w:r>
                <w:rPr>
                  <w:szCs w:val="22"/>
                </w:rPr>
                <w:delText>182</w:delText>
              </w:r>
            </w:del>
            <w:ins w:id="806" w:author="Master Repository Process" w:date="2025-06-27T11:14:00Z">
              <w:r>
                <w:rPr>
                  <w:szCs w:val="22"/>
                </w:rPr>
                <w:t>186</w:t>
              </w:r>
            </w:ins>
            <w:r>
              <w:rPr>
                <w:szCs w:val="22"/>
              </w:rPr>
              <w:t>.00</w:t>
            </w:r>
          </w:p>
        </w:tc>
      </w:tr>
      <w:tr>
        <w:trPr>
          <w:cantSplit/>
        </w:trPr>
        <w:tc>
          <w:tcPr>
            <w:tcW w:w="709" w:type="dxa"/>
            <w:noWrap/>
          </w:tcPr>
          <w:p>
            <w:pPr>
              <w:pStyle w:val="yTableNAm"/>
            </w:pPr>
          </w:p>
        </w:tc>
        <w:tc>
          <w:tcPr>
            <w:tcW w:w="4961" w:type="dxa"/>
            <w:noWrap/>
          </w:tcPr>
          <w:p>
            <w:pPr>
              <w:pStyle w:val="yTableNAm"/>
              <w:ind w:left="459" w:hanging="425"/>
            </w:pPr>
            <w:r>
              <w:t>(b)</w:t>
            </w:r>
            <w:r>
              <w:tab/>
              <w:t>if the event fireworks include aerial shells but not more than 3 000 aerial shells</w:t>
            </w:r>
          </w:p>
        </w:tc>
        <w:tc>
          <w:tcPr>
            <w:tcW w:w="1134" w:type="dxa"/>
            <w:noWrap/>
            <w:vAlign w:val="bottom"/>
          </w:tcPr>
          <w:p>
            <w:pPr>
              <w:pStyle w:val="yTableNAm"/>
              <w:jc w:val="right"/>
              <w:rPr>
                <w:highlight w:val="yellow"/>
              </w:rPr>
            </w:pPr>
            <w:del w:id="807" w:author="Master Repository Process" w:date="2025-06-27T11:14:00Z">
              <w:r>
                <w:rPr>
                  <w:szCs w:val="22"/>
                </w:rPr>
                <w:delText>368</w:delText>
              </w:r>
            </w:del>
            <w:ins w:id="808" w:author="Master Repository Process" w:date="2025-06-27T11:14:00Z">
              <w:r>
                <w:rPr>
                  <w:szCs w:val="22"/>
                </w:rPr>
                <w:t>377</w:t>
              </w:r>
            </w:ins>
            <w:r>
              <w:rPr>
                <w:szCs w:val="22"/>
              </w:rPr>
              <w:t>.00</w:t>
            </w:r>
          </w:p>
        </w:tc>
      </w:tr>
      <w:tr>
        <w:trPr>
          <w:cantSplit/>
        </w:trPr>
        <w:tc>
          <w:tcPr>
            <w:tcW w:w="709" w:type="dxa"/>
            <w:noWrap/>
          </w:tcPr>
          <w:p>
            <w:pPr>
              <w:pStyle w:val="yTableNAm"/>
            </w:pPr>
          </w:p>
        </w:tc>
        <w:tc>
          <w:tcPr>
            <w:tcW w:w="4961" w:type="dxa"/>
            <w:noWrap/>
          </w:tcPr>
          <w:p>
            <w:pPr>
              <w:pStyle w:val="yTableNAm"/>
              <w:ind w:left="459" w:hanging="425"/>
            </w:pPr>
            <w:r>
              <w:t>(c)</w:t>
            </w:r>
            <w:r>
              <w:tab/>
              <w:t>if the event fireworks include more than 3 000 aerial shells</w:t>
            </w:r>
          </w:p>
        </w:tc>
        <w:tc>
          <w:tcPr>
            <w:tcW w:w="1134" w:type="dxa"/>
            <w:noWrap/>
            <w:vAlign w:val="bottom"/>
          </w:tcPr>
          <w:p>
            <w:pPr>
              <w:pStyle w:val="yTableNAm"/>
              <w:jc w:val="right"/>
              <w:rPr>
                <w:highlight w:val="yellow"/>
              </w:rPr>
            </w:pPr>
            <w:r>
              <w:rPr>
                <w:szCs w:val="22"/>
              </w:rPr>
              <w:t>5 </w:t>
            </w:r>
            <w:del w:id="809" w:author="Master Repository Process" w:date="2025-06-27T11:14:00Z">
              <w:r>
                <w:rPr>
                  <w:szCs w:val="22"/>
                </w:rPr>
                <w:delText>248</w:delText>
              </w:r>
            </w:del>
            <w:ins w:id="810" w:author="Master Repository Process" w:date="2025-06-27T11:14:00Z">
              <w:r>
                <w:rPr>
                  <w:szCs w:val="22"/>
                </w:rPr>
                <w:t>370</w:t>
              </w:r>
            </w:ins>
            <w:r>
              <w:rPr>
                <w:szCs w:val="22"/>
              </w:rPr>
              <w:t>.00</w:t>
            </w:r>
          </w:p>
        </w:tc>
      </w:tr>
      <w:tr>
        <w:trPr>
          <w:cantSplit/>
        </w:trPr>
        <w:tc>
          <w:tcPr>
            <w:tcW w:w="709" w:type="dxa"/>
            <w:noWrap/>
          </w:tcPr>
          <w:p>
            <w:pPr>
              <w:pStyle w:val="yTableNAm"/>
            </w:pPr>
            <w:r>
              <w:t>7.</w:t>
            </w:r>
          </w:p>
        </w:tc>
        <w:tc>
          <w:tcPr>
            <w:tcW w:w="4961" w:type="dxa"/>
            <w:noWrap/>
          </w:tcPr>
          <w:p>
            <w:pPr>
              <w:pStyle w:val="yTableNAm"/>
              <w:rPr>
                <w:rStyle w:val="DraftersNotes"/>
                <w:b w:val="0"/>
                <w:i w:val="0"/>
              </w:rPr>
            </w:pPr>
            <w:r>
              <w:t>Application for a licence (other than a trading licence) (r. 157(1)(c)) —</w:t>
            </w:r>
          </w:p>
        </w:tc>
        <w:tc>
          <w:tcPr>
            <w:tcW w:w="1134" w:type="dxa"/>
            <w:noWrap/>
            <w:vAlign w:val="bottom"/>
          </w:tcPr>
          <w:p>
            <w:pPr>
              <w:pStyle w:val="yTableNAm"/>
              <w:jc w:val="right"/>
              <w:rPr>
                <w:highlight w:val="yellow"/>
              </w:rPr>
            </w:pPr>
          </w:p>
        </w:tc>
      </w:tr>
      <w:tr>
        <w:trPr>
          <w:cantSplit/>
        </w:trPr>
        <w:tc>
          <w:tcPr>
            <w:tcW w:w="709" w:type="dxa"/>
            <w:noWrap/>
          </w:tcPr>
          <w:p>
            <w:pPr>
              <w:pStyle w:val="yTableNAm"/>
            </w:pPr>
          </w:p>
        </w:tc>
        <w:tc>
          <w:tcPr>
            <w:tcW w:w="4961" w:type="dxa"/>
            <w:noWrap/>
          </w:tcPr>
          <w:p>
            <w:pPr>
              <w:pStyle w:val="yTableNAm"/>
              <w:ind w:left="459" w:hanging="425"/>
            </w:pPr>
            <w:r>
              <w:t>(a)</w:t>
            </w:r>
            <w:r>
              <w:tab/>
              <w:t>explosives driver licence</w:t>
            </w:r>
          </w:p>
        </w:tc>
        <w:tc>
          <w:tcPr>
            <w:tcW w:w="1134" w:type="dxa"/>
            <w:noWrap/>
            <w:vAlign w:val="bottom"/>
          </w:tcPr>
          <w:p>
            <w:pPr>
              <w:pStyle w:val="yTableNAm"/>
              <w:jc w:val="right"/>
            </w:pPr>
            <w:r>
              <w:t>129.00</w:t>
            </w:r>
          </w:p>
        </w:tc>
      </w:tr>
      <w:tr>
        <w:trPr>
          <w:cantSplit/>
        </w:trPr>
        <w:tc>
          <w:tcPr>
            <w:tcW w:w="709" w:type="dxa"/>
            <w:noWrap/>
          </w:tcPr>
          <w:p>
            <w:pPr>
              <w:pStyle w:val="yTableNAm"/>
            </w:pPr>
          </w:p>
        </w:tc>
        <w:tc>
          <w:tcPr>
            <w:tcW w:w="4961" w:type="dxa"/>
            <w:noWrap/>
          </w:tcPr>
          <w:p>
            <w:pPr>
              <w:pStyle w:val="yTableNAm"/>
              <w:ind w:left="459" w:hanging="425"/>
            </w:pPr>
            <w:r>
              <w:t>(b)</w:t>
            </w:r>
            <w:r>
              <w:tab/>
              <w:t>shotfiring licence</w:t>
            </w:r>
          </w:p>
        </w:tc>
        <w:tc>
          <w:tcPr>
            <w:tcW w:w="1134" w:type="dxa"/>
            <w:noWrap/>
            <w:vAlign w:val="bottom"/>
          </w:tcPr>
          <w:p>
            <w:pPr>
              <w:pStyle w:val="yTableNAm"/>
              <w:jc w:val="right"/>
            </w:pPr>
            <w:r>
              <w:t>129.00</w:t>
            </w:r>
          </w:p>
        </w:tc>
      </w:tr>
      <w:tr>
        <w:trPr>
          <w:cantSplit/>
        </w:trPr>
        <w:tc>
          <w:tcPr>
            <w:tcW w:w="709" w:type="dxa"/>
            <w:noWrap/>
          </w:tcPr>
          <w:p>
            <w:pPr>
              <w:pStyle w:val="yTableNAm"/>
            </w:pPr>
          </w:p>
        </w:tc>
        <w:tc>
          <w:tcPr>
            <w:tcW w:w="4961" w:type="dxa"/>
            <w:noWrap/>
          </w:tcPr>
          <w:p>
            <w:pPr>
              <w:pStyle w:val="yTableNAm"/>
              <w:ind w:left="459" w:hanging="425"/>
            </w:pPr>
            <w:r>
              <w:t>(c)</w:t>
            </w:r>
            <w:r>
              <w:tab/>
              <w:t>fireworks contractor licence</w:t>
            </w:r>
          </w:p>
        </w:tc>
        <w:tc>
          <w:tcPr>
            <w:tcW w:w="1134" w:type="dxa"/>
            <w:noWrap/>
            <w:vAlign w:val="bottom"/>
          </w:tcPr>
          <w:p>
            <w:pPr>
              <w:pStyle w:val="yTableNAm"/>
              <w:jc w:val="right"/>
              <w:rPr>
                <w:highlight w:val="yellow"/>
              </w:rPr>
            </w:pPr>
            <w:del w:id="811" w:author="Master Repository Process" w:date="2025-06-27T11:14:00Z">
              <w:r>
                <w:delText>569</w:delText>
              </w:r>
            </w:del>
            <w:ins w:id="812" w:author="Master Repository Process" w:date="2025-06-27T11:14:00Z">
              <w:r>
                <w:t>583</w:t>
              </w:r>
            </w:ins>
            <w:r>
              <w:t>.00</w:t>
            </w:r>
          </w:p>
        </w:tc>
      </w:tr>
      <w:tr>
        <w:trPr>
          <w:cantSplit/>
        </w:trPr>
        <w:tc>
          <w:tcPr>
            <w:tcW w:w="709" w:type="dxa"/>
            <w:noWrap/>
          </w:tcPr>
          <w:p>
            <w:pPr>
              <w:pStyle w:val="yTableNAm"/>
            </w:pPr>
          </w:p>
        </w:tc>
        <w:tc>
          <w:tcPr>
            <w:tcW w:w="4961" w:type="dxa"/>
            <w:noWrap/>
          </w:tcPr>
          <w:p>
            <w:pPr>
              <w:pStyle w:val="yTableNAm"/>
              <w:ind w:left="459" w:hanging="425"/>
            </w:pPr>
            <w:r>
              <w:t>(d)</w:t>
            </w:r>
            <w:r>
              <w:tab/>
              <w:t>fireworks operator licence</w:t>
            </w:r>
          </w:p>
        </w:tc>
        <w:tc>
          <w:tcPr>
            <w:tcW w:w="1134" w:type="dxa"/>
            <w:noWrap/>
            <w:vAlign w:val="bottom"/>
          </w:tcPr>
          <w:p>
            <w:pPr>
              <w:pStyle w:val="yTableNAm"/>
              <w:jc w:val="right"/>
              <w:rPr>
                <w:highlight w:val="yellow"/>
              </w:rPr>
            </w:pPr>
            <w:del w:id="813" w:author="Master Repository Process" w:date="2025-06-27T11:14:00Z">
              <w:r>
                <w:delText>141</w:delText>
              </w:r>
            </w:del>
            <w:ins w:id="814" w:author="Master Repository Process" w:date="2025-06-27T11:14:00Z">
              <w:r>
                <w:t>144</w:t>
              </w:r>
            </w:ins>
            <w:r>
              <w:t>.00</w:t>
            </w:r>
          </w:p>
        </w:tc>
      </w:tr>
      <w:tr>
        <w:trPr>
          <w:cantSplit/>
        </w:trPr>
        <w:tc>
          <w:tcPr>
            <w:tcW w:w="709" w:type="dxa"/>
            <w:noWrap/>
          </w:tcPr>
          <w:p>
            <w:pPr>
              <w:pStyle w:val="yTableNAm"/>
            </w:pPr>
          </w:p>
        </w:tc>
        <w:tc>
          <w:tcPr>
            <w:tcW w:w="4961" w:type="dxa"/>
            <w:noWrap/>
          </w:tcPr>
          <w:p>
            <w:pPr>
              <w:pStyle w:val="yTableNAm"/>
              <w:ind w:left="459" w:hanging="425"/>
            </w:pPr>
            <w:r>
              <w:t>(e)</w:t>
            </w:r>
            <w:r>
              <w:tab/>
              <w:t>pyrotechnics (special use) licence</w:t>
            </w:r>
          </w:p>
        </w:tc>
        <w:tc>
          <w:tcPr>
            <w:tcW w:w="1134" w:type="dxa"/>
            <w:noWrap/>
            <w:vAlign w:val="bottom"/>
          </w:tcPr>
          <w:p>
            <w:pPr>
              <w:pStyle w:val="yTableNAm"/>
              <w:jc w:val="right"/>
              <w:rPr>
                <w:highlight w:val="yellow"/>
              </w:rPr>
            </w:pPr>
            <w:del w:id="815" w:author="Master Repository Process" w:date="2025-06-27T11:14:00Z">
              <w:r>
                <w:delText>141</w:delText>
              </w:r>
            </w:del>
            <w:ins w:id="816" w:author="Master Repository Process" w:date="2025-06-27T11:14:00Z">
              <w:r>
                <w:t>144</w:t>
              </w:r>
            </w:ins>
            <w:r>
              <w:t>.00</w:t>
            </w:r>
          </w:p>
        </w:tc>
      </w:tr>
      <w:tr>
        <w:trPr>
          <w:cantSplit/>
        </w:trPr>
        <w:tc>
          <w:tcPr>
            <w:tcW w:w="709" w:type="dxa"/>
            <w:noWrap/>
          </w:tcPr>
          <w:p>
            <w:pPr>
              <w:pStyle w:val="yTableNAm"/>
              <w:keepNext/>
            </w:pPr>
            <w:r>
              <w:t>8.</w:t>
            </w:r>
          </w:p>
        </w:tc>
        <w:tc>
          <w:tcPr>
            <w:tcW w:w="4961" w:type="dxa"/>
            <w:noWrap/>
          </w:tcPr>
          <w:p>
            <w:pPr>
              <w:pStyle w:val="yTableNAm"/>
              <w:keepNext/>
              <w:rPr>
                <w:rStyle w:val="DraftersNotes"/>
                <w:b w:val="0"/>
                <w:i w:val="0"/>
              </w:rPr>
            </w:pPr>
            <w:r>
              <w:t xml:space="preserve">Annual fee for a trading licence (r. 157(1)(da)(i) and 179A) — </w:t>
            </w:r>
          </w:p>
        </w:tc>
        <w:tc>
          <w:tcPr>
            <w:tcW w:w="1134" w:type="dxa"/>
            <w:noWrap/>
            <w:vAlign w:val="bottom"/>
          </w:tcPr>
          <w:p>
            <w:pPr>
              <w:pStyle w:val="yTableNAm"/>
              <w:keepNext/>
              <w:jc w:val="right"/>
              <w:rPr>
                <w:highlight w:val="yellow"/>
              </w:rPr>
            </w:pPr>
          </w:p>
        </w:tc>
      </w:tr>
      <w:tr>
        <w:trPr>
          <w:cantSplit/>
        </w:trPr>
        <w:tc>
          <w:tcPr>
            <w:tcW w:w="709" w:type="dxa"/>
            <w:noWrap/>
          </w:tcPr>
          <w:p>
            <w:pPr>
              <w:pStyle w:val="yTableNAm"/>
              <w:keepNext/>
            </w:pPr>
          </w:p>
        </w:tc>
        <w:tc>
          <w:tcPr>
            <w:tcW w:w="4961" w:type="dxa"/>
            <w:noWrap/>
          </w:tcPr>
          <w:p>
            <w:pPr>
              <w:pStyle w:val="yTableNAm"/>
              <w:keepNext/>
              <w:ind w:left="459" w:hanging="425"/>
            </w:pPr>
            <w:r>
              <w:t>(a)</w:t>
            </w:r>
            <w:r>
              <w:tab/>
              <w:t>explosives import/export licence</w:t>
            </w:r>
          </w:p>
        </w:tc>
        <w:tc>
          <w:tcPr>
            <w:tcW w:w="1134" w:type="dxa"/>
            <w:noWrap/>
            <w:vAlign w:val="bottom"/>
          </w:tcPr>
          <w:p>
            <w:pPr>
              <w:pStyle w:val="yTableNAm"/>
              <w:keepNext/>
              <w:jc w:val="right"/>
              <w:rPr>
                <w:highlight w:val="yellow"/>
              </w:rPr>
            </w:pPr>
            <w:del w:id="817" w:author="Master Repository Process" w:date="2025-06-27T11:14:00Z">
              <w:r>
                <w:delText>232</w:delText>
              </w:r>
            </w:del>
            <w:ins w:id="818" w:author="Master Repository Process" w:date="2025-06-27T11:14:00Z">
              <w:r>
                <w:t>237</w:t>
              </w:r>
            </w:ins>
            <w:r>
              <w:t>.00</w:t>
            </w:r>
          </w:p>
        </w:tc>
      </w:tr>
      <w:tr>
        <w:trPr>
          <w:cantSplit/>
        </w:trPr>
        <w:tc>
          <w:tcPr>
            <w:tcW w:w="709" w:type="dxa"/>
            <w:noWrap/>
          </w:tcPr>
          <w:p>
            <w:pPr>
              <w:pStyle w:val="yTableNAm"/>
            </w:pPr>
          </w:p>
        </w:tc>
        <w:tc>
          <w:tcPr>
            <w:tcW w:w="4961" w:type="dxa"/>
            <w:noWrap/>
          </w:tcPr>
          <w:p>
            <w:pPr>
              <w:pStyle w:val="yTableNAm"/>
              <w:keepNext/>
              <w:ind w:left="459" w:hanging="425"/>
            </w:pPr>
            <w:r>
              <w:t>(b)</w:t>
            </w:r>
            <w:r>
              <w:tab/>
              <w:t>explosives manufacture licence</w:t>
            </w:r>
          </w:p>
        </w:tc>
        <w:tc>
          <w:tcPr>
            <w:tcW w:w="1134" w:type="dxa"/>
            <w:noWrap/>
            <w:vAlign w:val="bottom"/>
          </w:tcPr>
          <w:p>
            <w:pPr>
              <w:pStyle w:val="yTableNAm"/>
              <w:jc w:val="right"/>
              <w:rPr>
                <w:highlight w:val="yellow"/>
              </w:rPr>
            </w:pPr>
            <w:del w:id="819" w:author="Master Repository Process" w:date="2025-06-27T11:14:00Z">
              <w:r>
                <w:delText>489</w:delText>
              </w:r>
            </w:del>
            <w:ins w:id="820" w:author="Master Repository Process" w:date="2025-06-27T11:14:00Z">
              <w:r>
                <w:t>501</w:t>
              </w:r>
            </w:ins>
            <w:r>
              <w:t>.00</w:t>
            </w:r>
          </w:p>
        </w:tc>
      </w:tr>
      <w:tr>
        <w:trPr>
          <w:cantSplit/>
        </w:trPr>
        <w:tc>
          <w:tcPr>
            <w:tcW w:w="709" w:type="dxa"/>
            <w:noWrap/>
          </w:tcPr>
          <w:p>
            <w:pPr>
              <w:pStyle w:val="yTableNAm"/>
            </w:pPr>
          </w:p>
        </w:tc>
        <w:tc>
          <w:tcPr>
            <w:tcW w:w="4961" w:type="dxa"/>
            <w:noWrap/>
          </w:tcPr>
          <w:p>
            <w:pPr>
              <w:pStyle w:val="yTableNAm"/>
              <w:ind w:left="459" w:hanging="425"/>
            </w:pPr>
            <w:r>
              <w:t>(c)</w:t>
            </w:r>
            <w:r>
              <w:tab/>
              <w:t>explosives manufacture (MPU) licence</w:t>
            </w:r>
          </w:p>
        </w:tc>
        <w:tc>
          <w:tcPr>
            <w:tcW w:w="1134" w:type="dxa"/>
            <w:noWrap/>
            <w:vAlign w:val="bottom"/>
          </w:tcPr>
          <w:p>
            <w:pPr>
              <w:pStyle w:val="yTableNAm"/>
              <w:jc w:val="right"/>
              <w:rPr>
                <w:highlight w:val="yellow"/>
              </w:rPr>
            </w:pPr>
            <w:r>
              <w:t>1 </w:t>
            </w:r>
            <w:del w:id="821" w:author="Master Repository Process" w:date="2025-06-27T11:14:00Z">
              <w:r>
                <w:delText>130</w:delText>
              </w:r>
            </w:del>
            <w:ins w:id="822" w:author="Master Repository Process" w:date="2025-06-27T11:14:00Z">
              <w:r>
                <w:t>150</w:t>
              </w:r>
            </w:ins>
            <w:r>
              <w:t>.00</w:t>
            </w:r>
          </w:p>
        </w:tc>
      </w:tr>
      <w:tr>
        <w:trPr>
          <w:cantSplit/>
        </w:trPr>
        <w:tc>
          <w:tcPr>
            <w:tcW w:w="709" w:type="dxa"/>
            <w:noWrap/>
          </w:tcPr>
          <w:p>
            <w:pPr>
              <w:pStyle w:val="yTableNAm"/>
            </w:pPr>
          </w:p>
        </w:tc>
        <w:tc>
          <w:tcPr>
            <w:tcW w:w="4961" w:type="dxa"/>
            <w:noWrap/>
          </w:tcPr>
          <w:p>
            <w:pPr>
              <w:pStyle w:val="yTableNAm"/>
              <w:ind w:left="459" w:hanging="425"/>
            </w:pPr>
            <w:r>
              <w:t>(d)</w:t>
            </w:r>
            <w:r>
              <w:tab/>
              <w:t>explosives storage licence —</w:t>
            </w:r>
          </w:p>
        </w:tc>
        <w:tc>
          <w:tcPr>
            <w:tcW w:w="1134" w:type="dxa"/>
            <w:noWrap/>
            <w:vAlign w:val="bottom"/>
          </w:tcPr>
          <w:p>
            <w:pPr>
              <w:pStyle w:val="yTableNAm"/>
              <w:jc w:val="right"/>
              <w:rPr>
                <w:highlight w:val="yellow"/>
              </w:rPr>
            </w:pPr>
          </w:p>
        </w:tc>
      </w:tr>
      <w:tr>
        <w:trPr>
          <w:cantSplit/>
        </w:trPr>
        <w:tc>
          <w:tcPr>
            <w:tcW w:w="709" w:type="dxa"/>
            <w:noWrap/>
          </w:tcPr>
          <w:p>
            <w:pPr>
              <w:pStyle w:val="yTableNAm"/>
            </w:pPr>
          </w:p>
        </w:tc>
        <w:tc>
          <w:tcPr>
            <w:tcW w:w="4961" w:type="dxa"/>
            <w:noWrap/>
          </w:tcPr>
          <w:p>
            <w:pPr>
              <w:pStyle w:val="yTableNAm"/>
              <w:tabs>
                <w:tab w:val="clear" w:pos="567"/>
                <w:tab w:val="left" w:pos="601"/>
              </w:tabs>
              <w:ind w:left="884" w:hanging="425"/>
            </w:pPr>
            <w:r>
              <w:t>(i)</w:t>
            </w:r>
            <w:r>
              <w:tab/>
              <w:t>for less than 1 tonne of explosives</w:t>
            </w:r>
          </w:p>
        </w:tc>
        <w:tc>
          <w:tcPr>
            <w:tcW w:w="1134" w:type="dxa"/>
            <w:noWrap/>
            <w:vAlign w:val="bottom"/>
          </w:tcPr>
          <w:p>
            <w:pPr>
              <w:pStyle w:val="yTableNAm"/>
              <w:jc w:val="right"/>
              <w:rPr>
                <w:highlight w:val="yellow"/>
              </w:rPr>
            </w:pPr>
            <w:del w:id="823" w:author="Master Repository Process" w:date="2025-06-27T11:14:00Z">
              <w:r>
                <w:delText>144</w:delText>
              </w:r>
            </w:del>
            <w:ins w:id="824" w:author="Master Repository Process" w:date="2025-06-27T11:14:00Z">
              <w:r>
                <w:t>147</w:t>
              </w:r>
            </w:ins>
            <w:r>
              <w:t>.00</w:t>
            </w:r>
          </w:p>
        </w:tc>
      </w:tr>
      <w:tr>
        <w:trPr>
          <w:cantSplit/>
        </w:trPr>
        <w:tc>
          <w:tcPr>
            <w:tcW w:w="709" w:type="dxa"/>
            <w:noWrap/>
          </w:tcPr>
          <w:p>
            <w:pPr>
              <w:pStyle w:val="yTableNAm"/>
            </w:pPr>
          </w:p>
        </w:tc>
        <w:tc>
          <w:tcPr>
            <w:tcW w:w="4961" w:type="dxa"/>
            <w:noWrap/>
          </w:tcPr>
          <w:p>
            <w:pPr>
              <w:pStyle w:val="yTableNAm"/>
              <w:tabs>
                <w:tab w:val="clear" w:pos="567"/>
                <w:tab w:val="left" w:pos="601"/>
              </w:tabs>
              <w:ind w:left="884" w:hanging="425"/>
            </w:pPr>
            <w:r>
              <w:t>(ii)</w:t>
            </w:r>
            <w:r>
              <w:tab/>
              <w:t>for 1 tonne or more but less than 5 tonnes of explosives</w:t>
            </w:r>
          </w:p>
        </w:tc>
        <w:tc>
          <w:tcPr>
            <w:tcW w:w="1134" w:type="dxa"/>
            <w:noWrap/>
            <w:vAlign w:val="bottom"/>
          </w:tcPr>
          <w:p>
            <w:pPr>
              <w:pStyle w:val="yTableNAm"/>
              <w:jc w:val="right"/>
              <w:rPr>
                <w:highlight w:val="yellow"/>
              </w:rPr>
            </w:pPr>
            <w:del w:id="825" w:author="Master Repository Process" w:date="2025-06-27T11:14:00Z">
              <w:r>
                <w:delText>172</w:delText>
              </w:r>
            </w:del>
            <w:ins w:id="826" w:author="Master Repository Process" w:date="2025-06-27T11:14:00Z">
              <w:r>
                <w:t>176</w:t>
              </w:r>
            </w:ins>
            <w:r>
              <w:t>.00</w:t>
            </w:r>
          </w:p>
        </w:tc>
      </w:tr>
      <w:tr>
        <w:trPr>
          <w:cantSplit/>
        </w:trPr>
        <w:tc>
          <w:tcPr>
            <w:tcW w:w="709" w:type="dxa"/>
            <w:noWrap/>
          </w:tcPr>
          <w:p>
            <w:pPr>
              <w:pStyle w:val="yTableNAm"/>
            </w:pPr>
          </w:p>
        </w:tc>
        <w:tc>
          <w:tcPr>
            <w:tcW w:w="4961" w:type="dxa"/>
            <w:noWrap/>
          </w:tcPr>
          <w:p>
            <w:pPr>
              <w:pStyle w:val="yTableNAm"/>
              <w:tabs>
                <w:tab w:val="clear" w:pos="567"/>
                <w:tab w:val="left" w:pos="601"/>
              </w:tabs>
              <w:ind w:left="884" w:hanging="425"/>
            </w:pPr>
            <w:r>
              <w:t>(iii)</w:t>
            </w:r>
            <w:r>
              <w:tab/>
              <w:t>for 5 tonnes or more of explosives</w:t>
            </w:r>
          </w:p>
        </w:tc>
        <w:tc>
          <w:tcPr>
            <w:tcW w:w="1134" w:type="dxa"/>
            <w:noWrap/>
            <w:vAlign w:val="bottom"/>
          </w:tcPr>
          <w:p>
            <w:pPr>
              <w:pStyle w:val="yTableNAm"/>
              <w:jc w:val="right"/>
              <w:rPr>
                <w:highlight w:val="yellow"/>
              </w:rPr>
            </w:pPr>
            <w:del w:id="827" w:author="Master Repository Process" w:date="2025-06-27T11:14:00Z">
              <w:r>
                <w:delText>463</w:delText>
              </w:r>
            </w:del>
            <w:ins w:id="828" w:author="Master Repository Process" w:date="2025-06-27T11:14:00Z">
              <w:r>
                <w:t>474</w:t>
              </w:r>
            </w:ins>
            <w:r>
              <w:t>.00</w:t>
            </w:r>
          </w:p>
        </w:tc>
      </w:tr>
      <w:tr>
        <w:trPr>
          <w:cantSplit/>
        </w:trPr>
        <w:tc>
          <w:tcPr>
            <w:tcW w:w="709" w:type="dxa"/>
            <w:noWrap/>
          </w:tcPr>
          <w:p>
            <w:pPr>
              <w:pStyle w:val="yTableNAm"/>
              <w:keepNext/>
              <w:keepLines/>
            </w:pPr>
          </w:p>
        </w:tc>
        <w:tc>
          <w:tcPr>
            <w:tcW w:w="4961" w:type="dxa"/>
            <w:noWrap/>
          </w:tcPr>
          <w:p>
            <w:pPr>
              <w:pStyle w:val="yTableNAm"/>
              <w:keepNext/>
              <w:keepLines/>
              <w:ind w:left="459" w:hanging="425"/>
            </w:pPr>
            <w:r>
              <w:t>(e)</w:t>
            </w:r>
            <w:r>
              <w:tab/>
              <w:t>explosives transport licence</w:t>
            </w:r>
          </w:p>
        </w:tc>
        <w:tc>
          <w:tcPr>
            <w:tcW w:w="1134" w:type="dxa"/>
            <w:noWrap/>
            <w:vAlign w:val="bottom"/>
          </w:tcPr>
          <w:p>
            <w:pPr>
              <w:pStyle w:val="yTableNAm"/>
              <w:keepNext/>
              <w:keepLines/>
              <w:jc w:val="right"/>
              <w:rPr>
                <w:highlight w:val="yellow"/>
              </w:rPr>
            </w:pPr>
            <w:r>
              <w:t>1 </w:t>
            </w:r>
            <w:del w:id="829" w:author="Master Repository Process" w:date="2025-06-27T11:14:00Z">
              <w:r>
                <w:delText>150</w:delText>
              </w:r>
            </w:del>
            <w:ins w:id="830" w:author="Master Repository Process" w:date="2025-06-27T11:14:00Z">
              <w:r>
                <w:t>170</w:t>
              </w:r>
            </w:ins>
            <w:r>
              <w:t>.00</w:t>
            </w:r>
          </w:p>
        </w:tc>
      </w:tr>
      <w:tr>
        <w:trPr>
          <w:cantSplit/>
        </w:trPr>
        <w:tc>
          <w:tcPr>
            <w:tcW w:w="709" w:type="dxa"/>
            <w:noWrap/>
          </w:tcPr>
          <w:p>
            <w:pPr>
              <w:pStyle w:val="yTableNAm"/>
            </w:pPr>
          </w:p>
        </w:tc>
        <w:tc>
          <w:tcPr>
            <w:tcW w:w="4961" w:type="dxa"/>
            <w:noWrap/>
          </w:tcPr>
          <w:p>
            <w:pPr>
              <w:pStyle w:val="yTableNAm"/>
              <w:ind w:left="459" w:hanging="425"/>
            </w:pPr>
            <w:r>
              <w:t>(f)</w:t>
            </w:r>
            <w:r>
              <w:tab/>
              <w:t>explosives supply licence</w:t>
            </w:r>
          </w:p>
        </w:tc>
        <w:tc>
          <w:tcPr>
            <w:tcW w:w="1134" w:type="dxa"/>
            <w:noWrap/>
            <w:vAlign w:val="bottom"/>
          </w:tcPr>
          <w:p>
            <w:pPr>
              <w:pStyle w:val="yTableNAm"/>
              <w:jc w:val="right"/>
              <w:rPr>
                <w:highlight w:val="yellow"/>
              </w:rPr>
            </w:pPr>
            <w:del w:id="831" w:author="Master Repository Process" w:date="2025-06-27T11:14:00Z">
              <w:r>
                <w:delText>78.50</w:delText>
              </w:r>
            </w:del>
            <w:ins w:id="832" w:author="Master Repository Process" w:date="2025-06-27T11:14:00Z">
              <w:r>
                <w:t>80.00</w:t>
              </w:r>
            </w:ins>
          </w:p>
        </w:tc>
      </w:tr>
      <w:tr>
        <w:trPr>
          <w:cantSplit/>
        </w:trPr>
        <w:tc>
          <w:tcPr>
            <w:tcW w:w="709" w:type="dxa"/>
            <w:tcBorders>
              <w:bottom w:val="single" w:sz="4" w:space="0" w:color="auto"/>
            </w:tcBorders>
            <w:noWrap/>
          </w:tcPr>
          <w:p>
            <w:pPr>
              <w:pStyle w:val="yTableNAm"/>
            </w:pPr>
            <w:r>
              <w:t>9.</w:t>
            </w:r>
          </w:p>
        </w:tc>
        <w:tc>
          <w:tcPr>
            <w:tcW w:w="4961" w:type="dxa"/>
            <w:tcBorders>
              <w:bottom w:val="single" w:sz="4" w:space="0" w:color="auto"/>
            </w:tcBorders>
            <w:noWrap/>
          </w:tcPr>
          <w:p>
            <w:pPr>
              <w:pStyle w:val="yTableNAm"/>
              <w:spacing w:after="120"/>
            </w:pPr>
            <w:r>
              <w:t>Application for renewal of a licence (other than a trading licence) (r. 173(3)(i))</w:t>
            </w:r>
          </w:p>
        </w:tc>
        <w:tc>
          <w:tcPr>
            <w:tcW w:w="1134" w:type="dxa"/>
            <w:tcBorders>
              <w:bottom w:val="single" w:sz="4" w:space="0" w:color="auto"/>
            </w:tcBorders>
            <w:noWrap/>
          </w:tcPr>
          <w:p>
            <w:pPr>
              <w:pStyle w:val="yTableNAm"/>
              <w:spacing w:after="120"/>
              <w:ind w:right="-106"/>
              <w:rPr>
                <w:szCs w:val="22"/>
                <w:highlight w:val="yellow"/>
              </w:rPr>
            </w:pPr>
            <w:r>
              <w:t>The fee in item 7 for the licence</w:t>
            </w:r>
          </w:p>
        </w:tc>
      </w:tr>
    </w:tbl>
    <w:p>
      <w:pPr>
        <w:pStyle w:val="yFootnotesection"/>
      </w:pPr>
      <w:r>
        <w:tab/>
        <w:t>[Schedule 1 inserted: SL </w:t>
      </w:r>
      <w:del w:id="833" w:author="Master Repository Process" w:date="2025-06-27T11:14:00Z">
        <w:r>
          <w:delText>2024/97</w:delText>
        </w:r>
      </w:del>
      <w:ins w:id="834" w:author="Master Repository Process" w:date="2025-06-27T11:14:00Z">
        <w:r>
          <w:t>2025/90</w:t>
        </w:r>
      </w:ins>
      <w:r>
        <w:t xml:space="preserve"> r. 4.]</w:t>
      </w:r>
    </w:p>
    <w:bookmarkEnd w:id="794"/>
    <w:p>
      <w:pPr>
        <w:pStyle w:val="yFootnotesection"/>
        <w:rPr>
          <w:i w:val="0"/>
        </w:rPr>
        <w:sectPr>
          <w:headerReference w:type="even" r:id="rId21"/>
          <w:headerReference w:type="default" r:id="rId22"/>
          <w:endnotePr>
            <w:numFmt w:val="decimal"/>
          </w:endnotePr>
          <w:pgSz w:w="11907" w:h="16840" w:code="9"/>
          <w:pgMar w:top="2381" w:right="2410" w:bottom="3544" w:left="2410" w:header="720" w:footer="3544" w:gutter="0"/>
          <w:cols w:space="720"/>
          <w:noEndnote/>
          <w:docGrid w:linePitch="326"/>
        </w:sectPr>
      </w:pPr>
    </w:p>
    <w:p>
      <w:pPr>
        <w:pStyle w:val="yScheduleHeading"/>
      </w:pPr>
      <w:bookmarkStart w:id="836" w:name="_Toc201670685"/>
      <w:bookmarkStart w:id="837" w:name="_Toc201671349"/>
      <w:bookmarkStart w:id="838" w:name="_Toc201747331"/>
      <w:bookmarkStart w:id="839" w:name="_Toc200031784"/>
      <w:bookmarkStart w:id="840" w:name="_Toc200036772"/>
      <w:bookmarkStart w:id="841" w:name="_Toc200095591"/>
      <w:r>
        <w:rPr>
          <w:rStyle w:val="CharSchNo"/>
        </w:rPr>
        <w:t>Schedule 2</w:t>
      </w:r>
      <w:r>
        <w:rPr>
          <w:rStyle w:val="CharSDivNo"/>
        </w:rPr>
        <w:t> </w:t>
      </w:r>
      <w:r>
        <w:t>—</w:t>
      </w:r>
      <w:r>
        <w:rPr>
          <w:rStyle w:val="CharSDivText"/>
        </w:rPr>
        <w:t> </w:t>
      </w:r>
      <w:r>
        <w:rPr>
          <w:rStyle w:val="CharSchText"/>
        </w:rPr>
        <w:t>Prohibited explosives</w:t>
      </w:r>
      <w:bookmarkEnd w:id="836"/>
      <w:bookmarkEnd w:id="837"/>
      <w:bookmarkEnd w:id="838"/>
      <w:bookmarkEnd w:id="839"/>
      <w:bookmarkEnd w:id="840"/>
      <w:bookmarkEnd w:id="841"/>
    </w:p>
    <w:p>
      <w:pPr>
        <w:pStyle w:val="yShoulderClause"/>
      </w:pPr>
      <w:r>
        <w:t>[r. 3]</w:t>
      </w:r>
    </w:p>
    <w:p>
      <w:pPr>
        <w:pStyle w:val="yHeading5"/>
      </w:pPr>
      <w:bookmarkStart w:id="842" w:name="_Toc201747332"/>
      <w:bookmarkStart w:id="843" w:name="_Toc200095592"/>
      <w:r>
        <w:rPr>
          <w:rStyle w:val="CharSClsNo"/>
        </w:rPr>
        <w:t>1</w:t>
      </w:r>
      <w:r>
        <w:t>.</w:t>
      </w:r>
      <w:r>
        <w:tab/>
        <w:t>Explosive containing chlorate etc.</w:t>
      </w:r>
      <w:bookmarkEnd w:id="842"/>
      <w:bookmarkEnd w:id="843"/>
    </w:p>
    <w:p>
      <w:pPr>
        <w:pStyle w:val="ySubsection"/>
      </w:pPr>
      <w:r>
        <w:tab/>
      </w:r>
      <w:r>
        <w:tab/>
        <w:t>An explosive that contains a chlorate mixed with an ammonium salt is a prohibited explosive.</w:t>
      </w:r>
    </w:p>
    <w:p>
      <w:pPr>
        <w:pStyle w:val="yHeading5"/>
      </w:pPr>
      <w:bookmarkStart w:id="844" w:name="_Toc201747333"/>
      <w:bookmarkStart w:id="845" w:name="_Toc200095593"/>
      <w:r>
        <w:rPr>
          <w:rStyle w:val="CharSClsNo"/>
        </w:rPr>
        <w:t>2</w:t>
      </w:r>
      <w:r>
        <w:t>.</w:t>
      </w:r>
      <w:r>
        <w:tab/>
        <w:t>Fireworks, various types of</w:t>
      </w:r>
      <w:bookmarkEnd w:id="844"/>
      <w:bookmarkEnd w:id="845"/>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Gazette 16 Mar 2012 p. 1191.]</w:t>
      </w:r>
    </w:p>
    <w:p>
      <w:pPr>
        <w:sectPr>
          <w:headerReference w:type="even" r:id="rId23"/>
          <w:headerReference w:type="default" r:id="rId24"/>
          <w:endnotePr>
            <w:numFmt w:val="decimal"/>
          </w:endnotePr>
          <w:pgSz w:w="11907" w:h="16840" w:code="9"/>
          <w:pgMar w:top="2381" w:right="2410" w:bottom="3544" w:left="2410" w:header="720" w:footer="3544" w:gutter="0"/>
          <w:cols w:space="720"/>
          <w:noEndnote/>
          <w:docGrid w:linePitch="326"/>
        </w:sectPr>
      </w:pPr>
    </w:p>
    <w:p>
      <w:pPr>
        <w:pStyle w:val="yScheduleHeading"/>
      </w:pPr>
      <w:bookmarkStart w:id="846" w:name="_Toc201670688"/>
      <w:bookmarkStart w:id="847" w:name="_Toc201671352"/>
      <w:bookmarkStart w:id="848" w:name="_Toc201747334"/>
      <w:bookmarkStart w:id="849" w:name="_Toc200031787"/>
      <w:bookmarkStart w:id="850" w:name="_Toc200036775"/>
      <w:bookmarkStart w:id="851" w:name="_Toc200095594"/>
      <w:r>
        <w:rPr>
          <w:rStyle w:val="CharSchNo"/>
        </w:rPr>
        <w:t>Schedule 3</w:t>
      </w:r>
      <w:r>
        <w:rPr>
          <w:rStyle w:val="CharSDivNo"/>
          <w:sz w:val="28"/>
        </w:rPr>
        <w:t> </w:t>
      </w:r>
      <w:r>
        <w:t>—</w:t>
      </w:r>
      <w:r>
        <w:rPr>
          <w:rStyle w:val="CharSDivText"/>
          <w:sz w:val="28"/>
        </w:rPr>
        <w:t> </w:t>
      </w:r>
      <w:r>
        <w:rPr>
          <w:rStyle w:val="CharSchText"/>
        </w:rPr>
        <w:t>Unrestricted fireworks</w:t>
      </w:r>
      <w:bookmarkEnd w:id="846"/>
      <w:bookmarkEnd w:id="847"/>
      <w:bookmarkEnd w:id="848"/>
      <w:bookmarkEnd w:id="849"/>
      <w:bookmarkEnd w:id="850"/>
      <w:bookmarkEnd w:id="851"/>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NAm"/>
              <w:rPr>
                <w:b/>
              </w:rPr>
            </w:pPr>
            <w:r>
              <w:rPr>
                <w:b/>
              </w:rPr>
              <w:t>Item</w:t>
            </w:r>
          </w:p>
        </w:tc>
        <w:tc>
          <w:tcPr>
            <w:tcW w:w="6430" w:type="dxa"/>
            <w:tcBorders>
              <w:top w:val="single" w:sz="4" w:space="0" w:color="auto"/>
              <w:bottom w:val="single" w:sz="4" w:space="0" w:color="auto"/>
            </w:tcBorders>
          </w:tcPr>
          <w:p>
            <w:pPr>
              <w:pStyle w:val="yTableNAm"/>
              <w:rPr>
                <w:b/>
              </w:rPr>
            </w:pPr>
            <w:r>
              <w:rPr>
                <w:b/>
              </w:rPr>
              <w:t>Description of article</w:t>
            </w:r>
          </w:p>
        </w:tc>
      </w:tr>
      <w:tr>
        <w:tc>
          <w:tcPr>
            <w:tcW w:w="658" w:type="dxa"/>
          </w:tcPr>
          <w:p>
            <w:pPr>
              <w:pStyle w:val="yTableNAm"/>
            </w:pPr>
            <w:r>
              <w:t>1.</w:t>
            </w:r>
          </w:p>
        </w:tc>
        <w:tc>
          <w:tcPr>
            <w:tcW w:w="6430" w:type="dxa"/>
          </w:tcPr>
          <w:p>
            <w:pPr>
              <w:pStyle w:val="yTableNAm"/>
            </w:pPr>
            <w:r>
              <w:t>Party popper (also called a streamer cone) in which the NEQ is not more than 1.6 g per 1 000 of such articles.</w:t>
            </w:r>
          </w:p>
        </w:tc>
      </w:tr>
      <w:tr>
        <w:tc>
          <w:tcPr>
            <w:tcW w:w="658" w:type="dxa"/>
          </w:tcPr>
          <w:p>
            <w:pPr>
              <w:pStyle w:val="yTableNAm"/>
            </w:pPr>
            <w:r>
              <w:t>2.</w:t>
            </w:r>
          </w:p>
        </w:tc>
        <w:tc>
          <w:tcPr>
            <w:tcW w:w="6430" w:type="dxa"/>
          </w:tcPr>
          <w:p>
            <w:pPr>
              <w:pStyle w:val="yTableNAm"/>
            </w:pPr>
            <w:r>
              <w:t>Percussion cap for a toy pistol (also called an amorce).</w:t>
            </w:r>
          </w:p>
        </w:tc>
      </w:tr>
      <w:tr>
        <w:tc>
          <w:tcPr>
            <w:tcW w:w="658" w:type="dxa"/>
          </w:tcPr>
          <w:p>
            <w:pPr>
              <w:pStyle w:val="yTableNAm"/>
            </w:pPr>
            <w:r>
              <w:t>3.</w:t>
            </w:r>
          </w:p>
        </w:tc>
        <w:tc>
          <w:tcPr>
            <w:tcW w:w="6430" w:type="dxa"/>
          </w:tcPr>
          <w:p>
            <w:pPr>
              <w:pStyle w:val="yTableNAm"/>
            </w:pPr>
            <w:r>
              <w:t>Percussion cap for a starting pistol.</w:t>
            </w:r>
          </w:p>
        </w:tc>
      </w:tr>
      <w:tr>
        <w:tc>
          <w:tcPr>
            <w:tcW w:w="658" w:type="dxa"/>
          </w:tcPr>
          <w:p>
            <w:pPr>
              <w:pStyle w:val="yTableNAm"/>
            </w:pPr>
            <w:r>
              <w:t>4.</w:t>
            </w:r>
          </w:p>
        </w:tc>
        <w:tc>
          <w:tcPr>
            <w:tcW w:w="6430" w:type="dxa"/>
          </w:tcPr>
          <w:p>
            <w:pPr>
              <w:pStyle w:val="yTableNAm"/>
            </w:pPr>
            <w:r>
              <w:t>Snap for either a bonbon or Christmas cracker in which the NEQ is not more than 1.6 g per 1 000 of such articles.</w:t>
            </w:r>
          </w:p>
        </w:tc>
      </w:tr>
      <w:tr>
        <w:tc>
          <w:tcPr>
            <w:tcW w:w="658" w:type="dxa"/>
            <w:tcBorders>
              <w:bottom w:val="single" w:sz="4" w:space="0" w:color="auto"/>
            </w:tcBorders>
          </w:tcPr>
          <w:p>
            <w:pPr>
              <w:pStyle w:val="yTableNAm"/>
            </w:pPr>
            <w:r>
              <w:t>5.</w:t>
            </w:r>
          </w:p>
        </w:tc>
        <w:tc>
          <w:tcPr>
            <w:tcW w:w="6430" w:type="dxa"/>
            <w:tcBorders>
              <w:bottom w:val="single" w:sz="4" w:space="0" w:color="auto"/>
            </w:tcBorders>
          </w:tcPr>
          <w:p>
            <w:pPr>
              <w:pStyle w:val="yTableNAm"/>
            </w:pPr>
            <w:r>
              <w:t>Throwdown in which the NEQ is not more than 2.6 g per 1 000 of such articles.</w:t>
            </w:r>
          </w:p>
        </w:tc>
      </w:tr>
    </w:tbl>
    <w:p>
      <w:pPr>
        <w:sectPr>
          <w:headerReference w:type="even" r:id="rId25"/>
          <w:headerReference w:type="default" r:id="rId26"/>
          <w:endnotePr>
            <w:numFmt w:val="decimal"/>
          </w:endnotePr>
          <w:pgSz w:w="11907" w:h="16840" w:code="9"/>
          <w:pgMar w:top="2381" w:right="2410" w:bottom="3544" w:left="2410" w:header="720" w:footer="3544" w:gutter="0"/>
          <w:cols w:space="720"/>
          <w:noEndnote/>
          <w:docGrid w:linePitch="326"/>
        </w:sectPr>
      </w:pPr>
    </w:p>
    <w:p>
      <w:pPr>
        <w:pStyle w:val="yScheduleHeading"/>
      </w:pPr>
      <w:bookmarkStart w:id="852" w:name="_Toc201670689"/>
      <w:bookmarkStart w:id="853" w:name="_Toc201671353"/>
      <w:bookmarkStart w:id="854" w:name="_Toc201747335"/>
      <w:bookmarkStart w:id="855" w:name="_Toc200031788"/>
      <w:bookmarkStart w:id="856" w:name="_Toc200036776"/>
      <w:bookmarkStart w:id="857" w:name="_Toc200095595"/>
      <w:r>
        <w:rPr>
          <w:rStyle w:val="CharSchNo"/>
        </w:rPr>
        <w:t>Schedule 4</w:t>
      </w:r>
      <w:r>
        <w:rPr>
          <w:rStyle w:val="CharSDivNo"/>
        </w:rPr>
        <w:t> </w:t>
      </w:r>
      <w:r>
        <w:t>—</w:t>
      </w:r>
      <w:r>
        <w:rPr>
          <w:rStyle w:val="CharSDivText"/>
        </w:rPr>
        <w:t> </w:t>
      </w:r>
      <w:r>
        <w:rPr>
          <w:rStyle w:val="CharSchText"/>
        </w:rPr>
        <w:t>Explosives that may be possessed without a licence</w:t>
      </w:r>
      <w:bookmarkEnd w:id="852"/>
      <w:bookmarkEnd w:id="853"/>
      <w:bookmarkEnd w:id="854"/>
      <w:bookmarkEnd w:id="855"/>
      <w:bookmarkEnd w:id="856"/>
      <w:bookmarkEnd w:id="857"/>
    </w:p>
    <w:p>
      <w:pPr>
        <w:pStyle w:val="yShoulderClause"/>
      </w:pPr>
      <w:r>
        <w:t>[r. 46]</w:t>
      </w:r>
    </w:p>
    <w:p>
      <w:pPr>
        <w:pStyle w:val="yHeading5"/>
      </w:pPr>
      <w:bookmarkStart w:id="858" w:name="_Toc201747336"/>
      <w:bookmarkStart w:id="859" w:name="_Toc200095596"/>
      <w:r>
        <w:rPr>
          <w:rStyle w:val="CharSClsNo"/>
        </w:rPr>
        <w:t>1</w:t>
      </w:r>
      <w:r>
        <w:t>.</w:t>
      </w:r>
      <w:r>
        <w:rPr>
          <w:b w:val="0"/>
        </w:rPr>
        <w:tab/>
      </w:r>
      <w:r>
        <w:t>Sparklers</w:t>
      </w:r>
      <w:bookmarkEnd w:id="858"/>
      <w:bookmarkEnd w:id="859"/>
    </w:p>
    <w:p>
      <w:pPr>
        <w:pStyle w:val="ySubsection"/>
      </w:pPr>
      <w:r>
        <w:tab/>
      </w:r>
      <w:r>
        <w:tab/>
        <w:t>A person may possess a sparkler.</w:t>
      </w:r>
    </w:p>
    <w:p>
      <w:pPr>
        <w:pStyle w:val="yFootnotesection"/>
      </w:pPr>
      <w:r>
        <w:tab/>
        <w:t>[Clause 1 inserted: Gazette 16 Mar 2012 p. 1191.]</w:t>
      </w:r>
    </w:p>
    <w:p>
      <w:pPr>
        <w:pStyle w:val="yHeading5"/>
      </w:pPr>
      <w:bookmarkStart w:id="860" w:name="_Toc201747337"/>
      <w:bookmarkStart w:id="861" w:name="_Toc200095597"/>
      <w:r>
        <w:rPr>
          <w:rStyle w:val="CharSClsNo"/>
        </w:rPr>
        <w:t>2</w:t>
      </w:r>
      <w:r>
        <w:t>.</w:t>
      </w:r>
      <w:r>
        <w:tab/>
        <w:t>Cartridges for safety devices etc.</w:t>
      </w:r>
      <w:bookmarkEnd w:id="860"/>
      <w:bookmarkEnd w:id="861"/>
    </w:p>
    <w:p>
      <w:pPr>
        <w:pStyle w:val="ySubsection"/>
      </w:pPr>
      <w:r>
        <w:tab/>
      </w:r>
      <w:r>
        <w:tab/>
        <w:t>A person may possess a power device cartridge if in the circumstances the person has a reasonable reason to possess it.</w:t>
      </w:r>
    </w:p>
    <w:p>
      <w:pPr>
        <w:pStyle w:val="yHeading5"/>
      </w:pPr>
      <w:bookmarkStart w:id="862" w:name="_Toc201747338"/>
      <w:bookmarkStart w:id="863" w:name="_Toc200095598"/>
      <w:r>
        <w:rPr>
          <w:rStyle w:val="CharSClsNo"/>
        </w:rPr>
        <w:t>3</w:t>
      </w:r>
      <w:r>
        <w:t>.</w:t>
      </w:r>
      <w:r>
        <w:tab/>
        <w:t>Cartridges for nail guns etc.</w:t>
      </w:r>
      <w:bookmarkEnd w:id="862"/>
      <w:bookmarkEnd w:id="863"/>
    </w:p>
    <w:p>
      <w:pPr>
        <w:pStyle w:val="ySubsection"/>
      </w:pPr>
      <w:r>
        <w:tab/>
      </w:r>
      <w:r>
        <w:tab/>
        <w:t>A person may possess a power tool cartridge if in the circumstances the person has a reasonable reason to possess it.</w:t>
      </w:r>
    </w:p>
    <w:p>
      <w:pPr>
        <w:pStyle w:val="yHeading5"/>
      </w:pPr>
      <w:bookmarkStart w:id="864" w:name="_Toc201747339"/>
      <w:bookmarkStart w:id="865" w:name="_Toc200095599"/>
      <w:r>
        <w:rPr>
          <w:rStyle w:val="CharSClsNo"/>
        </w:rPr>
        <w:t>4</w:t>
      </w:r>
      <w:r>
        <w:t>.</w:t>
      </w:r>
      <w:r>
        <w:rPr>
          <w:b w:val="0"/>
        </w:rPr>
        <w:tab/>
      </w:r>
      <w:r>
        <w:t>Emergency devices</w:t>
      </w:r>
      <w:bookmarkEnd w:id="864"/>
      <w:bookmarkEnd w:id="865"/>
    </w:p>
    <w:p>
      <w:pPr>
        <w:pStyle w:val="ySubsection"/>
      </w:pPr>
      <w:r>
        <w:tab/>
      </w:r>
      <w:r>
        <w:tab/>
        <w:t>A person may possess an emergency device if in the circumstances the person has a reasonable reason to possess it.</w:t>
      </w:r>
    </w:p>
    <w:p>
      <w:pPr>
        <w:pStyle w:val="yFootnotesection"/>
      </w:pPr>
      <w:r>
        <w:tab/>
        <w:t>[Clause 4 inserted: Gazette 16 Mar 2012 p. 1192.]</w:t>
      </w:r>
    </w:p>
    <w:p>
      <w:pPr>
        <w:pStyle w:val="yHeading5"/>
      </w:pPr>
      <w:bookmarkStart w:id="866" w:name="_Toc201747340"/>
      <w:bookmarkStart w:id="867" w:name="_Toc200095600"/>
      <w:r>
        <w:rPr>
          <w:rStyle w:val="CharSClsNo"/>
        </w:rPr>
        <w:t>5</w:t>
      </w:r>
      <w:r>
        <w:t>.</w:t>
      </w:r>
      <w:r>
        <w:tab/>
        <w:t>Ammunition, ammunition propellant and black powder</w:t>
      </w:r>
      <w:bookmarkEnd w:id="866"/>
      <w:bookmarkEnd w:id="867"/>
    </w:p>
    <w:p>
      <w:pPr>
        <w:pStyle w:val="ySubsection"/>
      </w:pPr>
      <w:r>
        <w:tab/>
      </w:r>
      <w:r>
        <w:tab/>
        <w:t xml:space="preserve">A person may possess ammunition, ammunition propellant or black powder if authorised under the </w:t>
      </w:r>
      <w:r>
        <w:rPr>
          <w:i/>
          <w:iCs/>
        </w:rPr>
        <w:t>Firearms Act 2024</w:t>
      </w:r>
      <w:r>
        <w:t xml:space="preserve"> to do so.</w:t>
      </w:r>
    </w:p>
    <w:p>
      <w:pPr>
        <w:pStyle w:val="yFootnotesection"/>
      </w:pPr>
      <w:r>
        <w:tab/>
        <w:t>[Clause 5 inserted: SL 2024/295 r. 5.]</w:t>
      </w:r>
    </w:p>
    <w:p>
      <w:pPr>
        <w:pStyle w:val="yHeading5"/>
      </w:pPr>
      <w:bookmarkStart w:id="868" w:name="_Toc201747341"/>
      <w:bookmarkStart w:id="869" w:name="_Toc200095601"/>
      <w:r>
        <w:rPr>
          <w:rStyle w:val="CharSClsNo"/>
        </w:rPr>
        <w:t>6</w:t>
      </w:r>
      <w:r>
        <w:t>.</w:t>
      </w:r>
      <w:r>
        <w:rPr>
          <w:b w:val="0"/>
        </w:rPr>
        <w:tab/>
      </w:r>
      <w:r>
        <w:t>Model rocket motors</w:t>
      </w:r>
      <w:bookmarkEnd w:id="868"/>
      <w:bookmarkEnd w:id="869"/>
    </w:p>
    <w:p>
      <w:pPr>
        <w:pStyle w:val="ySubsection"/>
      </w:pPr>
      <w:r>
        <w:tab/>
      </w:r>
      <w:r>
        <w:tab/>
        <w:t>A person may possess a model rocket motor if the NEQ in the motor is not more than 62.5 g.</w:t>
      </w:r>
    </w:p>
    <w:p>
      <w:pPr>
        <w:pStyle w:val="yFootnotesection"/>
      </w:pPr>
      <w:r>
        <w:tab/>
        <w:t>[Clause 6 inserted: Gazette 16 Mar 2012 p. 1192.]</w:t>
      </w:r>
    </w:p>
    <w:p>
      <w:pPr>
        <w:pStyle w:val="yHeading5"/>
      </w:pPr>
      <w:bookmarkStart w:id="870" w:name="_Toc201747342"/>
      <w:bookmarkStart w:id="871" w:name="_Toc200095602"/>
      <w:r>
        <w:rPr>
          <w:rStyle w:val="CharSClsNo"/>
        </w:rPr>
        <w:t>7</w:t>
      </w:r>
      <w:r>
        <w:t>.</w:t>
      </w:r>
      <w:r>
        <w:tab/>
        <w:t>Smoke generators</w:t>
      </w:r>
      <w:bookmarkEnd w:id="870"/>
      <w:bookmarkEnd w:id="871"/>
    </w:p>
    <w:p>
      <w:pPr>
        <w:pStyle w:val="ySubsection"/>
        <w:keepNext/>
      </w:pPr>
      <w:r>
        <w:tab/>
      </w:r>
      <w:r>
        <w:tab/>
        <w:t>A person may possess an article that generates smoke signals if —</w:t>
      </w:r>
    </w:p>
    <w:p>
      <w:pPr>
        <w:pStyle w:val="yIndenta"/>
      </w:pPr>
      <w:r>
        <w:tab/>
        <w:t>(a)</w:t>
      </w:r>
      <w:r>
        <w:tab/>
        <w:t>the article has a classification code of 1.4G or 1.4S; and</w:t>
      </w:r>
    </w:p>
    <w:p>
      <w:pPr>
        <w:pStyle w:val="yIndenta"/>
      </w:pPr>
      <w:r>
        <w:tab/>
        <w:t>(b)</w:t>
      </w:r>
      <w:r>
        <w:tab/>
        <w:t>in the circumstances the person has a reasonable reason to possess it.</w:t>
      </w:r>
    </w:p>
    <w:p>
      <w:pPr>
        <w:pStyle w:val="yFootnotesection"/>
      </w:pPr>
      <w:r>
        <w:tab/>
        <w:t>[Clause 7 inserted: Gazette 2 Dec 2013 p. 5616.]</w:t>
      </w:r>
    </w:p>
    <w:p>
      <w:pPr>
        <w:pStyle w:val="yHeading5"/>
      </w:pPr>
      <w:bookmarkStart w:id="872" w:name="_Toc201747343"/>
      <w:bookmarkStart w:id="873" w:name="_Toc200095603"/>
      <w:r>
        <w:rPr>
          <w:rStyle w:val="CharSClsNo"/>
        </w:rPr>
        <w:t>8</w:t>
      </w:r>
      <w:r>
        <w:t>.</w:t>
      </w:r>
      <w:r>
        <w:tab/>
        <w:t>Thermite igniters</w:t>
      </w:r>
      <w:bookmarkEnd w:id="872"/>
      <w:bookmarkEnd w:id="873"/>
    </w:p>
    <w:p>
      <w:pPr>
        <w:pStyle w:val="ySubsection"/>
      </w:pPr>
      <w:r>
        <w:tab/>
      </w:r>
      <w:r>
        <w:tab/>
        <w:t>A person may possess an article that ignites thermite if —</w:t>
      </w:r>
    </w:p>
    <w:p>
      <w:pPr>
        <w:pStyle w:val="yIndenta"/>
      </w:pPr>
      <w:r>
        <w:tab/>
        <w:t>(a)</w:t>
      </w:r>
      <w:r>
        <w:tab/>
        <w:t>the article has a classification code of 1.4G or 1.4S; and</w:t>
      </w:r>
    </w:p>
    <w:p>
      <w:pPr>
        <w:pStyle w:val="yIndenta"/>
      </w:pPr>
      <w:r>
        <w:tab/>
        <w:t>(b)</w:t>
      </w:r>
      <w:r>
        <w:tab/>
        <w:t>the person is employed to weld rails for railways or is an employee of such a person; and</w:t>
      </w:r>
    </w:p>
    <w:p>
      <w:pPr>
        <w:pStyle w:val="yIndenta"/>
      </w:pPr>
      <w:r>
        <w:tab/>
        <w:t>(c)</w:t>
      </w:r>
      <w:r>
        <w:tab/>
        <w:t>the person possesses the article in the course of his or her duties as such.</w:t>
      </w:r>
    </w:p>
    <w:p>
      <w:pPr>
        <w:pStyle w:val="yFootnotesection"/>
      </w:pPr>
      <w:r>
        <w:tab/>
        <w:t>[Clause 8 inserted: Gazette 2 Dec 2013 p. 5616.]</w:t>
      </w:r>
    </w:p>
    <w:p>
      <w:pPr>
        <w:pStyle w:val="yScheduleHeading"/>
      </w:pPr>
      <w:bookmarkStart w:id="874" w:name="_Toc201670698"/>
      <w:bookmarkStart w:id="875" w:name="_Toc201671362"/>
      <w:bookmarkStart w:id="876" w:name="_Toc201747344"/>
      <w:bookmarkStart w:id="877" w:name="_Toc200031797"/>
      <w:bookmarkStart w:id="878" w:name="_Toc200036785"/>
      <w:bookmarkStart w:id="879" w:name="_Toc200095604"/>
      <w:r>
        <w:rPr>
          <w:rStyle w:val="CharSchNo"/>
        </w:rPr>
        <w:t>Schedule 5</w:t>
      </w:r>
      <w:r>
        <w:rPr>
          <w:rStyle w:val="CharSDivNo"/>
        </w:rPr>
        <w:t> </w:t>
      </w:r>
      <w:r>
        <w:t>—</w:t>
      </w:r>
      <w:r>
        <w:rPr>
          <w:rStyle w:val="CharSDivText"/>
        </w:rPr>
        <w:t> </w:t>
      </w:r>
      <w:r>
        <w:rPr>
          <w:rStyle w:val="CharSchText"/>
        </w:rPr>
        <w:t>Explosives that may be manufactured without a licence</w:t>
      </w:r>
      <w:bookmarkEnd w:id="874"/>
      <w:bookmarkEnd w:id="875"/>
      <w:bookmarkEnd w:id="876"/>
      <w:bookmarkEnd w:id="877"/>
      <w:bookmarkEnd w:id="878"/>
      <w:bookmarkEnd w:id="879"/>
    </w:p>
    <w:p>
      <w:pPr>
        <w:pStyle w:val="yShoulderClause"/>
      </w:pPr>
      <w:r>
        <w:t>[r. 64]</w:t>
      </w:r>
    </w:p>
    <w:p>
      <w:pPr>
        <w:pStyle w:val="yHeading5"/>
      </w:pPr>
      <w:bookmarkStart w:id="880" w:name="_Toc201747345"/>
      <w:bookmarkStart w:id="881" w:name="_Toc200095605"/>
      <w:r>
        <w:rPr>
          <w:rStyle w:val="CharSClsNo"/>
        </w:rPr>
        <w:t>1</w:t>
      </w:r>
      <w:r>
        <w:t>.</w:t>
      </w:r>
      <w:r>
        <w:tab/>
        <w:t>Ammunition for private use</w:t>
      </w:r>
      <w:bookmarkEnd w:id="880"/>
      <w:bookmarkEnd w:id="881"/>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is authorised under the </w:t>
      </w:r>
      <w:r>
        <w:rPr>
          <w:i/>
          <w:iCs/>
        </w:rPr>
        <w:t>Firearms Act 2024</w:t>
      </w:r>
      <w:r>
        <w:t xml:space="preserve"> to manufacture the ammunition; and</w:t>
      </w:r>
    </w:p>
    <w:p>
      <w:pPr>
        <w:pStyle w:val="yIndenta"/>
      </w:pPr>
      <w:r>
        <w:tab/>
        <w:t>(c)</w:t>
      </w:r>
      <w:r>
        <w:tab/>
        <w:t>the ammunition is not sold.</w:t>
      </w:r>
    </w:p>
    <w:p>
      <w:pPr>
        <w:pStyle w:val="yFootnotesection"/>
      </w:pPr>
      <w:r>
        <w:tab/>
        <w:t>[Clause 1 amended: SL 2024/295 r. 6.]</w:t>
      </w:r>
    </w:p>
    <w:p>
      <w:pPr>
        <w:pStyle w:val="yScheduleHeading"/>
      </w:pPr>
      <w:bookmarkStart w:id="882" w:name="_Toc201670700"/>
      <w:bookmarkStart w:id="883" w:name="_Toc201671364"/>
      <w:bookmarkStart w:id="884" w:name="_Toc201747346"/>
      <w:bookmarkStart w:id="885" w:name="_Toc200031799"/>
      <w:bookmarkStart w:id="886" w:name="_Toc200036787"/>
      <w:bookmarkStart w:id="887" w:name="_Toc200095606"/>
      <w:r>
        <w:rPr>
          <w:rStyle w:val="CharSchNo"/>
        </w:rPr>
        <w:t>Schedule 6</w:t>
      </w:r>
      <w:r>
        <w:rPr>
          <w:rStyle w:val="CharSDivNo"/>
        </w:rPr>
        <w:t> </w:t>
      </w:r>
      <w:r>
        <w:t>—</w:t>
      </w:r>
      <w:r>
        <w:rPr>
          <w:rStyle w:val="CharSDivText"/>
        </w:rPr>
        <w:t> </w:t>
      </w:r>
      <w:r>
        <w:rPr>
          <w:rStyle w:val="CharSchText"/>
        </w:rPr>
        <w:t>Explosives that may be stored without a licence</w:t>
      </w:r>
      <w:bookmarkEnd w:id="882"/>
      <w:bookmarkEnd w:id="883"/>
      <w:bookmarkEnd w:id="884"/>
      <w:bookmarkEnd w:id="885"/>
      <w:bookmarkEnd w:id="886"/>
      <w:bookmarkEnd w:id="887"/>
    </w:p>
    <w:p>
      <w:pPr>
        <w:pStyle w:val="yShoulderClause"/>
      </w:pPr>
      <w:r>
        <w:t>[r. 76]</w:t>
      </w:r>
    </w:p>
    <w:p>
      <w:pPr>
        <w:pStyle w:val="yHeading5"/>
      </w:pPr>
      <w:bookmarkStart w:id="888" w:name="_Toc201747347"/>
      <w:bookmarkStart w:id="889" w:name="_Toc200095607"/>
      <w:r>
        <w:rPr>
          <w:rStyle w:val="CharSClsNo"/>
        </w:rPr>
        <w:t>1</w:t>
      </w:r>
      <w:r>
        <w:t>.</w:t>
      </w:r>
      <w:r>
        <w:rPr>
          <w:b w:val="0"/>
        </w:rPr>
        <w:tab/>
      </w:r>
      <w:r>
        <w:t>Sparklers</w:t>
      </w:r>
      <w:bookmarkEnd w:id="888"/>
      <w:bookmarkEnd w:id="889"/>
    </w:p>
    <w:p>
      <w:pPr>
        <w:pStyle w:val="ySubsection"/>
      </w:pPr>
      <w:r>
        <w:tab/>
      </w:r>
      <w:r>
        <w:tab/>
        <w:t>A person may store a sparkler at any place.</w:t>
      </w:r>
    </w:p>
    <w:p>
      <w:pPr>
        <w:pStyle w:val="yFootnotesection"/>
      </w:pPr>
      <w:r>
        <w:tab/>
        <w:t>[Clause 1 inserted: Gazette 16 Mar 2012 p. 1192.]</w:t>
      </w:r>
    </w:p>
    <w:p>
      <w:pPr>
        <w:pStyle w:val="yHeading5"/>
      </w:pPr>
      <w:bookmarkStart w:id="890" w:name="_Toc201747348"/>
      <w:bookmarkStart w:id="891" w:name="_Toc200095608"/>
      <w:r>
        <w:rPr>
          <w:rStyle w:val="CharSClsNo"/>
        </w:rPr>
        <w:t>2</w:t>
      </w:r>
      <w:r>
        <w:t>.</w:t>
      </w:r>
      <w:r>
        <w:tab/>
        <w:t>Cartridges for safety devices etc.</w:t>
      </w:r>
      <w:bookmarkEnd w:id="890"/>
      <w:bookmarkEnd w:id="891"/>
    </w:p>
    <w:p>
      <w:pPr>
        <w:pStyle w:val="ySubsection"/>
      </w:pPr>
      <w:r>
        <w:tab/>
      </w:r>
      <w:r>
        <w:tab/>
        <w:t>A person may store a power device cartridge at any place.</w:t>
      </w:r>
    </w:p>
    <w:p>
      <w:pPr>
        <w:pStyle w:val="yHeading5"/>
      </w:pPr>
      <w:bookmarkStart w:id="892" w:name="_Toc201747349"/>
      <w:bookmarkStart w:id="893" w:name="_Toc200095609"/>
      <w:r>
        <w:rPr>
          <w:rStyle w:val="CharSClsNo"/>
        </w:rPr>
        <w:t>3</w:t>
      </w:r>
      <w:r>
        <w:t>.</w:t>
      </w:r>
      <w:r>
        <w:tab/>
        <w:t>Cartridges for nail guns etc.</w:t>
      </w:r>
      <w:bookmarkEnd w:id="892"/>
      <w:bookmarkEnd w:id="893"/>
    </w:p>
    <w:p>
      <w:pPr>
        <w:pStyle w:val="ySubsection"/>
      </w:pPr>
      <w:r>
        <w:tab/>
      </w:r>
      <w:r>
        <w:tab/>
        <w:t>A person may store a power tool cartridge at any place.</w:t>
      </w:r>
    </w:p>
    <w:p>
      <w:pPr>
        <w:pStyle w:val="yHeading5"/>
      </w:pPr>
      <w:bookmarkStart w:id="894" w:name="_Toc201747350"/>
      <w:bookmarkStart w:id="895" w:name="_Toc200095610"/>
      <w:r>
        <w:rPr>
          <w:rStyle w:val="CharSClsNo"/>
        </w:rPr>
        <w:t>4</w:t>
      </w:r>
      <w:r>
        <w:t>.</w:t>
      </w:r>
      <w:r>
        <w:tab/>
        <w:t>Emergency devices</w:t>
      </w:r>
      <w:bookmarkEnd w:id="894"/>
      <w:bookmarkEnd w:id="895"/>
    </w:p>
    <w:p>
      <w:pPr>
        <w:pStyle w:val="ySubsection"/>
      </w:pPr>
      <w:r>
        <w:tab/>
      </w:r>
      <w:r>
        <w:tab/>
        <w:t>A person may store an emergency device at any place if —</w:t>
      </w:r>
    </w:p>
    <w:p>
      <w:pPr>
        <w:pStyle w:val="yIndenta"/>
      </w:pPr>
      <w:r>
        <w:tab/>
        <w:t>(a)</w:t>
      </w:r>
      <w:r>
        <w:tab/>
        <w:t>the gross weight of emergency devices with a classification code of 1.1 or 1.2 at the place is not more than 2.5 kg; and</w:t>
      </w:r>
    </w:p>
    <w:p>
      <w:pPr>
        <w:pStyle w:val="yIndenta"/>
      </w:pPr>
      <w:r>
        <w:tab/>
        <w:t>(b)</w:t>
      </w:r>
      <w:r>
        <w:tab/>
        <w:t>the gross weight of emergency devices with a classification code of 1.3 at the place is not more than 15 kg; and</w:t>
      </w:r>
    </w:p>
    <w:p>
      <w:pPr>
        <w:pStyle w:val="yIndenta"/>
      </w:pPr>
      <w:r>
        <w:tab/>
        <w:t>(c)</w:t>
      </w:r>
      <w:r>
        <w:tab/>
        <w:t>the gross weight of emergency devices with a classification code of 1.4 at the place is not more than 30 kg.</w:t>
      </w:r>
    </w:p>
    <w:p>
      <w:pPr>
        <w:pStyle w:val="yFootnotesection"/>
      </w:pPr>
      <w:r>
        <w:tab/>
        <w:t>[Clause 4 amended: Gazette 20 Mar 2018 p. 1002.]</w:t>
      </w:r>
    </w:p>
    <w:p>
      <w:pPr>
        <w:pStyle w:val="yHeading5"/>
      </w:pPr>
      <w:bookmarkStart w:id="896" w:name="_Toc201747351"/>
      <w:bookmarkStart w:id="897" w:name="_Toc200095611"/>
      <w:r>
        <w:rPr>
          <w:rStyle w:val="CharSClsNo"/>
        </w:rPr>
        <w:t>5</w:t>
      </w:r>
      <w:r>
        <w:t>.</w:t>
      </w:r>
      <w:r>
        <w:tab/>
        <w:t>Ammunition, ammunition propellant and black powder</w:t>
      </w:r>
      <w:bookmarkEnd w:id="896"/>
      <w:bookmarkEnd w:id="897"/>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 NEQ of black powder at the place is not more than 4 kg.</w:t>
      </w:r>
    </w:p>
    <w:p>
      <w:pPr>
        <w:pStyle w:val="yFootnotesection"/>
      </w:pPr>
      <w:r>
        <w:tab/>
        <w:t>[Clause 5 amended: Gazette 20 Mar 2018 p. 1002.]</w:t>
      </w:r>
    </w:p>
    <w:p>
      <w:pPr>
        <w:pStyle w:val="yHeading5"/>
      </w:pPr>
      <w:bookmarkStart w:id="898" w:name="_Toc201747352"/>
      <w:bookmarkStart w:id="899" w:name="_Toc200095612"/>
      <w:r>
        <w:rPr>
          <w:rStyle w:val="CharSClsNo"/>
        </w:rPr>
        <w:t>6</w:t>
      </w:r>
      <w:r>
        <w:t>.</w:t>
      </w:r>
      <w:r>
        <w:rPr>
          <w:b w:val="0"/>
        </w:rPr>
        <w:tab/>
      </w:r>
      <w:r>
        <w:t>Model rocket motors</w:t>
      </w:r>
      <w:bookmarkEnd w:id="898"/>
      <w:bookmarkEnd w:id="899"/>
    </w:p>
    <w:p>
      <w:pPr>
        <w:pStyle w:val="ySubsection"/>
      </w:pPr>
      <w:r>
        <w:tab/>
      </w:r>
      <w:r>
        <w:tab/>
        <w:t>A person may store a model rocket motor at any place if the NEQ in the motor is not more than 62.5 g.</w:t>
      </w:r>
    </w:p>
    <w:p>
      <w:pPr>
        <w:pStyle w:val="yFootnotesection"/>
      </w:pPr>
      <w:r>
        <w:tab/>
        <w:t>[Clause 6 inserted: Gazette 16 Mar 2012 p. 1193.]</w:t>
      </w:r>
    </w:p>
    <w:p>
      <w:pPr>
        <w:pStyle w:val="yHeading5"/>
      </w:pPr>
      <w:bookmarkStart w:id="900" w:name="_Toc201747353"/>
      <w:bookmarkStart w:id="901" w:name="_Toc200095613"/>
      <w:r>
        <w:rPr>
          <w:rStyle w:val="CharSClsNo"/>
        </w:rPr>
        <w:t>7</w:t>
      </w:r>
      <w:r>
        <w:t>.</w:t>
      </w:r>
      <w:r>
        <w:tab/>
        <w:t>Smoke generators</w:t>
      </w:r>
      <w:bookmarkEnd w:id="900"/>
      <w:bookmarkEnd w:id="901"/>
    </w:p>
    <w:p>
      <w:pPr>
        <w:pStyle w:val="ySubsection"/>
      </w:pPr>
      <w:r>
        <w:tab/>
      </w:r>
      <w:r>
        <w:tab/>
        <w:t>A person may store an article that generates smoke signals at any place if —</w:t>
      </w:r>
    </w:p>
    <w:p>
      <w:pPr>
        <w:pStyle w:val="yIndenta"/>
      </w:pPr>
      <w:r>
        <w:tab/>
        <w:t>(a)</w:t>
      </w:r>
      <w:r>
        <w:tab/>
        <w:t>the article has a classification code of 1.4G or 1.4S; and</w:t>
      </w:r>
    </w:p>
    <w:p>
      <w:pPr>
        <w:pStyle w:val="yIndenta"/>
      </w:pPr>
      <w:r>
        <w:tab/>
        <w:t>(b)</w:t>
      </w:r>
      <w:r>
        <w:tab/>
        <w:t>the gross weight of such articles at the place is not more than 250 kg.</w:t>
      </w:r>
    </w:p>
    <w:p>
      <w:pPr>
        <w:pStyle w:val="yFootnotesection"/>
      </w:pPr>
      <w:r>
        <w:tab/>
        <w:t>[Clause 7 inserted: Gazette 2 Dec 2013 p. 5616; amended: Gazette 20 Mar 2018 p. 1002.]</w:t>
      </w:r>
    </w:p>
    <w:p>
      <w:pPr>
        <w:pStyle w:val="yScheduleHeading"/>
      </w:pPr>
      <w:bookmarkStart w:id="902" w:name="_Toc201670708"/>
      <w:bookmarkStart w:id="903" w:name="_Toc201671372"/>
      <w:bookmarkStart w:id="904" w:name="_Toc201747354"/>
      <w:bookmarkStart w:id="905" w:name="_Toc200031807"/>
      <w:bookmarkStart w:id="906" w:name="_Toc200036795"/>
      <w:bookmarkStart w:id="907" w:name="_Toc200095614"/>
      <w:r>
        <w:rPr>
          <w:rStyle w:val="CharSchNo"/>
        </w:rPr>
        <w:t>Schedule 7</w:t>
      </w:r>
      <w:r>
        <w:rPr>
          <w:rStyle w:val="CharSDivNo"/>
        </w:rPr>
        <w:t> </w:t>
      </w:r>
      <w:r>
        <w:t>—</w:t>
      </w:r>
      <w:r>
        <w:rPr>
          <w:rStyle w:val="CharSDivText"/>
        </w:rPr>
        <w:t> </w:t>
      </w:r>
      <w:r>
        <w:rPr>
          <w:rStyle w:val="CharSchText"/>
        </w:rPr>
        <w:t>Explosives that may be transported without a licence</w:t>
      </w:r>
      <w:bookmarkEnd w:id="902"/>
      <w:bookmarkEnd w:id="903"/>
      <w:bookmarkEnd w:id="904"/>
      <w:bookmarkEnd w:id="905"/>
      <w:bookmarkEnd w:id="906"/>
      <w:bookmarkEnd w:id="907"/>
    </w:p>
    <w:p>
      <w:pPr>
        <w:pStyle w:val="yShoulderClause"/>
      </w:pPr>
      <w:r>
        <w:t>[r. 97]</w:t>
      </w:r>
    </w:p>
    <w:p>
      <w:pPr>
        <w:pStyle w:val="yHeading5"/>
      </w:pPr>
      <w:bookmarkStart w:id="908" w:name="_Toc201747355"/>
      <w:bookmarkStart w:id="909" w:name="_Toc200095615"/>
      <w:r>
        <w:rPr>
          <w:rStyle w:val="CharSClsNo"/>
        </w:rPr>
        <w:t>1</w:t>
      </w:r>
      <w:r>
        <w:t>.</w:t>
      </w:r>
      <w:r>
        <w:tab/>
        <w:t>Sparklers</w:t>
      </w:r>
      <w:bookmarkEnd w:id="908"/>
      <w:bookmarkEnd w:id="909"/>
    </w:p>
    <w:p>
      <w:pPr>
        <w:pStyle w:val="ySubsection"/>
      </w:pPr>
      <w:r>
        <w:tab/>
      </w:r>
      <w:r>
        <w:tab/>
        <w:t>A person may transport any quantity of sparklers that have a classification code of 1.4G or 1.4S.</w:t>
      </w:r>
    </w:p>
    <w:p>
      <w:pPr>
        <w:pStyle w:val="yHeading5"/>
      </w:pPr>
      <w:bookmarkStart w:id="910" w:name="_Toc201747356"/>
      <w:bookmarkStart w:id="911" w:name="_Toc200095616"/>
      <w:r>
        <w:rPr>
          <w:rStyle w:val="CharSClsNo"/>
        </w:rPr>
        <w:t>2</w:t>
      </w:r>
      <w:r>
        <w:t>.</w:t>
      </w:r>
      <w:r>
        <w:tab/>
        <w:t>Cartridges for safety devices</w:t>
      </w:r>
      <w:bookmarkEnd w:id="910"/>
      <w:bookmarkEnd w:id="911"/>
    </w:p>
    <w:p>
      <w:pPr>
        <w:pStyle w:val="ySubsection"/>
      </w:pPr>
      <w:r>
        <w:tab/>
      </w:r>
      <w:r>
        <w:tab/>
        <w:t>A person may transport any quantity of power device cartridges.</w:t>
      </w:r>
    </w:p>
    <w:p>
      <w:pPr>
        <w:pStyle w:val="yHeading5"/>
      </w:pPr>
      <w:bookmarkStart w:id="912" w:name="_Toc201747357"/>
      <w:bookmarkStart w:id="913" w:name="_Toc200095617"/>
      <w:r>
        <w:rPr>
          <w:rStyle w:val="CharSClsNo"/>
        </w:rPr>
        <w:t>3</w:t>
      </w:r>
      <w:r>
        <w:t>.</w:t>
      </w:r>
      <w:r>
        <w:tab/>
        <w:t>Cartridges for nail guns etc.</w:t>
      </w:r>
      <w:bookmarkEnd w:id="912"/>
      <w:bookmarkEnd w:id="913"/>
    </w:p>
    <w:p>
      <w:pPr>
        <w:pStyle w:val="ySubsection"/>
      </w:pPr>
      <w:r>
        <w:tab/>
      </w:r>
      <w:r>
        <w:tab/>
        <w:t>A person may transport any quantity of power tool cartridges.</w:t>
      </w:r>
    </w:p>
    <w:p>
      <w:pPr>
        <w:pStyle w:val="yHeading5"/>
      </w:pPr>
      <w:bookmarkStart w:id="914" w:name="_Toc201747358"/>
      <w:bookmarkStart w:id="915" w:name="_Toc200095618"/>
      <w:r>
        <w:rPr>
          <w:rStyle w:val="CharSClsNo"/>
        </w:rPr>
        <w:t>4</w:t>
      </w:r>
      <w:r>
        <w:t>.</w:t>
      </w:r>
      <w:r>
        <w:tab/>
        <w:t>Emergency devices</w:t>
      </w:r>
      <w:bookmarkEnd w:id="914"/>
      <w:bookmarkEnd w:id="915"/>
    </w:p>
    <w:p>
      <w:pPr>
        <w:pStyle w:val="ySubsection"/>
      </w:pPr>
      <w:r>
        <w:tab/>
      </w:r>
      <w:r>
        <w:tab/>
        <w:t xml:space="preserve">A person may transport an emergency device if — </w:t>
      </w:r>
    </w:p>
    <w:p>
      <w:pPr>
        <w:pStyle w:val="yIndenta"/>
      </w:pPr>
      <w:r>
        <w:tab/>
        <w:t>(a)</w:t>
      </w:r>
      <w:r>
        <w:tab/>
        <w:t>the gross weight of emergency devices with a classification code of 1.3G in the vehicle is not more than 50 kg; and</w:t>
      </w:r>
    </w:p>
    <w:p>
      <w:pPr>
        <w:pStyle w:val="yIndenta"/>
      </w:pPr>
      <w:r>
        <w:tab/>
        <w:t>(b)</w:t>
      </w:r>
      <w:r>
        <w:tab/>
        <w:t>the gross weight of emergency devices with a classification code of 1.4 in the vehicle is not more than 250 kg.</w:t>
      </w:r>
    </w:p>
    <w:p>
      <w:pPr>
        <w:pStyle w:val="yFootnotesection"/>
      </w:pPr>
      <w:r>
        <w:tab/>
        <w:t>[Clause 4 amended: Gazette 16 Mar 2012 p. 1193; 20 Mar 2018 p. 1003.]</w:t>
      </w:r>
    </w:p>
    <w:p>
      <w:pPr>
        <w:pStyle w:val="yHeading5"/>
      </w:pPr>
      <w:bookmarkStart w:id="916" w:name="_Toc201747359"/>
      <w:bookmarkStart w:id="917" w:name="_Toc200095619"/>
      <w:r>
        <w:rPr>
          <w:rStyle w:val="CharSClsNo"/>
        </w:rPr>
        <w:t>5</w:t>
      </w:r>
      <w:r>
        <w:t>.</w:t>
      </w:r>
      <w:r>
        <w:tab/>
        <w:t>Ammunition, ammunition propellant and black powder</w:t>
      </w:r>
      <w:bookmarkEnd w:id="916"/>
      <w:bookmarkEnd w:id="917"/>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 NEQ of black powder in the vehicle is not more than 4 kg.</w:t>
      </w:r>
    </w:p>
    <w:p>
      <w:pPr>
        <w:pStyle w:val="yFootnotesection"/>
      </w:pPr>
      <w:r>
        <w:tab/>
        <w:t>[Clause 5 amended: Gazette 16 Mar 2012 p. 1193; 20 Mar 2018 p. 1003.]</w:t>
      </w:r>
    </w:p>
    <w:p>
      <w:pPr>
        <w:pStyle w:val="yHeading5"/>
      </w:pPr>
      <w:bookmarkStart w:id="918" w:name="_Toc201747360"/>
      <w:bookmarkStart w:id="919" w:name="_Toc200095620"/>
      <w:r>
        <w:rPr>
          <w:rStyle w:val="CharSClsNo"/>
        </w:rPr>
        <w:t>6</w:t>
      </w:r>
      <w:r>
        <w:t>.</w:t>
      </w:r>
      <w:r>
        <w:rPr>
          <w:b w:val="0"/>
        </w:rPr>
        <w:tab/>
      </w:r>
      <w:r>
        <w:t>Model rocket motors</w:t>
      </w:r>
      <w:bookmarkEnd w:id="918"/>
      <w:bookmarkEnd w:id="919"/>
    </w:p>
    <w:p>
      <w:pPr>
        <w:pStyle w:val="ySubsection"/>
        <w:keepNext/>
        <w:keepLines/>
      </w:pPr>
      <w:r>
        <w:tab/>
      </w:r>
      <w:r>
        <w:tab/>
        <w:t>A person may transport any quantity of model rocket motors if the NEQ in each motor is not more than 62.5 g.</w:t>
      </w:r>
    </w:p>
    <w:p>
      <w:pPr>
        <w:pStyle w:val="yFootnotesection"/>
      </w:pPr>
      <w:r>
        <w:tab/>
        <w:t>[Clause 6 inserted: Gazette 16 Mar 2012 p. 1193.]</w:t>
      </w:r>
    </w:p>
    <w:p>
      <w:pPr>
        <w:pStyle w:val="yHeading5"/>
      </w:pPr>
      <w:bookmarkStart w:id="920" w:name="_Toc201747361"/>
      <w:bookmarkStart w:id="921" w:name="_Toc200095621"/>
      <w:r>
        <w:rPr>
          <w:rStyle w:val="CharSClsNo"/>
        </w:rPr>
        <w:t>7</w:t>
      </w:r>
      <w:r>
        <w:t>.</w:t>
      </w:r>
      <w:r>
        <w:tab/>
        <w:t>Smoke generators</w:t>
      </w:r>
      <w:bookmarkEnd w:id="920"/>
      <w:bookmarkEnd w:id="921"/>
    </w:p>
    <w:p>
      <w:pPr>
        <w:pStyle w:val="ySubsection"/>
      </w:pPr>
      <w:r>
        <w:tab/>
      </w:r>
      <w:r>
        <w:tab/>
        <w:t>A person may transport an article that generates smoke signals if —</w:t>
      </w:r>
    </w:p>
    <w:p>
      <w:pPr>
        <w:pStyle w:val="yIndenta"/>
      </w:pPr>
      <w:r>
        <w:tab/>
        <w:t>(a)</w:t>
      </w:r>
      <w:r>
        <w:tab/>
        <w:t>the article has a classification code of 1.4G or 1.4S; and</w:t>
      </w:r>
    </w:p>
    <w:p>
      <w:pPr>
        <w:pStyle w:val="yIndenta"/>
      </w:pPr>
      <w:r>
        <w:tab/>
        <w:t>(b)</w:t>
      </w:r>
      <w:r>
        <w:tab/>
        <w:t>the gross weight of such articles in the vehicle is not more than 250 kg.</w:t>
      </w:r>
    </w:p>
    <w:p>
      <w:pPr>
        <w:pStyle w:val="yFootnotesection"/>
      </w:pPr>
      <w:r>
        <w:tab/>
        <w:t>[Clause 7 inserted: Gazette 2 Dec 2013 p. 5617; amended: Gazette 20 Mar 2018 p. 1003.]</w:t>
      </w:r>
    </w:p>
    <w:p>
      <w:pPr>
        <w:pStyle w:val="yHeading5"/>
      </w:pPr>
      <w:bookmarkStart w:id="922" w:name="_Toc201747362"/>
      <w:bookmarkStart w:id="923" w:name="_Toc200095622"/>
      <w:r>
        <w:rPr>
          <w:rStyle w:val="CharSClsNo"/>
        </w:rPr>
        <w:t>8</w:t>
      </w:r>
      <w:r>
        <w:t>.</w:t>
      </w:r>
      <w:r>
        <w:tab/>
        <w:t>Thermite igniters</w:t>
      </w:r>
      <w:bookmarkEnd w:id="922"/>
      <w:bookmarkEnd w:id="923"/>
    </w:p>
    <w:p>
      <w:pPr>
        <w:pStyle w:val="ySubsection"/>
      </w:pPr>
      <w:r>
        <w:tab/>
      </w:r>
      <w:r>
        <w:tab/>
        <w:t>A person may transport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transports the article in the course of his or her duties as such.</w:t>
      </w:r>
    </w:p>
    <w:p>
      <w:pPr>
        <w:pStyle w:val="yFootnotesection"/>
      </w:pPr>
      <w:r>
        <w:tab/>
        <w:t>[Clause 8 inserted: Gazette 2 Dec 2013 p. 5617.]</w:t>
      </w:r>
    </w:p>
    <w:p>
      <w:pPr>
        <w:pStyle w:val="yScheduleHeading"/>
      </w:pPr>
      <w:bookmarkStart w:id="924" w:name="_Toc201670717"/>
      <w:bookmarkStart w:id="925" w:name="_Toc201671381"/>
      <w:bookmarkStart w:id="926" w:name="_Toc201747363"/>
      <w:bookmarkStart w:id="927" w:name="_Toc200031816"/>
      <w:bookmarkStart w:id="928" w:name="_Toc200036804"/>
      <w:bookmarkStart w:id="929" w:name="_Toc200095623"/>
      <w:r>
        <w:rPr>
          <w:rStyle w:val="CharSchNo"/>
        </w:rPr>
        <w:t>Schedule 8</w:t>
      </w:r>
      <w:r>
        <w:rPr>
          <w:rStyle w:val="CharSDivNo"/>
        </w:rPr>
        <w:t> </w:t>
      </w:r>
      <w:r>
        <w:t>—</w:t>
      </w:r>
      <w:r>
        <w:rPr>
          <w:rStyle w:val="CharSDivText"/>
        </w:rPr>
        <w:t> </w:t>
      </w:r>
      <w:r>
        <w:rPr>
          <w:rStyle w:val="CharSchText"/>
        </w:rPr>
        <w:t>Explosives that may be supplied without a licence</w:t>
      </w:r>
      <w:bookmarkEnd w:id="924"/>
      <w:bookmarkEnd w:id="925"/>
      <w:bookmarkEnd w:id="926"/>
      <w:bookmarkEnd w:id="927"/>
      <w:bookmarkEnd w:id="928"/>
      <w:bookmarkEnd w:id="929"/>
    </w:p>
    <w:p>
      <w:pPr>
        <w:pStyle w:val="yShoulderClause"/>
      </w:pPr>
      <w:r>
        <w:t>[r. 112]</w:t>
      </w:r>
    </w:p>
    <w:p>
      <w:pPr>
        <w:pStyle w:val="yHeading5"/>
      </w:pPr>
      <w:bookmarkStart w:id="930" w:name="_Toc201747364"/>
      <w:bookmarkStart w:id="931" w:name="_Toc200095624"/>
      <w:r>
        <w:rPr>
          <w:rStyle w:val="CharSClsNo"/>
        </w:rPr>
        <w:t>1</w:t>
      </w:r>
      <w:r>
        <w:t>.</w:t>
      </w:r>
      <w:r>
        <w:tab/>
        <w:t>Sparklers</w:t>
      </w:r>
      <w:bookmarkEnd w:id="930"/>
      <w:bookmarkEnd w:id="931"/>
    </w:p>
    <w:p>
      <w:pPr>
        <w:pStyle w:val="ySubsection"/>
      </w:pPr>
      <w:r>
        <w:tab/>
      </w:r>
      <w:r>
        <w:tab/>
        <w:t>A person may supply a sparkler.</w:t>
      </w:r>
    </w:p>
    <w:p>
      <w:pPr>
        <w:pStyle w:val="yHeading5"/>
      </w:pPr>
      <w:bookmarkStart w:id="932" w:name="_Toc201747365"/>
      <w:bookmarkStart w:id="933" w:name="_Toc200095625"/>
      <w:r>
        <w:rPr>
          <w:rStyle w:val="CharSClsNo"/>
        </w:rPr>
        <w:t>2</w:t>
      </w:r>
      <w:r>
        <w:t>.</w:t>
      </w:r>
      <w:r>
        <w:tab/>
        <w:t>Cartridges for safety devices etc.</w:t>
      </w:r>
      <w:bookmarkEnd w:id="932"/>
      <w:bookmarkEnd w:id="933"/>
    </w:p>
    <w:p>
      <w:pPr>
        <w:pStyle w:val="ySubsection"/>
      </w:pPr>
      <w:r>
        <w:tab/>
      </w:r>
      <w:r>
        <w:tab/>
        <w:t>A person may supply a power device cartridge.</w:t>
      </w:r>
    </w:p>
    <w:p>
      <w:pPr>
        <w:pStyle w:val="yHeading5"/>
      </w:pPr>
      <w:bookmarkStart w:id="934" w:name="_Toc201747366"/>
      <w:bookmarkStart w:id="935" w:name="_Toc200095626"/>
      <w:r>
        <w:rPr>
          <w:rStyle w:val="CharSClsNo"/>
        </w:rPr>
        <w:t>3</w:t>
      </w:r>
      <w:r>
        <w:t>.</w:t>
      </w:r>
      <w:r>
        <w:tab/>
        <w:t>Cartridges for nail guns etc.</w:t>
      </w:r>
      <w:bookmarkEnd w:id="934"/>
      <w:bookmarkEnd w:id="935"/>
    </w:p>
    <w:p>
      <w:pPr>
        <w:pStyle w:val="ySubsection"/>
      </w:pPr>
      <w:r>
        <w:tab/>
      </w:r>
      <w:r>
        <w:tab/>
        <w:t>A person may supply a power tool cartridge.</w:t>
      </w:r>
    </w:p>
    <w:p>
      <w:pPr>
        <w:pStyle w:val="yHeading5"/>
      </w:pPr>
      <w:bookmarkStart w:id="936" w:name="_Toc201747367"/>
      <w:bookmarkStart w:id="937" w:name="_Toc200095627"/>
      <w:r>
        <w:rPr>
          <w:rStyle w:val="CharSClsNo"/>
        </w:rPr>
        <w:t>4</w:t>
      </w:r>
      <w:r>
        <w:t>.</w:t>
      </w:r>
      <w:r>
        <w:tab/>
        <w:t>Emergency devices</w:t>
      </w:r>
      <w:bookmarkEnd w:id="936"/>
      <w:bookmarkEnd w:id="937"/>
    </w:p>
    <w:p>
      <w:pPr>
        <w:pStyle w:val="ySubsection"/>
      </w:pPr>
      <w:r>
        <w:tab/>
      </w:r>
      <w:r>
        <w:tab/>
        <w:t>A person may supply an emergency device.</w:t>
      </w:r>
    </w:p>
    <w:p>
      <w:pPr>
        <w:pStyle w:val="yHeading5"/>
      </w:pPr>
      <w:bookmarkStart w:id="938" w:name="_Toc201747368"/>
      <w:bookmarkStart w:id="939" w:name="_Toc200095628"/>
      <w:r>
        <w:rPr>
          <w:rStyle w:val="CharSClsNo"/>
        </w:rPr>
        <w:t>5</w:t>
      </w:r>
      <w:r>
        <w:t>.</w:t>
      </w:r>
      <w:r>
        <w:rPr>
          <w:b w:val="0"/>
        </w:rPr>
        <w:tab/>
      </w:r>
      <w:r>
        <w:t>Ammunition, ammunition propellant and black powder</w:t>
      </w:r>
      <w:bookmarkEnd w:id="938"/>
      <w:bookmarkEnd w:id="939"/>
    </w:p>
    <w:p>
      <w:pPr>
        <w:pStyle w:val="ySubsection"/>
      </w:pPr>
      <w:r>
        <w:tab/>
      </w:r>
      <w:r>
        <w:tab/>
        <w:t xml:space="preserve">A person may supply ammunition, ammunition propellant or black powder if authorised under the </w:t>
      </w:r>
      <w:r>
        <w:rPr>
          <w:i/>
        </w:rPr>
        <w:t>Firearms Act 2024</w:t>
      </w:r>
      <w:r>
        <w:t xml:space="preserve"> to do so.</w:t>
      </w:r>
    </w:p>
    <w:p>
      <w:pPr>
        <w:pStyle w:val="yFootnotesection"/>
      </w:pPr>
      <w:r>
        <w:tab/>
        <w:t>[Clause 5 inserted: Gazette 16 Mar 2012 p. 1193; amended: SL 2024/295 r. 7.]</w:t>
      </w:r>
    </w:p>
    <w:p>
      <w:pPr>
        <w:pStyle w:val="yHeading5"/>
      </w:pPr>
      <w:bookmarkStart w:id="940" w:name="_Toc201747369"/>
      <w:bookmarkStart w:id="941" w:name="_Toc200095629"/>
      <w:r>
        <w:rPr>
          <w:rStyle w:val="CharSClsNo"/>
        </w:rPr>
        <w:t>6</w:t>
      </w:r>
      <w:r>
        <w:t>.</w:t>
      </w:r>
      <w:r>
        <w:tab/>
        <w:t>Smoke generators</w:t>
      </w:r>
      <w:bookmarkEnd w:id="940"/>
      <w:bookmarkEnd w:id="941"/>
    </w:p>
    <w:p>
      <w:pPr>
        <w:pStyle w:val="ySubsection"/>
      </w:pPr>
      <w:r>
        <w:tab/>
      </w:r>
      <w:r>
        <w:tab/>
        <w:t>A person may supply an article that generates smoke signals if the article has a classification code of 1.4G or 1.4S.</w:t>
      </w:r>
    </w:p>
    <w:p>
      <w:pPr>
        <w:pStyle w:val="yFootnotesection"/>
      </w:pPr>
      <w:r>
        <w:tab/>
        <w:t>[Clause 6 inserted: Gazette 2 Dec 2013 p. 5617.]</w:t>
      </w:r>
    </w:p>
    <w:p>
      <w:pPr>
        <w:pStyle w:val="yHeading5"/>
      </w:pPr>
      <w:bookmarkStart w:id="942" w:name="_Toc201747370"/>
      <w:bookmarkStart w:id="943" w:name="_Toc200095630"/>
      <w:r>
        <w:rPr>
          <w:rStyle w:val="CharSClsNo"/>
        </w:rPr>
        <w:t>7</w:t>
      </w:r>
      <w:r>
        <w:t>.</w:t>
      </w:r>
      <w:r>
        <w:tab/>
        <w:t>Thermite igniters</w:t>
      </w:r>
      <w:bookmarkEnd w:id="942"/>
      <w:bookmarkEnd w:id="943"/>
    </w:p>
    <w:p>
      <w:pPr>
        <w:pStyle w:val="ySubsection"/>
      </w:pPr>
      <w:r>
        <w:tab/>
      </w:r>
      <w:r>
        <w:tab/>
        <w:t>A person may supply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supplies the article in the course of his or her duties as such; and</w:t>
      </w:r>
    </w:p>
    <w:p>
      <w:pPr>
        <w:pStyle w:val="yIndenta"/>
      </w:pPr>
      <w:r>
        <w:tab/>
        <w:t>(d)</w:t>
      </w:r>
      <w:r>
        <w:tab/>
        <w:t>the person to whom the article is supplied is engaged or employed to weld rails for railways or is an employee of such a person.</w:t>
      </w:r>
    </w:p>
    <w:p>
      <w:pPr>
        <w:pStyle w:val="yFootnotesection"/>
      </w:pPr>
      <w:r>
        <w:tab/>
        <w:t>[Clause 7 inserted: Gazette 2 Dec 2013 p. 5617</w:t>
      </w:r>
      <w:r>
        <w:noBreakHyphen/>
        <w:t>18.]</w:t>
      </w:r>
    </w:p>
    <w:p>
      <w:pPr>
        <w:pStyle w:val="yScheduleHeading"/>
      </w:pPr>
      <w:bookmarkStart w:id="944" w:name="_Toc201670725"/>
      <w:bookmarkStart w:id="945" w:name="_Toc201671389"/>
      <w:bookmarkStart w:id="946" w:name="_Toc201747371"/>
      <w:bookmarkStart w:id="947" w:name="_Toc200031824"/>
      <w:bookmarkStart w:id="948" w:name="_Toc200036812"/>
      <w:bookmarkStart w:id="949" w:name="_Toc200095631"/>
      <w:r>
        <w:rPr>
          <w:rStyle w:val="CharSchNo"/>
        </w:rPr>
        <w:t>Schedule 9</w:t>
      </w:r>
      <w:r>
        <w:rPr>
          <w:rStyle w:val="CharSDivNo"/>
        </w:rPr>
        <w:t> </w:t>
      </w:r>
      <w:r>
        <w:t>—</w:t>
      </w:r>
      <w:r>
        <w:rPr>
          <w:rStyle w:val="CharSDivText"/>
        </w:rPr>
        <w:t> </w:t>
      </w:r>
      <w:r>
        <w:rPr>
          <w:rStyle w:val="CharSchText"/>
        </w:rPr>
        <w:t>Explosives that may be used without a licence</w:t>
      </w:r>
      <w:bookmarkEnd w:id="944"/>
      <w:bookmarkEnd w:id="945"/>
      <w:bookmarkEnd w:id="946"/>
      <w:bookmarkEnd w:id="947"/>
      <w:bookmarkEnd w:id="948"/>
      <w:bookmarkEnd w:id="949"/>
    </w:p>
    <w:p>
      <w:pPr>
        <w:pStyle w:val="yShoulderClause"/>
      </w:pPr>
      <w:r>
        <w:t>[r. 125(1)]</w:t>
      </w:r>
    </w:p>
    <w:p>
      <w:pPr>
        <w:pStyle w:val="yHeading5"/>
      </w:pPr>
      <w:bookmarkStart w:id="950" w:name="_Toc201747372"/>
      <w:bookmarkStart w:id="951" w:name="_Toc200095632"/>
      <w:r>
        <w:rPr>
          <w:rStyle w:val="CharSClsNo"/>
        </w:rPr>
        <w:t>1</w:t>
      </w:r>
      <w:r>
        <w:t>.</w:t>
      </w:r>
      <w:r>
        <w:tab/>
        <w:t>Sparklers</w:t>
      </w:r>
      <w:bookmarkEnd w:id="950"/>
      <w:bookmarkEnd w:id="951"/>
    </w:p>
    <w:p>
      <w:pPr>
        <w:pStyle w:val="ySubsection"/>
      </w:pPr>
      <w:r>
        <w:tab/>
      </w:r>
      <w:r>
        <w:tab/>
        <w:t>A person may use a sparkler.</w:t>
      </w:r>
    </w:p>
    <w:p>
      <w:pPr>
        <w:pStyle w:val="yHeading5"/>
      </w:pPr>
      <w:bookmarkStart w:id="952" w:name="_Toc201747373"/>
      <w:bookmarkStart w:id="953" w:name="_Toc200095633"/>
      <w:r>
        <w:rPr>
          <w:rStyle w:val="CharSClsNo"/>
        </w:rPr>
        <w:t>2</w:t>
      </w:r>
      <w:r>
        <w:t>.</w:t>
      </w:r>
      <w:r>
        <w:tab/>
        <w:t>Cartridges for safety devices etc.</w:t>
      </w:r>
      <w:bookmarkEnd w:id="952"/>
      <w:bookmarkEnd w:id="953"/>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954" w:name="_Toc201747374"/>
      <w:bookmarkStart w:id="955" w:name="_Toc200095634"/>
      <w:r>
        <w:rPr>
          <w:rStyle w:val="CharSClsNo"/>
        </w:rPr>
        <w:t>3</w:t>
      </w:r>
      <w:r>
        <w:t>.</w:t>
      </w:r>
      <w:r>
        <w:tab/>
        <w:t>Cartridges for nail guns etc.</w:t>
      </w:r>
      <w:bookmarkEnd w:id="954"/>
      <w:bookmarkEnd w:id="955"/>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956" w:name="_Toc201747375"/>
      <w:bookmarkStart w:id="957" w:name="_Toc200095635"/>
      <w:r>
        <w:rPr>
          <w:rStyle w:val="CharSClsNo"/>
        </w:rPr>
        <w:t>4</w:t>
      </w:r>
      <w:r>
        <w:t>.</w:t>
      </w:r>
      <w:r>
        <w:tab/>
        <w:t>Emergency devices</w:t>
      </w:r>
      <w:bookmarkEnd w:id="956"/>
      <w:bookmarkEnd w:id="957"/>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Gazette 16 Mar 2012 p. 1194.]</w:t>
      </w:r>
    </w:p>
    <w:p>
      <w:pPr>
        <w:pStyle w:val="yHeading5"/>
      </w:pPr>
      <w:bookmarkStart w:id="958" w:name="_Toc201747376"/>
      <w:bookmarkStart w:id="959" w:name="_Toc200095636"/>
      <w:r>
        <w:rPr>
          <w:rStyle w:val="CharSClsNo"/>
        </w:rPr>
        <w:t>5</w:t>
      </w:r>
      <w:r>
        <w:t>.</w:t>
      </w:r>
      <w:r>
        <w:tab/>
        <w:t>Ammunition</w:t>
      </w:r>
      <w:bookmarkEnd w:id="958"/>
      <w:bookmarkEnd w:id="959"/>
    </w:p>
    <w:p>
      <w:pPr>
        <w:pStyle w:val="ySubsection"/>
      </w:pPr>
      <w:r>
        <w:tab/>
        <w:t>(1)</w:t>
      </w:r>
      <w:r>
        <w:tab/>
        <w:t xml:space="preserve">A person may use ammunition if authorised under the </w:t>
      </w:r>
      <w:r>
        <w:rPr>
          <w:i/>
          <w:iCs/>
        </w:rPr>
        <w:t xml:space="preserve">Firearms Act 2024 </w:t>
      </w:r>
      <w:r>
        <w:t>to do so.</w:t>
      </w:r>
    </w:p>
    <w:p>
      <w:pPr>
        <w:pStyle w:val="ySubsection"/>
      </w:pPr>
      <w:r>
        <w:tab/>
        <w:t>(2)</w:t>
      </w:r>
      <w:r>
        <w:tab/>
        <w:t>A person may use ammunition propellant if it is in ammunition that is used under subclause (1).</w:t>
      </w:r>
    </w:p>
    <w:p>
      <w:pPr>
        <w:pStyle w:val="ySubsection"/>
        <w:keepNext/>
      </w:pPr>
      <w:r>
        <w:tab/>
        <w:t>(3)</w:t>
      </w:r>
      <w:r>
        <w:tab/>
        <w:t xml:space="preserve">A person may use black powder if the person is authorised under the </w:t>
      </w:r>
      <w:r>
        <w:rPr>
          <w:i/>
          <w:iCs/>
        </w:rPr>
        <w:t>Firearms Act 2024</w:t>
      </w:r>
      <w:r>
        <w:t xml:space="preserve"> to possess a firearm that uses black powder and uses the powder in that firearm.</w:t>
      </w:r>
    </w:p>
    <w:p>
      <w:pPr>
        <w:pStyle w:val="yFootnotesection"/>
      </w:pPr>
      <w:r>
        <w:tab/>
        <w:t>[Clause 5 amended: SL 2024/295 r. 8.]</w:t>
      </w:r>
    </w:p>
    <w:p>
      <w:pPr>
        <w:pStyle w:val="yHeading5"/>
      </w:pPr>
      <w:bookmarkStart w:id="960" w:name="_Toc201747377"/>
      <w:bookmarkStart w:id="961" w:name="_Toc200095637"/>
      <w:r>
        <w:rPr>
          <w:rStyle w:val="CharSClsNo"/>
        </w:rPr>
        <w:t>6</w:t>
      </w:r>
      <w:r>
        <w:t>.</w:t>
      </w:r>
      <w:r>
        <w:rPr>
          <w:b w:val="0"/>
        </w:rPr>
        <w:tab/>
      </w:r>
      <w:r>
        <w:t>Model rocket motors</w:t>
      </w:r>
      <w:bookmarkEnd w:id="960"/>
      <w:bookmarkEnd w:id="961"/>
    </w:p>
    <w:p>
      <w:pPr>
        <w:pStyle w:val="ySubsection"/>
      </w:pPr>
      <w:r>
        <w:tab/>
      </w:r>
      <w:r>
        <w:tab/>
        <w:t>A person may use a model rocket motor if the NEQ in the motor is not more than 62.5 g.</w:t>
      </w:r>
    </w:p>
    <w:p>
      <w:pPr>
        <w:pStyle w:val="yFootnotesection"/>
      </w:pPr>
      <w:r>
        <w:tab/>
        <w:t>[Clause 6 inserted: Gazette 16 Mar 2012 p. 1194.]</w:t>
      </w:r>
    </w:p>
    <w:p>
      <w:pPr>
        <w:pStyle w:val="yHeading5"/>
      </w:pPr>
      <w:bookmarkStart w:id="962" w:name="_Toc201747378"/>
      <w:bookmarkStart w:id="963" w:name="_Toc200095638"/>
      <w:r>
        <w:rPr>
          <w:rStyle w:val="CharSClsNo"/>
        </w:rPr>
        <w:t>7</w:t>
      </w:r>
      <w:r>
        <w:t>.</w:t>
      </w:r>
      <w:r>
        <w:tab/>
        <w:t>Smoke generators</w:t>
      </w:r>
      <w:bookmarkEnd w:id="962"/>
      <w:bookmarkEnd w:id="963"/>
    </w:p>
    <w:p>
      <w:pPr>
        <w:pStyle w:val="ySubsection"/>
      </w:pPr>
      <w:r>
        <w:tab/>
      </w:r>
      <w:r>
        <w:tab/>
        <w:t>A person may use an article that generates smoke signals if —</w:t>
      </w:r>
    </w:p>
    <w:p>
      <w:pPr>
        <w:pStyle w:val="yIndenta"/>
      </w:pPr>
      <w:r>
        <w:tab/>
        <w:t>(a)</w:t>
      </w:r>
      <w:r>
        <w:tab/>
        <w:t>the article has a classification code of 1.4G or 1.4S; and</w:t>
      </w:r>
    </w:p>
    <w:p>
      <w:pPr>
        <w:pStyle w:val="yIndenta"/>
      </w:pPr>
      <w:r>
        <w:tab/>
        <w:t>(b)</w:t>
      </w:r>
      <w:r>
        <w:tab/>
        <w:t>the person uses it for the purposes for which it is designed; and</w:t>
      </w:r>
    </w:p>
    <w:p>
      <w:pPr>
        <w:pStyle w:val="yIndenta"/>
      </w:pPr>
      <w:r>
        <w:tab/>
        <w:t>(c)</w:t>
      </w:r>
      <w:r>
        <w:tab/>
        <w:t>the person uses it in accordance with its manufacturer’s instructions for its use.</w:t>
      </w:r>
    </w:p>
    <w:p>
      <w:pPr>
        <w:pStyle w:val="yFootnotesection"/>
      </w:pPr>
      <w:r>
        <w:tab/>
        <w:t>[Clause 7 inserted: Gazette 2 Dec 2013 p. 5618.]</w:t>
      </w:r>
    </w:p>
    <w:p>
      <w:pPr>
        <w:pStyle w:val="yHeading5"/>
      </w:pPr>
      <w:bookmarkStart w:id="964" w:name="_Toc201747379"/>
      <w:bookmarkStart w:id="965" w:name="_Toc200095639"/>
      <w:r>
        <w:rPr>
          <w:rStyle w:val="CharSClsNo"/>
        </w:rPr>
        <w:t>8</w:t>
      </w:r>
      <w:r>
        <w:t>.</w:t>
      </w:r>
      <w:r>
        <w:tab/>
        <w:t>Thermite igniters</w:t>
      </w:r>
      <w:bookmarkEnd w:id="964"/>
      <w:bookmarkEnd w:id="965"/>
    </w:p>
    <w:p>
      <w:pPr>
        <w:pStyle w:val="ySubsection"/>
      </w:pPr>
      <w:r>
        <w:tab/>
      </w:r>
      <w:r>
        <w:tab/>
        <w:t>A person may use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uses the article in the course of his or her duties as such.</w:t>
      </w:r>
    </w:p>
    <w:p>
      <w:pPr>
        <w:pStyle w:val="yFootnotesection"/>
      </w:pPr>
      <w:r>
        <w:tab/>
        <w:t>[Clause 8 inserted: Gazette 2 Dec 2013 p. 5618.]</w:t>
      </w:r>
    </w:p>
    <w:p>
      <w:pPr>
        <w:pStyle w:val="yScheduleHeading"/>
      </w:pPr>
      <w:bookmarkStart w:id="966" w:name="_Toc201670734"/>
      <w:bookmarkStart w:id="967" w:name="_Toc201671398"/>
      <w:bookmarkStart w:id="968" w:name="_Toc201747380"/>
      <w:bookmarkStart w:id="969" w:name="_Toc200031833"/>
      <w:bookmarkStart w:id="970" w:name="_Toc200036821"/>
      <w:bookmarkStart w:id="971" w:name="_Toc200095640"/>
      <w:r>
        <w:rPr>
          <w:rStyle w:val="CharSchNo"/>
        </w:rPr>
        <w:t>Schedule 10</w:t>
      </w:r>
      <w:r>
        <w:t> — </w:t>
      </w:r>
      <w:r>
        <w:rPr>
          <w:rStyle w:val="CharSchText"/>
        </w:rPr>
        <w:t>Provisions for required plans</w:t>
      </w:r>
      <w:bookmarkEnd w:id="966"/>
      <w:bookmarkEnd w:id="967"/>
      <w:bookmarkEnd w:id="968"/>
      <w:bookmarkEnd w:id="969"/>
      <w:bookmarkEnd w:id="970"/>
      <w:bookmarkEnd w:id="971"/>
    </w:p>
    <w:p>
      <w:pPr>
        <w:pStyle w:val="yShoulderClause"/>
      </w:pPr>
      <w:r>
        <w:t>[r. 161]</w:t>
      </w:r>
    </w:p>
    <w:p>
      <w:pPr>
        <w:pStyle w:val="yHeading5"/>
      </w:pPr>
      <w:bookmarkStart w:id="972" w:name="_Toc201747381"/>
      <w:bookmarkStart w:id="973" w:name="_Toc200095641"/>
      <w:r>
        <w:rPr>
          <w:rStyle w:val="CharSClsNo"/>
        </w:rPr>
        <w:t>1</w:t>
      </w:r>
      <w:r>
        <w:t>.</w:t>
      </w:r>
      <w:r>
        <w:tab/>
        <w:t>Terms used</w:t>
      </w:r>
      <w:bookmarkEnd w:id="972"/>
      <w:bookmarkEnd w:id="973"/>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w:t>
      </w:r>
      <w:r>
        <w:rPr>
          <w:b/>
          <w:i/>
        </w:rPr>
        <w:t>required plan</w:t>
      </w:r>
      <w:r>
        <w:t>;</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974" w:name="_Toc201747382"/>
      <w:bookmarkStart w:id="975" w:name="_Toc200095642"/>
      <w:r>
        <w:rPr>
          <w:rStyle w:val="CharSClsNo"/>
        </w:rPr>
        <w:t>2</w:t>
      </w:r>
      <w:r>
        <w:t>.</w:t>
      </w:r>
      <w:r>
        <w:rPr>
          <w:b w:val="0"/>
        </w:rPr>
        <w:tab/>
      </w:r>
      <w:r>
        <w:t>General matters</w:t>
      </w:r>
      <w:bookmarkEnd w:id="974"/>
      <w:bookmarkEnd w:id="975"/>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tabs>
          <w:tab w:val="left" w:pos="2552"/>
        </w:tabs>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that the plan is reviewed to see whether it meets current standards and addresses current circumstances —</w:t>
      </w:r>
    </w:p>
    <w:p>
      <w:pPr>
        <w:pStyle w:val="yIndenti0"/>
      </w:pPr>
      <w:r>
        <w:tab/>
        <w:t>(i)</w:t>
      </w:r>
      <w:r>
        <w:tab/>
        <w:t>whenever there is a significant change in the risk in relation to the explosives to which the licence relates to people, property or the environment; and</w:t>
      </w:r>
    </w:p>
    <w:p>
      <w:pPr>
        <w:pStyle w:val="yIndenti0"/>
      </w:pPr>
      <w:r>
        <w:tab/>
        <w:t>(ii)</w:t>
      </w:r>
      <w:r>
        <w:tab/>
        <w:t>as soon as practicable after a dangerous situation occurs that involves the explosives to which the licence relates; and</w:t>
      </w:r>
    </w:p>
    <w:p>
      <w:pPr>
        <w:pStyle w:val="yIndenti0"/>
      </w:pPr>
      <w:r>
        <w:tab/>
        <w:t>(iii)</w:t>
      </w:r>
      <w:r>
        <w:tab/>
        <w:t>in any event, at intervals of not more than 5 years after the grant of the licence or the last review of the plan,</w:t>
      </w:r>
    </w:p>
    <w:p>
      <w:pPr>
        <w:pStyle w:val="yIndenta"/>
      </w:pPr>
      <w:r>
        <w:tab/>
      </w:r>
      <w:r>
        <w:tab/>
        <w:t>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Gazette 16 Mar 2012 p. 1194</w:t>
      </w:r>
      <w:r>
        <w:noBreakHyphen/>
        <w:t>5; amended: Gazette 2 Dec 2013 p. 5619.]</w:t>
      </w:r>
    </w:p>
    <w:p>
      <w:pPr>
        <w:pStyle w:val="yHeading5"/>
      </w:pPr>
      <w:bookmarkStart w:id="976" w:name="_Toc201747383"/>
      <w:bookmarkStart w:id="977" w:name="_Toc200095643"/>
      <w:r>
        <w:rPr>
          <w:rStyle w:val="CharSClsNo"/>
        </w:rPr>
        <w:t>3A</w:t>
      </w:r>
      <w:r>
        <w:t>.</w:t>
      </w:r>
      <w:r>
        <w:rPr>
          <w:b w:val="0"/>
        </w:rPr>
        <w:tab/>
      </w:r>
      <w:r>
        <w:t>Emergency management plans</w:t>
      </w:r>
      <w:bookmarkEnd w:id="976"/>
      <w:bookmarkEnd w:id="977"/>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Gazette 16 Mar 2012 p. 1195.]</w:t>
      </w:r>
    </w:p>
    <w:p>
      <w:pPr>
        <w:pStyle w:val="yHeading5"/>
      </w:pPr>
      <w:bookmarkStart w:id="978" w:name="_Toc201747384"/>
      <w:bookmarkStart w:id="979" w:name="_Toc200095644"/>
      <w:r>
        <w:rPr>
          <w:rStyle w:val="CharSClsNo"/>
        </w:rPr>
        <w:t>3</w:t>
      </w:r>
      <w:r>
        <w:t>.</w:t>
      </w:r>
      <w:r>
        <w:tab/>
        <w:t>Safety matters</w:t>
      </w:r>
      <w:bookmarkEnd w:id="978"/>
      <w:bookmarkEnd w:id="979"/>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pPr>
      <w:bookmarkStart w:id="980" w:name="_Toc201747385"/>
      <w:bookmarkStart w:id="981" w:name="_Toc200095645"/>
      <w:r>
        <w:rPr>
          <w:rStyle w:val="CharSClsNo"/>
        </w:rPr>
        <w:t>4</w:t>
      </w:r>
      <w:r>
        <w:t>.</w:t>
      </w:r>
      <w:r>
        <w:tab/>
        <w:t>Security matters</w:t>
      </w:r>
      <w:bookmarkEnd w:id="980"/>
      <w:bookmarkEnd w:id="981"/>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pPr>
      <w:bookmarkStart w:id="982" w:name="_Toc201670740"/>
      <w:bookmarkStart w:id="983" w:name="_Toc201671404"/>
      <w:bookmarkStart w:id="984" w:name="_Toc201747386"/>
      <w:bookmarkStart w:id="985" w:name="_Toc200031839"/>
      <w:bookmarkStart w:id="986" w:name="_Toc200036827"/>
      <w:bookmarkStart w:id="987" w:name="_Toc200095646"/>
      <w:r>
        <w:rPr>
          <w:rStyle w:val="CharSchNo"/>
        </w:rPr>
        <w:t>Schedule 11</w:t>
      </w:r>
      <w:r>
        <w:rPr>
          <w:rStyle w:val="CharSDivNo"/>
          <w:sz w:val="28"/>
        </w:rPr>
        <w:t> </w:t>
      </w:r>
      <w:r>
        <w:t>—</w:t>
      </w:r>
      <w:r>
        <w:rPr>
          <w:rStyle w:val="CharSDivText"/>
          <w:sz w:val="28"/>
        </w:rPr>
        <w:t> </w:t>
      </w:r>
      <w:r>
        <w:rPr>
          <w:rStyle w:val="CharSchText"/>
        </w:rPr>
        <w:t>Central business districts</w:t>
      </w:r>
      <w:bookmarkEnd w:id="982"/>
      <w:bookmarkEnd w:id="983"/>
      <w:bookmarkEnd w:id="984"/>
      <w:bookmarkEnd w:id="985"/>
      <w:bookmarkEnd w:id="986"/>
      <w:bookmarkEnd w:id="987"/>
    </w:p>
    <w:p>
      <w:pPr>
        <w:pStyle w:val="yShoulderClause"/>
      </w:pPr>
      <w:r>
        <w:t>[r. 107]</w:t>
      </w:r>
    </w:p>
    <w:p>
      <w:pPr>
        <w:pStyle w:val="yHeading5"/>
      </w:pPr>
      <w:bookmarkStart w:id="988" w:name="_Toc201747387"/>
      <w:bookmarkStart w:id="989" w:name="_Toc200095647"/>
      <w:r>
        <w:rPr>
          <w:rStyle w:val="CharSClsNo"/>
        </w:rPr>
        <w:t>1</w:t>
      </w:r>
      <w:r>
        <w:t>.</w:t>
      </w:r>
      <w:r>
        <w:tab/>
        <w:t>Fremantle central business district</w:t>
      </w:r>
      <w:bookmarkEnd w:id="988"/>
      <w:bookmarkEnd w:id="989"/>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then southerly along James Street, Ord Street and Hampton Road to the intersection of Hampton Road and Douro Road;</w:t>
      </w:r>
    </w:p>
    <w:p>
      <w:pPr>
        <w:pStyle w:val="ySubsection"/>
        <w:spacing w:before="0"/>
      </w:pPr>
      <w:r>
        <w:tab/>
      </w:r>
      <w:r>
        <w:tab/>
        <w:t>then westerly along Douro Road;</w:t>
      </w:r>
    </w:p>
    <w:p>
      <w:pPr>
        <w:pStyle w:val="ySubsection"/>
        <w:spacing w:before="0"/>
      </w:pPr>
      <w:r>
        <w:tab/>
      </w:r>
      <w:r>
        <w:tab/>
        <w:t xml:space="preserve">then west from the end of Douro Road to the sea; </w:t>
      </w:r>
    </w:p>
    <w:p>
      <w:pPr>
        <w:pStyle w:val="ySubsection"/>
        <w:spacing w:before="0"/>
      </w:pPr>
      <w:r>
        <w:tab/>
      </w:r>
      <w:r>
        <w:tab/>
        <w:t>but does not include James Street, Ord Street or Hampton Road.</w:t>
      </w:r>
    </w:p>
    <w:p>
      <w:pPr>
        <w:pStyle w:val="yFootnotesection"/>
      </w:pPr>
      <w:r>
        <w:tab/>
        <w:t>[Clause 1 amended: Gazette 16 Mar 2012 p. 1196.]</w:t>
      </w:r>
    </w:p>
    <w:p>
      <w:pPr>
        <w:pStyle w:val="yHeading5"/>
      </w:pPr>
      <w:bookmarkStart w:id="990" w:name="_Toc201747388"/>
      <w:bookmarkStart w:id="991" w:name="_Toc200095648"/>
      <w:r>
        <w:rPr>
          <w:rStyle w:val="CharSClsNo"/>
        </w:rPr>
        <w:t>2</w:t>
      </w:r>
      <w:r>
        <w:t>.</w:t>
      </w:r>
      <w:r>
        <w:tab/>
        <w:t>Perth central business district</w:t>
      </w:r>
      <w:bookmarkEnd w:id="990"/>
      <w:bookmarkEnd w:id="991"/>
    </w:p>
    <w:p>
      <w:pPr>
        <w:pStyle w:val="ySubsection"/>
      </w:pPr>
      <w:r>
        <w:tab/>
      </w:r>
      <w:r>
        <w:tab/>
        <w:t>The Perth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then south easterly along Newcastle Street;</w:t>
      </w:r>
    </w:p>
    <w:p>
      <w:pPr>
        <w:pStyle w:val="ySubsection"/>
        <w:spacing w:before="0"/>
      </w:pPr>
      <w:r>
        <w:tab/>
      </w:r>
      <w:r>
        <w:tab/>
        <w:t>then southerly along Lord Street to the Perth-Midland railway reserve;</w:t>
      </w:r>
    </w:p>
    <w:p>
      <w:pPr>
        <w:pStyle w:val="ySubsection"/>
        <w:spacing w:before="0"/>
      </w:pPr>
      <w:r>
        <w:tab/>
      </w:r>
      <w:r>
        <w:tab/>
        <w:t>then north easterly and easterly along the Perth-Midland and Perth</w:t>
      </w:r>
      <w:r>
        <w:noBreakHyphen/>
        <w:t>Armadale railway reserves to the western foreshore of the Swan River;</w:t>
      </w:r>
    </w:p>
    <w:p>
      <w:pPr>
        <w:pStyle w:val="ySubsection"/>
        <w:spacing w:before="0"/>
      </w:pPr>
      <w:r>
        <w:tab/>
      </w:r>
      <w:r>
        <w:tab/>
        <w:t>then southerly and south westerly along the western foreshore of the Swan River to the Causeway;</w:t>
      </w:r>
    </w:p>
    <w:p>
      <w:pPr>
        <w:pStyle w:val="ySubsection"/>
        <w:spacing w:before="0"/>
      </w:pPr>
      <w:r>
        <w:tab/>
      </w:r>
      <w:r>
        <w:tab/>
        <w:t>then westerly along the Causeway and Riverside Drive to Barrack Street;</w:t>
      </w:r>
    </w:p>
    <w:p>
      <w:pPr>
        <w:pStyle w:val="ySubsection"/>
        <w:spacing w:before="0"/>
      </w:pPr>
      <w:r>
        <w:tab/>
      </w:r>
      <w:r>
        <w:tab/>
        <w:t>then northerly along Barrack Street;</w:t>
      </w:r>
    </w:p>
    <w:p>
      <w:pPr>
        <w:pStyle w:val="ySubsection"/>
        <w:spacing w:before="0"/>
      </w:pPr>
      <w:r>
        <w:tab/>
      </w:r>
      <w:r>
        <w:tab/>
        <w:t>then westerly along the Esplanade and Mounts Bay Road to Spring Street;</w:t>
      </w:r>
    </w:p>
    <w:p>
      <w:pPr>
        <w:pStyle w:val="ySubsection"/>
        <w:spacing w:before="0"/>
      </w:pPr>
      <w:r>
        <w:tab/>
      </w:r>
      <w:r>
        <w:tab/>
        <w:t>then north westerly along Spring Street to Mount Street;</w:t>
      </w:r>
    </w:p>
    <w:p>
      <w:pPr>
        <w:pStyle w:val="ySubsection"/>
        <w:spacing w:before="0"/>
      </w:pPr>
      <w:r>
        <w:tab/>
      </w:r>
      <w:r>
        <w:tab/>
        <w:t>then south westerly along Mount Street to Cliff Street;</w:t>
      </w:r>
    </w:p>
    <w:p>
      <w:pPr>
        <w:pStyle w:val="ySubsection"/>
        <w:spacing w:before="0"/>
      </w:pPr>
      <w:r>
        <w:tab/>
      </w:r>
      <w:r>
        <w:tab/>
        <w:t>then north westerly along Cliff Street to Malcolm Street;</w:t>
      </w:r>
    </w:p>
    <w:p>
      <w:pPr>
        <w:pStyle w:val="ySubsection"/>
        <w:spacing w:before="0"/>
      </w:pPr>
      <w:r>
        <w:tab/>
      </w:r>
      <w:r>
        <w:tab/>
        <w:t>then south westerly along Malcolm Street to Kings Park Road;</w:t>
      </w:r>
    </w:p>
    <w:p>
      <w:pPr>
        <w:pStyle w:val="ySubsection"/>
        <w:keepNext/>
        <w:spacing w:before="0"/>
      </w:pPr>
      <w:r>
        <w:tab/>
      </w:r>
      <w:r>
        <w:tab/>
        <w:t>then westerly along Kings Park Road to the start;</w:t>
      </w:r>
    </w:p>
    <w:p>
      <w:pPr>
        <w:pStyle w:val="ySubsection"/>
        <w:spacing w:before="0"/>
      </w:pPr>
      <w:r>
        <w:tab/>
      </w:r>
      <w:r>
        <w:tab/>
        <w:t>but does not include Thomas Street, Loftus Street, Newcastle Street, the Kwinana Freeway, the Mitchell Freeway, the Causeway or Riverside Drive.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endnotePr>
            <w:numFmt w:val="decimal"/>
          </w:endnotePr>
          <w:pgSz w:w="11907" w:h="16840" w:code="9"/>
          <w:pgMar w:top="2376" w:right="2404" w:bottom="3544" w:left="2404" w:header="720" w:footer="3544" w:gutter="0"/>
          <w:cols w:space="720"/>
          <w:noEndnote/>
          <w:docGrid w:linePitch="326"/>
        </w:sectPr>
      </w:pPr>
    </w:p>
    <w:p>
      <w:pPr>
        <w:pStyle w:val="nHeading2"/>
      </w:pPr>
      <w:bookmarkStart w:id="992" w:name="_Toc201670743"/>
      <w:bookmarkStart w:id="993" w:name="_Toc201671407"/>
      <w:bookmarkStart w:id="994" w:name="_Toc201747389"/>
      <w:bookmarkStart w:id="995" w:name="_Toc200031842"/>
      <w:bookmarkStart w:id="996" w:name="_Toc200036830"/>
      <w:bookmarkStart w:id="997" w:name="_Toc200095649"/>
      <w:r>
        <w:t>Notes</w:t>
      </w:r>
      <w:bookmarkEnd w:id="992"/>
      <w:bookmarkEnd w:id="993"/>
      <w:bookmarkEnd w:id="994"/>
      <w:bookmarkEnd w:id="995"/>
      <w:bookmarkEnd w:id="996"/>
      <w:bookmarkEnd w:id="997"/>
    </w:p>
    <w:p>
      <w:pPr>
        <w:pStyle w:val="nStatement"/>
      </w:pPr>
      <w:r>
        <w:t xml:space="preserve">This is a compilation of the </w:t>
      </w:r>
      <w:r>
        <w:rPr>
          <w:i/>
          <w:noProof/>
        </w:rPr>
        <w:t>Dangerous Goods Safety (Explosives) Regulations 2007</w:t>
      </w:r>
      <w:r>
        <w:t xml:space="preserve"> and includes amendments made by other written laws. For provisions that have come into operation, and for information about any reprints, see the compilation table.</w:t>
      </w:r>
      <w:del w:id="998" w:author="Master Repository Process" w:date="2025-06-27T11:14:00Z">
        <w:r>
          <w:delText xml:space="preserve"> For provisions that have not yet come into operation see the uncommenced provisions table.</w:delText>
        </w:r>
      </w:del>
    </w:p>
    <w:p>
      <w:pPr>
        <w:pStyle w:val="nHeading3"/>
      </w:pPr>
      <w:bookmarkStart w:id="999" w:name="_Toc201747390"/>
      <w:bookmarkStart w:id="1000" w:name="_Toc200095650"/>
      <w:r>
        <w:t>Compilation table</w:t>
      </w:r>
      <w:bookmarkEnd w:id="999"/>
      <w:bookmarkEnd w:id="1000"/>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rPr>
                <w:iCs/>
              </w:rPr>
            </w:pPr>
            <w:r>
              <w:rPr>
                <w:i/>
              </w:rPr>
              <w:t>Dangerous Goods Safety (Explosives) Regulations 2007</w:t>
            </w:r>
          </w:p>
        </w:tc>
        <w:tc>
          <w:tcPr>
            <w:tcW w:w="1276" w:type="dxa"/>
            <w:tcBorders>
              <w:top w:val="single" w:sz="8" w:space="0" w:color="auto"/>
              <w:bottom w:val="nil"/>
            </w:tcBorders>
          </w:tcPr>
          <w:p>
            <w:pPr>
              <w:pStyle w:val="nTable"/>
              <w:spacing w:after="40"/>
            </w:pPr>
            <w:r>
              <w:t>31 Dec 2007 p. 6541-717</w:t>
            </w:r>
          </w:p>
        </w:tc>
        <w:tc>
          <w:tcPr>
            <w:tcW w:w="2693" w:type="dxa"/>
            <w:tcBorders>
              <w:top w:val="single" w:sz="8" w:space="0" w:color="auto"/>
              <w:bottom w:val="nil"/>
            </w:tcBorders>
          </w:tcPr>
          <w:p>
            <w:pPr>
              <w:pStyle w:val="nTable"/>
              <w:spacing w:after="40"/>
            </w:pPr>
            <w:r>
              <w:t>r. 1 and 2: 31 Dec 2007 (see r. 2(a));</w:t>
            </w:r>
            <w:r>
              <w:br/>
              <w:t xml:space="preserve">Regulations other than r. 1 and 2: 1 Mar 2008 (see r. 2(b) and </w:t>
            </w:r>
            <w:r>
              <w:rPr>
                <w:i/>
                <w:iCs/>
              </w:rPr>
              <w:t>Gazette</w:t>
            </w:r>
            <w:r>
              <w:t xml:space="preserve"> 29 Feb 2008 p. 669)</w:t>
            </w:r>
          </w:p>
        </w:tc>
      </w:tr>
      <w:tr>
        <w:tc>
          <w:tcPr>
            <w:tcW w:w="3119" w:type="dxa"/>
            <w:tcBorders>
              <w:top w:val="nil"/>
              <w:bottom w:val="nil"/>
            </w:tcBorders>
          </w:tcPr>
          <w:p>
            <w:pPr>
              <w:pStyle w:val="nTable"/>
              <w:spacing w:after="40"/>
              <w:rPr>
                <w:i/>
              </w:rPr>
            </w:pPr>
            <w:r>
              <w:rPr>
                <w:i/>
              </w:rPr>
              <w:t>Dangerous Goods Safety (Explosives) Amendment Regulations (No. 3) 2009</w:t>
            </w:r>
          </w:p>
        </w:tc>
        <w:tc>
          <w:tcPr>
            <w:tcW w:w="1276" w:type="dxa"/>
            <w:tcBorders>
              <w:top w:val="nil"/>
              <w:bottom w:val="nil"/>
            </w:tcBorders>
          </w:tcPr>
          <w:p>
            <w:pPr>
              <w:pStyle w:val="nTable"/>
              <w:spacing w:after="40"/>
            </w:pPr>
            <w:r>
              <w:t>16 Jun 2009 p. 2195</w:t>
            </w:r>
            <w:r>
              <w:noBreakHyphen/>
              <w:t>6</w:t>
            </w:r>
          </w:p>
        </w:tc>
        <w:tc>
          <w:tcPr>
            <w:tcW w:w="2693" w:type="dxa"/>
            <w:tcBorders>
              <w:top w:val="nil"/>
              <w:bottom w:val="nil"/>
            </w:tcBorders>
          </w:tcPr>
          <w:p>
            <w:pPr>
              <w:pStyle w:val="nTable"/>
              <w:spacing w:after="40"/>
            </w:pPr>
            <w:r>
              <w:rPr>
                <w:snapToGrid w:val="0"/>
              </w:rPr>
              <w:t>r. 1 and 2: 16 Jun 2009 (see r. 2(a));</w:t>
            </w:r>
            <w:r>
              <w:rPr>
                <w:snapToGrid w:val="0"/>
              </w:rPr>
              <w:br/>
              <w:t>Regulations other than r. 1 and 2: 1 Jul 2009 (see r. 2(b))</w:t>
            </w:r>
          </w:p>
        </w:tc>
      </w:tr>
      <w:tr>
        <w:tc>
          <w:tcPr>
            <w:tcW w:w="3119" w:type="dxa"/>
            <w:tcBorders>
              <w:top w:val="nil"/>
              <w:bottom w:val="nil"/>
            </w:tcBorders>
          </w:tcPr>
          <w:p>
            <w:pPr>
              <w:pStyle w:val="nTable"/>
              <w:spacing w:after="40"/>
              <w:rPr>
                <w:i/>
              </w:rPr>
            </w:pPr>
            <w:r>
              <w:rPr>
                <w:i/>
              </w:rPr>
              <w:t>Dangerous Goods Safety (Explosives) Amendment Regulations 2009</w:t>
            </w:r>
          </w:p>
        </w:tc>
        <w:tc>
          <w:tcPr>
            <w:tcW w:w="1276" w:type="dxa"/>
            <w:tcBorders>
              <w:top w:val="nil"/>
              <w:bottom w:val="nil"/>
            </w:tcBorders>
          </w:tcPr>
          <w:p>
            <w:pPr>
              <w:pStyle w:val="nTable"/>
              <w:spacing w:after="40"/>
            </w:pPr>
            <w:r>
              <w:t>21 Aug 2009 p. 3271-2</w:t>
            </w:r>
          </w:p>
        </w:tc>
        <w:tc>
          <w:tcPr>
            <w:tcW w:w="2693" w:type="dxa"/>
            <w:tcBorders>
              <w:top w:val="nil"/>
              <w:bottom w:val="nil"/>
            </w:tcBorders>
          </w:tcPr>
          <w:p>
            <w:pPr>
              <w:pStyle w:val="nTable"/>
              <w:spacing w:after="40"/>
              <w:rPr>
                <w:snapToGrid w:val="0"/>
              </w:rPr>
            </w:pPr>
            <w:r>
              <w:rPr>
                <w:snapToGrid w:val="0"/>
              </w:rPr>
              <w:t>r. 1 and 2: 21 Aug 2009 (see r. 2(a));</w:t>
            </w:r>
            <w:r>
              <w:rPr>
                <w:snapToGrid w:val="0"/>
              </w:rPr>
              <w:br/>
              <w:t>Regulations other than r. 1 and 2: 22 Aug 2009 (see r. 2(b))</w:t>
            </w:r>
          </w:p>
        </w:tc>
      </w:tr>
      <w:tr>
        <w:tc>
          <w:tcPr>
            <w:tcW w:w="3119" w:type="dxa"/>
            <w:tcBorders>
              <w:top w:val="nil"/>
              <w:bottom w:val="nil"/>
            </w:tcBorders>
          </w:tcPr>
          <w:p>
            <w:pPr>
              <w:pStyle w:val="nTable"/>
              <w:spacing w:after="40"/>
              <w:rPr>
                <w:i/>
              </w:rPr>
            </w:pPr>
            <w:r>
              <w:rPr>
                <w:i/>
              </w:rPr>
              <w:t>Dangerous Goods Safety (Explosives) Amendment Regulations (No. 2) 2009</w:t>
            </w:r>
          </w:p>
        </w:tc>
        <w:tc>
          <w:tcPr>
            <w:tcW w:w="1276" w:type="dxa"/>
            <w:tcBorders>
              <w:top w:val="nil"/>
              <w:bottom w:val="nil"/>
            </w:tcBorders>
          </w:tcPr>
          <w:p>
            <w:pPr>
              <w:pStyle w:val="nTable"/>
              <w:spacing w:after="40"/>
            </w:pPr>
            <w:r>
              <w:t>24 Nov 2009 p. 4737</w:t>
            </w:r>
            <w:r>
              <w:noBreakHyphen/>
              <w:t>40</w:t>
            </w:r>
          </w:p>
        </w:tc>
        <w:tc>
          <w:tcPr>
            <w:tcW w:w="2693" w:type="dxa"/>
            <w:tcBorders>
              <w:top w:val="nil"/>
              <w:bottom w:val="nil"/>
            </w:tcBorders>
          </w:tcPr>
          <w:p>
            <w:pPr>
              <w:pStyle w:val="nTable"/>
              <w:spacing w:after="40"/>
              <w:rPr>
                <w:snapToGrid w:val="0"/>
              </w:rPr>
            </w:pPr>
            <w:r>
              <w:rPr>
                <w:snapToGrid w:val="0"/>
              </w:rPr>
              <w:t>r. 1 and 2: 24 Nov 2009 (see r. 2(a));</w:t>
            </w:r>
            <w:r>
              <w:rPr>
                <w:snapToGrid w:val="0"/>
              </w:rPr>
              <w:br/>
              <w:t>Regulations other than r. 1 and 2: 25 Nov 2009 (see r. 2(b))</w:t>
            </w:r>
          </w:p>
        </w:tc>
      </w:tr>
      <w:tr>
        <w:tc>
          <w:tcPr>
            <w:tcW w:w="3119" w:type="dxa"/>
            <w:tcBorders>
              <w:top w:val="nil"/>
              <w:bottom w:val="nil"/>
            </w:tcBorders>
          </w:tcPr>
          <w:p>
            <w:pPr>
              <w:pStyle w:val="nTable"/>
              <w:spacing w:after="40"/>
              <w:rPr>
                <w:i/>
              </w:rPr>
            </w:pPr>
            <w:r>
              <w:rPr>
                <w:i/>
              </w:rPr>
              <w:t>Dangerous Goods Safety (Explosives) Amendment Regulations (No. 2) 2010</w:t>
            </w:r>
          </w:p>
        </w:tc>
        <w:tc>
          <w:tcPr>
            <w:tcW w:w="1276" w:type="dxa"/>
            <w:tcBorders>
              <w:top w:val="nil"/>
              <w:bottom w:val="nil"/>
            </w:tcBorders>
          </w:tcPr>
          <w:p>
            <w:pPr>
              <w:pStyle w:val="nTable"/>
              <w:spacing w:after="40"/>
            </w:pPr>
            <w:r>
              <w:t>25 Jun 2010 p. 2875-7</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9" w:type="dxa"/>
            <w:tcBorders>
              <w:top w:val="nil"/>
              <w:bottom w:val="nil"/>
            </w:tcBorders>
          </w:tcPr>
          <w:p>
            <w:pPr>
              <w:pStyle w:val="nTable"/>
              <w:spacing w:after="40"/>
              <w:rPr>
                <w:i/>
              </w:rPr>
            </w:pPr>
            <w:r>
              <w:rPr>
                <w:i/>
              </w:rPr>
              <w:t>Dangerous Goods Safety (Explosives) Amendment Regulations 2012</w:t>
            </w:r>
          </w:p>
        </w:tc>
        <w:tc>
          <w:tcPr>
            <w:tcW w:w="1276" w:type="dxa"/>
            <w:tcBorders>
              <w:top w:val="nil"/>
              <w:bottom w:val="nil"/>
            </w:tcBorders>
          </w:tcPr>
          <w:p>
            <w:pPr>
              <w:pStyle w:val="nTable"/>
              <w:spacing w:after="40"/>
            </w:pPr>
            <w:r>
              <w:t>16 Mar 2012 p. 1173</w:t>
            </w:r>
            <w:r>
              <w:noBreakHyphen/>
              <w:t>96</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17 Mar 2012 (see r. 2(b))</w:t>
            </w:r>
          </w:p>
        </w:tc>
      </w:tr>
      <w:tr>
        <w:tc>
          <w:tcPr>
            <w:tcW w:w="3119" w:type="dxa"/>
            <w:tcBorders>
              <w:top w:val="nil"/>
              <w:bottom w:val="nil"/>
            </w:tcBorders>
          </w:tcPr>
          <w:p>
            <w:pPr>
              <w:pStyle w:val="nTable"/>
              <w:spacing w:after="40"/>
              <w:rPr>
                <w:i/>
              </w:rPr>
            </w:pPr>
            <w:r>
              <w:rPr>
                <w:i/>
              </w:rPr>
              <w:t>Dangerous Goods Safety (Explosives) Amendment Regulations (No. 3) 2012</w:t>
            </w:r>
          </w:p>
        </w:tc>
        <w:tc>
          <w:tcPr>
            <w:tcW w:w="1276" w:type="dxa"/>
            <w:tcBorders>
              <w:top w:val="nil"/>
              <w:bottom w:val="nil"/>
            </w:tcBorders>
          </w:tcPr>
          <w:p>
            <w:pPr>
              <w:pStyle w:val="nTable"/>
              <w:spacing w:after="40"/>
            </w:pPr>
            <w:r>
              <w:t>16 Mar 2012 p. 1263</w:t>
            </w:r>
            <w:r>
              <w:noBreakHyphen/>
              <w:t>9</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 Apr 2012 (see r. 2(b))</w:t>
            </w:r>
          </w:p>
        </w:tc>
      </w:tr>
      <w:tr>
        <w:tc>
          <w:tcPr>
            <w:tcW w:w="3119" w:type="dxa"/>
            <w:tcBorders>
              <w:top w:val="nil"/>
              <w:bottom w:val="nil"/>
            </w:tcBorders>
          </w:tcPr>
          <w:p>
            <w:pPr>
              <w:pStyle w:val="nTable"/>
              <w:spacing w:after="40"/>
              <w:rPr>
                <w:i/>
              </w:rPr>
            </w:pPr>
            <w:r>
              <w:rPr>
                <w:i/>
              </w:rPr>
              <w:t>Dangerous Goods Safety (Explosives) Amendment Regulations (No. 5) 2012</w:t>
            </w:r>
          </w:p>
        </w:tc>
        <w:tc>
          <w:tcPr>
            <w:tcW w:w="1276" w:type="dxa"/>
            <w:tcBorders>
              <w:top w:val="nil"/>
              <w:bottom w:val="nil"/>
            </w:tcBorders>
          </w:tcPr>
          <w:p>
            <w:pPr>
              <w:pStyle w:val="nTable"/>
              <w:spacing w:after="40"/>
            </w:pPr>
            <w:r>
              <w:t>11 Jan 2013 p. 53</w:t>
            </w:r>
            <w:r>
              <w:noBreakHyphen/>
              <w:t>5</w:t>
            </w:r>
          </w:p>
        </w:tc>
        <w:tc>
          <w:tcPr>
            <w:tcW w:w="2693" w:type="dxa"/>
            <w:tcBorders>
              <w:top w:val="nil"/>
              <w:bottom w:val="nil"/>
            </w:tcBorders>
          </w:tcPr>
          <w:p>
            <w:pPr>
              <w:pStyle w:val="nTable"/>
              <w:spacing w:after="40"/>
              <w:rPr>
                <w:snapToGrid w:val="0"/>
              </w:rPr>
            </w:pPr>
            <w:r>
              <w:rPr>
                <w:snapToGrid w:val="0"/>
              </w:rPr>
              <w:t xml:space="preserve">r. 1 and 2: </w:t>
            </w:r>
            <w:r>
              <w:t>11 Jan 2013</w:t>
            </w:r>
            <w:r>
              <w:rPr>
                <w:snapToGrid w:val="0"/>
              </w:rPr>
              <w:t xml:space="preserve"> (see r. 2(a));</w:t>
            </w:r>
            <w:r>
              <w:rPr>
                <w:snapToGrid w:val="0"/>
              </w:rPr>
              <w:br/>
              <w:t>Regulations other than r. 1 and 2: 1 Apr 2013 (see r. 2(b))</w:t>
            </w:r>
          </w:p>
        </w:tc>
      </w:tr>
      <w:tr>
        <w:trPr>
          <w:cantSplit/>
        </w:trPr>
        <w:tc>
          <w:tcPr>
            <w:tcW w:w="3119" w:type="dxa"/>
            <w:tcBorders>
              <w:top w:val="nil"/>
              <w:bottom w:val="nil"/>
            </w:tcBorders>
            <w:shd w:val="clear" w:color="auto" w:fill="auto"/>
          </w:tcPr>
          <w:p>
            <w:pPr>
              <w:pStyle w:val="nTable"/>
              <w:spacing w:after="40"/>
              <w:rPr>
                <w:i/>
              </w:rPr>
            </w:pPr>
            <w:r>
              <w:rPr>
                <w:i/>
              </w:rPr>
              <w:t>Dangerous Goods Safety (Explosives) Amendment Regulations (No. 4) 2012</w:t>
            </w:r>
          </w:p>
        </w:tc>
        <w:tc>
          <w:tcPr>
            <w:tcW w:w="1276" w:type="dxa"/>
            <w:tcBorders>
              <w:top w:val="nil"/>
              <w:bottom w:val="nil"/>
            </w:tcBorders>
            <w:shd w:val="clear" w:color="auto" w:fill="auto"/>
          </w:tcPr>
          <w:p>
            <w:pPr>
              <w:pStyle w:val="nTable"/>
              <w:spacing w:after="40"/>
            </w:pPr>
            <w:r>
              <w:t>19 Feb 2013 p. 984-6</w:t>
            </w:r>
          </w:p>
        </w:tc>
        <w:tc>
          <w:tcPr>
            <w:tcW w:w="2693" w:type="dxa"/>
            <w:tcBorders>
              <w:top w:val="nil"/>
              <w:bottom w:val="nil"/>
            </w:tcBorders>
            <w:shd w:val="clear" w:color="auto" w:fill="auto"/>
          </w:tcPr>
          <w:p>
            <w:pPr>
              <w:pStyle w:val="nTable"/>
              <w:spacing w:after="40"/>
              <w:rPr>
                <w:snapToGrid w:val="0"/>
              </w:rPr>
            </w:pPr>
            <w:r>
              <w:rPr>
                <w:snapToGrid w:val="0"/>
              </w:rPr>
              <w:t xml:space="preserve">r. 1 and 2: </w:t>
            </w:r>
            <w:r>
              <w:t>19 Feb 2013</w:t>
            </w:r>
            <w:r>
              <w:rPr>
                <w:snapToGrid w:val="0"/>
              </w:rPr>
              <w:t xml:space="preserve"> (see r. 2(a));</w:t>
            </w:r>
            <w:r>
              <w:rPr>
                <w:snapToGrid w:val="0"/>
              </w:rPr>
              <w:br/>
              <w:t>Regulations other than r. 1 and 2: 20 Feb 2013 (see r. 2(b))</w:t>
            </w:r>
          </w:p>
        </w:tc>
      </w:tr>
      <w:tr>
        <w:tc>
          <w:tcPr>
            <w:tcW w:w="3119" w:type="dxa"/>
            <w:tcBorders>
              <w:top w:val="nil"/>
              <w:bottom w:val="nil"/>
            </w:tcBorders>
            <w:shd w:val="clear" w:color="auto" w:fill="auto"/>
          </w:tcPr>
          <w:p>
            <w:pPr>
              <w:pStyle w:val="nTable"/>
              <w:spacing w:after="40"/>
              <w:rPr>
                <w:i/>
              </w:rPr>
            </w:pPr>
            <w:r>
              <w:rPr>
                <w:i/>
              </w:rPr>
              <w:t>Dangerous Goods Safety (Explosives) Amendment Regulations (No. 3) 2013</w:t>
            </w:r>
          </w:p>
        </w:tc>
        <w:tc>
          <w:tcPr>
            <w:tcW w:w="1276" w:type="dxa"/>
            <w:tcBorders>
              <w:top w:val="nil"/>
              <w:bottom w:val="nil"/>
            </w:tcBorders>
            <w:shd w:val="clear" w:color="auto" w:fill="auto"/>
          </w:tcPr>
          <w:p>
            <w:pPr>
              <w:pStyle w:val="nTable"/>
              <w:spacing w:after="40"/>
            </w:pPr>
            <w:r>
              <w:t>28 Jun 2013 p. 2823-4</w:t>
            </w:r>
          </w:p>
        </w:tc>
        <w:tc>
          <w:tcPr>
            <w:tcW w:w="2693" w:type="dxa"/>
            <w:tcBorders>
              <w:top w:val="nil"/>
              <w:bottom w:val="nil"/>
            </w:tcBorders>
            <w:shd w:val="clear" w:color="auto" w:fill="auto"/>
          </w:tcPr>
          <w:p>
            <w:pPr>
              <w:pStyle w:val="nTable"/>
              <w:spacing w:after="40"/>
              <w:rPr>
                <w:snapToGrid w:val="0"/>
              </w:rPr>
            </w:pPr>
            <w:r>
              <w:rPr>
                <w:snapToGrid w:val="0"/>
              </w:rPr>
              <w:t>r. 1 and 2: 28</w:t>
            </w:r>
            <w:r>
              <w:t> Jun 2013</w:t>
            </w:r>
            <w:r>
              <w:rPr>
                <w:snapToGrid w:val="0"/>
              </w:rPr>
              <w:t xml:space="preserve"> (see r. 2(a));</w:t>
            </w:r>
            <w:r>
              <w:rPr>
                <w:snapToGrid w:val="0"/>
              </w:rPr>
              <w:br/>
              <w:t>Regulations other than r. 1 and 2: 1 Jul 2013 (see r. 2(b))</w:t>
            </w:r>
          </w:p>
        </w:tc>
      </w:tr>
      <w:tr>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 xml:space="preserve">Dangerous Goods Safety (Explosives) Regulations 2007 </w:t>
            </w:r>
            <w:r>
              <w:rPr>
                <w:b/>
                <w:snapToGrid w:val="0"/>
              </w:rPr>
              <w:t>as at 16 Aug 2013</w:t>
            </w:r>
            <w:r>
              <w:rPr>
                <w:snapToGrid w:val="0"/>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2013</w:t>
            </w:r>
          </w:p>
        </w:tc>
        <w:tc>
          <w:tcPr>
            <w:tcW w:w="1276" w:type="dxa"/>
            <w:tcBorders>
              <w:top w:val="nil"/>
              <w:bottom w:val="nil"/>
            </w:tcBorders>
          </w:tcPr>
          <w:p>
            <w:pPr>
              <w:pStyle w:val="nTable"/>
              <w:spacing w:after="40"/>
            </w:pPr>
            <w:r>
              <w:t>2 Dec 2013 p. 5567</w:t>
            </w:r>
            <w:r>
              <w:noBreakHyphen/>
              <w:t>619</w:t>
            </w:r>
          </w:p>
        </w:tc>
        <w:tc>
          <w:tcPr>
            <w:tcW w:w="2693" w:type="dxa"/>
            <w:tcBorders>
              <w:top w:val="nil"/>
              <w:bottom w:val="nil"/>
            </w:tcBorders>
          </w:tcPr>
          <w:p>
            <w:pPr>
              <w:pStyle w:val="nTable"/>
              <w:spacing w:after="40"/>
            </w:pPr>
            <w:r>
              <w:rPr>
                <w:bCs/>
                <w:snapToGrid w:val="0"/>
              </w:rPr>
              <w:t>r. 1 and 2: 2 Dec 2013 (see r. 2(a));</w:t>
            </w:r>
            <w:r>
              <w:rPr>
                <w:bCs/>
                <w:snapToGrid w:val="0"/>
              </w:rPr>
              <w:br/>
              <w:t xml:space="preserve">Regulations other than r. 1 and 2: </w:t>
            </w:r>
            <w:r>
              <w:t>1 Jan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2) 2014</w:t>
            </w:r>
          </w:p>
        </w:tc>
        <w:tc>
          <w:tcPr>
            <w:tcW w:w="1276" w:type="dxa"/>
            <w:tcBorders>
              <w:top w:val="nil"/>
              <w:bottom w:val="nil"/>
            </w:tcBorders>
          </w:tcPr>
          <w:p>
            <w:pPr>
              <w:pStyle w:val="nTable"/>
              <w:spacing w:after="40"/>
            </w:pPr>
            <w:r>
              <w:t>17 Jun 2014 p. 1988</w:t>
            </w:r>
            <w:r>
              <w:noBreakHyphen/>
              <w:t>9</w:t>
            </w:r>
          </w:p>
        </w:tc>
        <w:tc>
          <w:tcPr>
            <w:tcW w:w="2693" w:type="dxa"/>
            <w:tcBorders>
              <w:top w:val="nil"/>
              <w:bottom w:val="nil"/>
            </w:tcBorders>
          </w:tcPr>
          <w:p>
            <w:pPr>
              <w:pStyle w:val="nTable"/>
              <w:spacing w:after="40"/>
              <w:rPr>
                <w:bCs/>
                <w:snapToGrid w:val="0"/>
              </w:rPr>
            </w:pPr>
            <w:r>
              <w:rPr>
                <w:bCs/>
                <w:snapToGrid w:val="0"/>
                <w:spacing w:val="-2"/>
              </w:rPr>
              <w:t>r. 1 and 2: 17 Jun 2014 (see r. 2(a));</w:t>
            </w:r>
            <w:r>
              <w:rPr>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3) 2014</w:t>
            </w:r>
          </w:p>
        </w:tc>
        <w:tc>
          <w:tcPr>
            <w:tcW w:w="1276" w:type="dxa"/>
            <w:tcBorders>
              <w:top w:val="nil"/>
              <w:bottom w:val="nil"/>
            </w:tcBorders>
          </w:tcPr>
          <w:p>
            <w:pPr>
              <w:pStyle w:val="nTable"/>
              <w:spacing w:after="40"/>
            </w:pPr>
            <w:r>
              <w:t>24 Oct 2014 p. 4120</w:t>
            </w:r>
            <w:r>
              <w:noBreakHyphen/>
              <w:t>1</w:t>
            </w:r>
          </w:p>
        </w:tc>
        <w:tc>
          <w:tcPr>
            <w:tcW w:w="2693" w:type="dxa"/>
            <w:tcBorders>
              <w:top w:val="nil"/>
              <w:bottom w:val="nil"/>
            </w:tcBorders>
          </w:tcPr>
          <w:p>
            <w:pPr>
              <w:pStyle w:val="nTable"/>
              <w:spacing w:after="40"/>
              <w:rPr>
                <w:bCs/>
                <w:snapToGrid w:val="0"/>
                <w:spacing w:val="-2"/>
              </w:rPr>
            </w:pPr>
            <w:r>
              <w:rPr>
                <w:bCs/>
                <w:snapToGrid w:val="0"/>
                <w:spacing w:val="-2"/>
              </w:rPr>
              <w:t>r. 1 and 2: 24 Oct 2014 (see r. 2(a));</w:t>
            </w:r>
            <w:r>
              <w:rPr>
                <w:bCs/>
                <w:snapToGrid w:val="0"/>
                <w:spacing w:val="-2"/>
              </w:rPr>
              <w:br/>
              <w:t>Regulations other than r. 1 and 2: 25 Oct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2014</w:t>
            </w:r>
            <w:r>
              <w:t xml:space="preserve"> </w:t>
            </w:r>
          </w:p>
        </w:tc>
        <w:tc>
          <w:tcPr>
            <w:tcW w:w="1276" w:type="dxa"/>
            <w:tcBorders>
              <w:top w:val="nil"/>
              <w:bottom w:val="nil"/>
            </w:tcBorders>
          </w:tcPr>
          <w:p>
            <w:pPr>
              <w:pStyle w:val="nTable"/>
              <w:spacing w:after="40"/>
            </w:pPr>
            <w:r>
              <w:t>8 Jan 2015 p. 129</w:t>
            </w:r>
            <w:r>
              <w:noBreakHyphen/>
              <w:t>30</w:t>
            </w:r>
          </w:p>
        </w:tc>
        <w:tc>
          <w:tcPr>
            <w:tcW w:w="2693" w:type="dxa"/>
            <w:tcBorders>
              <w:top w:val="nil"/>
              <w:bottom w:val="nil"/>
            </w:tcBorders>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2015</w:t>
            </w:r>
          </w:p>
        </w:tc>
        <w:tc>
          <w:tcPr>
            <w:tcW w:w="1276" w:type="dxa"/>
            <w:tcBorders>
              <w:top w:val="nil"/>
              <w:bottom w:val="nil"/>
            </w:tcBorders>
          </w:tcPr>
          <w:p>
            <w:pPr>
              <w:pStyle w:val="nTable"/>
              <w:spacing w:after="40"/>
            </w:pPr>
            <w:r>
              <w:t>26 Jun 2015 p. 2267</w:t>
            </w:r>
            <w:r>
              <w:noBreakHyphen/>
              <w:t>8</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Dangerous Goods Safety Regulations Amendment Regulations 2016</w:t>
            </w:r>
            <w:r>
              <w:t xml:space="preserve"> Pt. 2</w:t>
            </w:r>
          </w:p>
        </w:tc>
        <w:tc>
          <w:tcPr>
            <w:tcW w:w="1276" w:type="dxa"/>
            <w:tcBorders>
              <w:top w:val="nil"/>
              <w:bottom w:val="nil"/>
            </w:tcBorders>
            <w:shd w:val="clear" w:color="auto" w:fill="auto"/>
          </w:tcPr>
          <w:p>
            <w:pPr>
              <w:pStyle w:val="nTable"/>
              <w:spacing w:after="40"/>
            </w:pPr>
            <w:r>
              <w:t>5 Feb 2016 p. 343</w:t>
            </w:r>
            <w:r>
              <w:noBreakHyphen/>
              <w:t>68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6 Feb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Levies) Regulations 2016</w:t>
            </w:r>
            <w:r>
              <w:t xml:space="preserve"> Pt. 2</w:t>
            </w:r>
          </w:p>
        </w:tc>
        <w:tc>
          <w:tcPr>
            <w:tcW w:w="1276" w:type="dxa"/>
            <w:tcBorders>
              <w:top w:val="nil"/>
              <w:bottom w:val="nil"/>
            </w:tcBorders>
          </w:tcPr>
          <w:p>
            <w:pPr>
              <w:pStyle w:val="nTable"/>
              <w:spacing w:after="40"/>
            </w:pPr>
            <w:r>
              <w:t>24 Jun 2016 p. 2325-34</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2: The </w:t>
            </w:r>
            <w:r>
              <w:rPr>
                <w:b/>
                <w:bCs/>
                <w:i/>
                <w:noProof/>
                <w:snapToGrid w:val="0"/>
                <w:spacing w:val="-2"/>
              </w:rPr>
              <w:t>Dangerous Goods Safety (Explosives) Regulations 2007</w:t>
            </w:r>
            <w:r>
              <w:rPr>
                <w:b/>
                <w:bCs/>
                <w:snapToGrid w:val="0"/>
                <w:spacing w:val="-2"/>
              </w:rPr>
              <w:t xml:space="preserve"> as at 7 Oct 2016</w:t>
            </w:r>
            <w:r>
              <w:rPr>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Dangerous Goods Safety Regulations Amendment Regulations 2017</w:t>
            </w:r>
            <w:r>
              <w:t xml:space="preserve"> Pt. 2</w:t>
            </w:r>
          </w:p>
        </w:tc>
        <w:tc>
          <w:tcPr>
            <w:tcW w:w="1276" w:type="dxa"/>
            <w:tcBorders>
              <w:top w:val="nil"/>
              <w:bottom w:val="nil"/>
            </w:tcBorders>
          </w:tcPr>
          <w:p>
            <w:pPr>
              <w:pStyle w:val="nTable"/>
              <w:spacing w:after="40"/>
            </w:pPr>
            <w:r>
              <w:t>3 Mar 2017 p. 1474-82</w:t>
            </w:r>
          </w:p>
        </w:tc>
        <w:tc>
          <w:tcPr>
            <w:tcW w:w="2693" w:type="dxa"/>
            <w:tcBorders>
              <w:top w:val="nil"/>
              <w:bottom w:val="nil"/>
            </w:tcBorders>
          </w:tcPr>
          <w:p>
            <w:pPr>
              <w:pStyle w:val="nTable"/>
              <w:spacing w:after="40"/>
              <w:rPr>
                <w:bCs/>
                <w:snapToGrid w:val="0"/>
                <w:spacing w:val="-2"/>
              </w:rPr>
            </w:pPr>
            <w:r>
              <w:rPr>
                <w:bCs/>
                <w:snapToGrid w:val="0"/>
                <w:spacing w:val="-2"/>
              </w:rPr>
              <w:t>4 Mar 2017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pPr>
            <w:r>
              <w:rPr>
                <w:i/>
              </w:rPr>
              <w:t>Mines and Petroleum Regulations Amendment (Fees and Charges) Regulations 2017</w:t>
            </w:r>
            <w:r>
              <w:t xml:space="preserve"> Pt. 2</w:t>
            </w:r>
          </w:p>
        </w:tc>
        <w:tc>
          <w:tcPr>
            <w:tcW w:w="1276" w:type="dxa"/>
            <w:tcBorders>
              <w:top w:val="nil"/>
              <w:bottom w:val="nil"/>
            </w:tcBorders>
          </w:tcPr>
          <w:p>
            <w:pPr>
              <w:pStyle w:val="nTable"/>
              <w:keepNext/>
              <w:spacing w:after="40"/>
            </w:pPr>
            <w:r>
              <w:t>23 Jun 2017 p. 3279</w:t>
            </w:r>
            <w:r>
              <w:noBreakHyphen/>
              <w:t>309</w:t>
            </w:r>
          </w:p>
        </w:tc>
        <w:tc>
          <w:tcPr>
            <w:tcW w:w="2693" w:type="dxa"/>
            <w:tcBorders>
              <w:top w:val="nil"/>
              <w:bottom w:val="nil"/>
            </w:tcBorders>
          </w:tcPr>
          <w:p>
            <w:pPr>
              <w:pStyle w:val="nTable"/>
              <w:keepNext/>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(Explosives) Amendment Regulations 2017</w:t>
            </w:r>
          </w:p>
        </w:tc>
        <w:tc>
          <w:tcPr>
            <w:tcW w:w="1276" w:type="dxa"/>
            <w:tcBorders>
              <w:top w:val="nil"/>
              <w:bottom w:val="nil"/>
            </w:tcBorders>
          </w:tcPr>
          <w:p>
            <w:pPr>
              <w:pStyle w:val="nTable"/>
              <w:spacing w:after="40"/>
            </w:pPr>
            <w:r>
              <w:t>27 Jun 2017 p. 3431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r. 1 and 2: 27 Jun 2017 (see r. 2(a));</w:t>
            </w:r>
            <w:r>
              <w:rPr>
                <w:bCs/>
                <w:snapToGrid w:val="0"/>
                <w:spacing w:val="-2"/>
              </w:rPr>
              <w:br/>
              <w:t>Regulations other than r. 1 and 2: 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u w:val="single"/>
              </w:rPr>
            </w:pPr>
            <w:r>
              <w:rPr>
                <w:i/>
              </w:rPr>
              <w:t>Dangerous Goods Safety Regulations Amendment Regulations 2018</w:t>
            </w:r>
            <w:r>
              <w:t xml:space="preserve"> Pt. 2</w:t>
            </w:r>
          </w:p>
        </w:tc>
        <w:tc>
          <w:tcPr>
            <w:tcW w:w="1276" w:type="dxa"/>
            <w:tcBorders>
              <w:top w:val="nil"/>
              <w:bottom w:val="nil"/>
            </w:tcBorders>
          </w:tcPr>
          <w:p>
            <w:pPr>
              <w:pStyle w:val="nTable"/>
              <w:spacing w:after="40"/>
            </w:pPr>
            <w:r>
              <w:t>20 Mar 2018 p. 996</w:t>
            </w:r>
            <w:r>
              <w:noBreakHyphen/>
              <w:t>1005</w:t>
            </w:r>
          </w:p>
        </w:tc>
        <w:tc>
          <w:tcPr>
            <w:tcW w:w="2693" w:type="dxa"/>
            <w:tcBorders>
              <w:top w:val="nil"/>
              <w:bottom w:val="nil"/>
            </w:tcBorders>
          </w:tcPr>
          <w:p>
            <w:pPr>
              <w:pStyle w:val="nTable"/>
              <w:spacing w:after="40"/>
              <w:rPr>
                <w:bCs/>
                <w:snapToGrid w:val="0"/>
                <w:spacing w:val="-2"/>
              </w:rPr>
            </w:pPr>
            <w:r>
              <w:rPr>
                <w:bCs/>
                <w:snapToGrid w:val="0"/>
                <w:spacing w:val="-2"/>
              </w:rPr>
              <w:t>21 Mar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2018</w:t>
            </w:r>
            <w:r>
              <w:t xml:space="preserve"> Pt. 2</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2019</w:t>
            </w:r>
            <w:r>
              <w:t xml:space="preserve"> Pt. 2</w:t>
            </w:r>
          </w:p>
        </w:tc>
        <w:tc>
          <w:tcPr>
            <w:tcW w:w="1276" w:type="dxa"/>
            <w:tcBorders>
              <w:top w:val="nil"/>
              <w:bottom w:val="nil"/>
            </w:tcBorders>
          </w:tcPr>
          <w:p>
            <w:pPr>
              <w:pStyle w:val="nTable"/>
              <w:spacing w:after="40"/>
            </w:pPr>
            <w:r>
              <w:t>18 Jun 2019 p. 2040</w:t>
            </w:r>
            <w:r>
              <w:noBreakHyphen/>
              <w:t>56</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(COVID</w:t>
            </w:r>
            <w:r>
              <w:rPr>
                <w:i/>
              </w:rPr>
              <w:noBreakHyphen/>
              <w:t xml:space="preserve">19 Response) Regulations 2020 </w:t>
            </w:r>
            <w:r>
              <w:t>Pt. 2</w:t>
            </w:r>
          </w:p>
        </w:tc>
        <w:tc>
          <w:tcPr>
            <w:tcW w:w="1276" w:type="dxa"/>
            <w:tcBorders>
              <w:top w:val="nil"/>
              <w:bottom w:val="nil"/>
            </w:tcBorders>
          </w:tcPr>
          <w:p>
            <w:pPr>
              <w:pStyle w:val="nTable"/>
              <w:spacing w:after="40"/>
            </w:pPr>
            <w:r>
              <w:t xml:space="preserve">SL 2020/103 29 Jun 2020 </w:t>
            </w:r>
          </w:p>
        </w:tc>
        <w:tc>
          <w:tcPr>
            <w:tcW w:w="2693" w:type="dxa"/>
            <w:tcBorders>
              <w:top w:val="nil"/>
              <w:bottom w:val="nil"/>
            </w:tcBorders>
          </w:tcPr>
          <w:p>
            <w:pPr>
              <w:pStyle w:val="nTable"/>
              <w:spacing w:after="40"/>
            </w:pPr>
            <w:r>
              <w:t>Repealed by SL 2020/104 r. 3 prior to commencement</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(COVID</w:t>
            </w:r>
            <w:r>
              <w:rPr>
                <w:i/>
              </w:rPr>
              <w:noBreakHyphen/>
              <w:t>19 Response) Repeal Regulations 2020</w:t>
            </w:r>
          </w:p>
        </w:tc>
        <w:tc>
          <w:tcPr>
            <w:tcW w:w="1276" w:type="dxa"/>
            <w:tcBorders>
              <w:top w:val="nil"/>
              <w:bottom w:val="nil"/>
            </w:tcBorders>
          </w:tcPr>
          <w:p>
            <w:pPr>
              <w:pStyle w:val="nTable"/>
              <w:spacing w:after="40"/>
            </w:pPr>
            <w:r>
              <w:t>SL 2020/104 29 Jun 2020</w:t>
            </w:r>
          </w:p>
        </w:tc>
        <w:tc>
          <w:tcPr>
            <w:tcW w:w="2693" w:type="dxa"/>
            <w:tcBorders>
              <w:top w:val="nil"/>
              <w:bottom w:val="nil"/>
            </w:tcBorders>
          </w:tcPr>
          <w:p>
            <w:pPr>
              <w:pStyle w:val="nTable"/>
              <w:spacing w:after="40"/>
            </w:pPr>
            <w:r>
              <w:t>29 Jun 2020 (see r. 2)</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(COVID</w:t>
            </w:r>
            <w:r>
              <w:rPr>
                <w:i/>
              </w:rPr>
              <w:noBreakHyphen/>
              <w:t xml:space="preserve">19 Response) Regulations (No. 2) 2020 </w:t>
            </w:r>
            <w:r>
              <w:t>Pt. 2</w:t>
            </w:r>
          </w:p>
        </w:tc>
        <w:tc>
          <w:tcPr>
            <w:tcW w:w="1276" w:type="dxa"/>
            <w:tcBorders>
              <w:top w:val="nil"/>
              <w:bottom w:val="nil"/>
            </w:tcBorders>
          </w:tcPr>
          <w:p>
            <w:pPr>
              <w:pStyle w:val="nTable"/>
              <w:spacing w:after="40"/>
            </w:pPr>
            <w:r>
              <w:t>SL 2020/197 27 Oct 2020</w:t>
            </w:r>
          </w:p>
        </w:tc>
        <w:tc>
          <w:tcPr>
            <w:tcW w:w="2693" w:type="dxa"/>
            <w:tcBorders>
              <w:top w:val="nil"/>
              <w:bottom w:val="nil"/>
            </w:tcBorders>
          </w:tcPr>
          <w:p>
            <w:pPr>
              <w:pStyle w:val="nTable"/>
              <w:spacing w:after="40"/>
            </w:pPr>
            <w:r>
              <w:t>28 Oct 2020 (see r. 2(b))</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(Fees and Charges) Regulations 2021</w:t>
            </w:r>
            <w:r>
              <w:t xml:space="preserve"> Pt. 2</w:t>
            </w:r>
          </w:p>
        </w:tc>
        <w:tc>
          <w:tcPr>
            <w:tcW w:w="1276" w:type="dxa"/>
            <w:tcBorders>
              <w:top w:val="nil"/>
              <w:bottom w:val="nil"/>
            </w:tcBorders>
          </w:tcPr>
          <w:p>
            <w:pPr>
              <w:pStyle w:val="nTable"/>
              <w:spacing w:after="40"/>
            </w:pPr>
            <w:r>
              <w:t>SL 2021/85 21 Jun 2021</w:t>
            </w:r>
          </w:p>
        </w:tc>
        <w:tc>
          <w:tcPr>
            <w:tcW w:w="2693" w:type="dxa"/>
            <w:tcBorders>
              <w:top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(Fees and Charges) Regulations 2022</w:t>
            </w:r>
            <w:r>
              <w:t xml:space="preserve"> Pt. 2</w:t>
            </w:r>
          </w:p>
        </w:tc>
        <w:tc>
          <w:tcPr>
            <w:tcW w:w="1276" w:type="dxa"/>
            <w:tcBorders>
              <w:top w:val="nil"/>
              <w:bottom w:val="nil"/>
            </w:tcBorders>
          </w:tcPr>
          <w:p>
            <w:pPr>
              <w:pStyle w:val="nTable"/>
              <w:spacing w:after="40"/>
            </w:pPr>
            <w:r>
              <w:t>SL 2022/58 20 May 2022</w:t>
            </w:r>
          </w:p>
        </w:tc>
        <w:tc>
          <w:tcPr>
            <w:tcW w:w="2693" w:type="dxa"/>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Dangerous Goods Safety (Explosives) Amendment Regulations 2022</w:t>
            </w:r>
          </w:p>
        </w:tc>
        <w:tc>
          <w:tcPr>
            <w:tcW w:w="1276" w:type="dxa"/>
            <w:tcBorders>
              <w:top w:val="nil"/>
              <w:bottom w:val="nil"/>
            </w:tcBorders>
          </w:tcPr>
          <w:p>
            <w:pPr>
              <w:pStyle w:val="nTable"/>
              <w:spacing w:after="40"/>
            </w:pPr>
            <w:r>
              <w:t>SL 2022/122 30 Jun 2022</w:t>
            </w:r>
          </w:p>
        </w:tc>
        <w:tc>
          <w:tcPr>
            <w:tcW w:w="2693" w:type="dxa"/>
            <w:tcBorders>
              <w:top w:val="nil"/>
              <w:bottom w:val="nil"/>
            </w:tcBorders>
          </w:tcPr>
          <w:p>
            <w:pPr>
              <w:pStyle w:val="nTable"/>
              <w:spacing w:after="40"/>
            </w:pPr>
            <w:r>
              <w:t>r. 1 and 2: 30 Jun 2022 (see r. 2(a));</w:t>
            </w:r>
            <w:r>
              <w:br/>
              <w:t>Regulations other than r. 1 and 2: 1 Jul 2022 (see r. 2(b))</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(Fees and Charges) Regulations 2023</w:t>
            </w:r>
            <w:r>
              <w:t xml:space="preserve"> Pt. 2</w:t>
            </w:r>
          </w:p>
        </w:tc>
        <w:tc>
          <w:tcPr>
            <w:tcW w:w="1276" w:type="dxa"/>
            <w:tcBorders>
              <w:top w:val="nil"/>
              <w:bottom w:val="nil"/>
            </w:tcBorders>
          </w:tcPr>
          <w:p>
            <w:pPr>
              <w:pStyle w:val="nTable"/>
              <w:spacing w:after="40"/>
            </w:pPr>
            <w:r>
              <w:t>SL 2023/36 5 May 2023</w:t>
            </w:r>
          </w:p>
        </w:tc>
        <w:tc>
          <w:tcPr>
            <w:tcW w:w="2693" w:type="dxa"/>
            <w:tcBorders>
              <w:top w:val="nil"/>
              <w:bottom w:val="nil"/>
            </w:tcBorders>
          </w:tcPr>
          <w:p>
            <w:pPr>
              <w:pStyle w:val="nTable"/>
              <w:spacing w:after="40"/>
            </w:pPr>
            <w:r>
              <w:t>1 Jul 2023 (see r. 2(b))</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(Fees and Charges) Regulations 2024</w:t>
            </w:r>
            <w:r>
              <w:rPr>
                <w:iCs/>
              </w:rPr>
              <w:t xml:space="preserve"> Pt. 2</w:t>
            </w:r>
          </w:p>
        </w:tc>
        <w:tc>
          <w:tcPr>
            <w:tcW w:w="1276" w:type="dxa"/>
            <w:tcBorders>
              <w:top w:val="nil"/>
              <w:bottom w:val="nil"/>
            </w:tcBorders>
          </w:tcPr>
          <w:p>
            <w:pPr>
              <w:pStyle w:val="nTable"/>
              <w:spacing w:after="40"/>
            </w:pPr>
            <w:r>
              <w:t>SL 2024/97 12 Jun 2024</w:t>
            </w:r>
          </w:p>
        </w:tc>
        <w:tc>
          <w:tcPr>
            <w:tcW w:w="2693" w:type="dxa"/>
            <w:tcBorders>
              <w:top w:val="nil"/>
              <w:bottom w:val="nil"/>
            </w:tcBorders>
          </w:tcPr>
          <w:p>
            <w:pPr>
              <w:pStyle w:val="nTable"/>
              <w:spacing w:after="40"/>
            </w:pPr>
            <w:r>
              <w:t>1 Jul 2024 (see r. 2(b))</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Dangerous Goods Safety (Explosives) Amendment Regulations 2024</w:t>
            </w:r>
          </w:p>
        </w:tc>
        <w:tc>
          <w:tcPr>
            <w:tcW w:w="1276" w:type="dxa"/>
            <w:tcBorders>
              <w:top w:val="nil"/>
              <w:bottom w:val="nil"/>
            </w:tcBorders>
          </w:tcPr>
          <w:p>
            <w:pPr>
              <w:pStyle w:val="nTable"/>
              <w:spacing w:after="40"/>
            </w:pPr>
            <w:r>
              <w:t>SL 2024/295 21 Dec 2024</w:t>
            </w:r>
          </w:p>
        </w:tc>
        <w:tc>
          <w:tcPr>
            <w:tcW w:w="2693" w:type="dxa"/>
            <w:tcBorders>
              <w:top w:val="nil"/>
              <w:bottom w:val="nil"/>
            </w:tcBorders>
          </w:tcPr>
          <w:p>
            <w:pPr>
              <w:pStyle w:val="nTable"/>
              <w:spacing w:after="40"/>
            </w:pPr>
            <w:r>
              <w:t>r. 1 and 2: 21 Dec 2024 (see r. 2(a));</w:t>
            </w:r>
            <w:r>
              <w:br/>
              <w:t>Regulations other than r. 1 and 2: 31 Mar 2025 (see r. 2(b) and SL 2024/289 cl. 2)</w:t>
            </w:r>
          </w:p>
        </w:tc>
      </w:tr>
    </w:tbl>
    <w:p>
      <w:pPr>
        <w:pStyle w:val="nHeading3"/>
        <w:rPr>
          <w:del w:id="1001" w:author="Master Repository Process" w:date="2025-06-27T11:14:00Z"/>
        </w:rPr>
      </w:pPr>
      <w:bookmarkStart w:id="1002" w:name="_Toc200095651"/>
      <w:del w:id="1003" w:author="Master Repository Process" w:date="2025-06-27T11:14:00Z">
        <w:r>
          <w:delText>Uncommenced provisions table</w:delText>
        </w:r>
        <w:bookmarkEnd w:id="1002"/>
      </w:del>
    </w:p>
    <w:p>
      <w:pPr>
        <w:pStyle w:val="nStatement"/>
        <w:keepNext/>
        <w:spacing w:after="240"/>
        <w:rPr>
          <w:del w:id="1004" w:author="Master Repository Process" w:date="2025-06-27T11:14:00Z"/>
        </w:rPr>
      </w:pPr>
      <w:del w:id="1005" w:author="Master Repository Process" w:date="2025-06-27T11:14: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1006" w:author="Master Repository Process" w:date="2025-06-27T11:14:00Z"/>
        </w:trPr>
        <w:tc>
          <w:tcPr>
            <w:tcW w:w="3118" w:type="dxa"/>
          </w:tcPr>
          <w:p>
            <w:pPr>
              <w:pStyle w:val="nTable"/>
              <w:spacing w:after="40"/>
              <w:rPr>
                <w:del w:id="1007" w:author="Master Repository Process" w:date="2025-06-27T11:14:00Z"/>
                <w:b/>
              </w:rPr>
            </w:pPr>
            <w:del w:id="1008" w:author="Master Repository Process" w:date="2025-06-27T11:14:00Z">
              <w:r>
                <w:rPr>
                  <w:b/>
                </w:rPr>
                <w:delText>Citation</w:delText>
              </w:r>
            </w:del>
          </w:p>
        </w:tc>
        <w:tc>
          <w:tcPr>
            <w:tcW w:w="1276" w:type="dxa"/>
          </w:tcPr>
          <w:p>
            <w:pPr>
              <w:pStyle w:val="nTable"/>
              <w:spacing w:after="40"/>
              <w:rPr>
                <w:del w:id="1009" w:author="Master Repository Process" w:date="2025-06-27T11:14:00Z"/>
                <w:b/>
              </w:rPr>
            </w:pPr>
            <w:del w:id="1010" w:author="Master Repository Process" w:date="2025-06-27T11:14:00Z">
              <w:r>
                <w:rPr>
                  <w:b/>
                </w:rPr>
                <w:delText>Published</w:delText>
              </w:r>
            </w:del>
          </w:p>
        </w:tc>
        <w:tc>
          <w:tcPr>
            <w:tcW w:w="2693" w:type="dxa"/>
          </w:tcPr>
          <w:p>
            <w:pPr>
              <w:pStyle w:val="nTable"/>
              <w:spacing w:after="40"/>
              <w:rPr>
                <w:del w:id="1011" w:author="Master Repository Process" w:date="2025-06-27T11:14:00Z"/>
                <w:b/>
              </w:rPr>
            </w:pPr>
            <w:del w:id="1012" w:author="Master Repository Process" w:date="2025-06-27T11:14:00Z">
              <w:r>
                <w:rPr>
                  <w:b/>
                </w:rPr>
                <w:delText>Commencement</w:delText>
              </w:r>
            </w:del>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tabs>
                <w:tab w:val="left" w:pos="945"/>
              </w:tabs>
              <w:spacing w:after="40"/>
              <w:rPr>
                <w:i/>
              </w:rPr>
            </w:pPr>
            <w:r>
              <w:rPr>
                <w:i/>
              </w:rPr>
              <w:t xml:space="preserve">Mines and Petroleum Regulations Amendment (Fees and Charges) Regulations 2025 </w:t>
            </w:r>
            <w:r>
              <w:rPr>
                <w:iCs/>
              </w:rPr>
              <w:t>Pt. 2</w:t>
            </w:r>
          </w:p>
        </w:tc>
        <w:tc>
          <w:tcPr>
            <w:tcW w:w="1276" w:type="dxa"/>
            <w:tcBorders>
              <w:top w:val="nil"/>
              <w:bottom w:val="single" w:sz="4" w:space="0" w:color="auto"/>
            </w:tcBorders>
          </w:tcPr>
          <w:p>
            <w:pPr>
              <w:pStyle w:val="nTable"/>
              <w:spacing w:after="40"/>
            </w:pPr>
            <w:r>
              <w:t>SL 2025/90 11 Jun 2025</w:t>
            </w:r>
          </w:p>
        </w:tc>
        <w:tc>
          <w:tcPr>
            <w:tcW w:w="2693" w:type="dxa"/>
            <w:tcBorders>
              <w:top w:val="nil"/>
              <w:bottom w:val="single" w:sz="4" w:space="0" w:color="auto"/>
            </w:tcBorders>
          </w:tcPr>
          <w:p>
            <w:pPr>
              <w:pStyle w:val="nTable"/>
              <w:spacing w:after="40"/>
            </w:pPr>
            <w:r>
              <w:t>1 Jul 2025 (see r. 2(b))</w:t>
            </w:r>
          </w:p>
        </w:tc>
      </w:tr>
    </w:tbl>
    <w:p>
      <w:pPr>
        <w:rPr>
          <w:ins w:id="1013" w:author="Master Repository Process" w:date="2025-06-27T11:14:00Z"/>
        </w:rPr>
      </w:pPr>
    </w:p>
    <w:p>
      <w:pPr>
        <w:sectPr>
          <w:headerReference w:type="even" r:id="rId31"/>
          <w:headerReference w:type="default" r:id="rId32"/>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Dangerous Goods Safety (Explosives) Regulations 2007</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02-t0-00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 matters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835" w:name="Schedule"/>
    <w:bookmarkEnd w:id="83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rPr>
              <w:b/>
            </w:rPr>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Prohibited explosives</w: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Prohibited explosives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Unrestricted fireworks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Unrestricted fireworks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14" w:name="Compilation"/>
    <w:bookmarkEnd w:id="1014"/>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15" w:name="Coversheet"/>
    <w:bookmarkEnd w:id="10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C10A1A90"/>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2"/>
  </w:num>
  <w:num w:numId="26">
    <w:abstractNumId w:val="20"/>
  </w:num>
  <w:num w:numId="27">
    <w:abstractNumId w:val="13"/>
  </w:num>
  <w:num w:numId="28">
    <w:abstractNumId w:val="11"/>
  </w:num>
  <w:num w:numId="2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4151138"/>
    <w:docVar w:name="WAFER_20131129113617" w:val="RemoveTocBookmarks,RemoveUnusedBookmarks,RemoveLanguageTags,UsedStyles,ResetPageSize"/>
    <w:docVar w:name="WAFER_20131129113617_GUID" w:val="5e78b08e-6e4a-4190-b8ea-3e1b13be9c1d"/>
    <w:docVar w:name="WAFER_20131129114038" w:val="UpdateArrangement"/>
    <w:docVar w:name="WAFER_20131129114038_GUID" w:val="72473340-7488-47f5-9a89-6a88ea963ae2"/>
    <w:docVar w:name="WAFER_20140110152653" w:val="RemoveTocBookmarks,RemoveUnusedBookmarks,RemoveLanguageTags,UsedStyles,ResetPageSize,UpdateArrangement"/>
    <w:docVar w:name="WAFER_20140110152653_GUID" w:val="55755933-7c46-42c9-adda-2d2fa61d4266"/>
    <w:docVar w:name="WAFER_20140110152918" w:val="RemoveTocBookmarks,RunningHeaders"/>
    <w:docVar w:name="WAFER_20140110152918_GUID" w:val="0bc79125-fd73-49b4-a7fb-f2b057e6d75a"/>
    <w:docVar w:name="WAFER_20140617153629" w:val="RemoveTocBookmarks,RemoveUnusedBookmarks,RemoveLanguageTags,UsedStyles,ResetPageSize,UpdateArrangement"/>
    <w:docVar w:name="WAFER_20140617153629_GUID" w:val="2033a939-f6d9-422a-adbd-21ae56c81d72"/>
    <w:docVar w:name="WAFER_20141023140100" w:val="RemoveTocBookmarks,RunningHeaders"/>
    <w:docVar w:name="WAFER_20141023140100_GUID" w:val="2c1dedf2-beef-400d-b3ee-f21360320cc5"/>
    <w:docVar w:name="WAFER_20150108115603" w:val="RemoveTocBookmarks,RunningHeaders"/>
    <w:docVar w:name="WAFER_20150108115603_GUID" w:val="1bccc2b1-d485-49c5-bf37-4eb64295ff7b"/>
    <w:docVar w:name="WAFER_20150410142959" w:val="ResetPageSize,UpdateArrangement,UpdateNTable"/>
    <w:docVar w:name="WAFER_20150410142959_GUID" w:val="70e95d46-1577-4a01-8794-ff19a8168424"/>
    <w:docVar w:name="WAFER_20151125093739" w:val="UpdateStyles"/>
    <w:docVar w:name="WAFER_20151125093739_GUID" w:val="7e538158-ad25-4e81-97e0-8cfcd4bc0cf1"/>
    <w:docVar w:name="WAFER_20151125142343" w:val="UsedStyles"/>
    <w:docVar w:name="WAFER_20151125142343_GUID" w:val="155db23b-0584-4446-b5b3-31dc4e023294"/>
    <w:docVar w:name="WAFER_20170125142729" w:val="RemoveTocBookmarks,RemoveUnusedBookmarks,RemoveLanguageTags,UsedStyles,ResetPageSize"/>
    <w:docVar w:name="WAFER_20170125142729_GUID" w:val="4e8a4b39-889f-48b5-b896-8084fd13ba62"/>
    <w:docVar w:name="WAFER_20170302142503" w:val="RemoveTocBookmarks,RemoveUnusedBookmarks,RemoveLanguageTags,UsedStyles,ResetPageSize"/>
    <w:docVar w:name="WAFER_20170302142503_GUID" w:val="7d5b21f8-5617-40b9-a397-21e35604df31"/>
    <w:docVar w:name="WAFER_20200629121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9121856_GUID" w:val="e7dc3f9a-6981-49b6-ac8e-d7c82f6a923a"/>
    <w:docVar w:name="WAFER_202010260902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6090218_GUID" w:val="635d9eec-330b-4cbf-b00c-6096c7afd238"/>
    <w:docVar w:name="WAFER_202106181151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15103_GUID" w:val="cbcf292b-f557-4f60-bc23-9f1a0cea1870"/>
    <w:docVar w:name="WAFER_20210624105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05716_GUID" w:val="24a777d0-4a24-4ed4-b914-44347561d535"/>
    <w:docVar w:name="WAFER_202205171417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41755_GUID" w:val="7c44c774-1b46-4682-ab42-faaa4a1967d3"/>
    <w:docVar w:name="WAFER_202206230925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501_GUID" w:val="831b0388-f504-4279-af02-f7482ffe57f5"/>
    <w:docVar w:name="WAFER_202305021438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3836_GUID" w:val="25c562cc-8444-403e-a805-ba8110207c7d"/>
    <w:docVar w:name="WAFER_20230626113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3542_GUID" w:val="473fb29f-0961-435f-8f7d-48e4a5392a12"/>
    <w:docVar w:name="WAFER_202312271634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3459_GUID" w:val="62a49739-a63c-486e-9acc-9dffc1d9ebde"/>
    <w:docVar w:name="WAFER_202406070936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093610_GUID" w:val="e4c3a506-89c0-4d38-ac4c-c6562bdd29e4"/>
    <w:docVar w:name="WAFER_202406250944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094408_GUID" w:val="21d5861c-a405-48d2-a4e8-3c4a132bf547"/>
    <w:docVar w:name="WAFER_202412181545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4522_GUID" w:val="b803b05d-781b-4be4-9184-013855ffa163"/>
    <w:docVar w:name="WAFER_202503141349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34928_GUID" w:val="abb3977d-c24d-4804-bbb6-f9d67191a1b4"/>
    <w:docVar w:name="WAFER_202506051551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55153_GUID" w:val="a0de6ece-5a48-46de-a48b-8b7a3c29dc6e"/>
    <w:docVar w:name="WAFER_202506241511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4151138_GUID" w:val="6ff89d52-f09f-431d-8e0a-8a12f901c6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A3673F1-5492-43A7-B9D5-150CE720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203563">
      <w:bodyDiv w:val="1"/>
      <w:marLeft w:val="0"/>
      <w:marRight w:val="0"/>
      <w:marTop w:val="0"/>
      <w:marBottom w:val="0"/>
      <w:divBdr>
        <w:top w:val="none" w:sz="0" w:space="0" w:color="auto"/>
        <w:left w:val="none" w:sz="0" w:space="0" w:color="auto"/>
        <w:bottom w:val="none" w:sz="0" w:space="0" w:color="auto"/>
        <w:right w:val="none" w:sz="0" w:space="0" w:color="auto"/>
      </w:divBdr>
    </w:div>
    <w:div w:id="471601779">
      <w:bodyDiv w:val="1"/>
      <w:marLeft w:val="0"/>
      <w:marRight w:val="0"/>
      <w:marTop w:val="0"/>
      <w:marBottom w:val="0"/>
      <w:divBdr>
        <w:top w:val="none" w:sz="0" w:space="0" w:color="auto"/>
        <w:left w:val="none" w:sz="0" w:space="0" w:color="auto"/>
        <w:bottom w:val="none" w:sz="0" w:space="0" w:color="auto"/>
        <w:right w:val="none" w:sz="0" w:space="0" w:color="auto"/>
      </w:divBdr>
    </w:div>
    <w:div w:id="530925002">
      <w:bodyDiv w:val="1"/>
      <w:marLeft w:val="0"/>
      <w:marRight w:val="0"/>
      <w:marTop w:val="0"/>
      <w:marBottom w:val="0"/>
      <w:divBdr>
        <w:top w:val="none" w:sz="0" w:space="0" w:color="auto"/>
        <w:left w:val="none" w:sz="0" w:space="0" w:color="auto"/>
        <w:bottom w:val="none" w:sz="0" w:space="0" w:color="auto"/>
        <w:right w:val="none" w:sz="0" w:space="0" w:color="auto"/>
      </w:divBdr>
    </w:div>
    <w:div w:id="744961584">
      <w:bodyDiv w:val="1"/>
      <w:marLeft w:val="0"/>
      <w:marRight w:val="0"/>
      <w:marTop w:val="0"/>
      <w:marBottom w:val="0"/>
      <w:divBdr>
        <w:top w:val="none" w:sz="0" w:space="0" w:color="auto"/>
        <w:left w:val="none" w:sz="0" w:space="0" w:color="auto"/>
        <w:bottom w:val="none" w:sz="0" w:space="0" w:color="auto"/>
        <w:right w:val="none" w:sz="0" w:space="0" w:color="auto"/>
      </w:divBdr>
    </w:div>
    <w:div w:id="832917234">
      <w:bodyDiv w:val="1"/>
      <w:marLeft w:val="0"/>
      <w:marRight w:val="0"/>
      <w:marTop w:val="0"/>
      <w:marBottom w:val="0"/>
      <w:divBdr>
        <w:top w:val="none" w:sz="0" w:space="0" w:color="auto"/>
        <w:left w:val="none" w:sz="0" w:space="0" w:color="auto"/>
        <w:bottom w:val="none" w:sz="0" w:space="0" w:color="auto"/>
        <w:right w:val="none" w:sz="0" w:space="0" w:color="auto"/>
      </w:divBdr>
    </w:div>
    <w:div w:id="892932285">
      <w:bodyDiv w:val="1"/>
      <w:marLeft w:val="0"/>
      <w:marRight w:val="0"/>
      <w:marTop w:val="0"/>
      <w:marBottom w:val="0"/>
      <w:divBdr>
        <w:top w:val="none" w:sz="0" w:space="0" w:color="auto"/>
        <w:left w:val="none" w:sz="0" w:space="0" w:color="auto"/>
        <w:bottom w:val="none" w:sz="0" w:space="0" w:color="auto"/>
        <w:right w:val="none" w:sz="0" w:space="0" w:color="auto"/>
      </w:divBdr>
    </w:div>
    <w:div w:id="1129742286">
      <w:bodyDiv w:val="1"/>
      <w:marLeft w:val="0"/>
      <w:marRight w:val="0"/>
      <w:marTop w:val="0"/>
      <w:marBottom w:val="0"/>
      <w:divBdr>
        <w:top w:val="none" w:sz="0" w:space="0" w:color="auto"/>
        <w:left w:val="none" w:sz="0" w:space="0" w:color="auto"/>
        <w:bottom w:val="none" w:sz="0" w:space="0" w:color="auto"/>
        <w:right w:val="none" w:sz="0" w:space="0" w:color="auto"/>
      </w:divBdr>
    </w:div>
    <w:div w:id="1447196444">
      <w:bodyDiv w:val="1"/>
      <w:marLeft w:val="0"/>
      <w:marRight w:val="0"/>
      <w:marTop w:val="0"/>
      <w:marBottom w:val="0"/>
      <w:divBdr>
        <w:top w:val="none" w:sz="0" w:space="0" w:color="auto"/>
        <w:left w:val="none" w:sz="0" w:space="0" w:color="auto"/>
        <w:bottom w:val="none" w:sz="0" w:space="0" w:color="auto"/>
        <w:right w:val="none" w:sz="0" w:space="0" w:color="auto"/>
      </w:divBdr>
    </w:div>
    <w:div w:id="1686470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70C169-0D26-49EB-9929-241E09225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45010</Words>
  <Characters>214700</Characters>
  <Application>Microsoft Office Word</Application>
  <DocSecurity>0</DocSecurity>
  <Lines>5963</Lines>
  <Paragraphs>3710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256000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02-s0-00 - 02-t0-00</dc:title>
  <dc:subject/>
  <dc:creator/>
  <cp:keywords/>
  <dc:description/>
  <cp:lastModifiedBy>Master Repository Process</cp:lastModifiedBy>
  <cp:revision>2</cp:revision>
  <cp:lastPrinted>2018-03-20T03:52:00Z</cp:lastPrinted>
  <dcterms:created xsi:type="dcterms:W3CDTF">2025-06-27T03:13:00Z</dcterms:created>
  <dcterms:modified xsi:type="dcterms:W3CDTF">2025-06-27T03:15:00Z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OWLSUId">
    <vt:i4>7019</vt:i4>
  </property>
  <property fmtid="{D5CDD505-2E9C-101B-9397-08002B2CF9AE}" pid="4" name="DocumentType">
    <vt:lpwstr>Reg</vt:lpwstr>
  </property>
  <property fmtid="{D5CDD505-2E9C-101B-9397-08002B2CF9AE}" pid="5" name="ReprintedAsAt">
    <vt:filetime>2016-10-06T16:00:00Z</vt:filetime>
  </property>
  <property fmtid="{D5CDD505-2E9C-101B-9397-08002B2CF9AE}" pid="6" name="ReprintNo">
    <vt:lpwstr>2</vt:lpwstr>
  </property>
  <property fmtid="{D5CDD505-2E9C-101B-9397-08002B2CF9AE}" pid="7" name="Official">
    <vt:lpwstr/>
  </property>
  <property fmtid="{D5CDD505-2E9C-101B-9397-08002B2CF9AE}" pid="8" name="CommencementDate">
    <vt:lpwstr>20250701</vt:lpwstr>
  </property>
  <property fmtid="{D5CDD505-2E9C-101B-9397-08002B2CF9AE}" pid="9" name="CommencementAsAt">
    <vt:filetime>2025-06-30T16:00:00Z</vt:filetime>
  </property>
  <property fmtid="{D5CDD505-2E9C-101B-9397-08002B2CF9AE}" pid="10" name="CommencementYear">
    <vt:lpwstr>2025</vt:lpwstr>
  </property>
  <property fmtid="{D5CDD505-2E9C-101B-9397-08002B2CF9AE}" pid="11" name="FromSuffix">
    <vt:lpwstr>02-s0-00</vt:lpwstr>
  </property>
  <property fmtid="{D5CDD505-2E9C-101B-9397-08002B2CF9AE}" pid="12" name="FromAsAtDate">
    <vt:lpwstr>11 Jun 2025</vt:lpwstr>
  </property>
  <property fmtid="{D5CDD505-2E9C-101B-9397-08002B2CF9AE}" pid="13" name="ToSuffix">
    <vt:lpwstr>02-t0-00</vt:lpwstr>
  </property>
  <property fmtid="{D5CDD505-2E9C-101B-9397-08002B2CF9AE}" pid="14" name="ToAsAtDate">
    <vt:lpwstr>01 Jul 2025</vt:lpwstr>
  </property>
</Properties>
</file>