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201754802"/>
      <w:bookmarkStart w:id="2" w:name="_Toc20010508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01754803"/>
      <w:bookmarkStart w:id="4" w:name="_Toc20010508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201754804"/>
      <w:bookmarkStart w:id="6" w:name="_Toc200105087"/>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7" w:name="_Toc201754805"/>
      <w:bookmarkStart w:id="8" w:name="_Toc200105088"/>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9" w:name="_Toc201754806"/>
      <w:bookmarkStart w:id="10" w:name="_Toc200105089"/>
      <w:r>
        <w:rPr>
          <w:rStyle w:val="CharSectno"/>
        </w:rPr>
        <w:t>4</w:t>
      </w:r>
      <w:r>
        <w:rPr>
          <w:snapToGrid w:val="0"/>
        </w:rPr>
        <w:t>.</w:t>
      </w:r>
      <w:r>
        <w:rPr>
          <w:snapToGrid w:val="0"/>
        </w:rPr>
        <w:tab/>
        <w:t>Form of instrument of transfer</w:t>
      </w:r>
      <w:bookmarkEnd w:id="9"/>
      <w:bookmarkEnd w:id="1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1" w:name="_Toc201754807"/>
      <w:bookmarkStart w:id="12" w:name="_Toc200105090"/>
      <w:r>
        <w:rPr>
          <w:rStyle w:val="CharSectno"/>
        </w:rPr>
        <w:t>5</w:t>
      </w:r>
      <w:r>
        <w:rPr>
          <w:snapToGrid w:val="0"/>
        </w:rPr>
        <w:t>.</w:t>
      </w:r>
      <w:r>
        <w:rPr>
          <w:snapToGrid w:val="0"/>
        </w:rPr>
        <w:tab/>
        <w:t>Instrument under Act s. 81(4)(b)</w:t>
      </w:r>
      <w:bookmarkEnd w:id="11"/>
      <w:bookmarkEnd w:id="12"/>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3" w:name="_Toc201754808"/>
      <w:bookmarkStart w:id="14" w:name="_Toc200105091"/>
      <w:r>
        <w:rPr>
          <w:rStyle w:val="CharSectno"/>
        </w:rPr>
        <w:t>8</w:t>
      </w:r>
      <w:r>
        <w:rPr>
          <w:snapToGrid w:val="0"/>
        </w:rPr>
        <w:t>.</w:t>
      </w:r>
      <w:r>
        <w:rPr>
          <w:snapToGrid w:val="0"/>
        </w:rPr>
        <w:tab/>
        <w:t>Royalty value — deductible imposts</w:t>
      </w:r>
      <w:bookmarkEnd w:id="13"/>
      <w:bookmarkEnd w:id="14"/>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5" w:name="_Toc201754809"/>
      <w:bookmarkStart w:id="16" w:name="_Toc200105092"/>
      <w:r>
        <w:rPr>
          <w:rStyle w:val="CharSectno"/>
        </w:rPr>
        <w:t>9</w:t>
      </w:r>
      <w:r>
        <w:t>.</w:t>
      </w:r>
      <w:r>
        <w:tab/>
        <w:t>Application of Geocentric Datum of Australia</w:t>
      </w:r>
      <w:bookmarkEnd w:id="15"/>
      <w:bookmarkEnd w:id="1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7" w:name="_Toc201754810"/>
      <w:bookmarkStart w:id="18" w:name="_Toc200105093"/>
      <w:r>
        <w:rPr>
          <w:rStyle w:val="CharSectno"/>
        </w:rPr>
        <w:t>10</w:t>
      </w:r>
      <w:r>
        <w:t>.</w:t>
      </w:r>
      <w:r>
        <w:tab/>
        <w:t>Application of GDA to certain instruments</w:t>
      </w:r>
      <w:bookmarkEnd w:id="17"/>
      <w:bookmarkEnd w:id="1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9" w:name="_Toc201754811"/>
      <w:bookmarkStart w:id="20" w:name="_Toc200105094"/>
      <w:r>
        <w:rPr>
          <w:rStyle w:val="CharSectno"/>
        </w:rPr>
        <w:t>11</w:t>
      </w:r>
      <w:r>
        <w:t>.</w:t>
      </w:r>
      <w:r>
        <w:tab/>
        <w:t>Application of Australian Geodetic Datum</w:t>
      </w:r>
      <w:bookmarkEnd w:id="19"/>
      <w:bookmarkEnd w:id="2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1" w:name="_Toc201754812"/>
      <w:bookmarkStart w:id="22" w:name="_Toc200105095"/>
      <w:r>
        <w:rPr>
          <w:rStyle w:val="CharSectno"/>
        </w:rPr>
        <w:t>12</w:t>
      </w:r>
      <w:r>
        <w:t>.</w:t>
      </w:r>
      <w:r>
        <w:tab/>
        <w:t>Transitional provision: operation of r. 3</w:t>
      </w:r>
      <w:bookmarkEnd w:id="21"/>
      <w:bookmarkEnd w:id="2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3" w:name="_Toc201676480"/>
      <w:bookmarkStart w:id="24" w:name="_Toc201676665"/>
      <w:bookmarkStart w:id="25" w:name="_Toc201754813"/>
      <w:bookmarkStart w:id="26" w:name="_Toc200097791"/>
      <w:bookmarkStart w:id="27" w:name="_Toc200098095"/>
      <w:bookmarkStart w:id="28" w:name="_Toc200105096"/>
      <w:r>
        <w:rPr>
          <w:rStyle w:val="CharSchNo"/>
        </w:rPr>
        <w:t>Schedule 1</w:t>
      </w:r>
      <w:r>
        <w:t> — </w:t>
      </w:r>
      <w:r>
        <w:rPr>
          <w:rStyle w:val="CharSchText"/>
        </w:rPr>
        <w:t>Prescribed fees</w:t>
      </w:r>
      <w:bookmarkEnd w:id="23"/>
      <w:bookmarkEnd w:id="24"/>
      <w:bookmarkEnd w:id="25"/>
      <w:bookmarkEnd w:id="26"/>
      <w:bookmarkEnd w:id="27"/>
      <w:bookmarkEnd w:id="28"/>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8 </w:t>
            </w:r>
            <w:del w:id="29" w:author="Master Repository Process" w:date="2025-06-27T13:48:00Z">
              <w:r>
                <w:delText>740</w:delText>
              </w:r>
            </w:del>
            <w:ins w:id="30" w:author="Master Repository Process" w:date="2025-06-27T13:48:00Z">
              <w:r>
                <w:rPr>
                  <w:szCs w:val="22"/>
                </w:rPr>
                <w:t>950</w:t>
              </w:r>
            </w:ins>
            <w:r>
              <w:rPr>
                <w:szCs w:val="22"/>
              </w:rP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31" w:author="Master Repository Process" w:date="2025-06-27T13:48:00Z">
              <w:r>
                <w:delText>163</w:delText>
              </w:r>
            </w:del>
            <w:ins w:id="32" w:author="Master Repository Process" w:date="2025-06-27T13:48:00Z">
              <w:r>
                <w:rPr>
                  <w:szCs w:val="22"/>
                </w:rPr>
                <w:t>167</w:t>
              </w:r>
            </w:ins>
            <w:r>
              <w:rPr>
                <w:szCs w:val="22"/>
              </w:rPr>
              <w:t>.00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del w:id="33" w:author="Master Repository Process" w:date="2025-06-27T13:48:00Z">
              <w:r>
                <w:delText>228</w:delText>
              </w:r>
            </w:del>
            <w:ins w:id="34" w:author="Master Repository Process" w:date="2025-06-27T13:48:00Z">
              <w:r>
                <w:rPr>
                  <w:szCs w:val="22"/>
                </w:rPr>
                <w:t>233</w:t>
              </w:r>
            </w:ins>
            <w:r>
              <w:rPr>
                <w:szCs w:val="22"/>
              </w:rPr>
              <w:t>.00</w:t>
            </w:r>
          </w:p>
        </w:tc>
      </w:tr>
    </w:tbl>
    <w:p>
      <w:pPr>
        <w:pStyle w:val="yFootnotesection"/>
      </w:pPr>
      <w:r>
        <w:tab/>
        <w:t>[Schedule 1 inserted: SL 2024/97 r. </w:t>
      </w:r>
      <w:del w:id="35" w:author="Master Repository Process" w:date="2025-06-27T13:48:00Z">
        <w:r>
          <w:delText>25</w:delText>
        </w:r>
      </w:del>
      <w:ins w:id="36" w:author="Master Repository Process" w:date="2025-06-27T13:48:00Z">
        <w:r>
          <w:t>25; amended: SL 2025/90 r. 26</w:t>
        </w:r>
      </w:ins>
      <w:r>
        <w:t>.]</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8" w:name="_Toc201676481"/>
      <w:bookmarkStart w:id="39" w:name="_Toc201676666"/>
      <w:bookmarkStart w:id="40" w:name="_Toc201754814"/>
      <w:bookmarkStart w:id="41" w:name="_Toc200097792"/>
      <w:bookmarkStart w:id="42" w:name="_Toc200098096"/>
      <w:bookmarkStart w:id="43" w:name="_Toc200105097"/>
      <w:r>
        <w:rPr>
          <w:rStyle w:val="CharSchNo"/>
        </w:rPr>
        <w:t>Schedule 2</w:t>
      </w:r>
      <w:bookmarkEnd w:id="38"/>
      <w:bookmarkEnd w:id="39"/>
      <w:bookmarkEnd w:id="40"/>
      <w:bookmarkEnd w:id="41"/>
      <w:bookmarkEnd w:id="42"/>
      <w:bookmarkEnd w:id="43"/>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44" w:name="_Toc201676482"/>
      <w:bookmarkStart w:id="45" w:name="_Toc201676667"/>
      <w:bookmarkStart w:id="46" w:name="_Toc201754815"/>
      <w:bookmarkStart w:id="47" w:name="_Toc200097793"/>
      <w:bookmarkStart w:id="48" w:name="_Toc200098097"/>
      <w:bookmarkStart w:id="49" w:name="_Toc200105098"/>
      <w:r>
        <w:t>Notes</w:t>
      </w:r>
      <w:bookmarkEnd w:id="44"/>
      <w:bookmarkEnd w:id="45"/>
      <w:bookmarkEnd w:id="46"/>
      <w:bookmarkEnd w:id="47"/>
      <w:bookmarkEnd w:id="48"/>
      <w:bookmarkEnd w:id="49"/>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del w:id="50" w:author="Master Repository Process" w:date="2025-06-27T13:48:00Z">
        <w:r>
          <w:delText xml:space="preserve"> For provisions that have not yet come into operation see the uncommenced provisions table.</w:delText>
        </w:r>
      </w:del>
    </w:p>
    <w:p>
      <w:pPr>
        <w:pStyle w:val="nHeading3"/>
      </w:pPr>
      <w:bookmarkStart w:id="51" w:name="_Toc201754816"/>
      <w:bookmarkStart w:id="52" w:name="_Toc200105099"/>
      <w:r>
        <w:t>Compilation table</w:t>
      </w:r>
      <w:bookmarkEnd w:id="51"/>
      <w:bookmarkEnd w:id="52"/>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pPr>
              <w:pStyle w:val="nTable"/>
              <w:spacing w:after="40"/>
            </w:pPr>
            <w:r>
              <w:t>SL 2024/97 12 Jun 2024</w:t>
            </w:r>
          </w:p>
        </w:tc>
        <w:tc>
          <w:tcPr>
            <w:tcW w:w="2730" w:type="dxa"/>
            <w:gridSpan w:val="2"/>
            <w:tcBorders>
              <w:top w:val="nil"/>
              <w:bottom w:val="nil"/>
            </w:tcBorders>
          </w:tcPr>
          <w:p>
            <w:pPr>
              <w:pStyle w:val="nTable"/>
              <w:spacing w:after="40"/>
            </w:pPr>
            <w:r>
              <w:t>1 Jul 2024 (see r. 2(b))</w:t>
            </w:r>
          </w:p>
        </w:tc>
      </w:tr>
    </w:tbl>
    <w:p>
      <w:pPr>
        <w:pStyle w:val="nHeading3"/>
        <w:rPr>
          <w:del w:id="53" w:author="Master Repository Process" w:date="2025-06-27T13:48:00Z"/>
        </w:rPr>
      </w:pPr>
      <w:bookmarkStart w:id="54" w:name="_Toc200105100"/>
      <w:del w:id="55" w:author="Master Repository Process" w:date="2025-06-27T13:48:00Z">
        <w:r>
          <w:delText>Uncommenced provisions table</w:delText>
        </w:r>
        <w:bookmarkEnd w:id="54"/>
      </w:del>
    </w:p>
    <w:p>
      <w:pPr>
        <w:pStyle w:val="nStatement"/>
        <w:keepNext/>
        <w:spacing w:after="240"/>
        <w:rPr>
          <w:del w:id="56" w:author="Master Repository Process" w:date="2025-06-27T13:48:00Z"/>
        </w:rPr>
      </w:pPr>
      <w:del w:id="57" w:author="Master Repository Process" w:date="2025-06-27T13:4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66"/>
      </w:tblGrid>
      <w:tr>
        <w:trPr>
          <w:gridAfter w:val="1"/>
          <w:wAfter w:w="66" w:type="dxa"/>
          <w:tblHeader/>
          <w:del w:id="58" w:author="Master Repository Process" w:date="2025-06-27T13:48:00Z"/>
        </w:trPr>
        <w:tc>
          <w:tcPr>
            <w:tcW w:w="3118" w:type="dxa"/>
          </w:tcPr>
          <w:p>
            <w:pPr>
              <w:pStyle w:val="nTable"/>
              <w:spacing w:after="40"/>
              <w:rPr>
                <w:del w:id="59" w:author="Master Repository Process" w:date="2025-06-27T13:48:00Z"/>
                <w:b/>
              </w:rPr>
            </w:pPr>
            <w:del w:id="60" w:author="Master Repository Process" w:date="2025-06-27T13:48:00Z">
              <w:r>
                <w:rPr>
                  <w:b/>
                </w:rPr>
                <w:delText>Citation</w:delText>
              </w:r>
            </w:del>
          </w:p>
        </w:tc>
        <w:tc>
          <w:tcPr>
            <w:tcW w:w="1276" w:type="dxa"/>
          </w:tcPr>
          <w:p>
            <w:pPr>
              <w:pStyle w:val="nTable"/>
              <w:spacing w:after="40"/>
              <w:rPr>
                <w:del w:id="61" w:author="Master Repository Process" w:date="2025-06-27T13:48:00Z"/>
                <w:b/>
              </w:rPr>
            </w:pPr>
            <w:del w:id="62" w:author="Master Repository Process" w:date="2025-06-27T13:48:00Z">
              <w:r>
                <w:rPr>
                  <w:b/>
                </w:rPr>
                <w:delText>Published</w:delText>
              </w:r>
            </w:del>
          </w:p>
        </w:tc>
        <w:tc>
          <w:tcPr>
            <w:tcW w:w="2693" w:type="dxa"/>
          </w:tcPr>
          <w:p>
            <w:pPr>
              <w:pStyle w:val="nTable"/>
              <w:spacing w:after="40"/>
              <w:rPr>
                <w:del w:id="63" w:author="Master Repository Process" w:date="2025-06-27T13:48:00Z"/>
                <w:b/>
              </w:rPr>
            </w:pPr>
            <w:del w:id="64" w:author="Master Repository Process" w:date="2025-06-27T13:4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single" w:sz="4" w:space="0" w:color="auto"/>
            </w:tcBorders>
          </w:tcPr>
          <w:p>
            <w:pPr>
              <w:pStyle w:val="nTable"/>
              <w:spacing w:after="40"/>
            </w:pPr>
            <w:r>
              <w:t>SL 2025/90 11 Jun 2025</w:t>
            </w:r>
          </w:p>
        </w:tc>
        <w:tc>
          <w:tcPr>
            <w:tcW w:w="2730" w:type="dxa"/>
            <w:gridSpan w:val="2"/>
            <w:tcBorders>
              <w:top w:val="nil"/>
              <w:bottom w:val="single" w:sz="4" w:space="0" w:color="auto"/>
            </w:tcBorders>
          </w:tcPr>
          <w:p>
            <w:pPr>
              <w:pStyle w:val="nTable"/>
              <w:spacing w:after="40"/>
            </w:pPr>
            <w:r>
              <w:t>1 Jul 2025 (see r. 2(b))</w:t>
            </w:r>
          </w:p>
        </w:tc>
      </w:tr>
    </w:tbl>
    <w:p>
      <w:pPr>
        <w:pStyle w:val="nHeading3"/>
      </w:pPr>
      <w:bookmarkStart w:id="65" w:name="_Toc201754817"/>
      <w:bookmarkStart w:id="66" w:name="_Toc200105101"/>
      <w:r>
        <w:t>Other notes</w:t>
      </w:r>
      <w:bookmarkEnd w:id="65"/>
      <w:bookmarkEnd w:id="66"/>
    </w:p>
    <w:p>
      <w:pPr>
        <w:pStyle w:val="nNote"/>
        <w:spacing w:before="160"/>
      </w:pPr>
      <w:r>
        <w:rPr>
          <w:vertAlign w:val="superscript"/>
        </w:rPr>
        <w:t>1</w:t>
      </w:r>
      <w:r>
        <w:tab/>
        <w:t xml:space="preserve">Commencement day was 16 December 2000 (see </w:t>
      </w:r>
      <w:r>
        <w:rPr>
          <w:i/>
        </w:rPr>
        <w:t>Gazette</w:t>
      </w:r>
      <w:r>
        <w:t xml:space="preserve"> 15 Dec 2000 p. 7201).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del w:id="68" w:author="Master Repository Process" w:date="2025-06-27T13:48:00Z"/>
          <w:rFonts w:ascii="Arial" w:hAnsi="Arial" w:cs="Arial"/>
          <w:sz w:val="12"/>
        </w:rPr>
      </w:pPr>
      <w:del w:id="69" w:author="Master Repository Process" w:date="2025-06-27T13:48:00Z">
        <w:r>
          <w:rPr>
            <w:rFonts w:ascii="Arial" w:hAnsi="Arial" w:cs="Arial"/>
            <w:noProof/>
            <w:sz w:val="1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0" w:author="Master Repository Process" w:date="2025-06-27T13:48:00Z"/>
                                  <w:sz w:val="16"/>
                                </w:rPr>
                              </w:pPr>
                              <w:del w:id="71" w:author="Master Repository Process" w:date="2025-06-27T13:4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2" w:author="Master Repository Process" w:date="2025-06-27T13:48:00Z"/>
                                  <w:sz w:val="16"/>
                                </w:rPr>
                              </w:pPr>
                              <w:del w:id="73" w:author="Master Repository Process" w:date="2025-06-27T13:4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4" w:author="Master Repository Process" w:date="2025-06-27T13:48:00Z"/>
                                  <w:sz w:val="16"/>
                                </w:rPr>
                              </w:pPr>
                              <w:del w:id="75" w:author="Master Repository Process" w:date="2025-06-27T13:4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6" w:author="Master Repository Process" w:date="2025-06-27T13:48:00Z"/>
                                  <w:rFonts w:ascii="Arial" w:hAnsi="Arial" w:cs="Arial"/>
                                  <w:sz w:val="12"/>
                                </w:rPr>
                              </w:pPr>
                              <w:del w:id="77" w:author="Master Repository Process" w:date="2025-06-27T13:4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78" w:author="Master Repository Process" w:date="2025-06-27T13:48:00Z"/>
                            <w:sz w:val="16"/>
                          </w:rPr>
                        </w:pPr>
                        <w:del w:id="79" w:author="Master Repository Process" w:date="2025-06-27T13:4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80" w:author="Master Repository Process" w:date="2025-06-27T13:48:00Z"/>
                            <w:sz w:val="16"/>
                          </w:rPr>
                        </w:pPr>
                        <w:del w:id="81" w:author="Master Repository Process" w:date="2025-06-27T13:4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2" w:author="Master Repository Process" w:date="2025-06-27T13:48:00Z"/>
                            <w:sz w:val="16"/>
                          </w:rPr>
                        </w:pPr>
                        <w:del w:id="83" w:author="Master Repository Process" w:date="2025-06-27T13:4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84" w:author="Master Repository Process" w:date="2025-06-27T13:48:00Z"/>
                            <w:rFonts w:ascii="Arial" w:hAnsi="Arial" w:cs="Arial"/>
                            <w:sz w:val="12"/>
                          </w:rPr>
                        </w:pPr>
                        <w:del w:id="85" w:author="Master Repository Process" w:date="2025-06-27T13:48:00Z">
                          <w:r>
                            <w:rPr>
                              <w:rFonts w:ascii="Arial" w:hAnsi="Arial" w:cs="Arial"/>
                              <w:sz w:val="12"/>
                            </w:rPr>
                            <w:delText>By Authority: GEOFF O. LAWN, Government Printer</w:delText>
                          </w:r>
                        </w:del>
                      </w:p>
                    </w:txbxContent>
                  </v:textbox>
                  <w10:wrap anchorx="page" anchory="page"/>
                </v:shape>
              </w:pict>
            </mc:Fallback>
          </mc:AlternateContent>
        </w:r>
      </w:del>
    </w:p>
    <w:p>
      <w:pPr>
        <w:rPr>
          <w:del w:id="86" w:author="Master Repository Process" w:date="2025-06-27T13:48:00Z"/>
          <w:rFonts w:ascii="Arial" w:hAnsi="Arial" w:cs="Arial"/>
          <w:sz w:val="12"/>
        </w:rPr>
      </w:pPr>
    </w:p>
    <w:p>
      <w:pPr>
        <w:rPr>
          <w:del w:id="87" w:author="Master Repository Process" w:date="2025-06-27T13:48:00Z"/>
          <w:rFonts w:ascii="Arial" w:hAnsi="Arial" w:cs="Arial"/>
          <w:sz w:val="12"/>
        </w:rPr>
      </w:pPr>
    </w:p>
    <w:p>
      <w:pPr>
        <w:rPr>
          <w:del w:id="88" w:author="Master Repository Process" w:date="2025-06-27T13:48:00Z"/>
          <w:rFonts w:ascii="Arial" w:hAnsi="Arial" w:cs="Arial"/>
          <w:sz w:val="12"/>
        </w:rPr>
      </w:pPr>
    </w:p>
    <w:p>
      <w:pPr>
        <w:rPr>
          <w:del w:id="89" w:author="Master Repository Process" w:date="2025-06-27T13:48:00Z"/>
          <w:rFonts w:ascii="Arial" w:hAnsi="Arial" w:cs="Arial"/>
          <w:sz w:val="12"/>
        </w:r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523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3286</Words>
  <Characters>15975</Characters>
  <Application>Microsoft Office Word</Application>
  <DocSecurity>0</DocSecurity>
  <Lines>639</Lines>
  <Paragraphs>401</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03-q0-00 - 03-r0-00</dc:title>
  <dc:subject/>
  <dc:creator/>
  <cp:keywords/>
  <dc:description/>
  <cp:lastModifiedBy>Master Repository Process</cp:lastModifiedBy>
  <cp:revision>2</cp:revision>
  <cp:lastPrinted>2014-11-25T02:07:00Z</cp:lastPrinted>
  <dcterms:created xsi:type="dcterms:W3CDTF">2025-06-27T05:47:00Z</dcterms:created>
  <dcterms:modified xsi:type="dcterms:W3CDTF">2025-06-27T05:48:00Z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03-q0-00</vt:lpwstr>
  </property>
  <property fmtid="{D5CDD505-2E9C-101B-9397-08002B2CF9AE}" pid="12" name="FromAsAtDate">
    <vt:lpwstr>11 Jun 2025</vt:lpwstr>
  </property>
  <property fmtid="{D5CDD505-2E9C-101B-9397-08002B2CF9AE}" pid="13" name="ToSuffix">
    <vt:lpwstr>03-r0-00</vt:lpwstr>
  </property>
  <property fmtid="{D5CDD505-2E9C-101B-9397-08002B2CF9AE}" pid="14" name="ToAsAtDate">
    <vt:lpwstr>01 Jul 2025</vt:lpwstr>
  </property>
</Properties>
</file>