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2025</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17 Sep 2025</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1" w:name="_Toc208565249"/>
      <w:bookmarkStart w:id="2" w:name="_Toc208565829"/>
      <w:bookmarkStart w:id="3" w:name="_Toc208566104"/>
      <w:bookmarkStart w:id="4" w:name="_Toc208827054"/>
      <w:bookmarkStart w:id="5" w:name="_Toc197604218"/>
      <w:bookmarkStart w:id="6" w:name="_Toc197604912"/>
      <w:bookmarkStart w:id="7" w:name="_Toc197611735"/>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p>
    <w:p>
      <w:pPr>
        <w:pStyle w:val="Heading5"/>
      </w:pPr>
      <w:bookmarkStart w:id="8" w:name="_Toc208827055"/>
      <w:bookmarkStart w:id="9" w:name="_Toc197611736"/>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Vocational Education and Training (General) Regulations 2009</w:t>
      </w:r>
      <w:r>
        <w:t>.</w:t>
      </w:r>
    </w:p>
    <w:p>
      <w:pPr>
        <w:pStyle w:val="Heading5"/>
        <w:rPr>
          <w:spacing w:val="-2"/>
        </w:rPr>
      </w:pPr>
      <w:bookmarkStart w:id="11" w:name="_Toc208827056"/>
      <w:bookmarkStart w:id="12" w:name="_Toc197611737"/>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13" w:name="_Toc208827057"/>
      <w:bookmarkStart w:id="14" w:name="_Toc197611738"/>
      <w:r>
        <w:rPr>
          <w:rStyle w:val="CharSectno"/>
        </w:rPr>
        <w:t>3</w:t>
      </w:r>
      <w:r>
        <w:t>.</w:t>
      </w:r>
      <w:r>
        <w:tab/>
        <w:t>Terms used</w:t>
      </w:r>
      <w:bookmarkEnd w:id="13"/>
      <w:bookmarkEnd w:id="14"/>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w:t>
      </w:r>
      <w:r>
        <w:t xml:space="preserve"> 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lastRenderedPageBreak/>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complying training plan</w:t>
      </w:r>
      <w:r>
        <w:t xml:space="preserve"> has the meaning given in regulation 43(1);</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school</w:t>
      </w:r>
      <w:r>
        <w:rPr>
          <w:rStyle w:val="CharDefText"/>
        </w:rPr>
        <w:noBreakHyphen/>
        <w:t>based apprenticeship</w:t>
      </w:r>
      <w:r>
        <w:t xml:space="preserve"> has the meaning given in regulation 43(1);</w:t>
      </w:r>
    </w:p>
    <w:p>
      <w:pPr>
        <w:pStyle w:val="Defstart"/>
      </w:pPr>
      <w:r>
        <w:tab/>
      </w:r>
      <w:r>
        <w:rPr>
          <w:rStyle w:val="CharDefText"/>
        </w:rPr>
        <w:t>WA</w:t>
      </w:r>
      <w:r>
        <w:t xml:space="preserve"> means Western Australia;</w:t>
      </w:r>
    </w:p>
    <w:p>
      <w:pPr>
        <w:pStyle w:val="Defstart"/>
      </w:pPr>
      <w:r>
        <w:tab/>
      </w:r>
      <w:r>
        <w:rPr>
          <w:rStyle w:val="CharDefText"/>
        </w:rPr>
        <w:t>working day</w:t>
      </w:r>
      <w:r>
        <w:t xml:space="preserve"> means a day other than a Saturday, a Sunday or a public holiday in Perth.</w:t>
      </w:r>
    </w:p>
    <w:p>
      <w:pPr>
        <w:pStyle w:val="Footnotesection"/>
      </w:pPr>
      <w:r>
        <w:tab/>
        <w:t>[Regulation 3 amended: Gazette 17 Dec 2013 p.</w:t>
      </w:r>
      <w:r>
        <w:rPr>
          <w:sz w:val="19"/>
        </w:rPr>
        <w:t> </w:t>
      </w:r>
      <w:r>
        <w:t>6219; 10 Mar 2015 p. 827; 29 Dec 2017 p. 6081.]</w:t>
      </w:r>
    </w:p>
    <w:p>
      <w:pPr>
        <w:pStyle w:val="Heading2"/>
      </w:pPr>
      <w:bookmarkStart w:id="15" w:name="_Toc208565253"/>
      <w:bookmarkStart w:id="16" w:name="_Toc208565833"/>
      <w:bookmarkStart w:id="17" w:name="_Toc208566108"/>
      <w:bookmarkStart w:id="18" w:name="_Toc208827058"/>
      <w:bookmarkStart w:id="19" w:name="_Toc197604222"/>
      <w:bookmarkStart w:id="20" w:name="_Toc197604916"/>
      <w:bookmarkStart w:id="21" w:name="_Toc197611739"/>
      <w:r>
        <w:rPr>
          <w:rStyle w:val="CharPartNo"/>
        </w:rPr>
        <w:lastRenderedPageBreak/>
        <w:t>Part 2</w:t>
      </w:r>
      <w:r>
        <w:rPr>
          <w:rStyle w:val="CharDivNo"/>
        </w:rPr>
        <w:t> </w:t>
      </w:r>
      <w:r>
        <w:t>—</w:t>
      </w:r>
      <w:r>
        <w:rPr>
          <w:rStyle w:val="CharDivText"/>
        </w:rPr>
        <w:t> </w:t>
      </w:r>
      <w:r>
        <w:rPr>
          <w:rStyle w:val="CharPartText"/>
        </w:rPr>
        <w:t>General matters</w:t>
      </w:r>
      <w:bookmarkEnd w:id="15"/>
      <w:bookmarkEnd w:id="16"/>
      <w:bookmarkEnd w:id="17"/>
      <w:bookmarkEnd w:id="18"/>
      <w:bookmarkEnd w:id="19"/>
      <w:bookmarkEnd w:id="20"/>
      <w:bookmarkEnd w:id="21"/>
    </w:p>
    <w:p>
      <w:pPr>
        <w:pStyle w:val="Heading5"/>
      </w:pPr>
      <w:bookmarkStart w:id="22" w:name="_Toc208827059"/>
      <w:bookmarkStart w:id="23" w:name="_Toc197611740"/>
      <w:r>
        <w:rPr>
          <w:rStyle w:val="CharSectno"/>
        </w:rPr>
        <w:t>4</w:t>
      </w:r>
      <w:r>
        <w:t>.</w:t>
      </w:r>
      <w:r>
        <w:tab/>
        <w:t>Approved VET courses (Act s. 5(1))</w:t>
      </w:r>
      <w:bookmarkEnd w:id="22"/>
      <w:bookmarkEnd w:id="23"/>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Gazette 17 Dec 2013 p.</w:t>
      </w:r>
      <w:r>
        <w:rPr>
          <w:sz w:val="19"/>
        </w:rPr>
        <w:t> </w:t>
      </w:r>
      <w:r>
        <w:t>6220; 10 Mar 2015 p. 827-8.]</w:t>
      </w:r>
    </w:p>
    <w:p>
      <w:pPr>
        <w:pStyle w:val="Heading5"/>
      </w:pPr>
      <w:bookmarkStart w:id="24" w:name="_Toc208827060"/>
      <w:bookmarkStart w:id="25" w:name="_Toc197611741"/>
      <w:r>
        <w:rPr>
          <w:rStyle w:val="CharSectno"/>
        </w:rPr>
        <w:t>5</w:t>
      </w:r>
      <w:r>
        <w:t>.</w:t>
      </w:r>
      <w:r>
        <w:tab/>
        <w:t>Corresponding laws (Act s. 5(1))</w:t>
      </w:r>
      <w:bookmarkEnd w:id="24"/>
      <w:bookmarkEnd w:id="25"/>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r>
              <w:t>Australian Capital Territory</w:t>
            </w:r>
          </w:p>
        </w:tc>
        <w:tc>
          <w:tcPr>
            <w:tcW w:w="4162" w:type="dxa"/>
          </w:tcPr>
          <w:p>
            <w:pPr>
              <w:pStyle w:val="TableNAm"/>
              <w:spacing w:before="0"/>
            </w:pPr>
            <w:r>
              <w:rPr>
                <w:i/>
                <w:iCs/>
              </w:rPr>
              <w:t>Training and Tertiary Education Act 2003</w:t>
            </w:r>
          </w:p>
        </w:tc>
      </w:tr>
      <w:tr>
        <w:tc>
          <w:tcPr>
            <w:tcW w:w="1984" w:type="dxa"/>
          </w:tcPr>
          <w:p>
            <w:pPr>
              <w:pStyle w:val="TableNAm"/>
              <w:spacing w:before="0"/>
            </w:pPr>
            <w:r>
              <w:t>New South Wales</w:t>
            </w:r>
          </w:p>
        </w:tc>
        <w:tc>
          <w:tcPr>
            <w:tcW w:w="4162" w:type="dxa"/>
          </w:tcPr>
          <w:p>
            <w:pPr>
              <w:pStyle w:val="TableNAm"/>
              <w:spacing w:before="0"/>
              <w:rPr>
                <w:i/>
                <w:iCs/>
              </w:rPr>
            </w:pPr>
            <w:r>
              <w:rPr>
                <w:i/>
                <w:iCs/>
              </w:rPr>
              <w:t>Vocational Education and Training Act 2005</w:t>
            </w:r>
            <w:r>
              <w:rPr>
                <w:iCs/>
                <w:vertAlign w:val="superscript"/>
              </w:rPr>
              <w:t> 1</w:t>
            </w:r>
          </w:p>
        </w:tc>
      </w:tr>
      <w:tr>
        <w:tc>
          <w:tcPr>
            <w:tcW w:w="1984" w:type="dxa"/>
          </w:tcPr>
          <w:p>
            <w:pPr>
              <w:pStyle w:val="TableNAm"/>
              <w:spacing w:before="0"/>
            </w:pPr>
            <w:r>
              <w:t>Northern Territory</w:t>
            </w:r>
          </w:p>
        </w:tc>
        <w:tc>
          <w:tcPr>
            <w:tcW w:w="4162" w:type="dxa"/>
          </w:tcPr>
          <w:p>
            <w:pPr>
              <w:pStyle w:val="TableNAm"/>
              <w:spacing w:before="0"/>
            </w:pPr>
            <w:r>
              <w:rPr>
                <w:i/>
                <w:iCs/>
              </w:rPr>
              <w:t>Northern Territory Employment and Training Act</w:t>
            </w:r>
            <w:r>
              <w:rPr>
                <w:iCs/>
                <w:vertAlign w:val="superscript"/>
              </w:rPr>
              <w:t> 2</w:t>
            </w:r>
          </w:p>
        </w:tc>
      </w:tr>
      <w:tr>
        <w:tc>
          <w:tcPr>
            <w:tcW w:w="1984" w:type="dxa"/>
          </w:tcPr>
          <w:p>
            <w:pPr>
              <w:pStyle w:val="TableNAm"/>
              <w:spacing w:before="0"/>
            </w:pPr>
            <w:r>
              <w:t>Queensland</w:t>
            </w:r>
          </w:p>
        </w:tc>
        <w:tc>
          <w:tcPr>
            <w:tcW w:w="4162" w:type="dxa"/>
          </w:tcPr>
          <w:p>
            <w:pPr>
              <w:pStyle w:val="TableNAm"/>
              <w:spacing w:before="0"/>
            </w:pPr>
            <w:r>
              <w:rPr>
                <w:i/>
                <w:iCs/>
              </w:rPr>
              <w:t>Vocational Education, Training and Employment Act 2000</w:t>
            </w:r>
            <w:r>
              <w:rPr>
                <w:iCs/>
                <w:vertAlign w:val="superscript"/>
              </w:rPr>
              <w:t> 3</w:t>
            </w:r>
          </w:p>
        </w:tc>
      </w:tr>
      <w:tr>
        <w:tc>
          <w:tcPr>
            <w:tcW w:w="1984" w:type="dxa"/>
          </w:tcPr>
          <w:p>
            <w:pPr>
              <w:pStyle w:val="TableNAm"/>
              <w:spacing w:before="0"/>
            </w:pPr>
            <w:r>
              <w:t>South Australia</w:t>
            </w:r>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r>
              <w:t>Tasmania</w:t>
            </w:r>
          </w:p>
        </w:tc>
        <w:tc>
          <w:tcPr>
            <w:tcW w:w="4162" w:type="dxa"/>
          </w:tcPr>
          <w:p>
            <w:pPr>
              <w:pStyle w:val="TableNAm"/>
              <w:spacing w:before="0"/>
              <w:rPr>
                <w:i/>
                <w:iCs/>
              </w:rPr>
            </w:pPr>
            <w:r>
              <w:rPr>
                <w:i/>
                <w:iCs/>
              </w:rPr>
              <w:t>Vocational Education and Training Act 1994</w:t>
            </w:r>
            <w:r>
              <w:rPr>
                <w:iCs/>
                <w:vertAlign w:val="superscript"/>
              </w:rPr>
              <w:t> 4</w:t>
            </w:r>
          </w:p>
        </w:tc>
      </w:tr>
      <w:tr>
        <w:tc>
          <w:tcPr>
            <w:tcW w:w="1984" w:type="dxa"/>
          </w:tcPr>
          <w:p>
            <w:pPr>
              <w:pStyle w:val="TableNAm"/>
              <w:spacing w:before="0"/>
            </w:pPr>
            <w:r>
              <w:t>Victoria</w:t>
            </w:r>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26" w:name="_Toc208827061"/>
      <w:bookmarkStart w:id="27" w:name="_Toc197611742"/>
      <w:r>
        <w:rPr>
          <w:rStyle w:val="CharSectno"/>
        </w:rPr>
        <w:t>6</w:t>
      </w:r>
      <w:r>
        <w:t>.</w:t>
      </w:r>
      <w:r>
        <w:tab/>
        <w:t>Prescribed VET qualifications (Act s. 5(1))</w:t>
      </w:r>
      <w:bookmarkEnd w:id="26"/>
      <w:bookmarkEnd w:id="27"/>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Degree.</w:t>
      </w:r>
    </w:p>
    <w:p>
      <w:pPr>
        <w:pStyle w:val="Ednotepara"/>
      </w:pPr>
      <w:r>
        <w:tab/>
        <w:t>[(h)</w:t>
      </w:r>
      <w:r>
        <w:tab/>
        <w:t>deleted]</w:t>
      </w:r>
    </w:p>
    <w:p>
      <w:pPr>
        <w:pStyle w:val="Footnotesection"/>
      </w:pPr>
      <w:bookmarkStart w:id="28" w:name="_Toc197604226"/>
      <w:r>
        <w:tab/>
        <w:t>[Regulation 6 amended: SL 2025/71 r. 4.]</w:t>
      </w:r>
    </w:p>
    <w:p>
      <w:pPr>
        <w:pStyle w:val="Heading2"/>
      </w:pPr>
      <w:bookmarkStart w:id="29" w:name="_Toc208565257"/>
      <w:bookmarkStart w:id="30" w:name="_Toc208565837"/>
      <w:bookmarkStart w:id="31" w:name="_Toc208566112"/>
      <w:bookmarkStart w:id="32" w:name="_Toc208827062"/>
      <w:bookmarkStart w:id="33" w:name="_Toc197604920"/>
      <w:bookmarkStart w:id="34" w:name="_Toc197611743"/>
      <w:r>
        <w:rPr>
          <w:rStyle w:val="CharPartNo"/>
        </w:rPr>
        <w:t>Part 3</w:t>
      </w:r>
      <w:r>
        <w:t> — </w:t>
      </w:r>
      <w:r>
        <w:rPr>
          <w:rStyle w:val="CharPartText"/>
        </w:rPr>
        <w:t>Regulations for Part 7A of the Act</w:t>
      </w:r>
      <w:bookmarkEnd w:id="29"/>
      <w:bookmarkEnd w:id="30"/>
      <w:bookmarkEnd w:id="31"/>
      <w:bookmarkEnd w:id="32"/>
      <w:bookmarkEnd w:id="28"/>
      <w:bookmarkEnd w:id="33"/>
      <w:bookmarkEnd w:id="34"/>
    </w:p>
    <w:p>
      <w:pPr>
        <w:pStyle w:val="Heading3"/>
      </w:pPr>
      <w:bookmarkStart w:id="35" w:name="_Toc208565258"/>
      <w:bookmarkStart w:id="36" w:name="_Toc208565838"/>
      <w:bookmarkStart w:id="37" w:name="_Toc208566113"/>
      <w:bookmarkStart w:id="38" w:name="_Toc208827063"/>
      <w:bookmarkStart w:id="39" w:name="_Toc197604227"/>
      <w:bookmarkStart w:id="40" w:name="_Toc197604921"/>
      <w:bookmarkStart w:id="41" w:name="_Toc197611744"/>
      <w:r>
        <w:rPr>
          <w:rStyle w:val="CharDivNo"/>
        </w:rPr>
        <w:t>Division 1</w:t>
      </w:r>
      <w:r>
        <w:t> — </w:t>
      </w:r>
      <w:r>
        <w:rPr>
          <w:rStyle w:val="CharDivText"/>
        </w:rPr>
        <w:t>General matters</w:t>
      </w:r>
      <w:bookmarkEnd w:id="35"/>
      <w:bookmarkEnd w:id="36"/>
      <w:bookmarkEnd w:id="37"/>
      <w:bookmarkEnd w:id="38"/>
      <w:bookmarkEnd w:id="39"/>
      <w:bookmarkEnd w:id="40"/>
      <w:bookmarkEnd w:id="41"/>
    </w:p>
    <w:p>
      <w:pPr>
        <w:pStyle w:val="Heading5"/>
      </w:pPr>
      <w:bookmarkStart w:id="42" w:name="_Toc208827064"/>
      <w:bookmarkStart w:id="43" w:name="_Toc197611745"/>
      <w:r>
        <w:rPr>
          <w:rStyle w:val="CharSectno"/>
        </w:rPr>
        <w:t>7</w:t>
      </w:r>
      <w:r>
        <w:t>.</w:t>
      </w:r>
      <w:r>
        <w:tab/>
        <w:t>Terms used</w:t>
      </w:r>
      <w:bookmarkEnd w:id="42"/>
      <w:bookmarkEnd w:id="43"/>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rPr>
        <w:t>AQTF2021 Standards for Accredited Courses</w:t>
      </w:r>
      <w:r>
        <w:t xml:space="preserve"> (published on a website maintained by or on behalf of the department of the Public Service principally assisting in the administration of the Act);</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w:t>
      </w:r>
      <w:r>
        <w:rPr>
          <w:i/>
          <w:iCs/>
        </w:rPr>
        <w:t>Standards for Registered Training Organisations (RTOs) 2015</w:t>
      </w:r>
      <w:r>
        <w:t>, made under the Commonwealth Act section 185, as in force on 1 March 2024;</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(other than the registration standards) 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[Regulation 7 amended by Gazette 25 Oct 2011 p. 4509; 17 Dec 2013 p. 6220; 10 Mar 2015 p. 828; SL 2021/156 r. 4; SL 2024/229 r. 4.]</w:t>
      </w:r>
    </w:p>
    <w:p>
      <w:pPr>
        <w:pStyle w:val="Heading5"/>
      </w:pPr>
      <w:bookmarkStart w:id="44" w:name="_Toc208827065"/>
      <w:bookmarkStart w:id="45" w:name="_Toc197611746"/>
      <w:r>
        <w:rPr>
          <w:rStyle w:val="CharSectno"/>
        </w:rPr>
        <w:t>8</w:t>
      </w:r>
      <w:r>
        <w:t>.</w:t>
      </w:r>
      <w:r>
        <w:tab/>
        <w:t>Council to have regard to, and apply, certain standards</w:t>
      </w:r>
      <w:bookmarkEnd w:id="44"/>
      <w:bookmarkEnd w:id="45"/>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keepNext/>
      </w:pPr>
      <w:r>
        <w:tab/>
        <w:t>(b)</w:t>
      </w:r>
      <w:r>
        <w:tab/>
        <w:t>the accreditation standards.</w:t>
      </w:r>
    </w:p>
    <w:p>
      <w:pPr>
        <w:pStyle w:val="Footnotesection"/>
      </w:pPr>
      <w:r>
        <w:tab/>
        <w:t>[Regulation 8 amended: Gazette 25 Oct 2011 p. 4509; 17 Dec 2013 p. 6220; 10 Mar 2015 p. 828.]</w:t>
      </w:r>
    </w:p>
    <w:p>
      <w:pPr>
        <w:pStyle w:val="Heading5"/>
      </w:pPr>
      <w:bookmarkStart w:id="46" w:name="_Toc208827066"/>
      <w:bookmarkStart w:id="47" w:name="_Toc197611747"/>
      <w:r>
        <w:rPr>
          <w:rStyle w:val="CharSectno"/>
        </w:rPr>
        <w:t>9</w:t>
      </w:r>
      <w:r>
        <w:t>.</w:t>
      </w:r>
      <w:r>
        <w:tab/>
        <w:t>Register</w:t>
      </w:r>
      <w:bookmarkEnd w:id="46"/>
      <w:bookmarkEnd w:id="47"/>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Gazette 17 Dec 2013 p.</w:t>
      </w:r>
      <w:r>
        <w:rPr>
          <w:sz w:val="19"/>
        </w:rPr>
        <w:t> </w:t>
      </w:r>
      <w:r>
        <w:t>6220.]</w:t>
      </w:r>
    </w:p>
    <w:p>
      <w:pPr>
        <w:pStyle w:val="Heading3"/>
        <w:keepLines/>
        <w:pageBreakBefore/>
        <w:spacing w:before="0"/>
      </w:pPr>
      <w:bookmarkStart w:id="48" w:name="_Toc208565262"/>
      <w:bookmarkStart w:id="49" w:name="_Toc208565842"/>
      <w:bookmarkStart w:id="50" w:name="_Toc208566117"/>
      <w:bookmarkStart w:id="51" w:name="_Toc208827067"/>
      <w:bookmarkStart w:id="52" w:name="_Toc197604231"/>
      <w:bookmarkStart w:id="53" w:name="_Toc197604925"/>
      <w:bookmarkStart w:id="54" w:name="_Toc197611748"/>
      <w:r>
        <w:rPr>
          <w:rStyle w:val="CharDivNo"/>
        </w:rPr>
        <w:t>Division 2</w:t>
      </w:r>
      <w:r>
        <w:t> — </w:t>
      </w:r>
      <w:r>
        <w:rPr>
          <w:rStyle w:val="CharDivText"/>
        </w:rPr>
        <w:t>Registration of training providers</w:t>
      </w:r>
      <w:bookmarkEnd w:id="48"/>
      <w:bookmarkEnd w:id="49"/>
      <w:bookmarkEnd w:id="50"/>
      <w:bookmarkEnd w:id="51"/>
      <w:bookmarkEnd w:id="52"/>
      <w:bookmarkEnd w:id="53"/>
      <w:bookmarkEnd w:id="54"/>
    </w:p>
    <w:p>
      <w:pPr>
        <w:pStyle w:val="Heading5"/>
      </w:pPr>
      <w:bookmarkStart w:id="55" w:name="_Toc208827068"/>
      <w:bookmarkStart w:id="56" w:name="_Toc197611749"/>
      <w:r>
        <w:rPr>
          <w:rStyle w:val="CharSectno"/>
        </w:rPr>
        <w:t>10</w:t>
      </w:r>
      <w:r>
        <w:t>.</w:t>
      </w:r>
      <w:r>
        <w:tab/>
        <w:t>Applying to be registered training provider</w:t>
      </w:r>
      <w:bookmarkEnd w:id="55"/>
      <w:bookmarkEnd w:id="56"/>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keepNext/>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Gazette 17 Dec 2013 p.</w:t>
      </w:r>
      <w:r>
        <w:rPr>
          <w:sz w:val="19"/>
        </w:rPr>
        <w:t> </w:t>
      </w:r>
      <w:r>
        <w:t>6221.]</w:t>
      </w:r>
    </w:p>
    <w:p>
      <w:pPr>
        <w:pStyle w:val="Heading5"/>
      </w:pPr>
      <w:bookmarkStart w:id="57" w:name="_Toc208827069"/>
      <w:bookmarkStart w:id="58" w:name="_Toc197611750"/>
      <w:r>
        <w:rPr>
          <w:rStyle w:val="CharSectno"/>
        </w:rPr>
        <w:t>11</w:t>
      </w:r>
      <w:r>
        <w:t>.</w:t>
      </w:r>
      <w:r>
        <w:tab/>
        <w:t>Dealing with applications</w:t>
      </w:r>
      <w:bookmarkEnd w:id="57"/>
      <w:bookmarkEnd w:id="58"/>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59" w:name="_Toc208827070"/>
      <w:bookmarkStart w:id="60" w:name="_Toc197611751"/>
      <w:r>
        <w:rPr>
          <w:rStyle w:val="CharSectno"/>
        </w:rPr>
        <w:t>12</w:t>
      </w:r>
      <w:r>
        <w:t>.</w:t>
      </w:r>
      <w:r>
        <w:tab/>
        <w:t>Registering training providers</w:t>
      </w:r>
      <w:bookmarkEnd w:id="59"/>
      <w:bookmarkEnd w:id="60"/>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keepNext/>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Gazette 25 Oct 2011 p. 4509; 17 Dec 2013 p. 6221; 10 Mar 2015 p. 828</w:t>
      </w:r>
      <w:r>
        <w:noBreakHyphen/>
        <w:t>9.]</w:t>
      </w:r>
    </w:p>
    <w:p>
      <w:pPr>
        <w:pStyle w:val="Heading5"/>
      </w:pPr>
      <w:bookmarkStart w:id="61" w:name="_Toc208827071"/>
      <w:bookmarkStart w:id="62" w:name="_Toc197611752"/>
      <w:r>
        <w:rPr>
          <w:rStyle w:val="CharSectno"/>
        </w:rPr>
        <w:t>13</w:t>
      </w:r>
      <w:r>
        <w:t>.</w:t>
      </w:r>
      <w:r>
        <w:tab/>
        <w:t>Conditions of registration</w:t>
      </w:r>
      <w:bookmarkEnd w:id="61"/>
      <w:bookmarkEnd w:id="62"/>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 Gazette 25 Oct 2011 p. 4510; 17 Dec 2013 p. 6222; 10 Mar 2015 p. 829</w:t>
      </w:r>
      <w:r>
        <w:noBreakHyphen/>
        <w:t>30.]</w:t>
      </w:r>
    </w:p>
    <w:p>
      <w:pPr>
        <w:pStyle w:val="Heading5"/>
      </w:pPr>
      <w:bookmarkStart w:id="63" w:name="_Toc208827072"/>
      <w:bookmarkStart w:id="64" w:name="_Toc197611753"/>
      <w:r>
        <w:rPr>
          <w:rStyle w:val="CharSectno"/>
        </w:rPr>
        <w:t>14</w:t>
      </w:r>
      <w:r>
        <w:t>.</w:t>
      </w:r>
      <w:r>
        <w:tab/>
        <w:t>Period of registration</w:t>
      </w:r>
      <w:bookmarkEnd w:id="63"/>
      <w:bookmarkEnd w:id="64"/>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 Gazette 10 Mar 2015 p. 830; 28 Aug 2015 p. 3599.]</w:t>
      </w:r>
    </w:p>
    <w:p>
      <w:pPr>
        <w:pStyle w:val="Heading5"/>
      </w:pPr>
      <w:bookmarkStart w:id="65" w:name="_Toc208827073"/>
      <w:bookmarkStart w:id="66" w:name="_Toc197611754"/>
      <w:r>
        <w:rPr>
          <w:rStyle w:val="CharSectno"/>
        </w:rPr>
        <w:t>15</w:t>
      </w:r>
      <w:r>
        <w:t>.</w:t>
      </w:r>
      <w:r>
        <w:tab/>
        <w:t>Annual fees payable by registered training providers</w:t>
      </w:r>
      <w:bookmarkEnd w:id="65"/>
      <w:bookmarkEnd w:id="66"/>
    </w:p>
    <w:p>
      <w:pPr>
        <w:pStyle w:val="Subsection"/>
      </w:pPr>
      <w:r>
        <w:tab/>
      </w:r>
      <w:r>
        <w:tab/>
        <w:t>A WA registered provider must pay an annual fee set under regulation 23 on or before each anniversary of the provider’s registration or its renewal.</w:t>
      </w:r>
    </w:p>
    <w:p>
      <w:pPr>
        <w:pStyle w:val="Heading5"/>
      </w:pPr>
      <w:bookmarkStart w:id="67" w:name="_Toc208827074"/>
      <w:bookmarkStart w:id="68" w:name="_Toc197611755"/>
      <w:r>
        <w:rPr>
          <w:rStyle w:val="CharSectno"/>
        </w:rPr>
        <w:t>16</w:t>
      </w:r>
      <w:r>
        <w:t>.</w:t>
      </w:r>
      <w:r>
        <w:tab/>
        <w:t>Renewal of registration</w:t>
      </w:r>
      <w:bookmarkEnd w:id="67"/>
      <w:bookmarkEnd w:id="68"/>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Gazette 25 Oct 2011 p. 4510; 17 Dec 2013 p. 6222; 10 Mar 2015 p. 830.]</w:t>
      </w:r>
    </w:p>
    <w:p>
      <w:pPr>
        <w:pStyle w:val="Heading5"/>
      </w:pPr>
      <w:bookmarkStart w:id="69" w:name="_Toc208827075"/>
      <w:bookmarkStart w:id="70" w:name="_Toc197611756"/>
      <w:r>
        <w:rPr>
          <w:rStyle w:val="CharSectno"/>
        </w:rPr>
        <w:t>17</w:t>
      </w:r>
      <w:r>
        <w:t>.</w:t>
      </w:r>
      <w:r>
        <w:tab/>
        <w:t>Varying registration</w:t>
      </w:r>
      <w:bookmarkEnd w:id="69"/>
      <w:bookmarkEnd w:id="70"/>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keepNext/>
      </w:pPr>
      <w:r>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Gazette 25 Oct 2011 p. 4510; 17 Dec 2013 p. 6222; 10 Mar 2015 p. 830.]</w:t>
      </w:r>
    </w:p>
    <w:p>
      <w:pPr>
        <w:pStyle w:val="Heading5"/>
      </w:pPr>
      <w:bookmarkStart w:id="71" w:name="_Toc208827076"/>
      <w:bookmarkStart w:id="72" w:name="_Toc197611757"/>
      <w:r>
        <w:rPr>
          <w:rStyle w:val="CharSectno"/>
        </w:rPr>
        <w:t>18</w:t>
      </w:r>
      <w:r>
        <w:t>.</w:t>
      </w:r>
      <w:r>
        <w:tab/>
        <w:t>Cancelling registration if provider’s operations change</w:t>
      </w:r>
      <w:bookmarkEnd w:id="71"/>
      <w:bookmarkEnd w:id="72"/>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Gazette 17 Dec 2013 p.</w:t>
      </w:r>
      <w:r>
        <w:rPr>
          <w:sz w:val="19"/>
        </w:rPr>
        <w:t> </w:t>
      </w:r>
      <w:r>
        <w:t>6222.]</w:t>
      </w:r>
    </w:p>
    <w:p>
      <w:pPr>
        <w:pStyle w:val="Heading5"/>
        <w:pageBreakBefore/>
        <w:spacing w:before="0"/>
      </w:pPr>
      <w:bookmarkStart w:id="73" w:name="_Toc208827077"/>
      <w:bookmarkStart w:id="74" w:name="_Toc197611758"/>
      <w:r>
        <w:rPr>
          <w:rStyle w:val="CharSectno"/>
        </w:rPr>
        <w:t>19</w:t>
      </w:r>
      <w:r>
        <w:t>.</w:t>
      </w:r>
      <w:r>
        <w:tab/>
        <w:t>Suspending or cancelling registration</w:t>
      </w:r>
      <w:bookmarkEnd w:id="73"/>
      <w:bookmarkEnd w:id="74"/>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r>
        <w:tab/>
        <w:t>[Regulation 19 amended: Gazette 25 Oct 2011 p. 4510; 17 Dec 2013 p. 6223; 15 Jul 2014 p. 2463; 10 Mar 2015 p. 831.]</w:t>
      </w:r>
    </w:p>
    <w:p>
      <w:pPr>
        <w:pStyle w:val="Heading5"/>
      </w:pPr>
      <w:bookmarkStart w:id="75" w:name="_Toc208827078"/>
      <w:bookmarkStart w:id="76" w:name="_Toc197611759"/>
      <w:r>
        <w:rPr>
          <w:rStyle w:val="CharSectno"/>
        </w:rPr>
        <w:t>20</w:t>
      </w:r>
      <w:r>
        <w:t>.</w:t>
      </w:r>
      <w:r>
        <w:tab/>
        <w:t>Suspension of WA registered provider may be on terms</w:t>
      </w:r>
      <w:bookmarkEnd w:id="75"/>
      <w:bookmarkEnd w:id="76"/>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77" w:name="_Toc208827079"/>
      <w:bookmarkStart w:id="78" w:name="_Toc197611760"/>
      <w:r>
        <w:rPr>
          <w:rStyle w:val="CharSectno"/>
        </w:rPr>
        <w:t>21</w:t>
      </w:r>
      <w:r>
        <w:t>.</w:t>
      </w:r>
      <w:r>
        <w:tab/>
        <w:t>Effect of suspension of WA registered provider</w:t>
      </w:r>
      <w:bookmarkEnd w:id="77"/>
      <w:bookmarkEnd w:id="78"/>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79" w:name="_Toc208827080"/>
      <w:bookmarkStart w:id="80" w:name="_Toc197611761"/>
      <w:r>
        <w:rPr>
          <w:rStyle w:val="CharSectno"/>
        </w:rPr>
        <w:t>22</w:t>
      </w:r>
      <w:r>
        <w:t>.</w:t>
      </w:r>
      <w:r>
        <w:tab/>
        <w:t>Requests for reassessment of decision to suspend WA registered provider</w:t>
      </w:r>
      <w:bookmarkEnd w:id="79"/>
      <w:bookmarkEnd w:id="80"/>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Gazette 17 Dec 2013 p.</w:t>
      </w:r>
      <w:r>
        <w:rPr>
          <w:sz w:val="19"/>
        </w:rPr>
        <w:t> </w:t>
      </w:r>
      <w:r>
        <w:t>6223</w:t>
      </w:r>
      <w:r>
        <w:noBreakHyphen/>
        <w:t>4.]</w:t>
      </w:r>
    </w:p>
    <w:p>
      <w:pPr>
        <w:pStyle w:val="Heading5"/>
        <w:spacing w:before="180"/>
      </w:pPr>
      <w:bookmarkStart w:id="81" w:name="_Toc208827081"/>
      <w:bookmarkStart w:id="82" w:name="_Toc197611762"/>
      <w:r>
        <w:rPr>
          <w:rStyle w:val="CharSectno"/>
        </w:rPr>
        <w:t>23</w:t>
      </w:r>
      <w:r>
        <w:t>.</w:t>
      </w:r>
      <w:r>
        <w:tab/>
        <w:t>Fees</w:t>
      </w:r>
      <w:bookmarkEnd w:id="81"/>
      <w:bookmarkEnd w:id="82"/>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83" w:name="_Toc208565277"/>
      <w:bookmarkStart w:id="84" w:name="_Toc208565857"/>
      <w:bookmarkStart w:id="85" w:name="_Toc208566132"/>
      <w:bookmarkStart w:id="86" w:name="_Toc208827082"/>
      <w:bookmarkStart w:id="87" w:name="_Toc197604246"/>
      <w:bookmarkStart w:id="88" w:name="_Toc197604940"/>
      <w:bookmarkStart w:id="89" w:name="_Toc197611763"/>
      <w:r>
        <w:rPr>
          <w:rStyle w:val="CharDivNo"/>
        </w:rPr>
        <w:t>Division 3</w:t>
      </w:r>
      <w:r>
        <w:t> — </w:t>
      </w:r>
      <w:r>
        <w:rPr>
          <w:rStyle w:val="CharDivText"/>
        </w:rPr>
        <w:t>Audits of, and investigations into, training providers</w:t>
      </w:r>
      <w:bookmarkEnd w:id="83"/>
      <w:bookmarkEnd w:id="84"/>
      <w:bookmarkEnd w:id="85"/>
      <w:bookmarkEnd w:id="86"/>
      <w:bookmarkEnd w:id="87"/>
      <w:bookmarkEnd w:id="88"/>
      <w:bookmarkEnd w:id="89"/>
    </w:p>
    <w:p>
      <w:pPr>
        <w:pStyle w:val="Footnoteheading"/>
      </w:pPr>
      <w:r>
        <w:tab/>
        <w:t>[Heading amended: Gazette 17 Dec 2013 p. 6224.]</w:t>
      </w:r>
    </w:p>
    <w:p>
      <w:pPr>
        <w:pStyle w:val="Heading5"/>
      </w:pPr>
      <w:bookmarkStart w:id="90" w:name="_Toc208827083"/>
      <w:bookmarkStart w:id="91" w:name="_Toc197611764"/>
      <w:r>
        <w:rPr>
          <w:rStyle w:val="CharSectno"/>
        </w:rPr>
        <w:t>24</w:t>
      </w:r>
      <w:r>
        <w:t>.</w:t>
      </w:r>
      <w:r>
        <w:tab/>
        <w:t>Terms used</w:t>
      </w:r>
      <w:bookmarkEnd w:id="90"/>
      <w:bookmarkEnd w:id="91"/>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Gazette 17 Dec 2013 p.</w:t>
      </w:r>
      <w:r>
        <w:rPr>
          <w:sz w:val="19"/>
        </w:rPr>
        <w:t> </w:t>
      </w:r>
      <w:r>
        <w:t>6224; amended: Gazette 10 Mar 2015 p. 831.]</w:t>
      </w:r>
    </w:p>
    <w:p>
      <w:pPr>
        <w:pStyle w:val="Heading5"/>
      </w:pPr>
      <w:bookmarkStart w:id="92" w:name="_Toc208827084"/>
      <w:bookmarkStart w:id="93" w:name="_Toc197611765"/>
      <w:r>
        <w:rPr>
          <w:rStyle w:val="CharSectno"/>
        </w:rPr>
        <w:t>25</w:t>
      </w:r>
      <w:r>
        <w:t>.</w:t>
      </w:r>
      <w:r>
        <w:tab/>
        <w:t>Audits</w:t>
      </w:r>
      <w:bookmarkEnd w:id="92"/>
      <w:bookmarkEnd w:id="93"/>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keepNext/>
      </w:pPr>
      <w:r>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Gazette 17 Dec 2013 p.</w:t>
      </w:r>
      <w:r>
        <w:rPr>
          <w:sz w:val="19"/>
        </w:rPr>
        <w:t> </w:t>
      </w:r>
      <w:r>
        <w:t>6225; 10 Mar 2015 p. 831</w:t>
      </w:r>
      <w:r>
        <w:noBreakHyphen/>
        <w:t>2.]</w:t>
      </w:r>
    </w:p>
    <w:p>
      <w:pPr>
        <w:pStyle w:val="Heading5"/>
      </w:pPr>
      <w:bookmarkStart w:id="94" w:name="_Toc208827085"/>
      <w:bookmarkStart w:id="95" w:name="_Toc197611766"/>
      <w:r>
        <w:rPr>
          <w:rStyle w:val="CharSectno"/>
        </w:rPr>
        <w:t>26A</w:t>
      </w:r>
      <w:r>
        <w:t>.</w:t>
      </w:r>
      <w:r>
        <w:tab/>
        <w:t>Compliance audits</w:t>
      </w:r>
      <w:bookmarkEnd w:id="94"/>
      <w:bookmarkEnd w:id="95"/>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keepNext/>
      </w:pPr>
      <w:r>
        <w:tab/>
        <w:t>(3)</w:t>
      </w:r>
      <w:r>
        <w:tab/>
        <w:t xml:space="preserve">If the Council conducts a compliance audit on a WA registered provider, a charge is payable for — </w:t>
      </w:r>
    </w:p>
    <w:p>
      <w:pPr>
        <w:pStyle w:val="Indenta"/>
        <w:keepNext/>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Gazette 17 Dec 2013 p.</w:t>
      </w:r>
      <w:r>
        <w:rPr>
          <w:sz w:val="19"/>
        </w:rPr>
        <w:t> </w:t>
      </w:r>
      <w:r>
        <w:t>6225</w:t>
      </w:r>
      <w:r>
        <w:noBreakHyphen/>
        <w:t>6; amended: Gazette 10 Mar 2015 p. 832.]</w:t>
      </w:r>
    </w:p>
    <w:p>
      <w:pPr>
        <w:pStyle w:val="Heading5"/>
      </w:pPr>
      <w:bookmarkStart w:id="96" w:name="_Toc208827086"/>
      <w:bookmarkStart w:id="97" w:name="_Toc197611767"/>
      <w:r>
        <w:rPr>
          <w:rStyle w:val="CharSectno"/>
        </w:rPr>
        <w:t>26B</w:t>
      </w:r>
      <w:r>
        <w:t>.</w:t>
      </w:r>
      <w:r>
        <w:tab/>
        <w:t>Investigations of complaints</w:t>
      </w:r>
      <w:bookmarkEnd w:id="96"/>
      <w:bookmarkEnd w:id="97"/>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Gazette 17 Dec 2013 p.</w:t>
      </w:r>
      <w:r>
        <w:rPr>
          <w:sz w:val="19"/>
        </w:rPr>
        <w:t> </w:t>
      </w:r>
      <w:r>
        <w:t>6226; amended: Gazette 10 Mar 2015 p. 832</w:t>
      </w:r>
      <w:r>
        <w:noBreakHyphen/>
        <w:t>3.]</w:t>
      </w:r>
    </w:p>
    <w:p>
      <w:pPr>
        <w:pStyle w:val="Heading5"/>
        <w:pageBreakBefore/>
        <w:spacing w:before="0"/>
      </w:pPr>
      <w:bookmarkStart w:id="98" w:name="_Toc208827087"/>
      <w:bookmarkStart w:id="99" w:name="_Toc197611768"/>
      <w:r>
        <w:rPr>
          <w:rStyle w:val="CharSectno"/>
        </w:rPr>
        <w:t>26C</w:t>
      </w:r>
      <w:r>
        <w:t>.</w:t>
      </w:r>
      <w:r>
        <w:tab/>
        <w:t>Circumstances in which a charge may be waived in whole or in part</w:t>
      </w:r>
      <w:bookmarkEnd w:id="98"/>
      <w:bookmarkEnd w:id="99"/>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Gazette 17 Dec 2013 p.</w:t>
      </w:r>
      <w:r>
        <w:rPr>
          <w:sz w:val="19"/>
        </w:rPr>
        <w:t> </w:t>
      </w:r>
      <w:r>
        <w:t>6227; amended: Gazette 10 Mar 2015 p. 833.]</w:t>
      </w:r>
    </w:p>
    <w:p>
      <w:pPr>
        <w:pStyle w:val="Heading5"/>
      </w:pPr>
      <w:bookmarkStart w:id="100" w:name="_Toc208827088"/>
      <w:bookmarkStart w:id="101" w:name="_Toc197611769"/>
      <w:r>
        <w:rPr>
          <w:rStyle w:val="CharSectno"/>
        </w:rPr>
        <w:t>26D</w:t>
      </w:r>
      <w:r>
        <w:t>.</w:t>
      </w:r>
      <w:r>
        <w:tab/>
        <w:t>Rounding</w:t>
      </w:r>
      <w:bookmarkEnd w:id="100"/>
      <w:bookmarkEnd w:id="101"/>
    </w:p>
    <w:p>
      <w:pPr>
        <w:pStyle w:val="Subsection"/>
        <w:keepNext/>
      </w:pPr>
      <w:r>
        <w:tab/>
      </w:r>
      <w:r>
        <w:tab/>
        <w:t xml:space="preserve">When determining under regulations 26A(3)(a)(ii) and 26B(4)(a)(i) the amount of the charge payable for a compliance audit or investigation where the hourly rate is $250 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Gazette 17 Dec 2013 p.</w:t>
      </w:r>
      <w:r>
        <w:rPr>
          <w:sz w:val="19"/>
        </w:rPr>
        <w:t> </w:t>
      </w:r>
      <w:r>
        <w:t>6227; amended: Gazette 10 Mar 2015 p. 833.]</w:t>
      </w:r>
    </w:p>
    <w:p>
      <w:pPr>
        <w:pStyle w:val="Heading3"/>
        <w:keepLines/>
      </w:pPr>
      <w:bookmarkStart w:id="102" w:name="_Toc208565284"/>
      <w:bookmarkStart w:id="103" w:name="_Toc208565864"/>
      <w:bookmarkStart w:id="104" w:name="_Toc208566139"/>
      <w:bookmarkStart w:id="105" w:name="_Toc208827089"/>
      <w:bookmarkStart w:id="106" w:name="_Toc197604253"/>
      <w:bookmarkStart w:id="107" w:name="_Toc197604947"/>
      <w:bookmarkStart w:id="108" w:name="_Toc197611770"/>
      <w:r>
        <w:rPr>
          <w:rStyle w:val="CharDivNo"/>
        </w:rPr>
        <w:t>Division 4</w:t>
      </w:r>
      <w:r>
        <w:t> — </w:t>
      </w:r>
      <w:r>
        <w:rPr>
          <w:rStyle w:val="CharDivText"/>
        </w:rPr>
        <w:t>Obligations of registered training providers and of the Council</w:t>
      </w:r>
      <w:bookmarkEnd w:id="102"/>
      <w:bookmarkEnd w:id="103"/>
      <w:bookmarkEnd w:id="104"/>
      <w:bookmarkEnd w:id="105"/>
      <w:bookmarkEnd w:id="106"/>
      <w:bookmarkEnd w:id="107"/>
      <w:bookmarkEnd w:id="108"/>
    </w:p>
    <w:p>
      <w:pPr>
        <w:pStyle w:val="Footnoteheading"/>
      </w:pPr>
      <w:r>
        <w:tab/>
        <w:t>[Heading amended: Gazette 17 Dec 2013 p. 6228.]</w:t>
      </w:r>
    </w:p>
    <w:p>
      <w:pPr>
        <w:pStyle w:val="Heading5"/>
      </w:pPr>
      <w:bookmarkStart w:id="109" w:name="_Toc208827090"/>
      <w:bookmarkStart w:id="110" w:name="_Toc197611771"/>
      <w:r>
        <w:rPr>
          <w:rStyle w:val="CharSectno"/>
        </w:rPr>
        <w:t>26</w:t>
      </w:r>
      <w:r>
        <w:t>.</w:t>
      </w:r>
      <w:r>
        <w:tab/>
        <w:t>Reporting to Council</w:t>
      </w:r>
      <w:bookmarkEnd w:id="109"/>
      <w:bookmarkEnd w:id="110"/>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keepNext/>
        <w:spacing w:before="180"/>
      </w:pPr>
      <w:r>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Gazette 16 Mar 2012 p. 1248; 10 Mar 2015 p. 833.]</w:t>
      </w:r>
    </w:p>
    <w:p>
      <w:pPr>
        <w:pStyle w:val="Heading5"/>
      </w:pPr>
      <w:bookmarkStart w:id="111" w:name="_Toc208827091"/>
      <w:bookmarkStart w:id="112" w:name="_Toc197611772"/>
      <w:r>
        <w:rPr>
          <w:rStyle w:val="CharSectno"/>
        </w:rPr>
        <w:t>27</w:t>
      </w:r>
      <w:r>
        <w:t>.</w:t>
      </w:r>
      <w:r>
        <w:tab/>
        <w:t>Giving Council information on ceasing operations</w:t>
      </w:r>
      <w:bookmarkEnd w:id="111"/>
      <w:bookmarkEnd w:id="112"/>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keepNext/>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Gazette 25 Oct 2011 p. 4511; 10 Mar 2015 p. 834.]</w:t>
      </w:r>
    </w:p>
    <w:p>
      <w:pPr>
        <w:pStyle w:val="Heading5"/>
      </w:pPr>
      <w:bookmarkStart w:id="113" w:name="_Toc208827092"/>
      <w:bookmarkStart w:id="114" w:name="_Toc197611773"/>
      <w:r>
        <w:rPr>
          <w:rStyle w:val="CharSectno"/>
        </w:rPr>
        <w:t>28A</w:t>
      </w:r>
      <w:r>
        <w:t>.</w:t>
      </w:r>
      <w:r>
        <w:tab/>
        <w:t>Person may obtain from Council certified copies of information</w:t>
      </w:r>
      <w:bookmarkEnd w:id="113"/>
      <w:bookmarkEnd w:id="114"/>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Gazette 17 Dec 2013 p.</w:t>
      </w:r>
      <w:r>
        <w:rPr>
          <w:sz w:val="19"/>
        </w:rPr>
        <w:t> </w:t>
      </w:r>
      <w:r>
        <w:t>6228.]</w:t>
      </w:r>
    </w:p>
    <w:p>
      <w:pPr>
        <w:pStyle w:val="Heading3"/>
      </w:pPr>
      <w:bookmarkStart w:id="115" w:name="_Toc208565288"/>
      <w:bookmarkStart w:id="116" w:name="_Toc208565868"/>
      <w:bookmarkStart w:id="117" w:name="_Toc208566143"/>
      <w:bookmarkStart w:id="118" w:name="_Toc208827093"/>
      <w:bookmarkStart w:id="119" w:name="_Toc197604257"/>
      <w:bookmarkStart w:id="120" w:name="_Toc197604951"/>
      <w:bookmarkStart w:id="121" w:name="_Toc197611774"/>
      <w:r>
        <w:rPr>
          <w:rStyle w:val="CharDivNo"/>
        </w:rPr>
        <w:t>Division 5</w:t>
      </w:r>
      <w:r>
        <w:t> — </w:t>
      </w:r>
      <w:r>
        <w:rPr>
          <w:rStyle w:val="CharDivText"/>
        </w:rPr>
        <w:t>Accreditation of VET courses</w:t>
      </w:r>
      <w:bookmarkEnd w:id="115"/>
      <w:bookmarkEnd w:id="116"/>
      <w:bookmarkEnd w:id="117"/>
      <w:bookmarkEnd w:id="118"/>
      <w:bookmarkEnd w:id="119"/>
      <w:bookmarkEnd w:id="120"/>
      <w:bookmarkEnd w:id="121"/>
    </w:p>
    <w:p>
      <w:pPr>
        <w:pStyle w:val="Heading5"/>
      </w:pPr>
      <w:bookmarkStart w:id="122" w:name="_Toc208827094"/>
      <w:bookmarkStart w:id="123" w:name="_Toc197611775"/>
      <w:r>
        <w:rPr>
          <w:rStyle w:val="CharSectno"/>
        </w:rPr>
        <w:t>28</w:t>
      </w:r>
      <w:r>
        <w:t>.</w:t>
      </w:r>
      <w:r>
        <w:tab/>
        <w:t>Applying to have VET course accredited</w:t>
      </w:r>
      <w:bookmarkEnd w:id="122"/>
      <w:bookmarkEnd w:id="123"/>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Gazette 25 Oct 2011 p. 4512; 21 Aug 2012 p. 3927; 17 Dec 2013 p. 6228; 15 Jul 2014 p. 2464.]</w:t>
      </w:r>
    </w:p>
    <w:p>
      <w:pPr>
        <w:pStyle w:val="Heading5"/>
      </w:pPr>
      <w:bookmarkStart w:id="124" w:name="_Toc208827095"/>
      <w:bookmarkStart w:id="125" w:name="_Toc197611776"/>
      <w:r>
        <w:rPr>
          <w:rStyle w:val="CharSectno"/>
        </w:rPr>
        <w:t>29</w:t>
      </w:r>
      <w:r>
        <w:t>.</w:t>
      </w:r>
      <w:r>
        <w:tab/>
        <w:t>Dealing with applications</w:t>
      </w:r>
      <w:bookmarkEnd w:id="124"/>
      <w:bookmarkEnd w:id="125"/>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26" w:name="_Toc208827096"/>
      <w:bookmarkStart w:id="127" w:name="_Toc197611777"/>
      <w:r>
        <w:rPr>
          <w:rStyle w:val="CharSectno"/>
        </w:rPr>
        <w:t>30</w:t>
      </w:r>
      <w:r>
        <w:t>.</w:t>
      </w:r>
      <w:r>
        <w:tab/>
        <w:t>Accrediting VET courses</w:t>
      </w:r>
      <w:bookmarkEnd w:id="126"/>
      <w:bookmarkEnd w:id="127"/>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Gazette 17 Dec 2013 p.</w:t>
      </w:r>
      <w:r>
        <w:rPr>
          <w:sz w:val="19"/>
        </w:rPr>
        <w:t> </w:t>
      </w:r>
      <w:r>
        <w:t>6228</w:t>
      </w:r>
      <w:r>
        <w:noBreakHyphen/>
        <w:t>9; 10 Mar 2015 p. 834.]</w:t>
      </w:r>
    </w:p>
    <w:p>
      <w:pPr>
        <w:pStyle w:val="Heading5"/>
        <w:pageBreakBefore/>
        <w:spacing w:before="0"/>
      </w:pPr>
      <w:bookmarkStart w:id="128" w:name="_Toc208827097"/>
      <w:bookmarkStart w:id="129" w:name="_Toc197611778"/>
      <w:r>
        <w:rPr>
          <w:rStyle w:val="CharSectno"/>
        </w:rPr>
        <w:t>31</w:t>
      </w:r>
      <w:r>
        <w:t>.</w:t>
      </w:r>
      <w:r>
        <w:tab/>
        <w:t>Period of accreditation</w:t>
      </w:r>
      <w:bookmarkEnd w:id="128"/>
      <w:bookmarkEnd w:id="129"/>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30" w:name="_Toc208827098"/>
      <w:bookmarkStart w:id="131" w:name="_Toc197611779"/>
      <w:r>
        <w:rPr>
          <w:rStyle w:val="CharSectno"/>
        </w:rPr>
        <w:t>32</w:t>
      </w:r>
      <w:r>
        <w:t>.</w:t>
      </w:r>
      <w:r>
        <w:tab/>
        <w:t>Renewing accreditation</w:t>
      </w:r>
      <w:bookmarkEnd w:id="130"/>
      <w:bookmarkEnd w:id="131"/>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32" w:name="_Toc208827099"/>
      <w:bookmarkStart w:id="133" w:name="_Toc197611780"/>
      <w:r>
        <w:rPr>
          <w:rStyle w:val="CharSectno"/>
        </w:rPr>
        <w:t>33A</w:t>
      </w:r>
      <w:r>
        <w:t>.</w:t>
      </w:r>
      <w:r>
        <w:tab/>
        <w:t>Varying accreditation</w:t>
      </w:r>
      <w:bookmarkEnd w:id="132"/>
      <w:bookmarkEnd w:id="133"/>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keepNext/>
      </w:pPr>
      <w:r>
        <w:tab/>
        <w:t>(b)</w:t>
      </w:r>
      <w:r>
        <w:tab/>
        <w:t>written notice of any condition to which the accreditation as varied is subject.</w:t>
      </w:r>
    </w:p>
    <w:p>
      <w:pPr>
        <w:pStyle w:val="Footnotesection"/>
      </w:pPr>
      <w:r>
        <w:tab/>
        <w:t>[Regulation 33A inserted: Gazette 17 Dec 2013 p.</w:t>
      </w:r>
      <w:r>
        <w:rPr>
          <w:sz w:val="19"/>
        </w:rPr>
        <w:t> </w:t>
      </w:r>
      <w:r>
        <w:t>6229</w:t>
      </w:r>
      <w:r>
        <w:noBreakHyphen/>
        <w:t>30; amended: Gazette 15 Jul 2014 p. 2464; 10 Mar 2015 p. 834.]</w:t>
      </w:r>
    </w:p>
    <w:p>
      <w:pPr>
        <w:pStyle w:val="Heading5"/>
      </w:pPr>
      <w:bookmarkStart w:id="134" w:name="_Toc208827100"/>
      <w:bookmarkStart w:id="135" w:name="_Toc197611781"/>
      <w:r>
        <w:rPr>
          <w:rStyle w:val="CharSectno"/>
        </w:rPr>
        <w:t>33</w:t>
      </w:r>
      <w:r>
        <w:t>.</w:t>
      </w:r>
      <w:r>
        <w:tab/>
        <w:t>Cancelling accreditation</w:t>
      </w:r>
      <w:bookmarkEnd w:id="134"/>
      <w:bookmarkEnd w:id="135"/>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136" w:name="_Toc208827101"/>
      <w:bookmarkStart w:id="137" w:name="_Toc197611782"/>
      <w:r>
        <w:rPr>
          <w:rStyle w:val="CharSectno"/>
        </w:rPr>
        <w:t>34A</w:t>
      </w:r>
      <w:r>
        <w:t>.</w:t>
      </w:r>
      <w:r>
        <w:tab/>
        <w:t>Validity of decisions unaffected</w:t>
      </w:r>
      <w:bookmarkEnd w:id="136"/>
      <w:bookmarkEnd w:id="137"/>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Gazette 10 Mar 2015 p. 834.]</w:t>
      </w:r>
    </w:p>
    <w:p>
      <w:pPr>
        <w:pStyle w:val="Heading2"/>
      </w:pPr>
      <w:bookmarkStart w:id="138" w:name="_Toc208565297"/>
      <w:bookmarkStart w:id="139" w:name="_Toc208565877"/>
      <w:bookmarkStart w:id="140" w:name="_Toc208566152"/>
      <w:bookmarkStart w:id="141" w:name="_Toc208827102"/>
      <w:bookmarkStart w:id="142" w:name="_Toc197604266"/>
      <w:bookmarkStart w:id="143" w:name="_Toc197604960"/>
      <w:bookmarkStart w:id="144" w:name="_Toc197611783"/>
      <w:r>
        <w:rPr>
          <w:rStyle w:val="CharPartNo"/>
        </w:rPr>
        <w:t>Part 4</w:t>
      </w:r>
      <w:r>
        <w:t> — </w:t>
      </w:r>
      <w:r>
        <w:rPr>
          <w:rStyle w:val="CharPartText"/>
        </w:rPr>
        <w:t>Regulations for Part 7 of the Act</w:t>
      </w:r>
      <w:bookmarkEnd w:id="138"/>
      <w:bookmarkEnd w:id="139"/>
      <w:bookmarkEnd w:id="140"/>
      <w:bookmarkEnd w:id="141"/>
      <w:bookmarkEnd w:id="142"/>
      <w:bookmarkEnd w:id="143"/>
      <w:bookmarkEnd w:id="144"/>
    </w:p>
    <w:p>
      <w:pPr>
        <w:pStyle w:val="Heading3"/>
      </w:pPr>
      <w:bookmarkStart w:id="145" w:name="_Toc208565298"/>
      <w:bookmarkStart w:id="146" w:name="_Toc208565878"/>
      <w:bookmarkStart w:id="147" w:name="_Toc208566153"/>
      <w:bookmarkStart w:id="148" w:name="_Toc208827103"/>
      <w:bookmarkStart w:id="149" w:name="_Toc197604267"/>
      <w:bookmarkStart w:id="150" w:name="_Toc197604961"/>
      <w:bookmarkStart w:id="151" w:name="_Toc197611784"/>
      <w:r>
        <w:rPr>
          <w:rStyle w:val="CharDivNo"/>
        </w:rPr>
        <w:t>Division 1</w:t>
      </w:r>
      <w:r>
        <w:t> — </w:t>
      </w:r>
      <w:r>
        <w:rPr>
          <w:rStyle w:val="CharDivText"/>
        </w:rPr>
        <w:t>General matters</w:t>
      </w:r>
      <w:bookmarkEnd w:id="145"/>
      <w:bookmarkEnd w:id="146"/>
      <w:bookmarkEnd w:id="147"/>
      <w:bookmarkEnd w:id="148"/>
      <w:bookmarkEnd w:id="149"/>
      <w:bookmarkEnd w:id="150"/>
      <w:bookmarkEnd w:id="151"/>
    </w:p>
    <w:p>
      <w:pPr>
        <w:pStyle w:val="Heading5"/>
      </w:pPr>
      <w:bookmarkStart w:id="152" w:name="_Toc208827104"/>
      <w:bookmarkStart w:id="153" w:name="_Toc197611785"/>
      <w:r>
        <w:rPr>
          <w:rStyle w:val="CharSectno"/>
        </w:rPr>
        <w:t>34</w:t>
      </w:r>
      <w:r>
        <w:t>.</w:t>
      </w:r>
      <w:r>
        <w:tab/>
        <w:t>Term used: nominated training provider</w:t>
      </w:r>
      <w:bookmarkEnd w:id="152"/>
      <w:bookmarkEnd w:id="153"/>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Ednotesection"/>
      </w:pPr>
      <w:r>
        <w:t>[</w:t>
      </w:r>
      <w:r>
        <w:rPr>
          <w:b/>
          <w:bCs/>
        </w:rPr>
        <w:t>35.</w:t>
      </w:r>
      <w:r>
        <w:tab/>
        <w:t xml:space="preserve">Deleted: SL 2024/147 r. 4.] </w:t>
      </w:r>
    </w:p>
    <w:p>
      <w:pPr>
        <w:pStyle w:val="Heading3"/>
      </w:pPr>
      <w:bookmarkStart w:id="154" w:name="_Toc208565300"/>
      <w:bookmarkStart w:id="155" w:name="_Toc208565880"/>
      <w:bookmarkStart w:id="156" w:name="_Toc208566155"/>
      <w:bookmarkStart w:id="157" w:name="_Toc208827105"/>
      <w:bookmarkStart w:id="158" w:name="_Toc197604269"/>
      <w:bookmarkStart w:id="159" w:name="_Toc197604963"/>
      <w:bookmarkStart w:id="160" w:name="_Toc197611786"/>
      <w:r>
        <w:rPr>
          <w:rStyle w:val="CharDivNo"/>
        </w:rPr>
        <w:t>Division 2</w:t>
      </w:r>
      <w:r>
        <w:t> — </w:t>
      </w:r>
      <w:r>
        <w:rPr>
          <w:rStyle w:val="CharDivText"/>
        </w:rPr>
        <w:t>Classifying prescribed VET qualifications</w:t>
      </w:r>
      <w:bookmarkEnd w:id="154"/>
      <w:bookmarkEnd w:id="155"/>
      <w:bookmarkEnd w:id="156"/>
      <w:bookmarkEnd w:id="157"/>
      <w:bookmarkEnd w:id="158"/>
      <w:bookmarkEnd w:id="159"/>
      <w:bookmarkEnd w:id="160"/>
    </w:p>
    <w:p>
      <w:pPr>
        <w:pStyle w:val="Heading5"/>
      </w:pPr>
      <w:bookmarkStart w:id="161" w:name="_Toc208827106"/>
      <w:bookmarkStart w:id="162" w:name="_Toc197611787"/>
      <w:r>
        <w:rPr>
          <w:rStyle w:val="CharSectno"/>
        </w:rPr>
        <w:t>36</w:t>
      </w:r>
      <w:r>
        <w:t>.</w:t>
      </w:r>
      <w:r>
        <w:tab/>
        <w:t>Who Board must consult (Act s. 60C)</w:t>
      </w:r>
      <w:bookmarkEnd w:id="161"/>
      <w:bookmarkEnd w:id="162"/>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keepNext/>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63" w:name="_Toc208827107"/>
      <w:bookmarkStart w:id="164" w:name="_Toc197611788"/>
      <w:r>
        <w:rPr>
          <w:rStyle w:val="CharSectno"/>
        </w:rPr>
        <w:t>37</w:t>
      </w:r>
      <w:r>
        <w:t>.</w:t>
      </w:r>
      <w:r>
        <w:tab/>
        <w:t>Board’s advice and recommendations to Minister (Act s. 60C)</w:t>
      </w:r>
      <w:bookmarkEnd w:id="163"/>
      <w:bookmarkEnd w:id="164"/>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Gazette 17 Dec 2013 p.</w:t>
      </w:r>
      <w:r>
        <w:rPr>
          <w:sz w:val="19"/>
        </w:rPr>
        <w:t> </w:t>
      </w:r>
      <w:r>
        <w:t>6230.]</w:t>
      </w:r>
    </w:p>
    <w:p>
      <w:pPr>
        <w:pStyle w:val="Heading3"/>
      </w:pPr>
      <w:bookmarkStart w:id="165" w:name="_Toc208565303"/>
      <w:bookmarkStart w:id="166" w:name="_Toc208565883"/>
      <w:bookmarkStart w:id="167" w:name="_Toc208566158"/>
      <w:bookmarkStart w:id="168" w:name="_Toc208827108"/>
      <w:bookmarkStart w:id="169" w:name="_Toc197604272"/>
      <w:bookmarkStart w:id="170" w:name="_Toc197604966"/>
      <w:bookmarkStart w:id="171" w:name="_Toc197611789"/>
      <w:r>
        <w:rPr>
          <w:rStyle w:val="CharDivNo"/>
        </w:rPr>
        <w:t>Division 3</w:t>
      </w:r>
      <w:r>
        <w:t> — </w:t>
      </w:r>
      <w:r>
        <w:rPr>
          <w:rStyle w:val="CharDivText"/>
        </w:rPr>
        <w:t>Training contracts</w:t>
      </w:r>
      <w:bookmarkEnd w:id="165"/>
      <w:bookmarkEnd w:id="166"/>
      <w:bookmarkEnd w:id="167"/>
      <w:bookmarkEnd w:id="168"/>
      <w:bookmarkEnd w:id="169"/>
      <w:bookmarkEnd w:id="170"/>
      <w:bookmarkEnd w:id="171"/>
    </w:p>
    <w:p>
      <w:pPr>
        <w:pStyle w:val="Heading5"/>
      </w:pPr>
      <w:bookmarkStart w:id="172" w:name="_Toc208827109"/>
      <w:bookmarkStart w:id="173" w:name="_Toc197611790"/>
      <w:r>
        <w:rPr>
          <w:rStyle w:val="CharSectno"/>
        </w:rPr>
        <w:t>38</w:t>
      </w:r>
      <w:r>
        <w:t>.</w:t>
      </w:r>
      <w:r>
        <w:tab/>
        <w:t>Form and content of training contracts</w:t>
      </w:r>
      <w:bookmarkEnd w:id="172"/>
      <w:bookmarkEnd w:id="173"/>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Gazette 12 Dec 2014 p.</w:t>
      </w:r>
      <w:r>
        <w:rPr>
          <w:sz w:val="19"/>
        </w:rPr>
        <w:t> </w:t>
      </w:r>
      <w:r>
        <w:t>4743.]</w:t>
      </w:r>
    </w:p>
    <w:p>
      <w:pPr>
        <w:pStyle w:val="Heading5"/>
        <w:spacing w:before="180"/>
      </w:pPr>
      <w:bookmarkStart w:id="174" w:name="_Toc208827110"/>
      <w:bookmarkStart w:id="175" w:name="_Toc197611791"/>
      <w:r>
        <w:rPr>
          <w:rStyle w:val="CharSectno"/>
        </w:rPr>
        <w:t>39</w:t>
      </w:r>
      <w:r>
        <w:t>.</w:t>
      </w:r>
      <w:r>
        <w:tab/>
        <w:t>Probation periods of training contracts</w:t>
      </w:r>
      <w:bookmarkEnd w:id="174"/>
      <w:bookmarkEnd w:id="175"/>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176" w:name="_Toc208827111"/>
      <w:bookmarkStart w:id="177" w:name="_Toc197611792"/>
      <w:r>
        <w:rPr>
          <w:rStyle w:val="CharSectno"/>
        </w:rPr>
        <w:t>40</w:t>
      </w:r>
      <w:r>
        <w:t>.</w:t>
      </w:r>
      <w:r>
        <w:tab/>
        <w:t>Children’s capacity to enter into training contracts</w:t>
      </w:r>
      <w:bookmarkEnd w:id="176"/>
      <w:bookmarkEnd w:id="177"/>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keepNext/>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178" w:name="_Toc208827112"/>
      <w:bookmarkStart w:id="179" w:name="_Toc197611793"/>
      <w:r>
        <w:rPr>
          <w:rStyle w:val="CharSectno"/>
        </w:rPr>
        <w:t>41</w:t>
      </w:r>
      <w:r>
        <w:t>.</w:t>
      </w:r>
      <w:r>
        <w:tab/>
        <w:t>Lodging training contracts for registration (Act s. 60F)</w:t>
      </w:r>
      <w:bookmarkEnd w:id="178"/>
      <w:bookmarkEnd w:id="179"/>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80" w:name="_Toc208827113"/>
      <w:bookmarkStart w:id="181" w:name="_Toc197611794"/>
      <w:r>
        <w:rPr>
          <w:rStyle w:val="CharSectno"/>
        </w:rPr>
        <w:t>42</w:t>
      </w:r>
      <w:r>
        <w:t>.</w:t>
      </w:r>
      <w:r>
        <w:tab/>
        <w:t>Registering training contracts (Act s. 60F)</w:t>
      </w:r>
      <w:bookmarkEnd w:id="180"/>
      <w:bookmarkEnd w:id="181"/>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qualification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Ednotesubsection"/>
      </w:pPr>
      <w:r>
        <w:tab/>
        <w:t>[(3A)</w:t>
      </w:r>
      <w:r>
        <w:tab/>
        <w:t>deleted]</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keepNext/>
      </w:pPr>
      <w:r>
        <w:tab/>
        <w:t>(5)</w:t>
      </w:r>
      <w:r>
        <w:tab/>
        <w:t>If the chief executive refuses to register a training contract, he or she must give the parties a written notice of the decision that includes the reasons for it.</w:t>
      </w:r>
    </w:p>
    <w:p>
      <w:pPr>
        <w:pStyle w:val="Footnotesection"/>
      </w:pPr>
      <w:r>
        <w:tab/>
        <w:t>[Regulation 42 amended: Gazette 5 Dec 2014 p. 4525</w:t>
      </w:r>
      <w:r>
        <w:noBreakHyphen/>
        <w:t>6; 27 Jan 2016 p. 222.]</w:t>
      </w:r>
    </w:p>
    <w:p>
      <w:pPr>
        <w:pStyle w:val="Heading5"/>
      </w:pPr>
      <w:bookmarkStart w:id="182" w:name="_Toc208827114"/>
      <w:bookmarkStart w:id="183" w:name="_Toc197611795"/>
      <w:r>
        <w:rPr>
          <w:rStyle w:val="CharSectno"/>
        </w:rPr>
        <w:t>43</w:t>
      </w:r>
      <w:r>
        <w:t>.</w:t>
      </w:r>
      <w:r>
        <w:tab/>
        <w:t>Training plans for training contracts</w:t>
      </w:r>
      <w:bookmarkEnd w:id="182"/>
      <w:bookmarkEnd w:id="183"/>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 and</w:t>
      </w:r>
    </w:p>
    <w:p>
      <w:pPr>
        <w:pStyle w:val="Defpara"/>
      </w:pPr>
      <w:r>
        <w:tab/>
        <w:t>(f)</w:t>
      </w:r>
      <w:r>
        <w:tab/>
        <w:t>if the training contract relates to a school</w:t>
      </w:r>
      <w:r>
        <w:noBreakHyphen/>
        <w:t>based apprenticeship, has been endorsed by the school at which the apprentice is enrolled;</w:t>
      </w:r>
    </w:p>
    <w:p>
      <w:pPr>
        <w:pStyle w:val="Defstart"/>
      </w:pPr>
      <w:r>
        <w:tab/>
      </w:r>
      <w:r>
        <w:rPr>
          <w:rStyle w:val="CharDefText"/>
        </w:rPr>
        <w:t>school</w:t>
      </w:r>
      <w:r>
        <w:rPr>
          <w:rStyle w:val="CharDefText"/>
        </w:rPr>
        <w:noBreakHyphen/>
        <w:t>based apprenticeship</w:t>
      </w:r>
      <w:r>
        <w:t xml:space="preserve"> means an apprenticeship that is undertaken — </w:t>
      </w:r>
    </w:p>
    <w:p>
      <w:pPr>
        <w:pStyle w:val="Defpara"/>
      </w:pPr>
      <w:r>
        <w:tab/>
        <w:t>(a)</w:t>
      </w:r>
      <w:r>
        <w:tab/>
        <w:t>by an apprentice while they are enrolled full</w:t>
      </w:r>
      <w:r>
        <w:noBreakHyphen/>
        <w:t>time at a school; and</w:t>
      </w:r>
    </w:p>
    <w:p>
      <w:pPr>
        <w:pStyle w:val="Defpara"/>
      </w:pPr>
      <w:r>
        <w:tab/>
        <w:t>(b)</w:t>
      </w:r>
      <w:r>
        <w:tab/>
        <w:t>with the intention that the apprenticeship be recognised on the apprentice’s certificate of student achievement upon graduation from the school.</w:t>
      </w:r>
    </w:p>
    <w:p>
      <w:pPr>
        <w:pStyle w:val="Subsection"/>
      </w:pPr>
      <w:r>
        <w:tab/>
        <w:t>(1A)</w:t>
      </w:r>
      <w:r>
        <w:tab/>
        <w:t>Subregulation (2) applies to the employer and apprentice under a training contract, and the nominated training provider for that contract.</w:t>
      </w:r>
    </w:p>
    <w:p>
      <w:pPr>
        <w:pStyle w:val="Subsection"/>
      </w:pPr>
      <w:r>
        <w:tab/>
        <w:t>(2)</w:t>
      </w:r>
      <w:r>
        <w:tab/>
        <w:t>Each person to whom this subregulation applies must sign a complying training plan for the training contract within 6 weeks after the date on which the parties to the contract are given notice of the contract’s registration under regulation 42(3)(b).</w:t>
      </w:r>
    </w:p>
    <w:p>
      <w:pPr>
        <w:pStyle w:val="Penstart"/>
      </w:pPr>
      <w:r>
        <w:tab/>
        <w:t>Penalty for this subregulation: a fine of $5 000.</w:t>
      </w:r>
    </w:p>
    <w:p>
      <w:pPr>
        <w:pStyle w:val="Subsection"/>
      </w:pPr>
      <w:r>
        <w:tab/>
        <w:t>(3)</w:t>
      </w:r>
      <w:r>
        <w:tab/>
        <w:t>Subregulation (4) applies if a training contract is varied, under section 60E(4)(a) of the Act, to change the nominated training provider.</w:t>
      </w:r>
    </w:p>
    <w:p>
      <w:pPr>
        <w:pStyle w:val="Subsection"/>
      </w:pPr>
      <w:r>
        <w:tab/>
        <w:t>(4)</w:t>
      </w:r>
      <w:r>
        <w:tab/>
        <w:t>If this subregulation applies, the employer, apprentice and the nominated training provider under the varied training contract must each sign a new complying training plan for the training contract within 6 weeks after the date on which the parties to the contract are given written notice of the chief executive’s approval of the variation under regulation 46(5)(b).</w:t>
      </w:r>
    </w:p>
    <w:p>
      <w:pPr>
        <w:pStyle w:val="Penstart"/>
      </w:pPr>
      <w:r>
        <w:tab/>
        <w:t>Penalty for this subregulation: a fine of $5 000.</w:t>
      </w:r>
    </w:p>
    <w:p>
      <w:pPr>
        <w:pStyle w:val="Subsection"/>
      </w:pPr>
      <w:r>
        <w:tab/>
        <w:t>(5)</w:t>
      </w:r>
      <w:r>
        <w:tab/>
        <w:t>Subregulation (6) applies if a training contract is assigned, under section 60E(4)(c) of the Act, to another employer who employs the apprentice.</w:t>
      </w:r>
    </w:p>
    <w:p>
      <w:pPr>
        <w:pStyle w:val="Subsection"/>
      </w:pPr>
      <w:r>
        <w:tab/>
        <w:t>(6)</w:t>
      </w:r>
      <w:r>
        <w:tab/>
        <w:t>If this subregulation applies, the employer, apprentice and the nominated training provider under the assigned training contract must each sign a new complying training plan for the training contract within 6 weeks after the date on which the parties to the contract are given written notice of the chief executive’s approval of the assignment under regulation 47(2)(b).</w:t>
      </w:r>
    </w:p>
    <w:p>
      <w:pPr>
        <w:pStyle w:val="Penstart"/>
      </w:pPr>
      <w:r>
        <w:tab/>
        <w:t>Penalty for this subregulation: a fine of $5 000.</w:t>
      </w:r>
    </w:p>
    <w:p>
      <w:pPr>
        <w:pStyle w:val="Subsection"/>
      </w:pPr>
      <w:r>
        <w:tab/>
        <w:t>(7)</w:t>
      </w:r>
      <w:r>
        <w:tab/>
        <w:t>Within 30 days after the date on which a complying training plan is signed under this regulation by the employer, apprentice and the nominated training provider, the training provider must give written notice to the chief executive officer of the date on which the training plan was signed by the last party to sign it.</w:t>
      </w:r>
    </w:p>
    <w:p>
      <w:pPr>
        <w:pStyle w:val="Penstart"/>
      </w:pPr>
      <w:r>
        <w:tab/>
        <w:t>Penalty for this subregulation: a fine of $5 000.</w:t>
      </w:r>
    </w:p>
    <w:p>
      <w:pPr>
        <w:pStyle w:val="Footnotesection"/>
      </w:pPr>
      <w:r>
        <w:tab/>
        <w:t>[Regulation 43 amended: Gazette 29 Dec 2017 p. 6081</w:t>
      </w:r>
      <w:r>
        <w:noBreakHyphen/>
        <w:t>2.]</w:t>
      </w:r>
    </w:p>
    <w:p>
      <w:pPr>
        <w:pStyle w:val="Heading5"/>
      </w:pPr>
      <w:bookmarkStart w:id="184" w:name="_Toc208827115"/>
      <w:bookmarkStart w:id="185" w:name="_Toc197611796"/>
      <w:r>
        <w:rPr>
          <w:rStyle w:val="CharSectno"/>
        </w:rPr>
        <w:t>44</w:t>
      </w:r>
      <w:r>
        <w:t>.</w:t>
      </w:r>
      <w:r>
        <w:tab/>
        <w:t>Cancellation of registration by chief executive (Act s. 60F)</w:t>
      </w:r>
      <w:bookmarkEnd w:id="184"/>
      <w:bookmarkEnd w:id="185"/>
    </w:p>
    <w:p>
      <w:pPr>
        <w:pStyle w:val="Subsection"/>
      </w:pPr>
      <w:r>
        <w:tab/>
      </w:r>
      <w:r>
        <w:tab/>
        <w:t>Under section 60F(5) of the Act the chief executive may cancel the registration of a training contract for any of these reasons —</w:t>
      </w:r>
    </w:p>
    <w:p>
      <w:pPr>
        <w:pStyle w:val="Indenta"/>
      </w:pPr>
      <w:r>
        <w:tab/>
        <w:t>(a)</w:t>
      </w:r>
      <w:r>
        <w:tab/>
        <w:t>the chief executive is satisfied that a complying training plan for the training contract has not been signed in accordance with regulation 43(2);</w:t>
      </w:r>
    </w:p>
    <w:p>
      <w:pPr>
        <w:pStyle w:val="Indenta"/>
      </w:pPr>
      <w:r>
        <w:tab/>
        <w:t>(aa)</w:t>
      </w:r>
      <w:r>
        <w:tab/>
        <w:t>the chief executive is satisfied that a new complying training plan for the training contract has not been signed in accordance with regulation 43(4) or (6) (as the case may be);</w:t>
      </w:r>
    </w:p>
    <w:p>
      <w:pPr>
        <w:pStyle w:val="Indenta"/>
      </w:pPr>
      <w:r>
        <w:tab/>
        <w:t>(ab)</w:t>
      </w:r>
      <w:r>
        <w:tab/>
        <w:t>the chief executive is satisfied that the training plan for the training contract is not, or has ceased to be, a complying training plan;</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(ca)</w:t>
      </w:r>
      <w:r>
        <w:tab/>
        <w:t>the chief executive is satisfied that the qualification set out in the contract is not appropriate for the intended occupation during the contract;</w:t>
      </w:r>
    </w:p>
    <w:p>
      <w:pPr>
        <w:pStyle w:val="Indenta"/>
      </w:pPr>
      <w:r>
        <w:tab/>
        <w:t>(cb)</w:t>
      </w:r>
      <w:r>
        <w:tab/>
        <w:t>the chief executive is satisfied that the continued registration of the contract would result in an effect or outcome that is contrary to the objects of the Act;</w:t>
      </w:r>
    </w:p>
    <w:p>
      <w:pPr>
        <w:pStyle w:val="Indenta"/>
      </w:pPr>
      <w:r>
        <w:tab/>
        <w:t>(cc)</w:t>
      </w:r>
      <w:r>
        <w:tab/>
        <w:t>the apprentice is not an Australian citizen, or does not hold an Australian visa that will support the employment and study arrangements specified in the contract;</w:t>
      </w:r>
    </w:p>
    <w:p>
      <w:pPr>
        <w:pStyle w:val="Indenta"/>
      </w:pPr>
      <w:r>
        <w:tab/>
        <w:t>(cd)</w:t>
      </w:r>
      <w:r>
        <w:tab/>
        <w:t>the chief executive is satisfied that one or both of the parties to the contract has not complied with the terms of that contract;</w:t>
      </w:r>
    </w:p>
    <w:p>
      <w:pPr>
        <w:pStyle w:val="Indenta"/>
      </w:pPr>
      <w:r>
        <w:tab/>
        <w:t>(d)</w:t>
      </w:r>
      <w:r>
        <w:tab/>
        <w:t>the contract has been terminated.</w:t>
      </w:r>
    </w:p>
    <w:p>
      <w:pPr>
        <w:pStyle w:val="Footnotesection"/>
      </w:pPr>
      <w:r>
        <w:tab/>
        <w:t>[Regulation 44 amended: Gazette 27 Jan 2016 p. 222</w:t>
      </w:r>
      <w:r>
        <w:noBreakHyphen/>
        <w:t>3; 29 Dec 2017 p. 6082.]</w:t>
      </w:r>
    </w:p>
    <w:p>
      <w:pPr>
        <w:pStyle w:val="Heading5"/>
      </w:pPr>
      <w:bookmarkStart w:id="186" w:name="_Toc208827116"/>
      <w:bookmarkStart w:id="187" w:name="_Toc197611797"/>
      <w:r>
        <w:rPr>
          <w:rStyle w:val="CharSectno"/>
        </w:rPr>
        <w:t>45</w:t>
      </w:r>
      <w:r>
        <w:t>.</w:t>
      </w:r>
      <w:r>
        <w:tab/>
        <w:t>Chief executive may require persons involved in training contracts to provide information</w:t>
      </w:r>
      <w:bookmarkEnd w:id="186"/>
      <w:bookmarkEnd w:id="187"/>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for this subregulation: a fine of $5 000.</w:t>
      </w:r>
    </w:p>
    <w:p>
      <w:pPr>
        <w:pStyle w:val="Footnotesection"/>
      </w:pPr>
      <w:r>
        <w:tab/>
        <w:t>[Regulation 45 amended: Gazette 29 Dec 2017 p. 6083.]</w:t>
      </w:r>
    </w:p>
    <w:p>
      <w:pPr>
        <w:pStyle w:val="Heading5"/>
      </w:pPr>
      <w:bookmarkStart w:id="188" w:name="_Toc208827117"/>
      <w:bookmarkStart w:id="189" w:name="_Toc197611798"/>
      <w:r>
        <w:rPr>
          <w:rStyle w:val="CharSectno"/>
        </w:rPr>
        <w:t>46</w:t>
      </w:r>
      <w:r>
        <w:t>.</w:t>
      </w:r>
      <w:r>
        <w:tab/>
        <w:t>Variation of training contract by parties (Act s. 60E)</w:t>
      </w:r>
      <w:bookmarkEnd w:id="188"/>
      <w:bookmarkEnd w:id="189"/>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90" w:name="_Toc208827118"/>
      <w:bookmarkStart w:id="191" w:name="_Toc197611799"/>
      <w:r>
        <w:rPr>
          <w:rStyle w:val="CharSectno"/>
        </w:rPr>
        <w:t>47</w:t>
      </w:r>
      <w:r>
        <w:t>.</w:t>
      </w:r>
      <w:r>
        <w:tab/>
        <w:t>Assignment of training contract to another employer (Act s. 60E)</w:t>
      </w:r>
      <w:bookmarkEnd w:id="190"/>
      <w:bookmarkEnd w:id="191"/>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for this subregulation: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Footnotesection"/>
      </w:pPr>
      <w:r>
        <w:tab/>
        <w:t>[Regulation 47 amended: Gazette 29 Dec 2017 p. 6083.]</w:t>
      </w:r>
    </w:p>
    <w:p>
      <w:pPr>
        <w:pStyle w:val="Heading5"/>
      </w:pPr>
      <w:bookmarkStart w:id="192" w:name="_Toc208827119"/>
      <w:bookmarkStart w:id="193" w:name="_Toc197611800"/>
      <w:r>
        <w:rPr>
          <w:rStyle w:val="CharSectno"/>
        </w:rPr>
        <w:t>48</w:t>
      </w:r>
      <w:r>
        <w:t>.</w:t>
      </w:r>
      <w:r>
        <w:tab/>
        <w:t>Suspension of training contract by parties (Act s. 60E)</w:t>
      </w:r>
      <w:bookmarkEnd w:id="192"/>
      <w:bookmarkEnd w:id="193"/>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for this subregulation: a fine of $1 000.</w:t>
      </w:r>
    </w:p>
    <w:p>
      <w:pPr>
        <w:pStyle w:val="Footnotesection"/>
      </w:pPr>
      <w:r>
        <w:tab/>
        <w:t>[Regulation 48 amended: Gazette 29 Dec 2017 p. 6083.]</w:t>
      </w:r>
    </w:p>
    <w:p>
      <w:pPr>
        <w:pStyle w:val="Heading5"/>
      </w:pPr>
      <w:bookmarkStart w:id="194" w:name="_Toc208827120"/>
      <w:bookmarkStart w:id="195" w:name="_Toc197611801"/>
      <w:r>
        <w:rPr>
          <w:rStyle w:val="CharSectno"/>
        </w:rPr>
        <w:t>49</w:t>
      </w:r>
      <w:r>
        <w:t>.</w:t>
      </w:r>
      <w:r>
        <w:tab/>
        <w:t>Suspension by employer (Act s. 60E)</w:t>
      </w:r>
      <w:bookmarkEnd w:id="194"/>
      <w:bookmarkEnd w:id="195"/>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keepNext/>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for this subregulation: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for this subregulation: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keepNext/>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for this subregulation: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Footnotesection"/>
      </w:pPr>
      <w:r>
        <w:tab/>
        <w:t>[Regulation 49 amended: Gazette 29 Dec 2017 p. 6083.]</w:t>
      </w:r>
    </w:p>
    <w:p>
      <w:pPr>
        <w:pStyle w:val="Heading5"/>
      </w:pPr>
      <w:bookmarkStart w:id="196" w:name="_Toc208827121"/>
      <w:bookmarkStart w:id="197" w:name="_Toc197611802"/>
      <w:r>
        <w:rPr>
          <w:rStyle w:val="CharSectno"/>
        </w:rPr>
        <w:t>50</w:t>
      </w:r>
      <w:r>
        <w:t>.</w:t>
      </w:r>
      <w:r>
        <w:tab/>
        <w:t>Termination of training contract by parties (Act s. 60G)</w:t>
      </w:r>
      <w:bookmarkEnd w:id="196"/>
      <w:bookmarkEnd w:id="197"/>
    </w:p>
    <w:p>
      <w:pPr>
        <w:pStyle w:val="Subsection"/>
      </w:pPr>
      <w:r>
        <w:tab/>
      </w:r>
      <w:r>
        <w:tab/>
        <w:t>A party to a training contract may terminate the contract during the contract’s probation period without the approval of the chief executive.</w:t>
      </w:r>
    </w:p>
    <w:p>
      <w:pPr>
        <w:pStyle w:val="Heading5"/>
      </w:pPr>
      <w:bookmarkStart w:id="198" w:name="_Toc208827122"/>
      <w:bookmarkStart w:id="199" w:name="_Toc197611803"/>
      <w:r>
        <w:rPr>
          <w:rStyle w:val="CharSectno"/>
        </w:rPr>
        <w:t>51</w:t>
      </w:r>
      <w:r>
        <w:t>.</w:t>
      </w:r>
      <w:r>
        <w:tab/>
        <w:t>Approval of termination of training contract by chief executive (Act s. 60G)</w:t>
      </w:r>
      <w:bookmarkEnd w:id="198"/>
      <w:bookmarkEnd w:id="199"/>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200" w:name="_Toc208827123"/>
      <w:bookmarkStart w:id="201" w:name="_Toc197611804"/>
      <w:r>
        <w:rPr>
          <w:rStyle w:val="CharSectno"/>
        </w:rPr>
        <w:t>52</w:t>
      </w:r>
      <w:r>
        <w:t>.</w:t>
      </w:r>
      <w:r>
        <w:tab/>
        <w:t>Completion of training contract</w:t>
      </w:r>
      <w:bookmarkEnd w:id="200"/>
      <w:bookmarkEnd w:id="201"/>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for this subregulation: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for this subregulation: a fine of $5 000.</w:t>
      </w:r>
    </w:p>
    <w:p>
      <w:pPr>
        <w:pStyle w:val="Footnotesection"/>
      </w:pPr>
      <w:r>
        <w:tab/>
        <w:t>[Regulation 52 amended: Gazette 29 Dec 2017 p. 6083.]</w:t>
      </w:r>
    </w:p>
    <w:p>
      <w:pPr>
        <w:pStyle w:val="Heading5"/>
      </w:pPr>
      <w:bookmarkStart w:id="202" w:name="_Toc208827124"/>
      <w:bookmarkStart w:id="203" w:name="_Toc197611805"/>
      <w:r>
        <w:rPr>
          <w:rStyle w:val="CharSectno"/>
        </w:rPr>
        <w:t>52A</w:t>
      </w:r>
      <w:r>
        <w:t>.</w:t>
      </w:r>
      <w:r>
        <w:tab/>
        <w:t>Resolution of disputes by chief executive</w:t>
      </w:r>
      <w:bookmarkEnd w:id="202"/>
      <w:bookmarkEnd w:id="203"/>
    </w:p>
    <w:p>
      <w:pPr>
        <w:pStyle w:val="Subsection"/>
      </w:pPr>
      <w:r>
        <w:tab/>
        <w:t>(1)</w:t>
      </w:r>
      <w:r>
        <w:tab/>
        <w:t xml:space="preserve">The chief executive may, on an application by a party to a training contract, or on the chief executive’s own initiative, determine a dispute between the parties relating to any of the following — </w:t>
      </w:r>
    </w:p>
    <w:p>
      <w:pPr>
        <w:pStyle w:val="Indenta"/>
      </w:pPr>
      <w:r>
        <w:tab/>
        <w:t>(a)</w:t>
      </w:r>
      <w:r>
        <w:tab/>
        <w:t>the terms of the contract, including any variations or suspensions;</w:t>
      </w:r>
    </w:p>
    <w:p>
      <w:pPr>
        <w:pStyle w:val="Indenta"/>
      </w:pPr>
      <w:r>
        <w:tab/>
        <w:t>(b)</w:t>
      </w:r>
      <w:r>
        <w:tab/>
        <w:t>the conduct of the parties in complying with the terms of the contract;</w:t>
      </w:r>
    </w:p>
    <w:p>
      <w:pPr>
        <w:pStyle w:val="Indenta"/>
      </w:pPr>
      <w:r>
        <w:tab/>
        <w:t>(c)</w:t>
      </w:r>
      <w:r>
        <w:tab/>
        <w:t>the termination of the contract.</w:t>
      </w:r>
    </w:p>
    <w:p>
      <w:pPr>
        <w:pStyle w:val="Subsection"/>
      </w:pPr>
      <w:r>
        <w:tab/>
        <w:t>(2)</w:t>
      </w:r>
      <w:r>
        <w:tab/>
        <w:t>The chief executive may determine the dispute unless the chief executive feels that it should be dealt with by another body, tribunal or court vested with jurisdiction to determine it.</w:t>
      </w:r>
    </w:p>
    <w:p>
      <w:pPr>
        <w:pStyle w:val="Footnotesection"/>
      </w:pPr>
      <w:r>
        <w:tab/>
        <w:t>[Regulation 52A inserted: Gazette 27 Jan 2016 p. 223.]</w:t>
      </w:r>
    </w:p>
    <w:p>
      <w:pPr>
        <w:pStyle w:val="Heading3"/>
      </w:pPr>
      <w:bookmarkStart w:id="204" w:name="_Toc208565320"/>
      <w:bookmarkStart w:id="205" w:name="_Toc208565900"/>
      <w:bookmarkStart w:id="206" w:name="_Toc208566175"/>
      <w:bookmarkStart w:id="207" w:name="_Toc208827125"/>
      <w:bookmarkStart w:id="208" w:name="_Toc197604289"/>
      <w:bookmarkStart w:id="209" w:name="_Toc197604983"/>
      <w:bookmarkStart w:id="210" w:name="_Toc197611806"/>
      <w:r>
        <w:rPr>
          <w:rStyle w:val="CharDivNo"/>
        </w:rPr>
        <w:t>Division 4</w:t>
      </w:r>
      <w:r>
        <w:t> — </w:t>
      </w:r>
      <w:r>
        <w:rPr>
          <w:rStyle w:val="CharDivText"/>
        </w:rPr>
        <w:t>Procedure and appeals</w:t>
      </w:r>
      <w:bookmarkEnd w:id="204"/>
      <w:bookmarkEnd w:id="205"/>
      <w:bookmarkEnd w:id="206"/>
      <w:bookmarkEnd w:id="207"/>
      <w:bookmarkEnd w:id="208"/>
      <w:bookmarkEnd w:id="209"/>
      <w:bookmarkEnd w:id="210"/>
    </w:p>
    <w:p>
      <w:pPr>
        <w:pStyle w:val="Heading5"/>
      </w:pPr>
      <w:bookmarkStart w:id="211" w:name="_Toc208827126"/>
      <w:bookmarkStart w:id="212" w:name="_Toc197611807"/>
      <w:r>
        <w:rPr>
          <w:rStyle w:val="CharSectno"/>
        </w:rPr>
        <w:t>53</w:t>
      </w:r>
      <w:r>
        <w:t>.</w:t>
      </w:r>
      <w:r>
        <w:tab/>
        <w:t>Procedure on applications</w:t>
      </w:r>
      <w:bookmarkEnd w:id="211"/>
      <w:bookmarkEnd w:id="212"/>
    </w:p>
    <w:p>
      <w:pPr>
        <w:pStyle w:val="Subsection"/>
      </w:pPr>
      <w:r>
        <w:tab/>
        <w:t>(1)</w:t>
      </w:r>
      <w:r>
        <w:tab/>
        <w:t>This regulation applies to and in relation to any application made to the chief executive under Part 7 Division 2 of the Act or under regulation 39, 40, 46, 47 or 48, or any determination made under regulation 52A.</w:t>
      </w:r>
    </w:p>
    <w:p>
      <w:pPr>
        <w:pStyle w:val="Subsection"/>
        <w:keepNext/>
      </w:pPr>
      <w:r>
        <w:tab/>
        <w:t>(2)</w:t>
      </w:r>
      <w:r>
        <w:tab/>
        <w:t>In relation to an application or determination, the chief executive —</w:t>
      </w:r>
    </w:p>
    <w:p>
      <w:pPr>
        <w:pStyle w:val="Indenta"/>
      </w:pPr>
      <w:r>
        <w:tab/>
        <w:t>(a)</w:t>
      </w:r>
      <w:r>
        <w:tab/>
        <w:t>may inform himself or herself in any way he or she thinks fit; and</w:t>
      </w:r>
    </w:p>
    <w:p>
      <w:pPr>
        <w:pStyle w:val="Indenta"/>
      </w:pPr>
      <w:r>
        <w:tab/>
        <w:t>(b)</w:t>
      </w:r>
      <w:r>
        <w:tab/>
        <w:t xml:space="preserve">must give a reasonable opportunity to provide evidence and make submissions relevant to the application or determination to — </w:t>
      </w:r>
    </w:p>
    <w:p>
      <w:pPr>
        <w:pStyle w:val="Indenti"/>
      </w:pPr>
      <w:r>
        <w:tab/>
        <w:t>(i)</w:t>
      </w:r>
      <w:r>
        <w:tab/>
        <w:t>each party to any training contract to which the application or determination relates; and</w:t>
      </w:r>
    </w:p>
    <w:p>
      <w:pPr>
        <w:pStyle w:val="Indenti"/>
      </w:pPr>
      <w:r>
        <w:tab/>
        <w:t>(ii)</w:t>
      </w:r>
      <w:r>
        <w:tab/>
        <w:t>any other person who may or will be affected by the outcome of the application or determination or who, in the chief executive’s opinion, has a sufficient interest in the application or determination;</w:t>
      </w:r>
    </w:p>
    <w:p>
      <w:pPr>
        <w:pStyle w:val="Indenta"/>
      </w:pPr>
      <w:r>
        <w:tab/>
      </w:r>
      <w:r>
        <w:tab/>
        <w:t>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or determination, the chief executive must give the parties to the application or determination written notice of the decision and the reasons for it.</w:t>
      </w:r>
    </w:p>
    <w:p>
      <w:pPr>
        <w:pStyle w:val="Footnotesection"/>
      </w:pPr>
      <w:r>
        <w:tab/>
        <w:t>[Regulation 53 amended: Gazette 27 Jan 2016 p. 223</w:t>
      </w:r>
      <w:r>
        <w:noBreakHyphen/>
        <w:t>4.]</w:t>
      </w:r>
    </w:p>
    <w:p>
      <w:pPr>
        <w:pStyle w:val="Heading5"/>
      </w:pPr>
      <w:bookmarkStart w:id="213" w:name="_Toc208827127"/>
      <w:bookmarkStart w:id="214" w:name="_Toc197611808"/>
      <w:r>
        <w:rPr>
          <w:rStyle w:val="CharSectno"/>
        </w:rPr>
        <w:t>54</w:t>
      </w:r>
      <w:r>
        <w:t>.</w:t>
      </w:r>
      <w:r>
        <w:tab/>
        <w:t>Appeals</w:t>
      </w:r>
      <w:bookmarkEnd w:id="213"/>
      <w:bookmarkEnd w:id="214"/>
    </w:p>
    <w:p>
      <w:pPr>
        <w:pStyle w:val="Subsection"/>
      </w:pPr>
      <w:r>
        <w:tab/>
        <w:t>(1)</w:t>
      </w:r>
      <w:r>
        <w:tab/>
        <w:t>A party to a training contract who is dissatisfied by a decision made in relation to the contract by the chief executive under regulation 39, 46, 47, 48 or 52A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[Regulation 54 amended: Gazette 27 Jan 2016 p. 224.]</w:t>
      </w:r>
    </w:p>
    <w:p>
      <w:pPr>
        <w:pStyle w:val="Heading2"/>
      </w:pPr>
      <w:bookmarkStart w:id="215" w:name="_Toc208565323"/>
      <w:bookmarkStart w:id="216" w:name="_Toc208565903"/>
      <w:bookmarkStart w:id="217" w:name="_Toc208566178"/>
      <w:bookmarkStart w:id="218" w:name="_Toc208827128"/>
      <w:bookmarkStart w:id="219" w:name="_Toc197604292"/>
      <w:bookmarkStart w:id="220" w:name="_Toc197604986"/>
      <w:bookmarkStart w:id="221" w:name="_Toc197611809"/>
      <w:r>
        <w:rPr>
          <w:rStyle w:val="CharPartNo"/>
        </w:rPr>
        <w:t>Part 5</w:t>
      </w:r>
      <w:r>
        <w:rPr>
          <w:rStyle w:val="CharDivNo"/>
        </w:rPr>
        <w:t> </w:t>
      </w:r>
      <w:r>
        <w:t>—</w:t>
      </w:r>
      <w:r>
        <w:rPr>
          <w:rStyle w:val="CharDivText"/>
        </w:rPr>
        <w:t> </w:t>
      </w:r>
      <w:r>
        <w:rPr>
          <w:rStyle w:val="CharPartText"/>
        </w:rPr>
        <w:t>Repeals and transitional matters</w:t>
      </w:r>
      <w:bookmarkEnd w:id="215"/>
      <w:bookmarkEnd w:id="216"/>
      <w:bookmarkEnd w:id="217"/>
      <w:bookmarkEnd w:id="218"/>
      <w:bookmarkEnd w:id="219"/>
      <w:bookmarkEnd w:id="220"/>
      <w:bookmarkEnd w:id="221"/>
    </w:p>
    <w:p>
      <w:pPr>
        <w:pStyle w:val="Heading5"/>
      </w:pPr>
      <w:bookmarkStart w:id="222" w:name="_Toc208827129"/>
      <w:bookmarkStart w:id="223" w:name="_Toc197611810"/>
      <w:r>
        <w:rPr>
          <w:rStyle w:val="CharSectno"/>
        </w:rPr>
        <w:t>55</w:t>
      </w:r>
      <w:r>
        <w:t>.</w:t>
      </w:r>
      <w:r>
        <w:tab/>
        <w:t>Term used: commencement</w:t>
      </w:r>
      <w:bookmarkEnd w:id="222"/>
      <w:bookmarkEnd w:id="223"/>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224" w:name="_Toc208827130"/>
      <w:bookmarkStart w:id="225" w:name="_Toc197611811"/>
      <w:r>
        <w:rPr>
          <w:rStyle w:val="CharSectno"/>
        </w:rPr>
        <w:t>57</w:t>
      </w:r>
      <w:r>
        <w:t>.</w:t>
      </w:r>
      <w:r>
        <w:tab/>
        <w:t>Registered training providers</w:t>
      </w:r>
      <w:bookmarkEnd w:id="224"/>
      <w:bookmarkEnd w:id="225"/>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226" w:name="_Toc208827131"/>
      <w:bookmarkStart w:id="227" w:name="_Toc197611812"/>
      <w:r>
        <w:rPr>
          <w:rStyle w:val="CharSectno"/>
        </w:rPr>
        <w:t>58</w:t>
      </w:r>
      <w:r>
        <w:t>.</w:t>
      </w:r>
      <w:r>
        <w:tab/>
        <w:t>Accredited courses</w:t>
      </w:r>
      <w:bookmarkEnd w:id="226"/>
      <w:bookmarkEnd w:id="227"/>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228" w:name="_Toc208827132"/>
      <w:bookmarkStart w:id="229" w:name="_Toc197611813"/>
      <w:r>
        <w:rPr>
          <w:rStyle w:val="CharSectno"/>
        </w:rPr>
        <w:t>59</w:t>
      </w:r>
      <w:r>
        <w:t>.</w:t>
      </w:r>
      <w:r>
        <w:tab/>
        <w:t>Traineeship contracts</w:t>
      </w:r>
      <w:bookmarkEnd w:id="228"/>
      <w:bookmarkEnd w:id="229"/>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6</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230" w:name="_Toc208827133"/>
      <w:bookmarkStart w:id="231" w:name="_Toc197611814"/>
      <w:r>
        <w:rPr>
          <w:rStyle w:val="CharSectno"/>
        </w:rPr>
        <w:t>60</w:t>
      </w:r>
      <w:r>
        <w:t>.</w:t>
      </w:r>
      <w:r>
        <w:tab/>
        <w:t>Apprentices learning trades, transitional provisions for</w:t>
      </w:r>
      <w:bookmarkEnd w:id="230"/>
      <w:bookmarkEnd w:id="231"/>
    </w:p>
    <w:p>
      <w:pPr>
        <w:pStyle w:val="Subsection"/>
      </w:pPr>
      <w:r>
        <w:tab/>
      </w:r>
      <w:r>
        <w:tab/>
        <w:t>Schedule 2 sets out transitional provisions.</w:t>
      </w:r>
    </w:p>
    <w:p>
      <w:pPr>
        <w:pStyle w:val="Heading2"/>
        <w:rPr>
          <w:i/>
        </w:rPr>
      </w:pPr>
      <w:bookmarkStart w:id="232" w:name="_Toc208565329"/>
      <w:bookmarkStart w:id="233" w:name="_Toc208565909"/>
      <w:bookmarkStart w:id="234" w:name="_Toc208566184"/>
      <w:bookmarkStart w:id="235" w:name="_Toc208827134"/>
      <w:bookmarkStart w:id="236" w:name="_Toc197604298"/>
      <w:bookmarkStart w:id="237" w:name="_Toc197604992"/>
      <w:bookmarkStart w:id="238" w:name="_Toc197611815"/>
      <w:r>
        <w:rPr>
          <w:rStyle w:val="CharPartNo"/>
        </w:rPr>
        <w:t>Part 6</w:t>
      </w:r>
      <w:r>
        <w:t> — </w:t>
      </w:r>
      <w:r>
        <w:rPr>
          <w:rStyle w:val="CharPartText"/>
        </w:rPr>
        <w:t xml:space="preserve">Transitional provisions for </w:t>
      </w:r>
      <w:r>
        <w:rPr>
          <w:rStyle w:val="CharPartText"/>
          <w:i/>
        </w:rPr>
        <w:t>Vocational Education and Training (General) Amendment Regulations 2015</w:t>
      </w:r>
      <w:bookmarkEnd w:id="232"/>
      <w:bookmarkEnd w:id="233"/>
      <w:bookmarkEnd w:id="234"/>
      <w:bookmarkEnd w:id="235"/>
      <w:bookmarkEnd w:id="236"/>
      <w:bookmarkEnd w:id="237"/>
      <w:bookmarkEnd w:id="238"/>
    </w:p>
    <w:p>
      <w:pPr>
        <w:pStyle w:val="Footnoteheading"/>
      </w:pPr>
      <w:r>
        <w:tab/>
        <w:t>[Heading inserted: Gazette 10 Mar 2015 p. 835.]</w:t>
      </w:r>
    </w:p>
    <w:p>
      <w:pPr>
        <w:pStyle w:val="Heading5"/>
      </w:pPr>
      <w:bookmarkStart w:id="239" w:name="_Toc208827135"/>
      <w:bookmarkStart w:id="240" w:name="_Toc197611816"/>
      <w:r>
        <w:rPr>
          <w:rStyle w:val="CharSectno"/>
        </w:rPr>
        <w:t>61</w:t>
      </w:r>
      <w:r>
        <w:t>.</w:t>
      </w:r>
      <w:r>
        <w:tab/>
        <w:t>Terms used</w:t>
      </w:r>
      <w:bookmarkEnd w:id="239"/>
      <w:bookmarkEnd w:id="240"/>
    </w:p>
    <w:p>
      <w:pPr>
        <w:pStyle w:val="Subsection"/>
      </w:pPr>
      <w:r>
        <w:tab/>
      </w:r>
      <w:r>
        <w:tab/>
        <w:t xml:space="preserve">In this Part — </w:t>
      </w:r>
    </w:p>
    <w:p>
      <w:pPr>
        <w:pStyle w:val="Defstart"/>
      </w:pPr>
      <w:r>
        <w:tab/>
      </w:r>
      <w:r>
        <w:rPr>
          <w:rStyle w:val="CharDefText"/>
        </w:rPr>
        <w:t>amendment regulations</w:t>
      </w:r>
      <w:r>
        <w:t xml:space="preserve"> means the </w:t>
      </w:r>
      <w:r>
        <w:rPr>
          <w:i/>
        </w:rPr>
        <w:t>Vocational Education and Training (General) Amendment Regulations 2015</w:t>
      </w:r>
      <w:r>
        <w:t>;</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Gazette 10 Mar 2015 p. 835.]</w:t>
      </w:r>
    </w:p>
    <w:p>
      <w:pPr>
        <w:pStyle w:val="Heading5"/>
      </w:pPr>
      <w:bookmarkStart w:id="241" w:name="_Toc208827136"/>
      <w:bookmarkStart w:id="242" w:name="_Toc197611817"/>
      <w:r>
        <w:rPr>
          <w:rStyle w:val="CharSectno"/>
        </w:rPr>
        <w:t>62</w:t>
      </w:r>
      <w:r>
        <w:t>.</w:t>
      </w:r>
      <w:r>
        <w:tab/>
        <w:t>Mandatory conditions applicable to WA registered providers during transitional period</w:t>
      </w:r>
      <w:bookmarkEnd w:id="241"/>
      <w:bookmarkEnd w:id="242"/>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pPr>
      <w:r>
        <w:tab/>
        <w:t>(b)</w:t>
      </w:r>
      <w:r>
        <w:tab/>
        <w:t>the mandatory condition referred to in regulation 13(2)(a) as it was before the commencement day.</w:t>
      </w:r>
    </w:p>
    <w:p>
      <w:pPr>
        <w:pStyle w:val="Footnotesection"/>
      </w:pPr>
      <w:r>
        <w:tab/>
        <w:t>[Regulation 62 inserted: Gazette 10 Mar 2015 p. 835.]</w:t>
      </w:r>
    </w:p>
    <w:p>
      <w:pPr>
        <w:pStyle w:val="Heading5"/>
        <w:pageBreakBefore/>
        <w:spacing w:before="0"/>
      </w:pPr>
      <w:bookmarkStart w:id="243" w:name="_Toc208827137"/>
      <w:bookmarkStart w:id="244" w:name="_Toc197611818"/>
      <w:r>
        <w:rPr>
          <w:rStyle w:val="CharSectno"/>
        </w:rPr>
        <w:t>63</w:t>
      </w:r>
      <w:r>
        <w:t>.</w:t>
      </w:r>
      <w:r>
        <w:tab/>
        <w:t>Applications before commencement day</w:t>
      </w:r>
      <w:bookmarkEnd w:id="243"/>
      <w:bookmarkEnd w:id="244"/>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Gazette 10 Mar 2015 p. 835</w:t>
      </w:r>
      <w:r>
        <w:noBreakHyphen/>
        <w:t>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45" w:name="_Toc208565333"/>
      <w:bookmarkStart w:id="246" w:name="_Toc208565913"/>
      <w:bookmarkStart w:id="247" w:name="_Toc208566188"/>
      <w:bookmarkStart w:id="248" w:name="_Toc208827138"/>
      <w:bookmarkStart w:id="249" w:name="_Toc197604302"/>
      <w:bookmarkStart w:id="250" w:name="_Toc197604996"/>
      <w:bookmarkStart w:id="251" w:name="_Toc197611819"/>
      <w:r>
        <w:rPr>
          <w:rStyle w:val="CharSchNo"/>
        </w:rPr>
        <w:t>Schedule 1</w:t>
      </w:r>
      <w:r>
        <w:t> — </w:t>
      </w:r>
      <w:r>
        <w:rPr>
          <w:rStyle w:val="CharSchText"/>
        </w:rPr>
        <w:t>Training contract</w:t>
      </w:r>
      <w:bookmarkEnd w:id="245"/>
      <w:bookmarkEnd w:id="246"/>
      <w:bookmarkEnd w:id="247"/>
      <w:bookmarkEnd w:id="248"/>
      <w:bookmarkEnd w:id="249"/>
      <w:bookmarkEnd w:id="250"/>
      <w:bookmarkEnd w:id="251"/>
    </w:p>
    <w:p>
      <w:pPr>
        <w:pStyle w:val="yShoulderClause"/>
      </w:pPr>
      <w:r>
        <w:t>[r. 38]</w:t>
      </w:r>
    </w:p>
    <w:p>
      <w:pPr>
        <w:pStyle w:val="yFootnoteheading"/>
      </w:pPr>
      <w:r>
        <w:tab/>
        <w:t>[Heading inserted: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r>
        <w:rPr>
          <w:rFonts w:ascii="Arial" w:hAnsi="Arial" w:cs="Arial"/>
        </w:rPr>
        <w:t>Western Australia</w:t>
      </w:r>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keepNext/>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keepNext/>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keepNext/>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rPr>
                <w:rFonts w:ascii="Arial" w:hAnsi="Arial"/>
                <w:b/>
                <w:bCs/>
                <w:sz w:val="20"/>
              </w:rPr>
            </w:pPr>
          </w:p>
        </w:tc>
        <w:tc>
          <w:tcPr>
            <w:tcW w:w="3611" w:type="dxa"/>
            <w:tcBorders>
              <w:top w:val="nil"/>
              <w:left w:val="nil"/>
              <w:bottom w:val="nil"/>
            </w:tcBorders>
          </w:tcPr>
          <w:p>
            <w:pPr>
              <w:pStyle w:val="yTableNAm"/>
              <w:keepNext/>
              <w:rPr>
                <w:rFonts w:ascii="Arial" w:hAnsi="Arial"/>
                <w:b/>
                <w:bCs/>
                <w:sz w:val="20"/>
              </w:rPr>
            </w:pPr>
            <w:r>
              <w:rPr>
                <w:rFonts w:ascii="Arial" w:hAnsi="Arial"/>
                <w:b/>
                <w:bCs/>
                <w:sz w:val="20"/>
              </w:rPr>
              <w:t xml:space="preserve">Given names </w:t>
            </w:r>
            <w:r>
              <w:rPr>
                <w:rFonts w:ascii="Arial" w:hAnsi="Arial"/>
                <w:bCs/>
                <w:sz w:val="20"/>
              </w:rPr>
              <w:t>(in full)</w:t>
            </w:r>
          </w:p>
          <w:p>
            <w:pPr>
              <w:pStyle w:val="yTableNAm"/>
              <w:keepNext/>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keepNext/>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rPr>
                <w:rFonts w:ascii="Arial" w:hAnsi="Arial" w:cs="Arial"/>
                <w:sz w:val="20"/>
                <w:szCs w:val="22"/>
              </w:rPr>
            </w:pPr>
            <w:r>
              <w:rPr>
                <w:rFonts w:ascii="Arial" w:hAnsi="Arial" w:cs="Arial"/>
                <w:sz w:val="20"/>
                <w:szCs w:val="22"/>
              </w:rPr>
              <w:t>3</w:t>
            </w:r>
          </w:p>
        </w:tc>
        <w:tc>
          <w:tcPr>
            <w:tcW w:w="6521" w:type="dxa"/>
          </w:tcPr>
          <w:p>
            <w:pPr>
              <w:pStyle w:val="yTableNAm"/>
              <w:rPr>
                <w:rFonts w:ascii="Arial" w:hAnsi="Arial"/>
                <w:sz w:val="20"/>
              </w:rPr>
            </w:pPr>
            <w:r>
              <w:rPr>
                <w:rFonts w:ascii="Arial" w:hAnsi="Arial"/>
                <w:sz w:val="20"/>
              </w:rPr>
              <w:t>Intended occupation during training contract</w:t>
            </w:r>
          </w:p>
          <w:p>
            <w:pPr>
              <w:pStyle w:val="yTableNAm"/>
            </w:pPr>
          </w:p>
          <w:p>
            <w:pPr>
              <w:pStyle w:val="yTableNAm"/>
            </w:pPr>
            <w:r>
              <w:t>Commencement date of employment</w:t>
            </w:r>
          </w:p>
          <w:p>
            <w:pPr>
              <w:pStyle w:val="yTableNAm"/>
              <w:keepNext/>
              <w:rPr>
                <w:rFonts w:ascii="Arial" w:hAnsi="Arial" w:cs="Arial"/>
                <w:sz w:val="20"/>
                <w:szCs w:val="22"/>
              </w:rPr>
            </w:pPr>
            <w:r>
              <w:t>for Apprenticeship/Traineeship</w:t>
            </w:r>
            <w:r>
              <w:tab/>
              <w:t>Day    /Month    /Year</w:t>
            </w:r>
          </w:p>
        </w:tc>
      </w:tr>
      <w:tr>
        <w:tc>
          <w:tcPr>
            <w:tcW w:w="567" w:type="dxa"/>
          </w:tcPr>
          <w:p>
            <w:pPr>
              <w:pStyle w:val="yTableNAm"/>
              <w:keepNext/>
              <w:keepLines/>
              <w:rPr>
                <w:rFonts w:ascii="Arial" w:hAnsi="Arial" w:cs="Arial"/>
                <w:sz w:val="20"/>
                <w:szCs w:val="22"/>
              </w:rPr>
            </w:pPr>
          </w:p>
        </w:tc>
        <w:tc>
          <w:tcPr>
            <w:tcW w:w="6521" w:type="dxa"/>
          </w:tcPr>
          <w:p>
            <w:pPr>
              <w:pStyle w:val="yTableNAm"/>
              <w:keepNext/>
              <w:keepLines/>
              <w:rPr>
                <w:rFonts w:ascii="Arial" w:hAnsi="Arial" w:cs="Arial"/>
                <w:sz w:val="20"/>
                <w:szCs w:val="22"/>
              </w:rPr>
            </w:pP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keepNext/>
              <w:rPr>
                <w:rFonts w:ascii="Arial" w:hAnsi="Arial" w:cs="Arial"/>
                <w:sz w:val="20"/>
              </w:rPr>
            </w:pPr>
            <w:r>
              <w:rPr>
                <w:rFonts w:ascii="Arial" w:hAnsi="Arial" w:cs="Arial"/>
                <w:sz w:val="20"/>
              </w:rPr>
              <w:t>22*</w:t>
            </w:r>
          </w:p>
        </w:tc>
        <w:tc>
          <w:tcPr>
            <w:tcW w:w="6521" w:type="dxa"/>
            <w:gridSpan w:val="4"/>
            <w:tcBorders>
              <w:bottom w:val="nil"/>
            </w:tcBorders>
          </w:tcPr>
          <w:p>
            <w:pPr>
              <w:pStyle w:val="yTableNAm"/>
              <w:keepNext/>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keepNext/>
              <w:rPr>
                <w:rFonts w:ascii="Arial" w:hAnsi="Arial" w:cs="Arial"/>
                <w:sz w:val="20"/>
              </w:rPr>
            </w:pPr>
            <w:r>
              <w:rPr>
                <w:rFonts w:ascii="Arial" w:hAnsi="Arial" w:cs="Arial"/>
                <w:sz w:val="20"/>
              </w:rPr>
              <w:t>30</w:t>
            </w:r>
          </w:p>
        </w:tc>
        <w:tc>
          <w:tcPr>
            <w:tcW w:w="6521" w:type="dxa"/>
          </w:tcPr>
          <w:p>
            <w:pPr>
              <w:pStyle w:val="yTableNAm"/>
              <w:keepNext/>
              <w:rPr>
                <w:rFonts w:ascii="Arial" w:hAnsi="Arial" w:cs="Arial"/>
                <w:sz w:val="20"/>
              </w:rPr>
            </w:pPr>
            <w:r>
              <w:rPr>
                <w:rFonts w:ascii="Arial" w:hAnsi="Arial" w:cs="Arial"/>
                <w:sz w:val="20"/>
              </w:rPr>
              <w:t>Trading name</w:t>
            </w:r>
          </w:p>
          <w:p>
            <w:pPr>
              <w:pStyle w:val="yTableNAm"/>
              <w:keepNext/>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keepNext/>
              <w:rPr>
                <w:rFonts w:ascii="Arial" w:hAnsi="Arial"/>
                <w:sz w:val="20"/>
              </w:rPr>
            </w:pPr>
            <w:r>
              <w:rPr>
                <w:rFonts w:ascii="Arial" w:hAnsi="Arial"/>
                <w:sz w:val="20"/>
              </w:rPr>
              <w:t>41</w:t>
            </w:r>
          </w:p>
        </w:tc>
        <w:tc>
          <w:tcPr>
            <w:tcW w:w="6521" w:type="dxa"/>
            <w:gridSpan w:val="5"/>
          </w:tcPr>
          <w:p>
            <w:pPr>
              <w:pStyle w:val="yTableNAm"/>
              <w:keepNext/>
              <w:rPr>
                <w:rFonts w:ascii="Arial" w:hAnsi="Arial"/>
                <w:sz w:val="20"/>
              </w:rPr>
            </w:pPr>
            <w:r>
              <w:rPr>
                <w:rFonts w:ascii="Arial" w:hAnsi="Arial"/>
                <w:sz w:val="20"/>
              </w:rPr>
              <w:t>Is the apprentice/trainee in a business relationship with this employer?</w:t>
            </w:r>
          </w:p>
          <w:p>
            <w:pPr>
              <w:pStyle w:val="yTableNAm"/>
              <w:keepNext/>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keepNext/>
              <w:rPr>
                <w:rFonts w:ascii="Arial" w:hAnsi="Arial"/>
                <w:sz w:val="20"/>
              </w:rPr>
            </w:pPr>
            <w:r>
              <w:rPr>
                <w:rFonts w:ascii="Arial" w:hAnsi="Arial"/>
                <w:sz w:val="20"/>
              </w:rPr>
              <w:sym w:font="Monotype Sorts" w:char="F070"/>
            </w:r>
            <w:r>
              <w:rPr>
                <w:rFonts w:ascii="Arial" w:hAnsi="Arial"/>
                <w:sz w:val="20"/>
              </w:rPr>
              <w:t xml:space="preserve"> No</w:t>
            </w:r>
          </w:p>
          <w:p>
            <w:pPr>
              <w:pStyle w:val="yTableNAm"/>
              <w:keepNext/>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keepNext/>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keepNext/>
              <w:rPr>
                <w:rFonts w:ascii="Arial" w:hAnsi="Arial" w:cs="Arial"/>
                <w:sz w:val="20"/>
              </w:rPr>
            </w:pPr>
            <w:r>
              <w:rPr>
                <w:rFonts w:ascii="Arial" w:hAnsi="Arial" w:cs="Arial"/>
                <w:sz w:val="20"/>
              </w:rPr>
              <w:t>Name of Australian Apprenticeships Centre</w:t>
            </w:r>
          </w:p>
          <w:p>
            <w:pPr>
              <w:pStyle w:val="yTableNAm"/>
              <w:keepNext/>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keepNext/>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keepNext/>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keepNext/>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keepNext/>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Gazette 5 Dec 2014 p. 4526</w:t>
      </w:r>
      <w:r>
        <w:noBreakHyphen/>
        <w:t>41; amended: Gazette 12 Dec 2014 p. 4743; 27 Jan 2016 p. 224.]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ageBreakBefore w:val="0"/>
      </w:pPr>
      <w:bookmarkStart w:id="253" w:name="_Toc208565334"/>
      <w:bookmarkStart w:id="254" w:name="_Toc208565914"/>
      <w:bookmarkStart w:id="255" w:name="_Toc208566189"/>
      <w:bookmarkStart w:id="256" w:name="_Toc208827139"/>
      <w:bookmarkStart w:id="257" w:name="_Toc197604303"/>
      <w:bookmarkStart w:id="258" w:name="_Toc197604997"/>
      <w:bookmarkStart w:id="259" w:name="_Toc197611820"/>
      <w:r>
        <w:rPr>
          <w:rStyle w:val="CharSchNo"/>
        </w:rPr>
        <w:t>Schedule 2</w:t>
      </w:r>
      <w:r>
        <w:rPr>
          <w:rStyle w:val="CharSDivNo"/>
        </w:rPr>
        <w:t> </w:t>
      </w:r>
      <w:r>
        <w:t>—</w:t>
      </w:r>
      <w:r>
        <w:rPr>
          <w:rStyle w:val="CharSDivText"/>
        </w:rPr>
        <w:t> </w:t>
      </w:r>
      <w:r>
        <w:rPr>
          <w:rStyle w:val="CharSchText"/>
        </w:rPr>
        <w:t>Provisions about old agreements and old training contracts</w:t>
      </w:r>
      <w:bookmarkEnd w:id="253"/>
      <w:bookmarkEnd w:id="254"/>
      <w:bookmarkEnd w:id="255"/>
      <w:bookmarkEnd w:id="256"/>
      <w:bookmarkEnd w:id="257"/>
      <w:bookmarkEnd w:id="258"/>
      <w:bookmarkEnd w:id="259"/>
    </w:p>
    <w:p>
      <w:pPr>
        <w:pStyle w:val="yShoulderClause"/>
      </w:pPr>
      <w:r>
        <w:t>[r. 60]</w:t>
      </w:r>
    </w:p>
    <w:p>
      <w:pPr>
        <w:pStyle w:val="yHeading5"/>
      </w:pPr>
      <w:bookmarkStart w:id="260" w:name="_Toc208827140"/>
      <w:bookmarkStart w:id="261" w:name="_Toc197611821"/>
      <w:r>
        <w:rPr>
          <w:rStyle w:val="CharSClsNo"/>
        </w:rPr>
        <w:t>1</w:t>
      </w:r>
      <w:r>
        <w:t>.</w:t>
      </w:r>
      <w:r>
        <w:tab/>
        <w:t>Terms used</w:t>
      </w:r>
      <w:bookmarkEnd w:id="260"/>
      <w:bookmarkEnd w:id="261"/>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7</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6</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6</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6</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6</w:t>
      </w:r>
      <w:r>
        <w:t>, whether or not the contract also specifies the apprentice is being trained for a prescribed VET qualification.</w:t>
      </w:r>
    </w:p>
    <w:p>
      <w:pPr>
        <w:pStyle w:val="yHeading5"/>
      </w:pPr>
      <w:bookmarkStart w:id="262" w:name="_Toc208827141"/>
      <w:bookmarkStart w:id="263" w:name="_Toc197611822"/>
      <w:r>
        <w:rPr>
          <w:rStyle w:val="CharSClsNo"/>
        </w:rPr>
        <w:t>2</w:t>
      </w:r>
      <w:r>
        <w:t>.</w:t>
      </w:r>
      <w:r>
        <w:tab/>
        <w:t>Old agreements to be read with modifications</w:t>
      </w:r>
      <w:bookmarkEnd w:id="262"/>
      <w:bookmarkEnd w:id="263"/>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6</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6</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6</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6</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6</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264" w:name="_Toc208827142"/>
      <w:bookmarkStart w:id="265" w:name="_Toc197611823"/>
      <w:r>
        <w:rPr>
          <w:rStyle w:val="CharSClsNo"/>
        </w:rPr>
        <w:t>3</w:t>
      </w:r>
      <w:r>
        <w:t>.</w:t>
      </w:r>
      <w:r>
        <w:tab/>
        <w:t>Old agreements and contracts not terminated by sale of business</w:t>
      </w:r>
      <w:bookmarkEnd w:id="264"/>
      <w:bookmarkEnd w:id="265"/>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266" w:name="_Toc208827143"/>
      <w:bookmarkStart w:id="267" w:name="_Toc197611824"/>
      <w:r>
        <w:rPr>
          <w:rStyle w:val="CharSClsNo"/>
        </w:rPr>
        <w:t>4</w:t>
      </w:r>
      <w:r>
        <w:t>.</w:t>
      </w:r>
      <w:r>
        <w:tab/>
        <w:t>Technical instruction requirements for trade apprentices</w:t>
      </w:r>
      <w:bookmarkEnd w:id="266"/>
      <w:bookmarkEnd w:id="267"/>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268" w:name="_Toc208827144"/>
      <w:bookmarkStart w:id="269" w:name="_Toc197611825"/>
      <w:r>
        <w:rPr>
          <w:rStyle w:val="CharSClsNo"/>
        </w:rPr>
        <w:t>5</w:t>
      </w:r>
      <w:r>
        <w:t>.</w:t>
      </w:r>
      <w:r>
        <w:tab/>
        <w:t>Final certificates for trade apprentices</w:t>
      </w:r>
      <w:bookmarkEnd w:id="268"/>
      <w:bookmarkEnd w:id="269"/>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270" w:name="_Toc208565340"/>
      <w:bookmarkStart w:id="271" w:name="_Toc208565920"/>
      <w:bookmarkStart w:id="272" w:name="_Toc208566195"/>
      <w:bookmarkStart w:id="273" w:name="_Toc208827145"/>
      <w:bookmarkStart w:id="274" w:name="_Toc197604309"/>
      <w:bookmarkStart w:id="275" w:name="_Toc197605003"/>
      <w:bookmarkStart w:id="276" w:name="_Toc197611826"/>
      <w:r>
        <w:t>Notes</w:t>
      </w:r>
      <w:bookmarkEnd w:id="270"/>
      <w:bookmarkEnd w:id="271"/>
      <w:bookmarkEnd w:id="272"/>
      <w:bookmarkEnd w:id="273"/>
      <w:bookmarkEnd w:id="274"/>
      <w:bookmarkEnd w:id="275"/>
      <w:bookmarkEnd w:id="276"/>
    </w:p>
    <w:p>
      <w:pPr>
        <w:pStyle w:val="nStatement"/>
      </w:pPr>
      <w:r>
        <w:t xml:space="preserve">This is a compilation of the </w:t>
      </w:r>
      <w:r>
        <w:rPr>
          <w:i/>
          <w:noProof/>
        </w:rPr>
        <w:t>Vocational Education and Training (General) Regulations</w:t>
      </w:r>
      <w:del w:id="277" w:author="Master Repository Process" w:date="2025-09-16T12:56:00Z">
        <w:r>
          <w:rPr>
            <w:i/>
            <w:noProof/>
          </w:rPr>
          <w:delText> </w:delText>
        </w:r>
      </w:del>
      <w:ins w:id="278" w:author="Master Repository Process" w:date="2025-09-16T12:56:00Z">
        <w:r>
          <w:rPr>
            <w:i/>
            <w:noProof/>
          </w:rPr>
          <w:t xml:space="preserve"> </w:t>
        </w:r>
      </w:ins>
      <w:r>
        <w:rPr>
          <w:i/>
          <w:noProof/>
        </w:rPr>
        <w:t>2009</w:t>
      </w:r>
      <w:r>
        <w:t xml:space="preserve"> and includes amendments made by other written laws. For provisions that have come into operation</w:t>
      </w:r>
      <w:del w:id="279" w:author="Master Repository Process" w:date="2025-09-16T12:56:00Z">
        <w:r>
          <w:delText>, and for information about any reprints,</w:delText>
        </w:r>
      </w:del>
      <w:r>
        <w:t xml:space="preserve"> see the compilation</w:t>
      </w:r>
      <w:ins w:id="280" w:author="Master Repository Process" w:date="2025-09-16T12:56:00Z">
        <w:r>
          <w:t xml:space="preserve"> table. For provisions that have not yet come into operation see the uncommenced provisions</w:t>
        </w:r>
      </w:ins>
      <w:r>
        <w:t xml:space="preserve"> table.</w:t>
      </w:r>
    </w:p>
    <w:p>
      <w:pPr>
        <w:pStyle w:val="nHeading3"/>
      </w:pPr>
      <w:bookmarkStart w:id="281" w:name="_Toc208827146"/>
      <w:bookmarkStart w:id="282" w:name="_Toc197611827"/>
      <w:r>
        <w:t>Compilation table</w:t>
      </w:r>
      <w:bookmarkEnd w:id="281"/>
      <w:bookmarkEnd w:id="28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Vocational Education and Training (General) Regulations 2009</w:t>
            </w:r>
          </w:p>
        </w:tc>
        <w:tc>
          <w:tcPr>
            <w:tcW w:w="1276" w:type="dxa"/>
            <w:tcBorders>
              <w:top w:val="single" w:sz="8" w:space="0" w:color="auto"/>
              <w:bottom w:val="nil"/>
            </w:tcBorders>
          </w:tcPr>
          <w:p>
            <w:pPr>
              <w:pStyle w:val="nTable"/>
              <w:spacing w:after="40"/>
            </w:pPr>
            <w:r>
              <w:t>22 May 2009 p. 1731</w:t>
            </w:r>
            <w:r>
              <w:noBreakHyphen/>
              <w:t>97</w:t>
            </w:r>
          </w:p>
        </w:tc>
        <w:tc>
          <w:tcPr>
            <w:tcW w:w="2693" w:type="dxa"/>
            <w:tcBorders>
              <w:top w:val="single" w:sz="8" w:space="0" w:color="auto"/>
              <w:bottom w:val="nil"/>
            </w:tcBorders>
          </w:tcPr>
          <w:p>
            <w:pPr>
              <w:pStyle w:val="nTable"/>
              <w:spacing w:after="40"/>
            </w:pPr>
            <w:r>
              <w:t>r. 1 and 2: 22 May 2009 (see r. 2(a));</w:t>
            </w:r>
            <w:r>
              <w:br/>
              <w:t>Regulations other than r. 1 and 2: 10 Jun 2009 (see r. 2(b) and No. 44 of 2008 s. 2(2))</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2011</w:t>
            </w:r>
          </w:p>
        </w:tc>
        <w:tc>
          <w:tcPr>
            <w:tcW w:w="1276" w:type="dxa"/>
            <w:tcBorders>
              <w:top w:val="nil"/>
              <w:bottom w:val="nil"/>
            </w:tcBorders>
          </w:tcPr>
          <w:p>
            <w:pPr>
              <w:pStyle w:val="nTable"/>
              <w:spacing w:after="40"/>
            </w:pPr>
            <w:r>
              <w:t>25 Oct 2011 p. 4508-11</w:t>
            </w:r>
          </w:p>
        </w:tc>
        <w:tc>
          <w:tcPr>
            <w:tcW w:w="2693" w:type="dxa"/>
            <w:tcBorders>
              <w:top w:val="nil"/>
              <w:bottom w:val="nil"/>
            </w:tcBorders>
          </w:tcPr>
          <w:p>
            <w:pPr>
              <w:pStyle w:val="nTable"/>
              <w:spacing w:after="40"/>
            </w:pPr>
            <w:r>
              <w:t>r. 1 and 2: 25 Oct 2011 (see r. 2(a));</w:t>
            </w:r>
            <w:r>
              <w:br/>
              <w:t>Regulations other than r. 1 and 2: 26 Oct 2011 (see r. 2(b))</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(No. 2) 2011</w:t>
            </w:r>
          </w:p>
        </w:tc>
        <w:tc>
          <w:tcPr>
            <w:tcW w:w="1276" w:type="dxa"/>
            <w:tcBorders>
              <w:top w:val="nil"/>
              <w:bottom w:val="nil"/>
            </w:tcBorders>
          </w:tcPr>
          <w:p>
            <w:pPr>
              <w:pStyle w:val="nTable"/>
              <w:spacing w:after="40"/>
            </w:pPr>
            <w:r>
              <w:t>25 Oct 2011 p. 4511-12</w:t>
            </w:r>
          </w:p>
        </w:tc>
        <w:tc>
          <w:tcPr>
            <w:tcW w:w="2693" w:type="dxa"/>
            <w:tcBorders>
              <w:top w:val="nil"/>
              <w:bottom w:val="nil"/>
            </w:tcBorders>
          </w:tcPr>
          <w:p>
            <w:pPr>
              <w:pStyle w:val="nTable"/>
              <w:spacing w:after="40"/>
            </w:pPr>
            <w:r>
              <w:t>r. 1 and 2: 25 Oct 2011 (see r. 2(a));</w:t>
            </w:r>
            <w:r>
              <w:br/>
              <w:t>Regulations other than r. 1 and 2: 1 Jan 2012 (see r. 2(b))</w:t>
            </w:r>
          </w:p>
        </w:tc>
      </w:tr>
      <w:tr>
        <w:tc>
          <w:tcPr>
            <w:tcW w:w="3118" w:type="dxa"/>
            <w:tcBorders>
              <w:top w:val="nil"/>
              <w:bottom w:val="nil"/>
            </w:tcBorders>
          </w:tcPr>
          <w:p>
            <w:pPr>
              <w:pStyle w:val="nTable"/>
              <w:spacing w:after="40"/>
              <w:rPr>
                <w:i/>
                <w:noProof/>
                <w:snapToGrid w:val="0"/>
              </w:rPr>
            </w:pPr>
            <w:r>
              <w:rPr>
                <w:i/>
              </w:rPr>
              <w:t>Vocational Education and Training (General) Amendment Regulations 2012</w:t>
            </w:r>
          </w:p>
        </w:tc>
        <w:tc>
          <w:tcPr>
            <w:tcW w:w="1276" w:type="dxa"/>
            <w:tcBorders>
              <w:top w:val="nil"/>
              <w:bottom w:val="nil"/>
            </w:tcBorders>
          </w:tcPr>
          <w:p>
            <w:pPr>
              <w:pStyle w:val="nTable"/>
              <w:spacing w:after="40"/>
            </w:pPr>
            <w:r>
              <w:t>16 Mar 2012 p. 1247</w:t>
            </w:r>
            <w:r>
              <w:noBreakHyphen/>
              <w:t>8</w:t>
            </w:r>
          </w:p>
        </w:tc>
        <w:tc>
          <w:tcPr>
            <w:tcW w:w="2693" w:type="dxa"/>
            <w:tcBorders>
              <w:top w:val="nil"/>
              <w:bottom w:val="nil"/>
            </w:tcBorders>
          </w:tcPr>
          <w:p>
            <w:pPr>
              <w:pStyle w:val="nTable"/>
              <w:spacing w:after="40"/>
            </w:pPr>
            <w:r>
              <w:rPr>
                <w:snapToGrid w:val="0"/>
              </w:rPr>
              <w:t>r. 1 and 2: 16 Mar 2012 (see r. 2(a));</w:t>
            </w:r>
            <w:r>
              <w:rPr>
                <w:snapToGrid w:val="0"/>
              </w:rPr>
              <w:br/>
              <w:t>Regulations other than r. 1 and 2: 17 Mar 2012 (see r. 2(b))</w:t>
            </w:r>
          </w:p>
        </w:tc>
      </w:tr>
      <w:tr>
        <w:tc>
          <w:tcPr>
            <w:tcW w:w="3118" w:type="dxa"/>
            <w:tcBorders>
              <w:top w:val="nil"/>
              <w:bottom w:val="nil"/>
            </w:tcBorders>
          </w:tcPr>
          <w:p>
            <w:pPr>
              <w:pStyle w:val="nTable"/>
              <w:spacing w:after="40"/>
              <w:rPr>
                <w:i/>
              </w:rPr>
            </w:pPr>
            <w:r>
              <w:rPr>
                <w:i/>
              </w:rPr>
              <w:t>Vocational Education and Training (General) Amendment Regulations (No. 2) 2012</w:t>
            </w:r>
          </w:p>
        </w:tc>
        <w:tc>
          <w:tcPr>
            <w:tcW w:w="1276" w:type="dxa"/>
            <w:tcBorders>
              <w:top w:val="nil"/>
              <w:bottom w:val="nil"/>
            </w:tcBorders>
          </w:tcPr>
          <w:p>
            <w:pPr>
              <w:pStyle w:val="nTable"/>
              <w:spacing w:after="40"/>
            </w:pPr>
            <w:r>
              <w:t>21 Aug 2012 p. 3927</w:t>
            </w:r>
          </w:p>
        </w:tc>
        <w:tc>
          <w:tcPr>
            <w:tcW w:w="2693" w:type="dxa"/>
            <w:tcBorders>
              <w:top w:val="nil"/>
              <w:bottom w:val="nil"/>
            </w:tcBorders>
          </w:tcPr>
          <w:p>
            <w:pPr>
              <w:pStyle w:val="nTable"/>
              <w:spacing w:after="40"/>
              <w:rPr>
                <w:snapToGrid w:val="0"/>
              </w:rPr>
            </w:pPr>
            <w:r>
              <w:rPr>
                <w:snapToGrid w:val="0"/>
              </w:rPr>
              <w:t>r. 1 and 2: 21 Aug 2012 (see r. 2(a));</w:t>
            </w:r>
            <w:r>
              <w:rPr>
                <w:snapToGrid w:val="0"/>
              </w:rPr>
              <w:br/>
              <w:t>Regulations other than r. 1 and 2: 1 Sep 2012 (see r. 2(b))</w:t>
            </w:r>
          </w:p>
        </w:tc>
      </w:tr>
      <w:tr>
        <w:tc>
          <w:tcPr>
            <w:tcW w:w="3118" w:type="dxa"/>
            <w:tcBorders>
              <w:top w:val="nil"/>
              <w:bottom w:val="nil"/>
            </w:tcBorders>
          </w:tcPr>
          <w:p>
            <w:pPr>
              <w:pStyle w:val="nTable"/>
              <w:spacing w:after="40"/>
              <w:rPr>
                <w:i/>
              </w:rPr>
            </w:pPr>
            <w:r>
              <w:rPr>
                <w:i/>
              </w:rPr>
              <w:t>Vocational Education and Training (General) Amendment Regulations 2013</w:t>
            </w:r>
            <w:r>
              <w:t xml:space="preserve"> </w:t>
            </w:r>
          </w:p>
        </w:tc>
        <w:tc>
          <w:tcPr>
            <w:tcW w:w="1276" w:type="dxa"/>
            <w:tcBorders>
              <w:top w:val="nil"/>
              <w:bottom w:val="nil"/>
            </w:tcBorders>
          </w:tcPr>
          <w:p>
            <w:pPr>
              <w:pStyle w:val="nTable"/>
              <w:spacing w:after="40"/>
            </w:pPr>
            <w:r>
              <w:t>17 Dec 2013 p. 6218</w:t>
            </w:r>
            <w:r>
              <w:noBreakHyphen/>
              <w:t>30</w:t>
            </w:r>
          </w:p>
        </w:tc>
        <w:tc>
          <w:tcPr>
            <w:tcW w:w="2693" w:type="dxa"/>
            <w:tcBorders>
              <w:top w:val="nil"/>
              <w:bottom w:val="nil"/>
            </w:tcBorders>
          </w:tcPr>
          <w:p>
            <w:pPr>
              <w:pStyle w:val="nTable"/>
              <w:spacing w:after="40"/>
              <w:rPr>
                <w:snapToGrid w:val="0"/>
              </w:rPr>
            </w:pPr>
            <w:r>
              <w:rPr>
                <w:bCs/>
                <w:snapToGrid w:val="0"/>
              </w:rPr>
              <w:t>r. 1 and 2: 17 Dec 2013 (see r. 2(a));</w:t>
            </w:r>
            <w:r>
              <w:rPr>
                <w:bCs/>
                <w:snapToGrid w:val="0"/>
              </w:rPr>
              <w:br/>
              <w:t xml:space="preserve">Regulations other than r. 1 and 2: </w:t>
            </w:r>
            <w:r>
              <w:t>1 Jan 2014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1:  The </w:t>
            </w:r>
            <w:r>
              <w:rPr>
                <w:b/>
                <w:i/>
                <w:noProof/>
                <w:snapToGrid w:val="0"/>
              </w:rPr>
              <w:t xml:space="preserve">Vocational Education and Training (General) Regulations 2009 </w:t>
            </w:r>
            <w:r>
              <w:rPr>
                <w:b/>
                <w:bCs/>
                <w:snapToGrid w:val="0"/>
              </w:rPr>
              <w:t>as at 7 Mar 2014</w:t>
            </w:r>
            <w:r>
              <w:rPr>
                <w:bCs/>
                <w:snapToGrid w:val="0"/>
              </w:rPr>
              <w:t xml:space="preserve"> (includes amendments listed above) </w:t>
            </w:r>
          </w:p>
        </w:tc>
      </w:tr>
      <w:tr>
        <w:tc>
          <w:tcPr>
            <w:tcW w:w="3118" w:type="dxa"/>
            <w:tcBorders>
              <w:top w:val="nil"/>
              <w:bottom w:val="nil"/>
            </w:tcBorders>
          </w:tcPr>
          <w:p>
            <w:pPr>
              <w:pStyle w:val="nTable"/>
              <w:spacing w:after="40"/>
              <w:rPr>
                <w:i/>
              </w:rPr>
            </w:pPr>
            <w:r>
              <w:rPr>
                <w:i/>
              </w:rPr>
              <w:t>Vocational Education and Training (General) Amendment Regulations (No. 2) 2014</w:t>
            </w:r>
          </w:p>
        </w:tc>
        <w:tc>
          <w:tcPr>
            <w:tcW w:w="1276" w:type="dxa"/>
            <w:tcBorders>
              <w:top w:val="nil"/>
              <w:bottom w:val="nil"/>
            </w:tcBorders>
          </w:tcPr>
          <w:p>
            <w:pPr>
              <w:pStyle w:val="nTable"/>
              <w:spacing w:after="40"/>
            </w:pPr>
            <w:r>
              <w:t>15 Jul 2014 p. 2463</w:t>
            </w:r>
            <w:r>
              <w:noBreakHyphen/>
              <w:t>4</w:t>
            </w:r>
          </w:p>
        </w:tc>
        <w:tc>
          <w:tcPr>
            <w:tcW w:w="2693" w:type="dxa"/>
            <w:tcBorders>
              <w:top w:val="nil"/>
              <w:bottom w:val="nil"/>
            </w:tcBorders>
          </w:tcPr>
          <w:p>
            <w:pPr>
              <w:pStyle w:val="nTable"/>
              <w:spacing w:after="40"/>
              <w:rPr>
                <w:snapToGrid w:val="0"/>
              </w:rPr>
            </w:pPr>
            <w:r>
              <w:rPr>
                <w:bCs/>
                <w:snapToGrid w:val="0"/>
              </w:rPr>
              <w:t>r. 1 and 2: 15 Jul 2014 (see r. 2(a));</w:t>
            </w:r>
            <w:r>
              <w:rPr>
                <w:bCs/>
                <w:snapToGrid w:val="0"/>
              </w:rPr>
              <w:br/>
              <w:t xml:space="preserve">Regulations other than r. 1 and 2: </w:t>
            </w:r>
            <w: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bCs/>
                <w:snapToGrid w:val="0"/>
              </w:rPr>
            </w:pPr>
            <w:r>
              <w:rPr>
                <w:bCs/>
                <w:snapToGrid w:val="0"/>
                <w:spacing w:val="-2"/>
              </w:rPr>
              <w:t>r. 1 and 2: 5 Dec 2014 (see r. 2(a));</w:t>
            </w:r>
            <w:r>
              <w:rPr>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spacing w:after="40"/>
            </w:pPr>
            <w:r>
              <w:t>12 Dec 2014 p. 4742</w:t>
            </w:r>
            <w:r>
              <w:noBreakHyphen/>
              <w:t>3</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12 Dec 2014 (see r. 2(a));</w:t>
            </w:r>
            <w:r>
              <w:rPr>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spacing w:after="40"/>
            </w:pPr>
            <w:r>
              <w:t>10 Mar 2015 p. 827</w:t>
            </w:r>
            <w:r>
              <w:noBreakHyphen/>
              <w:t>36</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10 Mar 2015 (see r. 2(a));</w:t>
            </w:r>
            <w:r>
              <w:rPr>
                <w:bCs/>
                <w:snapToGrid w:val="0"/>
                <w:spacing w:val="-2"/>
              </w:rPr>
              <w:br/>
              <w:t xml:space="preserve">Regulations other than r. 1 and 2: </w:t>
            </w:r>
            <w:r>
              <w:t>6 Apr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(No. 2) 2015</w:t>
            </w:r>
          </w:p>
        </w:tc>
        <w:tc>
          <w:tcPr>
            <w:tcW w:w="1276" w:type="dxa"/>
            <w:tcBorders>
              <w:top w:val="nil"/>
              <w:left w:val="nil"/>
              <w:bottom w:val="nil"/>
              <w:right w:val="nil"/>
            </w:tcBorders>
            <w:shd w:val="clear" w:color="auto" w:fill="auto"/>
          </w:tcPr>
          <w:p>
            <w:pPr>
              <w:pStyle w:val="nTable"/>
              <w:spacing w:after="40"/>
            </w:pPr>
            <w:r>
              <w:t>28 Aug 2015 p. 3599</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28 Aug 2015 (see r. 2(a));</w:t>
            </w:r>
            <w:r>
              <w:rPr>
                <w:bCs/>
                <w:snapToGrid w:val="0"/>
                <w:spacing w:val="-2"/>
              </w:rPr>
              <w:br/>
              <w:t>Regulations other than r. 1 and 2: 29</w:t>
            </w:r>
            <w:r>
              <w:t> Aug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2016</w:t>
            </w:r>
          </w:p>
        </w:tc>
        <w:tc>
          <w:tcPr>
            <w:tcW w:w="1276" w:type="dxa"/>
            <w:tcBorders>
              <w:top w:val="nil"/>
              <w:left w:val="nil"/>
              <w:bottom w:val="nil"/>
              <w:right w:val="nil"/>
            </w:tcBorders>
            <w:shd w:val="clear" w:color="auto" w:fill="auto"/>
          </w:tcPr>
          <w:p>
            <w:pPr>
              <w:pStyle w:val="nTable"/>
              <w:spacing w:after="40"/>
            </w:pPr>
            <w:r>
              <w:t>27 Jan 2016 p. 222</w:t>
            </w:r>
            <w:r>
              <w:noBreakHyphen/>
              <w:t>4</w:t>
            </w:r>
          </w:p>
        </w:tc>
        <w:tc>
          <w:tcPr>
            <w:tcW w:w="2693" w:type="dxa"/>
            <w:tcBorders>
              <w:top w:val="nil"/>
              <w:left w:val="nil"/>
              <w:bottom w:val="nil"/>
            </w:tcBorders>
            <w:shd w:val="clear" w:color="auto" w:fill="auto"/>
          </w:tcPr>
          <w:p>
            <w:pPr>
              <w:pStyle w:val="nTable"/>
              <w:spacing w:after="40"/>
              <w:rPr>
                <w:bCs/>
                <w:snapToGrid w:val="0"/>
                <w:spacing w:val="-2"/>
              </w:rPr>
            </w:pPr>
            <w:r>
              <w:rPr>
                <w:bCs/>
                <w:noProof/>
                <w:snapToGrid w:val="0"/>
                <w:spacing w:val="-2"/>
              </w:rPr>
              <w:t xml:space="preserve">r. 1 and 2: </w:t>
            </w:r>
            <w:r>
              <w:rPr>
                <w:bCs/>
                <w:snapToGrid w:val="0"/>
                <w:spacing w:val="-2"/>
              </w:rPr>
              <w:t>27 Jan 2016 (see r. 2(a));</w:t>
            </w:r>
            <w:r>
              <w:rPr>
                <w:bCs/>
                <w:snapToGrid w:val="0"/>
                <w:spacing w:val="-2"/>
              </w:rPr>
              <w:br/>
              <w:t>Regulations other than r. 1 and 2: 28 Jan 2016 (see r. 2(b))</w:t>
            </w:r>
          </w:p>
        </w:tc>
      </w:tr>
      <w:tr>
        <w:tc>
          <w:tcPr>
            <w:tcW w:w="3118" w:type="dxa"/>
            <w:tcBorders>
              <w:top w:val="nil"/>
              <w:bottom w:val="nil"/>
              <w:right w:val="nil"/>
            </w:tcBorders>
            <w:shd w:val="clear" w:color="auto" w:fill="auto"/>
          </w:tcPr>
          <w:p>
            <w:pPr>
              <w:pStyle w:val="nTable"/>
              <w:spacing w:after="40"/>
              <w:rPr>
                <w:i/>
                <w:noProof/>
              </w:rPr>
            </w:pPr>
            <w:r>
              <w:rPr>
                <w:i/>
              </w:rPr>
              <w:t>Vocational Education and Training (General) Amendment Regulations 2017</w:t>
            </w:r>
          </w:p>
        </w:tc>
        <w:tc>
          <w:tcPr>
            <w:tcW w:w="1276" w:type="dxa"/>
            <w:tcBorders>
              <w:top w:val="nil"/>
              <w:left w:val="nil"/>
              <w:bottom w:val="nil"/>
              <w:right w:val="nil"/>
            </w:tcBorders>
            <w:shd w:val="clear" w:color="auto" w:fill="auto"/>
          </w:tcPr>
          <w:p>
            <w:pPr>
              <w:pStyle w:val="nTable"/>
              <w:spacing w:after="40"/>
            </w:pPr>
            <w:r>
              <w:t>29 Dec 2017 p. 6080</w:t>
            </w:r>
            <w:r>
              <w:noBreakHyphen/>
              <w:t>3</w:t>
            </w:r>
          </w:p>
        </w:tc>
        <w:tc>
          <w:tcPr>
            <w:tcW w:w="2693" w:type="dxa"/>
            <w:tcBorders>
              <w:top w:val="nil"/>
              <w:left w:val="nil"/>
              <w:bottom w:val="nil"/>
            </w:tcBorders>
            <w:shd w:val="clear" w:color="auto" w:fill="auto"/>
          </w:tcPr>
          <w:p>
            <w:pPr>
              <w:pStyle w:val="nTable"/>
              <w:spacing w:after="40"/>
            </w:pPr>
            <w:r>
              <w:t>r. 1 and 2: 29 Dec 2017 (see r. 2(a));</w:t>
            </w:r>
          </w:p>
          <w:p>
            <w:pPr>
              <w:pStyle w:val="nTable"/>
              <w:spacing w:after="40"/>
              <w:rPr>
                <w:bCs/>
                <w:noProof/>
                <w:snapToGrid w:val="0"/>
                <w:spacing w:val="-2"/>
              </w:rPr>
            </w:pPr>
            <w:r>
              <w:t>Regulations other than r. 1 and 2: 9 Feb 2018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Vocational Education and Training (General) Regulations 2009</w:t>
            </w:r>
            <w:r>
              <w:rPr>
                <w:b/>
              </w:rPr>
              <w:t xml:space="preserve"> as at</w:t>
            </w:r>
            <w:r>
              <w:rPr>
                <w:b/>
              </w:rPr>
              <w:br/>
              <w:t>16 Nov 2018</w:t>
            </w:r>
            <w:r>
              <w:t xml:space="preserve"> (includes amendments listed above)</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2021</w:t>
            </w:r>
          </w:p>
        </w:tc>
        <w:tc>
          <w:tcPr>
            <w:tcW w:w="1276" w:type="dxa"/>
            <w:tcBorders>
              <w:top w:val="nil"/>
              <w:left w:val="nil"/>
              <w:bottom w:val="nil"/>
              <w:right w:val="nil"/>
            </w:tcBorders>
            <w:shd w:val="clear" w:color="auto" w:fill="auto"/>
          </w:tcPr>
          <w:p>
            <w:pPr>
              <w:pStyle w:val="nTable"/>
              <w:spacing w:after="40"/>
            </w:pPr>
            <w:r>
              <w:t>SL 2021/156 10 Sep 2021</w:t>
            </w:r>
          </w:p>
        </w:tc>
        <w:tc>
          <w:tcPr>
            <w:tcW w:w="2693" w:type="dxa"/>
            <w:tcBorders>
              <w:top w:val="nil"/>
              <w:left w:val="nil"/>
              <w:bottom w:val="nil"/>
            </w:tcBorders>
            <w:shd w:val="clear" w:color="auto" w:fill="auto"/>
          </w:tcPr>
          <w:p>
            <w:pPr>
              <w:pStyle w:val="nTable"/>
              <w:spacing w:after="40"/>
            </w:pPr>
            <w:r>
              <w:t>r. 1 and 2: 10 Sep 2021 (see r. 2(a));</w:t>
            </w:r>
          </w:p>
          <w:p>
            <w:pPr>
              <w:pStyle w:val="nTable"/>
              <w:spacing w:after="40"/>
            </w:pPr>
            <w:r>
              <w:t>Regulations other than r. 1 and 2: 11 Sep 2021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2024</w:t>
            </w:r>
          </w:p>
        </w:tc>
        <w:tc>
          <w:tcPr>
            <w:tcW w:w="1276" w:type="dxa"/>
            <w:tcBorders>
              <w:top w:val="nil"/>
              <w:left w:val="nil"/>
              <w:bottom w:val="nil"/>
              <w:right w:val="nil"/>
            </w:tcBorders>
            <w:shd w:val="clear" w:color="auto" w:fill="auto"/>
          </w:tcPr>
          <w:p>
            <w:pPr>
              <w:pStyle w:val="nTable"/>
              <w:spacing w:after="40"/>
            </w:pPr>
            <w:r>
              <w:t>SL 2024/147 10 Jul 2024</w:t>
            </w:r>
          </w:p>
        </w:tc>
        <w:tc>
          <w:tcPr>
            <w:tcW w:w="2693" w:type="dxa"/>
            <w:tcBorders>
              <w:top w:val="nil"/>
              <w:left w:val="nil"/>
              <w:bottom w:val="nil"/>
            </w:tcBorders>
            <w:shd w:val="clear" w:color="auto" w:fill="auto"/>
          </w:tcPr>
          <w:p>
            <w:pPr>
              <w:pStyle w:val="nTable"/>
              <w:spacing w:after="40"/>
            </w:pPr>
            <w:r>
              <w:t>r. 1 and 2: 10 Jul 2024 (see r. 2(a));</w:t>
            </w:r>
            <w:r>
              <w:br/>
              <w:t>Regulations other than r. 1 and 2: 11 Jul 2024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(No. 2) 2024</w:t>
            </w:r>
          </w:p>
        </w:tc>
        <w:tc>
          <w:tcPr>
            <w:tcW w:w="1276" w:type="dxa"/>
            <w:tcBorders>
              <w:top w:val="nil"/>
              <w:left w:val="nil"/>
              <w:bottom w:val="nil"/>
              <w:right w:val="nil"/>
            </w:tcBorders>
            <w:shd w:val="clear" w:color="auto" w:fill="auto"/>
          </w:tcPr>
          <w:p>
            <w:pPr>
              <w:pStyle w:val="nTable"/>
              <w:spacing w:after="40"/>
            </w:pPr>
            <w:r>
              <w:t>SL 2024/229 13 Nov 2024</w:t>
            </w:r>
          </w:p>
        </w:tc>
        <w:tc>
          <w:tcPr>
            <w:tcW w:w="2693" w:type="dxa"/>
            <w:tcBorders>
              <w:top w:val="nil"/>
              <w:left w:val="nil"/>
              <w:bottom w:val="nil"/>
            </w:tcBorders>
            <w:shd w:val="clear" w:color="auto" w:fill="auto"/>
          </w:tcPr>
          <w:p>
            <w:pPr>
              <w:pStyle w:val="nTable"/>
              <w:spacing w:after="40"/>
            </w:pPr>
            <w:r>
              <w:t>r. 1 and 2: 13 Nov 2024 (see r. 2(a));</w:t>
            </w:r>
            <w:r>
              <w:br/>
              <w:t>Regulations other than r. 1 and 2: 14 Nov 2024 (see r. 2(b))</w:t>
            </w:r>
          </w:p>
        </w:tc>
      </w:tr>
      <w:tr>
        <w:tc>
          <w:tcPr>
            <w:tcW w:w="3118" w:type="dxa"/>
            <w:tcBorders>
              <w:top w:val="nil"/>
              <w:bottom w:val="single" w:sz="4" w:space="0" w:color="auto"/>
              <w:right w:val="nil"/>
            </w:tcBorders>
            <w:shd w:val="clear" w:color="auto" w:fill="auto"/>
          </w:tcPr>
          <w:p>
            <w:pPr>
              <w:pStyle w:val="nTable"/>
              <w:spacing w:after="40"/>
              <w:rPr>
                <w:i/>
              </w:rPr>
            </w:pPr>
            <w:r>
              <w:rPr>
                <w:i/>
              </w:rPr>
              <w:t>Vocational Education and Training (General) Amendment Regulations 2025</w:t>
            </w:r>
          </w:p>
        </w:tc>
        <w:tc>
          <w:tcPr>
            <w:tcW w:w="1276" w:type="dxa"/>
            <w:tcBorders>
              <w:top w:val="nil"/>
              <w:left w:val="nil"/>
              <w:bottom w:val="single" w:sz="4" w:space="0" w:color="auto"/>
              <w:right w:val="nil"/>
            </w:tcBorders>
            <w:shd w:val="clear" w:color="auto" w:fill="auto"/>
          </w:tcPr>
          <w:p>
            <w:pPr>
              <w:pStyle w:val="nTable"/>
              <w:spacing w:after="40"/>
            </w:pPr>
            <w:r>
              <w:t>SL 2025/71 14 May 2025</w:t>
            </w:r>
          </w:p>
        </w:tc>
        <w:tc>
          <w:tcPr>
            <w:tcW w:w="2693" w:type="dxa"/>
            <w:tcBorders>
              <w:top w:val="nil"/>
              <w:left w:val="nil"/>
              <w:bottom w:val="single" w:sz="4" w:space="0" w:color="auto"/>
            </w:tcBorders>
            <w:shd w:val="clear" w:color="auto" w:fill="auto"/>
          </w:tcPr>
          <w:p>
            <w:pPr>
              <w:pStyle w:val="nTable"/>
              <w:spacing w:after="40"/>
            </w:pPr>
            <w:r>
              <w:t>r. 1 and 2: 14 May 2025 (see r. 2(a));</w:t>
            </w:r>
            <w:r>
              <w:br/>
              <w:t>Regulations other than r. 1 and 2: 15 May 2025 (see r. 2(b))</w:t>
            </w:r>
          </w:p>
        </w:tc>
      </w:tr>
    </w:tbl>
    <w:p>
      <w:pPr>
        <w:pStyle w:val="nHeading3"/>
        <w:rPr>
          <w:ins w:id="283" w:author="Master Repository Process" w:date="2025-09-16T12:56:00Z"/>
        </w:rPr>
      </w:pPr>
      <w:bookmarkStart w:id="284" w:name="_Toc208827147"/>
      <w:ins w:id="285" w:author="Master Repository Process" w:date="2025-09-16T12:56:00Z">
        <w:r>
          <w:t>Uncommenced provisions table</w:t>
        </w:r>
        <w:bookmarkEnd w:id="284"/>
      </w:ins>
    </w:p>
    <w:p>
      <w:pPr>
        <w:pStyle w:val="nStatement"/>
        <w:keepNext/>
        <w:spacing w:after="240"/>
        <w:rPr>
          <w:ins w:id="286" w:author="Master Repository Process" w:date="2025-09-16T12:56:00Z"/>
        </w:rPr>
      </w:pPr>
      <w:ins w:id="287" w:author="Master Repository Process" w:date="2025-09-16T12:5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88" w:author="Master Repository Process" w:date="2025-09-16T12:56:00Z"/>
        </w:trPr>
        <w:tc>
          <w:tcPr>
            <w:tcW w:w="3118" w:type="dxa"/>
          </w:tcPr>
          <w:p>
            <w:pPr>
              <w:pStyle w:val="nTable"/>
              <w:spacing w:after="40"/>
              <w:rPr>
                <w:ins w:id="289" w:author="Master Repository Process" w:date="2025-09-16T12:56:00Z"/>
                <w:b/>
              </w:rPr>
            </w:pPr>
            <w:ins w:id="290" w:author="Master Repository Process" w:date="2025-09-16T12:56:00Z">
              <w:r>
                <w:rPr>
                  <w:b/>
                </w:rPr>
                <w:t>Citation</w:t>
              </w:r>
            </w:ins>
          </w:p>
        </w:tc>
        <w:tc>
          <w:tcPr>
            <w:tcW w:w="1276" w:type="dxa"/>
          </w:tcPr>
          <w:p>
            <w:pPr>
              <w:pStyle w:val="nTable"/>
              <w:spacing w:after="40"/>
              <w:rPr>
                <w:ins w:id="291" w:author="Master Repository Process" w:date="2025-09-16T12:56:00Z"/>
                <w:b/>
              </w:rPr>
            </w:pPr>
            <w:ins w:id="292" w:author="Master Repository Process" w:date="2025-09-16T12:56:00Z">
              <w:r>
                <w:rPr>
                  <w:b/>
                </w:rPr>
                <w:t>Published</w:t>
              </w:r>
            </w:ins>
          </w:p>
        </w:tc>
        <w:tc>
          <w:tcPr>
            <w:tcW w:w="2693" w:type="dxa"/>
          </w:tcPr>
          <w:p>
            <w:pPr>
              <w:pStyle w:val="nTable"/>
              <w:spacing w:after="40"/>
              <w:rPr>
                <w:ins w:id="293" w:author="Master Repository Process" w:date="2025-09-16T12:56:00Z"/>
                <w:b/>
              </w:rPr>
            </w:pPr>
            <w:ins w:id="294" w:author="Master Repository Process" w:date="2025-09-16T12:56:00Z">
              <w:r>
                <w:rPr>
                  <w:b/>
                </w:rPr>
                <w:t>Commencement</w:t>
              </w:r>
            </w:ins>
          </w:p>
        </w:tc>
      </w:tr>
      <w:tr>
        <w:trPr>
          <w:ins w:id="295" w:author="Master Repository Process" w:date="2025-09-16T12:56:00Z"/>
        </w:trPr>
        <w:tc>
          <w:tcPr>
            <w:tcW w:w="3118" w:type="dxa"/>
          </w:tcPr>
          <w:p>
            <w:pPr>
              <w:pStyle w:val="nTable"/>
              <w:spacing w:after="40"/>
              <w:rPr>
                <w:ins w:id="296" w:author="Master Repository Process" w:date="2025-09-16T12:56:00Z"/>
                <w:iCs/>
              </w:rPr>
            </w:pPr>
            <w:ins w:id="297" w:author="Master Repository Process" w:date="2025-09-16T12:56:00Z">
              <w:r>
                <w:rPr>
                  <w:i/>
                </w:rPr>
                <w:t>Vocational Education and Training (General) Amendment Regulations (No. 2) 2025</w:t>
              </w:r>
              <w:r>
                <w:rPr>
                  <w:iCs/>
                </w:rPr>
                <w:t xml:space="preserve"> r. 3</w:t>
              </w:r>
              <w:r>
                <w:rPr>
                  <w:iCs/>
                </w:rPr>
                <w:noBreakHyphen/>
                <w:t>24</w:t>
              </w:r>
            </w:ins>
          </w:p>
        </w:tc>
        <w:tc>
          <w:tcPr>
            <w:tcW w:w="1276" w:type="dxa"/>
          </w:tcPr>
          <w:p>
            <w:pPr>
              <w:pStyle w:val="nTable"/>
              <w:spacing w:after="40"/>
              <w:rPr>
                <w:ins w:id="298" w:author="Master Repository Process" w:date="2025-09-16T12:56:00Z"/>
              </w:rPr>
            </w:pPr>
            <w:ins w:id="299" w:author="Master Repository Process" w:date="2025-09-16T12:56:00Z">
              <w:r>
                <w:t>SL 2025/165 17 Sep 2025</w:t>
              </w:r>
            </w:ins>
          </w:p>
        </w:tc>
        <w:tc>
          <w:tcPr>
            <w:tcW w:w="2693" w:type="dxa"/>
          </w:tcPr>
          <w:p>
            <w:pPr>
              <w:pStyle w:val="nTable"/>
              <w:spacing w:after="40"/>
              <w:rPr>
                <w:ins w:id="300" w:author="Master Repository Process" w:date="2025-09-16T12:56:00Z"/>
              </w:rPr>
            </w:pPr>
            <w:ins w:id="301" w:author="Master Repository Process" w:date="2025-09-16T12:56:00Z">
              <w:r>
                <w:t>1 Oct 2025 (see r. 2(b))</w:t>
              </w:r>
            </w:ins>
          </w:p>
        </w:tc>
      </w:tr>
    </w:tbl>
    <w:p>
      <w:pPr>
        <w:pStyle w:val="nHeading3"/>
      </w:pPr>
      <w:bookmarkStart w:id="302" w:name="_Toc208827148"/>
      <w:bookmarkStart w:id="303" w:name="_Toc197611828"/>
      <w:r>
        <w:t>Other notes</w:t>
      </w:r>
      <w:bookmarkEnd w:id="302"/>
      <w:bookmarkEnd w:id="303"/>
    </w:p>
    <w:p>
      <w:pPr>
        <w:pStyle w:val="nNote"/>
      </w:pPr>
      <w:r>
        <w:rPr>
          <w:vertAlign w:val="superscript"/>
        </w:rPr>
        <w:t>1</w:t>
      </w:r>
      <w:r>
        <w:tab/>
        <w:t xml:space="preserve">Repealed by </w:t>
      </w:r>
      <w:r>
        <w:rPr>
          <w:color w:val="000000"/>
          <w:shd w:val="clear" w:color="auto" w:fill="FFFFFF"/>
        </w:rPr>
        <w:t xml:space="preserve">the </w:t>
      </w:r>
      <w:r>
        <w:rPr>
          <w:i/>
          <w:iCs/>
        </w:rPr>
        <w:t>Vocational Education and Training (Commonwealth Powers) Act 2010</w:t>
      </w:r>
      <w:r>
        <w:t xml:space="preserve"> Sch. 1 (NSW).</w:t>
      </w:r>
    </w:p>
    <w:p>
      <w:pPr>
        <w:pStyle w:val="nNote"/>
      </w:pPr>
      <w:r>
        <w:rPr>
          <w:vertAlign w:val="superscript"/>
        </w:rPr>
        <w:t>2</w:t>
      </w:r>
      <w:r>
        <w:tab/>
        <w:t xml:space="preserve">Repealed by the </w:t>
      </w:r>
      <w:r>
        <w:rPr>
          <w:i/>
        </w:rPr>
        <w:t>Training and Skills Development Act 2016</w:t>
      </w:r>
      <w:r>
        <w:t xml:space="preserve"> (NT).</w:t>
      </w:r>
    </w:p>
    <w:p>
      <w:pPr>
        <w:pStyle w:val="nNote"/>
      </w:pPr>
      <w:r>
        <w:rPr>
          <w:vertAlign w:val="superscript"/>
        </w:rPr>
        <w:t>3</w:t>
      </w:r>
      <w:r>
        <w:tab/>
        <w:t xml:space="preserve">Repealed by the </w:t>
      </w:r>
      <w:r>
        <w:rPr>
          <w:i/>
        </w:rPr>
        <w:t>Further Education and Training Act 2014</w:t>
      </w:r>
      <w:r>
        <w:t xml:space="preserve"> (Qld).</w:t>
      </w:r>
    </w:p>
    <w:p>
      <w:pPr>
        <w:pStyle w:val="nNote"/>
      </w:pPr>
      <w:r>
        <w:rPr>
          <w:vertAlign w:val="superscript"/>
        </w:rPr>
        <w:t>4</w:t>
      </w:r>
      <w:r>
        <w:tab/>
        <w:t xml:space="preserve">Repealed by the </w:t>
      </w:r>
      <w:r>
        <w:rPr>
          <w:i/>
        </w:rPr>
        <w:t>Training and Workforce Development (Repeals and Consequential Amendments Act 2013</w:t>
      </w:r>
      <w:r>
        <w:t xml:space="preserve"> (Tas).</w:t>
      </w:r>
    </w:p>
    <w:p>
      <w:pPr>
        <w:pStyle w:val="nNote"/>
      </w:pPr>
      <w:r>
        <w:rPr>
          <w:vertAlign w:val="superscript"/>
        </w:rPr>
        <w:t>5</w:t>
      </w:r>
      <w:r>
        <w:tab/>
        <w:t xml:space="preserve">The </w:t>
      </w:r>
      <w:r>
        <w:rPr>
          <w:i/>
        </w:rPr>
        <w:t>Training Legislation Amendment and Repeal Act 2008</w:t>
      </w:r>
      <w:r>
        <w:t xml:space="preserve"> (other than Part 1) commenced 10 Jun 2009.</w:t>
      </w:r>
    </w:p>
    <w:p>
      <w:pPr>
        <w:pStyle w:val="nNote"/>
      </w:pPr>
      <w:r>
        <w:rPr>
          <w:vertAlign w:val="superscript"/>
        </w:rPr>
        <w:t>6</w:t>
      </w:r>
      <w:r>
        <w:tab/>
        <w:t xml:space="preserve">The </w:t>
      </w:r>
      <w:r>
        <w:rPr>
          <w:i/>
        </w:rPr>
        <w:t>Industrial Training Act 1975</w:t>
      </w:r>
      <w:r>
        <w:t xml:space="preserve"> was repealed by the </w:t>
      </w:r>
      <w:r>
        <w:rPr>
          <w:i/>
        </w:rPr>
        <w:t>Training Legislation Amendment and Repeal Act 2008</w:t>
      </w:r>
      <w:r>
        <w:t>.</w:t>
      </w:r>
    </w:p>
    <w:p>
      <w:pPr>
        <w:pStyle w:val="nNote"/>
      </w:pPr>
      <w:r>
        <w:rPr>
          <w:vertAlign w:val="superscript"/>
        </w:rPr>
        <w:t>7</w:t>
      </w:r>
      <w:r>
        <w:tab/>
        <w:t xml:space="preserve">Repealed by the </w:t>
      </w:r>
      <w:r>
        <w:rPr>
          <w:i/>
        </w:rPr>
        <w:t>Vocational Education and Training (General) Regulations 2009</w:t>
      </w:r>
      <w:r>
        <w:t xml:space="preserve"> r. 56(2).</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2" w:name="Schedule"/>
    <w:bookmarkEnd w:id="2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4" w:name="Compilation"/>
    <w:bookmarkEnd w:id="30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5" w:name="Coversheet"/>
    <w:bookmarkEnd w:id="3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12102348"/>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 w:name="WAFER_20171229102150" w:val="RemoveTocBookmarks,RemoveUnusedBookmarks,RemoveLanguageTags,UsedStyles,ResetPageSize"/>
    <w:docVar w:name="WAFER_20171229102150_GUID" w:val="39a1d1bc-f02a-47c2-b50b-358a7e1a37c6"/>
    <w:docVar w:name="WAFER_20180419110741" w:val="RemoveTocBookmarks,RemoveUnusedBookmarks,RemoveLanguageTags,UsedStyles,ResetPageSize,RemoveCustomizations"/>
    <w:docVar w:name="WAFER_20180419110741_GUID" w:val="62053f0d-38a6-46b8-a4fe-47a29574fca3"/>
    <w:docVar w:name="WAFER_20210907130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30936_GUID" w:val="cde588fa-2d85-4bf7-9bf4-1e3fba3ca99c"/>
    <w:docVar w:name="WAFER_20240705125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705125835_GUID" w:val="7c8afd1c-0bd5-41d8-b653-9cdfd1ebe10d"/>
    <w:docVar w:name="WAFER_20241108101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01806_GUID" w:val="c0f30f40-2492-47b8-a15d-57577e82d9bf"/>
    <w:docVar w:name="WAFER_20250508134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08134149_GUID" w:val="0325ed7e-cc35-41ad-9e6d-710e37438433"/>
    <w:docVar w:name="WAFER_20250912102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12102319_GUID" w:val="ab2c5ac5-2d7f-4148-b4c9-64ea19c7d4ec"/>
    <w:docVar w:name="WAFER_202509121023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12102348_GUID" w:val="ec4b70c7-6d03-44bb-bd36-fa66a361b2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CEB794-B2E1-4796-88E1-3C8060704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6132C-75CB-4743-BBE9-173706755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18615</Words>
  <Characters>98102</Characters>
  <Application>Microsoft Office Word</Application>
  <DocSecurity>0</DocSecurity>
  <Lines>2651</Lines>
  <Paragraphs>1556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02-e0-00 - 02-f0-00</dc:title>
  <dc:subject/>
  <dc:creator/>
  <cp:keywords/>
  <dc:description/>
  <cp:lastModifiedBy>Master Repository Process</cp:lastModifiedBy>
  <cp:revision>2</cp:revision>
  <cp:lastPrinted>2018-05-28T07:24:00Z</cp:lastPrinted>
  <dcterms:created xsi:type="dcterms:W3CDTF">2025-09-16T04:56:00Z</dcterms:created>
  <dcterms:modified xsi:type="dcterms:W3CDTF">2025-09-16T04:56:00Z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OWLSUId">
    <vt:i4>858</vt:i4>
  </property>
  <property fmtid="{D5CDD505-2E9C-101B-9397-08002B2CF9AE}" pid="4" name="DocumentType">
    <vt:lpwstr>Reg</vt:lpwstr>
  </property>
  <property fmtid="{D5CDD505-2E9C-101B-9397-08002B2CF9AE}" pid="5" name="ReprintedAsAt">
    <vt:filetime>2018-11-15T16:00:00Z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20250917</vt:lpwstr>
  </property>
  <property fmtid="{D5CDD505-2E9C-101B-9397-08002B2CF9AE}" pid="9" name="CommencementAsAt">
    <vt:filetime>2025-09-16T16:00:00Z</vt:filetime>
  </property>
  <property fmtid="{D5CDD505-2E9C-101B-9397-08002B2CF9AE}" pid="10" name="CommencementYear">
    <vt:lpwstr>2025</vt:lpwstr>
  </property>
  <property fmtid="{D5CDD505-2E9C-101B-9397-08002B2CF9AE}" pid="11" name="FromSuffix">
    <vt:lpwstr>02-e0-00</vt:lpwstr>
  </property>
  <property fmtid="{D5CDD505-2E9C-101B-9397-08002B2CF9AE}" pid="12" name="FromAsAtDate">
    <vt:lpwstr>15 May 2025</vt:lpwstr>
  </property>
  <property fmtid="{D5CDD505-2E9C-101B-9397-08002B2CF9AE}" pid="13" name="ToSuffix">
    <vt:lpwstr>02-f0-00</vt:lpwstr>
  </property>
  <property fmtid="{D5CDD505-2E9C-101B-9397-08002B2CF9AE}" pid="14" name="ToAsAtDate">
    <vt:lpwstr>17 Sep 2025</vt:lpwstr>
  </property>
</Properties>
</file>