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2024</w:t>
      </w:r>
      <w:r>
        <w:fldChar w:fldCharType="end"/>
      </w:r>
      <w:r>
        <w:t xml:space="preserve">, </w:t>
      </w:r>
      <w:r>
        <w:fldChar w:fldCharType="begin"/>
      </w:r>
      <w:r>
        <w:instrText xml:space="preserve"> DocProperty FromSuffix </w:instrText>
      </w:r>
      <w:r>
        <w:fldChar w:fldCharType="separate"/>
      </w:r>
      <w:r>
        <w:t>04-n0-00</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04-o0-00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No. 58 of 2003 s. 4.]</w:t>
      </w:r>
    </w:p>
    <w:p>
      <w:pPr>
        <w:pStyle w:val="Heading2"/>
      </w:pPr>
      <w:bookmarkStart w:id="1" w:name="_Toc209535036"/>
      <w:bookmarkStart w:id="2" w:name="_Toc209537077"/>
      <w:bookmarkStart w:id="3" w:name="_Toc209696194"/>
      <w:bookmarkStart w:id="4" w:name="_Toc209696335"/>
      <w:bookmarkStart w:id="5" w:name="_Toc209794775"/>
      <w:bookmarkStart w:id="6" w:name="_Toc183180455"/>
      <w:bookmarkStart w:id="7" w:name="_Toc183182123"/>
      <w:bookmarkStart w:id="8" w:name="_Toc183182262"/>
      <w:bookmarkStart w:id="9" w:name="_Toc18342304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209794776"/>
      <w:bookmarkStart w:id="11" w:name="_Toc183423050"/>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12" w:name="_Toc209794777"/>
      <w:bookmarkStart w:id="13" w:name="_Toc183423051"/>
      <w:r>
        <w:rPr>
          <w:snapToGrid w:val="0"/>
        </w:rPr>
        <w:t>2.</w:t>
      </w:r>
      <w:r>
        <w:rPr>
          <w:snapToGrid w:val="0"/>
        </w:rPr>
        <w:tab/>
        <w:t>Commencement</w:t>
      </w:r>
      <w:bookmarkEnd w:id="12"/>
      <w:bookmarkEnd w:id="13"/>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14" w:name="_Toc209794778"/>
      <w:bookmarkStart w:id="15" w:name="_Toc183423052"/>
      <w:r>
        <w:rPr>
          <w:rStyle w:val="CharSectno"/>
        </w:rPr>
        <w:t>3</w:t>
      </w:r>
      <w:r>
        <w:t>.</w:t>
      </w:r>
      <w:r>
        <w:tab/>
      </w:r>
      <w:r>
        <w:rPr>
          <w:snapToGrid w:val="0"/>
        </w:rPr>
        <w:t>Terms used</w:t>
      </w:r>
      <w:bookmarkEnd w:id="14"/>
      <w:bookmarkEnd w:id="15"/>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No. 58 of 2003 s. 5.]</w:t>
      </w:r>
    </w:p>
    <w:p>
      <w:pPr>
        <w:pStyle w:val="Heading5"/>
        <w:keepLines w:val="0"/>
        <w:spacing w:before="260"/>
      </w:pPr>
      <w:bookmarkStart w:id="16" w:name="_Toc209794779"/>
      <w:bookmarkStart w:id="17" w:name="_Toc183423053"/>
      <w:r>
        <w:rPr>
          <w:rStyle w:val="CharSectno"/>
        </w:rPr>
        <w:lastRenderedPageBreak/>
        <w:t>3A</w:t>
      </w:r>
      <w:r>
        <w:t>.</w:t>
      </w:r>
      <w:r>
        <w:tab/>
      </w:r>
      <w:r>
        <w:rPr>
          <w:snapToGrid w:val="0"/>
        </w:rPr>
        <w:t>Damages excluded</w:t>
      </w:r>
      <w:r>
        <w:t xml:space="preserve"> from Act</w:t>
      </w:r>
      <w:bookmarkEnd w:id="16"/>
      <w:bookmarkEnd w:id="17"/>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pPr>
              <w:pStyle w:val="Table"/>
              <w:rPr>
                <w:spacing w:val="-2"/>
              </w:rPr>
            </w:pPr>
            <w:r>
              <w:rPr>
                <w:spacing w:val="-2"/>
              </w:rPr>
              <w:t xml:space="preserve">Parts 1A, 1B, 1C, 1D, 1E and 2 (other than section 10A and </w:t>
            </w:r>
            <w:r>
              <w:t>Divisions 4 and 5).</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rPr>
                <w:szCs w:val="22"/>
              </w:rPr>
              <w:t>6.</w:t>
            </w:r>
          </w:p>
        </w:tc>
        <w:tc>
          <w:tcPr>
            <w:tcW w:w="4196" w:type="dxa"/>
            <w:tcBorders>
              <w:top w:val="nil"/>
              <w:left w:val="nil"/>
              <w:bottom w:val="single" w:sz="4" w:space="0" w:color="auto"/>
              <w:right w:val="nil"/>
            </w:tcBorders>
          </w:tcPr>
          <w:p>
            <w:pPr>
              <w:pStyle w:val="Table"/>
            </w:pPr>
            <w:r>
              <w:rPr>
                <w:szCs w:val="22"/>
              </w:rPr>
              <w:t>Damages relating to personal injury that resulted from the inhalation of asbestos or silica.</w:t>
            </w:r>
          </w:p>
        </w:tc>
        <w:tc>
          <w:tcPr>
            <w:tcW w:w="1758" w:type="dxa"/>
            <w:tcBorders>
              <w:top w:val="nil"/>
              <w:left w:val="nil"/>
              <w:bottom w:val="single" w:sz="4" w:space="0" w:color="auto"/>
              <w:right w:val="nil"/>
            </w:tcBorders>
          </w:tcPr>
          <w:p>
            <w:pPr>
              <w:pStyle w:val="Table"/>
            </w:pPr>
            <w:r>
              <w:rPr>
                <w:szCs w:val="22"/>
              </w:rPr>
              <w:t>Parts 1A (other than sections 5A, 5B, 5C and 5D), 1B, 1D, 1E and 2 (other than section 10A and Divisions 4 and 5).</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No. 58 of 2003 s. 6; amended: No. 42 of 2004 s. 174; No. 1 of 2011 s. 4; No. 21 of 2023 s. 625; No. 32 of 2024 s. 4.]</w:t>
      </w:r>
    </w:p>
    <w:p>
      <w:pPr>
        <w:pStyle w:val="Heading5"/>
      </w:pPr>
      <w:bookmarkStart w:id="18" w:name="_Toc209794780"/>
      <w:bookmarkStart w:id="19" w:name="_Toc183423054"/>
      <w:r>
        <w:rPr>
          <w:rStyle w:val="CharSectno"/>
        </w:rPr>
        <w:t>4</w:t>
      </w:r>
      <w:r>
        <w:t>.</w:t>
      </w:r>
      <w:r>
        <w:tab/>
        <w:t>Varying amounts to reflect award rate changes</w:t>
      </w:r>
      <w:bookmarkEnd w:id="18"/>
      <w:bookmarkEnd w:id="19"/>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keepNext/>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del w:id="20" w:author="Master Repository Process" w:date="2025-09-26T16:27:00Z">
        <w:r>
          <w:delText>Labour</w:delText>
        </w:r>
      </w:del>
      <w:ins w:id="21" w:author="Master Repository Process" w:date="2025-09-26T16:27:00Z">
        <w:r>
          <w:t>Wage</w:t>
        </w:r>
      </w:ins>
      <w:r>
        <w:t xml:space="preserve"> Price Index (formerly known as the </w:t>
      </w:r>
      <w:del w:id="22" w:author="Master Repository Process" w:date="2025-09-26T16:27:00Z">
        <w:r>
          <w:delText>Wage Cost</w:delText>
        </w:r>
      </w:del>
      <w:ins w:id="23" w:author="Master Repository Process" w:date="2025-09-26T16:27:00Z">
        <w:r>
          <w:t>Labour Price</w:t>
        </w:r>
      </w:ins>
      <w:r>
        <w:t xml:space="preserve"> Index),</w:t>
      </w:r>
      <w:r>
        <w:rPr>
          <w:snapToGrid w:val="0"/>
          <w:spacing w:val="-4"/>
        </w:rPr>
        <w:t xml:space="preserve"> ordinary time hourly rates of pay (excluding bonuses) for Western Australia (</w:t>
      </w:r>
      <w:del w:id="24" w:author="Master Repository Process" w:date="2025-09-26T16:27:00Z">
        <w:r>
          <w:rPr>
            <w:snapToGrid w:val="0"/>
            <w:spacing w:val="-4"/>
          </w:rPr>
          <w:delText>in this subsection called</w:delText>
        </w:r>
        <w:r>
          <w:delText xml:space="preserve"> </w:delText>
        </w:r>
      </w:del>
      <w:r>
        <w:t xml:space="preserve">the </w:t>
      </w:r>
      <w:del w:id="25" w:author="Master Repository Process" w:date="2025-09-26T16:27:00Z">
        <w:r>
          <w:rPr>
            <w:rStyle w:val="CharDefText"/>
          </w:rPr>
          <w:delText>LPI</w:delText>
        </w:r>
      </w:del>
      <w:ins w:id="26" w:author="Master Repository Process" w:date="2025-09-26T16:27:00Z">
        <w:r>
          <w:rPr>
            <w:rStyle w:val="CharDefText"/>
          </w:rPr>
          <w:t>WPI</w:t>
        </w:r>
      </w:ins>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 xml:space="preserve">if the calculation under paragraph (a) cannot be performed for a financial year because the </w:t>
      </w:r>
      <w:del w:id="27" w:author="Master Repository Process" w:date="2025-09-26T16:27:00Z">
        <w:r>
          <w:rPr>
            <w:snapToGrid w:val="0"/>
          </w:rPr>
          <w:delText>LPI</w:delText>
        </w:r>
      </w:del>
      <w:ins w:id="28" w:author="Master Repository Process" w:date="2025-09-26T16:27:00Z">
        <w:r>
          <w:rPr>
            <w:snapToGrid w:val="0"/>
          </w:rPr>
          <w:t>WPI</w:t>
        </w:r>
      </w:ins>
      <w:r>
        <w:rPr>
          <w:snapToGrid w:val="0"/>
        </w:rPr>
        <w:t xml:space="preserve">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No. 8 of 2009 s. </w:t>
      </w:r>
      <w:del w:id="29" w:author="Master Repository Process" w:date="2025-09-26T16:27:00Z">
        <w:r>
          <w:delText>33.]</w:delText>
        </w:r>
      </w:del>
      <w:ins w:id="30" w:author="Master Repository Process" w:date="2025-09-26T16:27:00Z">
        <w:r>
          <w:t>33; No. 14 of 2025 s. 16(2).]</w:t>
        </w:r>
      </w:ins>
    </w:p>
    <w:p>
      <w:pPr>
        <w:pStyle w:val="Heading5"/>
        <w:spacing w:before="180"/>
      </w:pPr>
      <w:bookmarkStart w:id="31" w:name="_Toc209794781"/>
      <w:bookmarkStart w:id="32" w:name="_Toc183423055"/>
      <w:r>
        <w:rPr>
          <w:rStyle w:val="CharSectno"/>
        </w:rPr>
        <w:t>4A</w:t>
      </w:r>
      <w:r>
        <w:t>.</w:t>
      </w:r>
      <w:r>
        <w:tab/>
      </w:r>
      <w:r>
        <w:rPr>
          <w:snapToGrid w:val="0"/>
        </w:rPr>
        <w:t>Lim</w:t>
      </w:r>
      <w:r>
        <w:t>ited contracting out</w:t>
      </w:r>
      <w:bookmarkEnd w:id="31"/>
      <w:bookmarkEnd w:id="32"/>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keepNext/>
      </w:pPr>
      <w:r>
        <w:tab/>
        <w:t>(2)</w:t>
      </w:r>
      <w:r>
        <w:tab/>
        <w:t>Subsection (1) applies to any provision of this Act referred to in that subsection even if the provision applies to liability in contract.</w:t>
      </w:r>
    </w:p>
    <w:p>
      <w:pPr>
        <w:pStyle w:val="Footnotesection"/>
        <w:ind w:left="890" w:hanging="890"/>
      </w:pPr>
      <w:r>
        <w:tab/>
        <w:t>[Section 4A inserted: No. 58 of 2003 s. 7; amended: No. 1 of 2011 s. 5.]</w:t>
      </w:r>
    </w:p>
    <w:p>
      <w:pPr>
        <w:pStyle w:val="Heading5"/>
        <w:spacing w:before="180"/>
      </w:pPr>
      <w:bookmarkStart w:id="33" w:name="_Toc209794782"/>
      <w:bookmarkStart w:id="34" w:name="_Toc183423056"/>
      <w:r>
        <w:rPr>
          <w:rStyle w:val="CharSectno"/>
        </w:rPr>
        <w:t>5</w:t>
      </w:r>
      <w:r>
        <w:t>.</w:t>
      </w:r>
      <w:r>
        <w:tab/>
        <w:t>Act bi</w:t>
      </w:r>
      <w:r>
        <w:rPr>
          <w:snapToGrid w:val="0"/>
        </w:rPr>
        <w:t xml:space="preserve">nds </w:t>
      </w:r>
      <w:r>
        <w:t>Crown</w:t>
      </w:r>
      <w:bookmarkEnd w:id="33"/>
      <w:bookmarkEnd w:id="34"/>
    </w:p>
    <w:p>
      <w:pPr>
        <w:pStyle w:val="Subsection"/>
      </w:pPr>
      <w:r>
        <w:tab/>
      </w:r>
      <w:r>
        <w:tab/>
        <w:t>This Act binds the Crown in right of the State and, in so far as the legislative power of Parliament permits, the Crown in all its other capacities.</w:t>
      </w:r>
    </w:p>
    <w:p>
      <w:pPr>
        <w:pStyle w:val="Heading2"/>
      </w:pPr>
      <w:bookmarkStart w:id="35" w:name="_Toc209535044"/>
      <w:bookmarkStart w:id="36" w:name="_Toc209537085"/>
      <w:bookmarkStart w:id="37" w:name="_Toc209696202"/>
      <w:bookmarkStart w:id="38" w:name="_Toc209696343"/>
      <w:bookmarkStart w:id="39" w:name="_Toc209794783"/>
      <w:bookmarkStart w:id="40" w:name="_Toc183180463"/>
      <w:bookmarkStart w:id="41" w:name="_Toc183182131"/>
      <w:bookmarkStart w:id="42" w:name="_Toc183182270"/>
      <w:bookmarkStart w:id="43" w:name="_Toc183423057"/>
      <w:r>
        <w:rPr>
          <w:rStyle w:val="CharPartNo"/>
        </w:rPr>
        <w:t>Part 1A</w:t>
      </w:r>
      <w:r>
        <w:rPr>
          <w:b w:val="0"/>
        </w:rPr>
        <w:t> </w:t>
      </w:r>
      <w:r>
        <w:t>—</w:t>
      </w:r>
      <w:r>
        <w:rPr>
          <w:b w:val="0"/>
        </w:rPr>
        <w:t> </w:t>
      </w:r>
      <w:r>
        <w:rPr>
          <w:rStyle w:val="CharPartText"/>
        </w:rPr>
        <w:t>Liability for harm caused by the fault of a person</w:t>
      </w:r>
      <w:bookmarkEnd w:id="35"/>
      <w:bookmarkEnd w:id="36"/>
      <w:bookmarkEnd w:id="37"/>
      <w:bookmarkEnd w:id="38"/>
      <w:bookmarkEnd w:id="39"/>
      <w:bookmarkEnd w:id="40"/>
      <w:bookmarkEnd w:id="41"/>
      <w:bookmarkEnd w:id="42"/>
      <w:bookmarkEnd w:id="43"/>
    </w:p>
    <w:p>
      <w:pPr>
        <w:pStyle w:val="Footnoteheading"/>
      </w:pPr>
      <w:r>
        <w:tab/>
        <w:t>[Heading inserted: No. 58 of 2003 s. 8.]</w:t>
      </w:r>
    </w:p>
    <w:p>
      <w:pPr>
        <w:pStyle w:val="Heading3"/>
      </w:pPr>
      <w:bookmarkStart w:id="44" w:name="_Toc209535045"/>
      <w:bookmarkStart w:id="45" w:name="_Toc209537086"/>
      <w:bookmarkStart w:id="46" w:name="_Toc209696203"/>
      <w:bookmarkStart w:id="47" w:name="_Toc209696344"/>
      <w:bookmarkStart w:id="48" w:name="_Toc209794784"/>
      <w:bookmarkStart w:id="49" w:name="_Toc183180464"/>
      <w:bookmarkStart w:id="50" w:name="_Toc183182132"/>
      <w:bookmarkStart w:id="51" w:name="_Toc183182271"/>
      <w:bookmarkStart w:id="52" w:name="_Toc183423058"/>
      <w:r>
        <w:rPr>
          <w:rStyle w:val="CharDivNo"/>
        </w:rPr>
        <w:t>Division 1</w:t>
      </w:r>
      <w:r>
        <w:t> — </w:t>
      </w:r>
      <w:r>
        <w:rPr>
          <w:rStyle w:val="CharDivText"/>
        </w:rPr>
        <w:t>Preliminary</w:t>
      </w:r>
      <w:bookmarkEnd w:id="44"/>
      <w:bookmarkEnd w:id="45"/>
      <w:bookmarkEnd w:id="46"/>
      <w:bookmarkEnd w:id="47"/>
      <w:bookmarkEnd w:id="48"/>
      <w:bookmarkEnd w:id="49"/>
      <w:bookmarkEnd w:id="50"/>
      <w:bookmarkEnd w:id="51"/>
      <w:bookmarkEnd w:id="52"/>
    </w:p>
    <w:p>
      <w:pPr>
        <w:pStyle w:val="Footnoteheading"/>
      </w:pPr>
      <w:r>
        <w:tab/>
        <w:t>[Heading inserted: No. 58 of 2003 s. 8.]</w:t>
      </w:r>
    </w:p>
    <w:p>
      <w:pPr>
        <w:pStyle w:val="Heading5"/>
      </w:pPr>
      <w:bookmarkStart w:id="53" w:name="_Toc209794785"/>
      <w:bookmarkStart w:id="54" w:name="_Toc183423059"/>
      <w:r>
        <w:rPr>
          <w:rStyle w:val="CharSectno"/>
        </w:rPr>
        <w:t>5A</w:t>
      </w:r>
      <w:r>
        <w:t>.</w:t>
      </w:r>
      <w:r>
        <w:tab/>
        <w:t>Application of Part</w:t>
      </w:r>
      <w:bookmarkEnd w:id="53"/>
      <w:bookmarkEnd w:id="54"/>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No. 58 of 2003 s. 8; amended: No. 43 of 2004 s. 4.]</w:t>
      </w:r>
    </w:p>
    <w:p>
      <w:pPr>
        <w:pStyle w:val="Heading3"/>
      </w:pPr>
      <w:bookmarkStart w:id="55" w:name="_Toc209535047"/>
      <w:bookmarkStart w:id="56" w:name="_Toc209537088"/>
      <w:bookmarkStart w:id="57" w:name="_Toc209696205"/>
      <w:bookmarkStart w:id="58" w:name="_Toc209696346"/>
      <w:bookmarkStart w:id="59" w:name="_Toc209794786"/>
      <w:bookmarkStart w:id="60" w:name="_Toc183180466"/>
      <w:bookmarkStart w:id="61" w:name="_Toc183182134"/>
      <w:bookmarkStart w:id="62" w:name="_Toc183182273"/>
      <w:bookmarkStart w:id="63" w:name="_Toc183423060"/>
      <w:r>
        <w:rPr>
          <w:rStyle w:val="CharDivNo"/>
        </w:rPr>
        <w:t>Division 2</w:t>
      </w:r>
      <w:r>
        <w:t> — </w:t>
      </w:r>
      <w:r>
        <w:rPr>
          <w:rStyle w:val="CharDivText"/>
        </w:rPr>
        <w:t>Duty of care</w:t>
      </w:r>
      <w:bookmarkEnd w:id="55"/>
      <w:bookmarkEnd w:id="56"/>
      <w:bookmarkEnd w:id="57"/>
      <w:bookmarkEnd w:id="58"/>
      <w:bookmarkEnd w:id="59"/>
      <w:bookmarkEnd w:id="60"/>
      <w:bookmarkEnd w:id="61"/>
      <w:bookmarkEnd w:id="62"/>
      <w:bookmarkEnd w:id="63"/>
    </w:p>
    <w:p>
      <w:pPr>
        <w:pStyle w:val="Footnoteheading"/>
      </w:pPr>
      <w:r>
        <w:tab/>
        <w:t>[Heading inserted: No. 58 of 2003 s. 8.]</w:t>
      </w:r>
    </w:p>
    <w:p>
      <w:pPr>
        <w:pStyle w:val="Heading5"/>
      </w:pPr>
      <w:bookmarkStart w:id="64" w:name="_Toc209794787"/>
      <w:bookmarkStart w:id="65" w:name="_Toc183423061"/>
      <w:r>
        <w:rPr>
          <w:rStyle w:val="CharSectno"/>
        </w:rPr>
        <w:t>5B</w:t>
      </w:r>
      <w:r>
        <w:t>.</w:t>
      </w:r>
      <w:r>
        <w:tab/>
        <w:t>General principles</w:t>
      </w:r>
      <w:bookmarkEnd w:id="64"/>
      <w:bookmarkEnd w:id="65"/>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No. 58 of 2003 s. 8.]</w:t>
      </w:r>
    </w:p>
    <w:p>
      <w:pPr>
        <w:pStyle w:val="Heading3"/>
        <w:keepLines/>
      </w:pPr>
      <w:bookmarkStart w:id="66" w:name="_Toc209535049"/>
      <w:bookmarkStart w:id="67" w:name="_Toc209537090"/>
      <w:bookmarkStart w:id="68" w:name="_Toc209696207"/>
      <w:bookmarkStart w:id="69" w:name="_Toc209696348"/>
      <w:bookmarkStart w:id="70" w:name="_Toc209794788"/>
      <w:bookmarkStart w:id="71" w:name="_Toc183180468"/>
      <w:bookmarkStart w:id="72" w:name="_Toc183182136"/>
      <w:bookmarkStart w:id="73" w:name="_Toc183182275"/>
      <w:bookmarkStart w:id="74" w:name="_Toc183423062"/>
      <w:r>
        <w:rPr>
          <w:rStyle w:val="CharDivNo"/>
        </w:rPr>
        <w:t>Division 3</w:t>
      </w:r>
      <w:r>
        <w:t> — </w:t>
      </w:r>
      <w:r>
        <w:rPr>
          <w:rStyle w:val="CharDivText"/>
        </w:rPr>
        <w:t>Causation</w:t>
      </w:r>
      <w:bookmarkEnd w:id="66"/>
      <w:bookmarkEnd w:id="67"/>
      <w:bookmarkEnd w:id="68"/>
      <w:bookmarkEnd w:id="69"/>
      <w:bookmarkEnd w:id="70"/>
      <w:bookmarkEnd w:id="71"/>
      <w:bookmarkEnd w:id="72"/>
      <w:bookmarkEnd w:id="73"/>
      <w:bookmarkEnd w:id="74"/>
    </w:p>
    <w:p>
      <w:pPr>
        <w:pStyle w:val="Footnoteheading"/>
        <w:keepNext/>
        <w:keepLines/>
      </w:pPr>
      <w:r>
        <w:tab/>
        <w:t>[Heading inserted: No. 58 of 2003 s. 8.]</w:t>
      </w:r>
    </w:p>
    <w:p>
      <w:pPr>
        <w:pStyle w:val="Heading5"/>
        <w:spacing w:before="240"/>
      </w:pPr>
      <w:bookmarkStart w:id="75" w:name="_Toc209794789"/>
      <w:bookmarkStart w:id="76" w:name="_Toc183423063"/>
      <w:r>
        <w:rPr>
          <w:rStyle w:val="CharSectno"/>
        </w:rPr>
        <w:t>5C</w:t>
      </w:r>
      <w:r>
        <w:t>.</w:t>
      </w:r>
      <w:r>
        <w:tab/>
        <w:t>General principles</w:t>
      </w:r>
      <w:bookmarkEnd w:id="75"/>
      <w:bookmarkEnd w:id="76"/>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No. 58 of 2003 s. 8.]</w:t>
      </w:r>
    </w:p>
    <w:p>
      <w:pPr>
        <w:pStyle w:val="Heading5"/>
      </w:pPr>
      <w:bookmarkStart w:id="77" w:name="_Toc209794790"/>
      <w:bookmarkStart w:id="78" w:name="_Toc183423064"/>
      <w:r>
        <w:rPr>
          <w:rStyle w:val="CharSectno"/>
        </w:rPr>
        <w:t>5D</w:t>
      </w:r>
      <w:r>
        <w:t>.</w:t>
      </w:r>
      <w:r>
        <w:tab/>
        <w:t>Onus of proof</w:t>
      </w:r>
      <w:bookmarkEnd w:id="77"/>
      <w:bookmarkEnd w:id="78"/>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No. 58 of 2003 s. 8.]</w:t>
      </w:r>
    </w:p>
    <w:p>
      <w:pPr>
        <w:pStyle w:val="Heading3"/>
      </w:pPr>
      <w:bookmarkStart w:id="79" w:name="_Toc209535052"/>
      <w:bookmarkStart w:id="80" w:name="_Toc209537093"/>
      <w:bookmarkStart w:id="81" w:name="_Toc209696210"/>
      <w:bookmarkStart w:id="82" w:name="_Toc209696351"/>
      <w:bookmarkStart w:id="83" w:name="_Toc209794791"/>
      <w:bookmarkStart w:id="84" w:name="_Toc183180471"/>
      <w:bookmarkStart w:id="85" w:name="_Toc183182139"/>
      <w:bookmarkStart w:id="86" w:name="_Toc183182278"/>
      <w:bookmarkStart w:id="87" w:name="_Toc183423065"/>
      <w:r>
        <w:rPr>
          <w:rStyle w:val="CharDivNo"/>
        </w:rPr>
        <w:t>Division 4</w:t>
      </w:r>
      <w:r>
        <w:t> — </w:t>
      </w:r>
      <w:r>
        <w:rPr>
          <w:rStyle w:val="CharDivText"/>
        </w:rPr>
        <w:t>Recreational activities</w:t>
      </w:r>
      <w:bookmarkEnd w:id="79"/>
      <w:bookmarkEnd w:id="80"/>
      <w:bookmarkEnd w:id="81"/>
      <w:bookmarkEnd w:id="82"/>
      <w:bookmarkEnd w:id="83"/>
      <w:bookmarkEnd w:id="84"/>
      <w:bookmarkEnd w:id="85"/>
      <w:bookmarkEnd w:id="86"/>
      <w:bookmarkEnd w:id="87"/>
    </w:p>
    <w:p>
      <w:pPr>
        <w:pStyle w:val="Footnoteheading"/>
      </w:pPr>
      <w:r>
        <w:tab/>
        <w:t>[Heading inserted: No. 58 of 2003 s. 8.]</w:t>
      </w:r>
    </w:p>
    <w:p>
      <w:pPr>
        <w:pStyle w:val="Heading5"/>
      </w:pPr>
      <w:bookmarkStart w:id="88" w:name="_Toc209794792"/>
      <w:bookmarkStart w:id="89" w:name="_Toc183423066"/>
      <w:r>
        <w:rPr>
          <w:rStyle w:val="CharSectno"/>
        </w:rPr>
        <w:t>5E</w:t>
      </w:r>
      <w:r>
        <w:t>.</w:t>
      </w:r>
      <w:r>
        <w:tab/>
        <w:t>Terms used</w:t>
      </w:r>
      <w:bookmarkEnd w:id="88"/>
      <w:bookmarkEnd w:id="89"/>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No. 58 of 2003 s. 8.]</w:t>
      </w:r>
    </w:p>
    <w:p>
      <w:pPr>
        <w:pStyle w:val="Heading5"/>
      </w:pPr>
      <w:bookmarkStart w:id="90" w:name="_Toc209794793"/>
      <w:bookmarkStart w:id="91" w:name="_Toc183423067"/>
      <w:r>
        <w:rPr>
          <w:rStyle w:val="CharSectno"/>
        </w:rPr>
        <w:t>5F</w:t>
      </w:r>
      <w:r>
        <w:t>.</w:t>
      </w:r>
      <w:r>
        <w:tab/>
        <w:t>Term used: obvious risk</w:t>
      </w:r>
      <w:bookmarkEnd w:id="90"/>
      <w:bookmarkEnd w:id="91"/>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No. 58 of 2003 s. 8.]</w:t>
      </w:r>
    </w:p>
    <w:p>
      <w:pPr>
        <w:pStyle w:val="Heading5"/>
        <w:spacing w:before="240"/>
      </w:pPr>
      <w:bookmarkStart w:id="92" w:name="_Toc209794794"/>
      <w:bookmarkStart w:id="93" w:name="_Toc183423068"/>
      <w:r>
        <w:rPr>
          <w:rStyle w:val="CharSectno"/>
        </w:rPr>
        <w:t>5G</w:t>
      </w:r>
      <w:r>
        <w:t>.</w:t>
      </w:r>
      <w:r>
        <w:tab/>
        <w:t>Application of Division</w:t>
      </w:r>
      <w:bookmarkEnd w:id="92"/>
      <w:bookmarkEnd w:id="93"/>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No. 58 of 2003 s. 8.]</w:t>
      </w:r>
    </w:p>
    <w:p>
      <w:pPr>
        <w:pStyle w:val="Heading5"/>
        <w:spacing w:before="240"/>
      </w:pPr>
      <w:bookmarkStart w:id="94" w:name="_Toc209794795"/>
      <w:bookmarkStart w:id="95" w:name="_Toc183423069"/>
      <w:r>
        <w:rPr>
          <w:rStyle w:val="CharSectno"/>
        </w:rPr>
        <w:t>5H</w:t>
      </w:r>
      <w:r>
        <w:t>.</w:t>
      </w:r>
      <w:r>
        <w:tab/>
        <w:t>No liability for harm from obvious risks of dangerous recreational activities</w:t>
      </w:r>
      <w:bookmarkEnd w:id="94"/>
      <w:bookmarkEnd w:id="95"/>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No. 58 of 2003 s. 8.]</w:t>
      </w:r>
    </w:p>
    <w:p>
      <w:pPr>
        <w:pStyle w:val="Heading5"/>
      </w:pPr>
      <w:bookmarkStart w:id="96" w:name="_Toc209794796"/>
      <w:bookmarkStart w:id="97" w:name="_Toc183423070"/>
      <w:r>
        <w:rPr>
          <w:rStyle w:val="CharSectno"/>
        </w:rPr>
        <w:t>5I</w:t>
      </w:r>
      <w:r>
        <w:t>.</w:t>
      </w:r>
      <w:r>
        <w:tab/>
        <w:t>No liability for recreational activity where risk warning</w:t>
      </w:r>
      <w:bookmarkEnd w:id="96"/>
      <w:bookmarkEnd w:id="97"/>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No. 58 of 2003 s. 8.]</w:t>
      </w:r>
    </w:p>
    <w:p>
      <w:pPr>
        <w:pStyle w:val="Heading5"/>
      </w:pPr>
      <w:bookmarkStart w:id="98" w:name="_Toc209794797"/>
      <w:bookmarkStart w:id="99" w:name="_Toc183423071"/>
      <w:r>
        <w:rPr>
          <w:rStyle w:val="CharSectno"/>
        </w:rPr>
        <w:t>5J</w:t>
      </w:r>
      <w:r>
        <w:t>.</w:t>
      </w:r>
      <w:r>
        <w:tab/>
        <w:t>Waiver of contractual duty of care for recreational activities</w:t>
      </w:r>
      <w:bookmarkEnd w:id="98"/>
      <w:bookmarkEnd w:id="99"/>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No. 58 of 2003 s. 8.]</w:t>
      </w:r>
    </w:p>
    <w:p>
      <w:pPr>
        <w:pStyle w:val="Heading3"/>
      </w:pPr>
      <w:bookmarkStart w:id="100" w:name="_Toc209535059"/>
      <w:bookmarkStart w:id="101" w:name="_Toc209537100"/>
      <w:bookmarkStart w:id="102" w:name="_Toc209696217"/>
      <w:bookmarkStart w:id="103" w:name="_Toc209696358"/>
      <w:bookmarkStart w:id="104" w:name="_Toc209794798"/>
      <w:bookmarkStart w:id="105" w:name="_Toc183180478"/>
      <w:bookmarkStart w:id="106" w:name="_Toc183182146"/>
      <w:bookmarkStart w:id="107" w:name="_Toc183182285"/>
      <w:bookmarkStart w:id="108" w:name="_Toc183423072"/>
      <w:r>
        <w:rPr>
          <w:rStyle w:val="CharDivNo"/>
        </w:rPr>
        <w:t>Division 5</w:t>
      </w:r>
      <w:r>
        <w:t> — </w:t>
      </w:r>
      <w:r>
        <w:rPr>
          <w:rStyle w:val="CharDivText"/>
        </w:rPr>
        <w:t>Contributory negligence</w:t>
      </w:r>
      <w:bookmarkEnd w:id="100"/>
      <w:bookmarkEnd w:id="101"/>
      <w:bookmarkEnd w:id="102"/>
      <w:bookmarkEnd w:id="103"/>
      <w:bookmarkEnd w:id="104"/>
      <w:bookmarkEnd w:id="105"/>
      <w:bookmarkEnd w:id="106"/>
      <w:bookmarkEnd w:id="107"/>
      <w:bookmarkEnd w:id="108"/>
    </w:p>
    <w:p>
      <w:pPr>
        <w:pStyle w:val="Footnoteheading"/>
      </w:pPr>
      <w:r>
        <w:tab/>
        <w:t>[Heading inserted: No. 58 of 2003 s. 8.]</w:t>
      </w:r>
    </w:p>
    <w:p>
      <w:pPr>
        <w:pStyle w:val="Heading5"/>
      </w:pPr>
      <w:bookmarkStart w:id="109" w:name="_Toc209794799"/>
      <w:bookmarkStart w:id="110" w:name="_Toc183423073"/>
      <w:r>
        <w:rPr>
          <w:rStyle w:val="CharSectno"/>
        </w:rPr>
        <w:t>5K</w:t>
      </w:r>
      <w:r>
        <w:t>.</w:t>
      </w:r>
      <w:r>
        <w:tab/>
        <w:t>Standard of contributory negligence</w:t>
      </w:r>
      <w:bookmarkEnd w:id="109"/>
      <w:bookmarkEnd w:id="110"/>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No. 58 of 2003 s. 8.]</w:t>
      </w:r>
    </w:p>
    <w:p>
      <w:pPr>
        <w:pStyle w:val="Heading5"/>
      </w:pPr>
      <w:bookmarkStart w:id="111" w:name="_Toc209794800"/>
      <w:bookmarkStart w:id="112" w:name="_Toc183423074"/>
      <w:r>
        <w:rPr>
          <w:rStyle w:val="CharSectno"/>
        </w:rPr>
        <w:t>5L</w:t>
      </w:r>
      <w:r>
        <w:t>.</w:t>
      </w:r>
      <w:r>
        <w:tab/>
        <w:t>Presumption if person who suffers harm is intoxicated</w:t>
      </w:r>
      <w:bookmarkEnd w:id="111"/>
      <w:bookmarkEnd w:id="112"/>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No. 58 of 2003 s. 8.]</w:t>
      </w:r>
    </w:p>
    <w:p>
      <w:pPr>
        <w:pStyle w:val="Heading3"/>
        <w:pageBreakBefore/>
      </w:pPr>
      <w:bookmarkStart w:id="113" w:name="_Toc209535062"/>
      <w:bookmarkStart w:id="114" w:name="_Toc209537103"/>
      <w:bookmarkStart w:id="115" w:name="_Toc209696220"/>
      <w:bookmarkStart w:id="116" w:name="_Toc209696361"/>
      <w:bookmarkStart w:id="117" w:name="_Toc209794801"/>
      <w:bookmarkStart w:id="118" w:name="_Toc183180481"/>
      <w:bookmarkStart w:id="119" w:name="_Toc183182149"/>
      <w:bookmarkStart w:id="120" w:name="_Toc183182288"/>
      <w:bookmarkStart w:id="121" w:name="_Toc183423075"/>
      <w:r>
        <w:rPr>
          <w:rStyle w:val="CharDivNo"/>
        </w:rPr>
        <w:t>Division 6</w:t>
      </w:r>
      <w:r>
        <w:t xml:space="preserve"> — </w:t>
      </w:r>
      <w:r>
        <w:rPr>
          <w:rStyle w:val="CharDivText"/>
        </w:rPr>
        <w:t>Assumption of risk</w:t>
      </w:r>
      <w:bookmarkEnd w:id="113"/>
      <w:bookmarkEnd w:id="114"/>
      <w:bookmarkEnd w:id="115"/>
      <w:bookmarkEnd w:id="116"/>
      <w:bookmarkEnd w:id="117"/>
      <w:bookmarkEnd w:id="118"/>
      <w:bookmarkEnd w:id="119"/>
      <w:bookmarkEnd w:id="120"/>
      <w:bookmarkEnd w:id="121"/>
    </w:p>
    <w:p>
      <w:pPr>
        <w:pStyle w:val="Footnoteheading"/>
        <w:keepNext/>
      </w:pPr>
      <w:r>
        <w:tab/>
        <w:t>[Heading inserted: No. 58 of 2003 s. 8.]</w:t>
      </w:r>
    </w:p>
    <w:p>
      <w:pPr>
        <w:pStyle w:val="Heading5"/>
      </w:pPr>
      <w:bookmarkStart w:id="122" w:name="_Toc209794802"/>
      <w:bookmarkStart w:id="123" w:name="_Toc183423076"/>
      <w:r>
        <w:rPr>
          <w:rStyle w:val="CharSectno"/>
        </w:rPr>
        <w:t>5M</w:t>
      </w:r>
      <w:r>
        <w:t>.</w:t>
      </w:r>
      <w:r>
        <w:tab/>
        <w:t>Term used: obvious risk</w:t>
      </w:r>
      <w:bookmarkEnd w:id="122"/>
      <w:bookmarkEnd w:id="123"/>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No. 58 of 2003 s. 8.]</w:t>
      </w:r>
    </w:p>
    <w:p>
      <w:pPr>
        <w:pStyle w:val="Heading5"/>
      </w:pPr>
      <w:bookmarkStart w:id="124" w:name="_Toc209794803"/>
      <w:bookmarkStart w:id="125" w:name="_Toc183423077"/>
      <w:r>
        <w:rPr>
          <w:rStyle w:val="CharSectno"/>
        </w:rPr>
        <w:t>5N</w:t>
      </w:r>
      <w:r>
        <w:t>.</w:t>
      </w:r>
      <w:r>
        <w:tab/>
        <w:t>Injured person presumed to be aware of obvious risk</w:t>
      </w:r>
      <w:bookmarkEnd w:id="124"/>
      <w:bookmarkEnd w:id="125"/>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No. 58 of 2003 s. 8.]</w:t>
      </w:r>
    </w:p>
    <w:p>
      <w:pPr>
        <w:pStyle w:val="Heading5"/>
      </w:pPr>
      <w:bookmarkStart w:id="126" w:name="_Toc209794804"/>
      <w:bookmarkStart w:id="127" w:name="_Toc183423078"/>
      <w:r>
        <w:rPr>
          <w:rStyle w:val="CharSectno"/>
        </w:rPr>
        <w:t>5O</w:t>
      </w:r>
      <w:r>
        <w:t>.</w:t>
      </w:r>
      <w:r>
        <w:tab/>
        <w:t>No duty to warn of obvious risk</w:t>
      </w:r>
      <w:bookmarkEnd w:id="126"/>
      <w:bookmarkEnd w:id="127"/>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No. 58 of 2003 s. 8.]</w:t>
      </w:r>
    </w:p>
    <w:p>
      <w:pPr>
        <w:pStyle w:val="Heading5"/>
        <w:spacing w:before="180"/>
      </w:pPr>
      <w:bookmarkStart w:id="128" w:name="_Toc209794805"/>
      <w:bookmarkStart w:id="129" w:name="_Toc183423079"/>
      <w:r>
        <w:rPr>
          <w:rStyle w:val="CharSectno"/>
        </w:rPr>
        <w:t>5P</w:t>
      </w:r>
      <w:r>
        <w:t>.</w:t>
      </w:r>
      <w:r>
        <w:tab/>
        <w:t>No liability for harm from inherent risk</w:t>
      </w:r>
      <w:bookmarkEnd w:id="128"/>
      <w:bookmarkEnd w:id="129"/>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No. 58 of 2003 s. 8.]</w:t>
      </w:r>
    </w:p>
    <w:p>
      <w:pPr>
        <w:pStyle w:val="Heading3"/>
      </w:pPr>
      <w:bookmarkStart w:id="130" w:name="_Toc209535067"/>
      <w:bookmarkStart w:id="131" w:name="_Toc209537108"/>
      <w:bookmarkStart w:id="132" w:name="_Toc209696225"/>
      <w:bookmarkStart w:id="133" w:name="_Toc209696366"/>
      <w:bookmarkStart w:id="134" w:name="_Toc209794806"/>
      <w:bookmarkStart w:id="135" w:name="_Toc183180486"/>
      <w:bookmarkStart w:id="136" w:name="_Toc183182154"/>
      <w:bookmarkStart w:id="137" w:name="_Toc183182293"/>
      <w:bookmarkStart w:id="138" w:name="_Toc183423080"/>
      <w:r>
        <w:rPr>
          <w:rStyle w:val="CharDivNo"/>
        </w:rPr>
        <w:t>Division 7</w:t>
      </w:r>
      <w:r>
        <w:t> — </w:t>
      </w:r>
      <w:r>
        <w:rPr>
          <w:rStyle w:val="CharDivText"/>
        </w:rPr>
        <w:t>Professional negligence</w:t>
      </w:r>
      <w:bookmarkEnd w:id="130"/>
      <w:bookmarkEnd w:id="131"/>
      <w:bookmarkEnd w:id="132"/>
      <w:bookmarkEnd w:id="133"/>
      <w:bookmarkEnd w:id="134"/>
      <w:bookmarkEnd w:id="135"/>
      <w:bookmarkEnd w:id="136"/>
      <w:bookmarkEnd w:id="137"/>
      <w:bookmarkEnd w:id="138"/>
    </w:p>
    <w:p>
      <w:pPr>
        <w:pStyle w:val="Footnoteheading"/>
        <w:ind w:left="851"/>
      </w:pPr>
      <w:r>
        <w:tab/>
        <w:t>[Heading inserted: No. 43 of 2004 s. 5.]</w:t>
      </w:r>
    </w:p>
    <w:p>
      <w:pPr>
        <w:pStyle w:val="Heading5"/>
        <w:spacing w:before="180"/>
      </w:pPr>
      <w:bookmarkStart w:id="139" w:name="_Toc209794807"/>
      <w:bookmarkStart w:id="140" w:name="_Toc183423081"/>
      <w:r>
        <w:rPr>
          <w:rStyle w:val="CharSectno"/>
        </w:rPr>
        <w:t>5PA</w:t>
      </w:r>
      <w:r>
        <w:t>.</w:t>
      </w:r>
      <w:r>
        <w:tab/>
        <w:t>Term used: health professional</w:t>
      </w:r>
      <w:bookmarkEnd w:id="139"/>
      <w:bookmarkEnd w:id="140"/>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Indenti"/>
      </w:pPr>
      <w:r>
        <w:tab/>
        <w:t>(vii)</w:t>
      </w:r>
      <w:r>
        <w:tab/>
        <w:t>midwifery;</w:t>
      </w:r>
    </w:p>
    <w:p>
      <w:pPr>
        <w:pStyle w:val="Indenti"/>
      </w:pPr>
      <w:r>
        <w:tab/>
        <w:t>(viia)</w:t>
      </w:r>
      <w:r>
        <w:tab/>
        <w:t>nursing;</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Indenti"/>
      </w:pPr>
      <w:r>
        <w:tab/>
        <w:t>(xa)</w:t>
      </w:r>
      <w:r>
        <w:tab/>
        <w:t>paramedicine;</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No. 43 of 2004 s. 5; amended: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 No. 4 of 2018 s. 103(2).]</w:t>
      </w:r>
    </w:p>
    <w:p>
      <w:pPr>
        <w:pStyle w:val="Heading5"/>
      </w:pPr>
      <w:bookmarkStart w:id="141" w:name="_Toc209794808"/>
      <w:bookmarkStart w:id="142" w:name="_Toc183423082"/>
      <w:r>
        <w:rPr>
          <w:rStyle w:val="CharSectno"/>
        </w:rPr>
        <w:t>5PB</w:t>
      </w:r>
      <w:r>
        <w:t>.</w:t>
      </w:r>
      <w:r>
        <w:tab/>
        <w:t>Standard of care for health professionals</w:t>
      </w:r>
      <w:bookmarkEnd w:id="141"/>
      <w:bookmarkEnd w:id="142"/>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No. 43 of 2004 s. 5.]</w:t>
      </w:r>
    </w:p>
    <w:p>
      <w:pPr>
        <w:pStyle w:val="Heading2"/>
      </w:pPr>
      <w:bookmarkStart w:id="143" w:name="_Toc209535070"/>
      <w:bookmarkStart w:id="144" w:name="_Toc209537111"/>
      <w:bookmarkStart w:id="145" w:name="_Toc209696228"/>
      <w:bookmarkStart w:id="146" w:name="_Toc209696369"/>
      <w:bookmarkStart w:id="147" w:name="_Toc209794809"/>
      <w:bookmarkStart w:id="148" w:name="_Toc183180489"/>
      <w:bookmarkStart w:id="149" w:name="_Toc183182157"/>
      <w:bookmarkStart w:id="150" w:name="_Toc183182296"/>
      <w:bookmarkStart w:id="151" w:name="_Toc183423083"/>
      <w:r>
        <w:rPr>
          <w:rStyle w:val="CharPartNo"/>
        </w:rPr>
        <w:t>Part 1B</w:t>
      </w:r>
      <w:r>
        <w:rPr>
          <w:rStyle w:val="CharDivNo"/>
        </w:rPr>
        <w:t> </w:t>
      </w:r>
      <w:r>
        <w:t>—</w:t>
      </w:r>
      <w:r>
        <w:rPr>
          <w:rStyle w:val="CharDivText"/>
        </w:rPr>
        <w:t> </w:t>
      </w:r>
      <w:r>
        <w:rPr>
          <w:rStyle w:val="CharPartText"/>
        </w:rPr>
        <w:t>Mental harm</w:t>
      </w:r>
      <w:bookmarkEnd w:id="143"/>
      <w:bookmarkEnd w:id="144"/>
      <w:bookmarkEnd w:id="145"/>
      <w:bookmarkEnd w:id="146"/>
      <w:bookmarkEnd w:id="147"/>
      <w:bookmarkEnd w:id="148"/>
      <w:bookmarkEnd w:id="149"/>
      <w:bookmarkEnd w:id="150"/>
      <w:bookmarkEnd w:id="151"/>
    </w:p>
    <w:p>
      <w:pPr>
        <w:pStyle w:val="Footnoteheading"/>
      </w:pPr>
      <w:r>
        <w:tab/>
        <w:t>[Heading inserted: No. 58 of 2003 s. 8.]</w:t>
      </w:r>
    </w:p>
    <w:p>
      <w:pPr>
        <w:pStyle w:val="Heading5"/>
      </w:pPr>
      <w:bookmarkStart w:id="152" w:name="_Toc209794810"/>
      <w:bookmarkStart w:id="153" w:name="_Toc183423084"/>
      <w:r>
        <w:rPr>
          <w:rStyle w:val="CharSectno"/>
        </w:rPr>
        <w:t>5Q</w:t>
      </w:r>
      <w:r>
        <w:t>.</w:t>
      </w:r>
      <w:r>
        <w:tab/>
        <w:t>Terms used</w:t>
      </w:r>
      <w:bookmarkEnd w:id="152"/>
      <w:bookmarkEnd w:id="153"/>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No. 58 of 2003 s. 8.]</w:t>
      </w:r>
    </w:p>
    <w:p>
      <w:pPr>
        <w:pStyle w:val="Heading5"/>
      </w:pPr>
      <w:bookmarkStart w:id="154" w:name="_Toc209794811"/>
      <w:bookmarkStart w:id="155" w:name="_Toc183423085"/>
      <w:r>
        <w:rPr>
          <w:rStyle w:val="CharSectno"/>
        </w:rPr>
        <w:t>5R</w:t>
      </w:r>
      <w:r>
        <w:t>.</w:t>
      </w:r>
      <w:r>
        <w:tab/>
        <w:t>Application of Part</w:t>
      </w:r>
      <w:bookmarkEnd w:id="154"/>
      <w:bookmarkEnd w:id="15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No. 58 of 2003 s. 8.]</w:t>
      </w:r>
    </w:p>
    <w:p>
      <w:pPr>
        <w:pStyle w:val="Heading5"/>
      </w:pPr>
      <w:bookmarkStart w:id="156" w:name="_Toc209794812"/>
      <w:bookmarkStart w:id="157" w:name="_Toc183423086"/>
      <w:r>
        <w:rPr>
          <w:rStyle w:val="CharSectno"/>
        </w:rPr>
        <w:t>5S</w:t>
      </w:r>
      <w:r>
        <w:t>.</w:t>
      </w:r>
      <w:r>
        <w:tab/>
        <w:t>Mental harm: duty of care</w:t>
      </w:r>
      <w:bookmarkEnd w:id="156"/>
      <w:bookmarkEnd w:id="157"/>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No. 58 of 2003 s. 8.]</w:t>
      </w:r>
    </w:p>
    <w:p>
      <w:pPr>
        <w:pStyle w:val="Heading5"/>
      </w:pPr>
      <w:bookmarkStart w:id="158" w:name="_Toc209794813"/>
      <w:bookmarkStart w:id="159" w:name="_Toc183423087"/>
      <w:r>
        <w:rPr>
          <w:rStyle w:val="CharSectno"/>
        </w:rPr>
        <w:t>5T</w:t>
      </w:r>
      <w:r>
        <w:t>.</w:t>
      </w:r>
      <w:r>
        <w:tab/>
        <w:t>Liability for pecuniary loss for consequential mental harm</w:t>
      </w:r>
      <w:bookmarkEnd w:id="158"/>
      <w:bookmarkEnd w:id="159"/>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No. 58 of 2003 s. 8.]</w:t>
      </w:r>
    </w:p>
    <w:p>
      <w:pPr>
        <w:pStyle w:val="Heading2"/>
      </w:pPr>
      <w:bookmarkStart w:id="160" w:name="_Toc209535075"/>
      <w:bookmarkStart w:id="161" w:name="_Toc209537116"/>
      <w:bookmarkStart w:id="162" w:name="_Toc209696233"/>
      <w:bookmarkStart w:id="163" w:name="_Toc209696374"/>
      <w:bookmarkStart w:id="164" w:name="_Toc209794814"/>
      <w:bookmarkStart w:id="165" w:name="_Toc183180494"/>
      <w:bookmarkStart w:id="166" w:name="_Toc183182162"/>
      <w:bookmarkStart w:id="167" w:name="_Toc183182301"/>
      <w:bookmarkStart w:id="168" w:name="_Toc183423088"/>
      <w:r>
        <w:rPr>
          <w:rStyle w:val="CharPartNo"/>
        </w:rPr>
        <w:t>Part 1C</w:t>
      </w:r>
      <w:r>
        <w:rPr>
          <w:b w:val="0"/>
        </w:rPr>
        <w:t> </w:t>
      </w:r>
      <w:r>
        <w:t>—</w:t>
      </w:r>
      <w:r>
        <w:rPr>
          <w:b w:val="0"/>
        </w:rPr>
        <w:t> </w:t>
      </w:r>
      <w:r>
        <w:rPr>
          <w:rStyle w:val="CharPartText"/>
        </w:rPr>
        <w:t>Liability relating to public function</w:t>
      </w:r>
      <w:bookmarkEnd w:id="160"/>
      <w:bookmarkEnd w:id="161"/>
      <w:bookmarkEnd w:id="162"/>
      <w:bookmarkEnd w:id="163"/>
      <w:bookmarkEnd w:id="164"/>
      <w:bookmarkEnd w:id="165"/>
      <w:bookmarkEnd w:id="166"/>
      <w:bookmarkEnd w:id="167"/>
      <w:bookmarkEnd w:id="168"/>
    </w:p>
    <w:p>
      <w:pPr>
        <w:pStyle w:val="Footnoteheading"/>
      </w:pPr>
      <w:r>
        <w:tab/>
        <w:t>[Heading inserted: No. 58 of 2003 s. 8.]</w:t>
      </w:r>
    </w:p>
    <w:p>
      <w:pPr>
        <w:pStyle w:val="Heading5"/>
      </w:pPr>
      <w:bookmarkStart w:id="169" w:name="_Toc209794815"/>
      <w:bookmarkStart w:id="170" w:name="_Toc183423089"/>
      <w:r>
        <w:rPr>
          <w:rStyle w:val="CharSectno"/>
        </w:rPr>
        <w:t>5U</w:t>
      </w:r>
      <w:r>
        <w:t>.</w:t>
      </w:r>
      <w:r>
        <w:tab/>
        <w:t>Terms used</w:t>
      </w:r>
      <w:bookmarkEnd w:id="169"/>
      <w:bookmarkEnd w:id="170"/>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No. 58 of 2003 s. 8; amended: No. 26 of 2016 s. 42.]</w:t>
      </w:r>
    </w:p>
    <w:p>
      <w:pPr>
        <w:pStyle w:val="Heading5"/>
      </w:pPr>
      <w:bookmarkStart w:id="171" w:name="_Toc209794816"/>
      <w:bookmarkStart w:id="172" w:name="_Toc183423090"/>
      <w:r>
        <w:rPr>
          <w:rStyle w:val="CharSectno"/>
        </w:rPr>
        <w:t>5V</w:t>
      </w:r>
      <w:r>
        <w:t>.</w:t>
      </w:r>
      <w:r>
        <w:tab/>
        <w:t>Application of Part</w:t>
      </w:r>
      <w:bookmarkEnd w:id="171"/>
      <w:bookmarkEnd w:id="17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No. 58 of 2003 s. 8.]</w:t>
      </w:r>
    </w:p>
    <w:p>
      <w:pPr>
        <w:pStyle w:val="Heading5"/>
      </w:pPr>
      <w:bookmarkStart w:id="173" w:name="_Toc209794817"/>
      <w:bookmarkStart w:id="174" w:name="_Toc183423091"/>
      <w:r>
        <w:rPr>
          <w:rStyle w:val="CharSectno"/>
        </w:rPr>
        <w:t>5W</w:t>
      </w:r>
      <w:r>
        <w:t>.</w:t>
      </w:r>
      <w:r>
        <w:tab/>
        <w:t>Principles concerning resources, responsibilities etc. of public body or officer</w:t>
      </w:r>
      <w:bookmarkEnd w:id="173"/>
      <w:bookmarkEnd w:id="174"/>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No. 58 of 2003 s. 8.]</w:t>
      </w:r>
    </w:p>
    <w:p>
      <w:pPr>
        <w:pStyle w:val="Heading5"/>
      </w:pPr>
      <w:bookmarkStart w:id="175" w:name="_Toc209794818"/>
      <w:bookmarkStart w:id="176" w:name="_Toc183423092"/>
      <w:r>
        <w:rPr>
          <w:rStyle w:val="CharSectno"/>
        </w:rPr>
        <w:t>5X</w:t>
      </w:r>
      <w:r>
        <w:t>.</w:t>
      </w:r>
      <w:r>
        <w:tab/>
        <w:t>Policy defence</w:t>
      </w:r>
      <w:bookmarkEnd w:id="175"/>
      <w:bookmarkEnd w:id="176"/>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No. 58 of 2003 s. 8.]</w:t>
      </w:r>
    </w:p>
    <w:p>
      <w:pPr>
        <w:pStyle w:val="Heading5"/>
      </w:pPr>
      <w:bookmarkStart w:id="177" w:name="_Toc209794819"/>
      <w:bookmarkStart w:id="178" w:name="_Toc183423093"/>
      <w:r>
        <w:rPr>
          <w:rStyle w:val="CharSectno"/>
        </w:rPr>
        <w:t>5Y</w:t>
      </w:r>
      <w:r>
        <w:t>.</w:t>
      </w:r>
      <w:r>
        <w:tab/>
        <w:t>Proceedings against public body or officer based on breach of statutory duty</w:t>
      </w:r>
      <w:bookmarkEnd w:id="177"/>
      <w:bookmarkEnd w:id="178"/>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No. 58 of 2003 s. 8.]</w:t>
      </w:r>
    </w:p>
    <w:p>
      <w:pPr>
        <w:pStyle w:val="Heading5"/>
        <w:spacing w:before="240"/>
      </w:pPr>
      <w:bookmarkStart w:id="179" w:name="_Toc209794820"/>
      <w:bookmarkStart w:id="180" w:name="_Toc183423094"/>
      <w:r>
        <w:rPr>
          <w:rStyle w:val="CharSectno"/>
        </w:rPr>
        <w:t>5Z</w:t>
      </w:r>
      <w:r>
        <w:t>.</w:t>
      </w:r>
      <w:r>
        <w:tab/>
        <w:t>Special protection for road authorities</w:t>
      </w:r>
      <w:bookmarkEnd w:id="179"/>
      <w:bookmarkEnd w:id="180"/>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No. 58 of 2003 s. 8.]</w:t>
      </w:r>
    </w:p>
    <w:p>
      <w:pPr>
        <w:pStyle w:val="Heading5"/>
        <w:spacing w:before="280"/>
      </w:pPr>
      <w:bookmarkStart w:id="181" w:name="_Toc209794821"/>
      <w:bookmarkStart w:id="182" w:name="_Toc183423095"/>
      <w:r>
        <w:rPr>
          <w:rStyle w:val="CharSectno"/>
        </w:rPr>
        <w:t>5AA</w:t>
      </w:r>
      <w:r>
        <w:t>.</w:t>
      </w:r>
      <w:r>
        <w:tab/>
        <w:t>Exercise of function or decision to exercise does not create duty</w:t>
      </w:r>
      <w:bookmarkEnd w:id="181"/>
      <w:bookmarkEnd w:id="182"/>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No. 58 of 2003 s. 8.]</w:t>
      </w:r>
    </w:p>
    <w:p>
      <w:pPr>
        <w:pStyle w:val="Heading2"/>
      </w:pPr>
      <w:bookmarkStart w:id="183" w:name="_Toc209535083"/>
      <w:bookmarkStart w:id="184" w:name="_Toc209537124"/>
      <w:bookmarkStart w:id="185" w:name="_Toc209696241"/>
      <w:bookmarkStart w:id="186" w:name="_Toc209696382"/>
      <w:bookmarkStart w:id="187" w:name="_Toc209794822"/>
      <w:bookmarkStart w:id="188" w:name="_Toc183180502"/>
      <w:bookmarkStart w:id="189" w:name="_Toc183182170"/>
      <w:bookmarkStart w:id="190" w:name="_Toc183182309"/>
      <w:bookmarkStart w:id="191" w:name="_Toc183423096"/>
      <w:r>
        <w:rPr>
          <w:rStyle w:val="CharPartNo"/>
        </w:rPr>
        <w:t>Part 1CA</w:t>
      </w:r>
      <w:r>
        <w:rPr>
          <w:b w:val="0"/>
        </w:rPr>
        <w:t> </w:t>
      </w:r>
      <w:r>
        <w:t>—</w:t>
      </w:r>
      <w:r>
        <w:rPr>
          <w:b w:val="0"/>
        </w:rPr>
        <w:t> </w:t>
      </w:r>
      <w:r>
        <w:rPr>
          <w:rStyle w:val="CharPartText"/>
        </w:rPr>
        <w:t>Liability relating to emergency medical assistance given to enrolled children</w:t>
      </w:r>
      <w:bookmarkEnd w:id="183"/>
      <w:bookmarkEnd w:id="184"/>
      <w:bookmarkEnd w:id="185"/>
      <w:bookmarkEnd w:id="186"/>
      <w:bookmarkEnd w:id="187"/>
      <w:bookmarkEnd w:id="188"/>
      <w:bookmarkEnd w:id="189"/>
      <w:bookmarkEnd w:id="190"/>
      <w:bookmarkEnd w:id="191"/>
    </w:p>
    <w:p>
      <w:pPr>
        <w:pStyle w:val="Footnoteheading"/>
      </w:pPr>
      <w:r>
        <w:tab/>
        <w:t>[Heading inserted: No. 1 of 2011 s. 6.]</w:t>
      </w:r>
    </w:p>
    <w:p>
      <w:pPr>
        <w:pStyle w:val="Heading5"/>
      </w:pPr>
      <w:bookmarkStart w:id="192" w:name="_Toc209794823"/>
      <w:bookmarkStart w:id="193" w:name="_Toc183423097"/>
      <w:r>
        <w:rPr>
          <w:rStyle w:val="CharSectno"/>
        </w:rPr>
        <w:t>5AAA</w:t>
      </w:r>
      <w:r>
        <w:t>.</w:t>
      </w:r>
      <w:r>
        <w:tab/>
        <w:t>Terms used</w:t>
      </w:r>
      <w:bookmarkEnd w:id="192"/>
      <w:bookmarkEnd w:id="193"/>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(Western Australia)</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No. 1 of 2011 s. 6; amended: No. 11 of 2012 s. 29.]</w:t>
      </w:r>
    </w:p>
    <w:p>
      <w:pPr>
        <w:pStyle w:val="Heading5"/>
      </w:pPr>
      <w:bookmarkStart w:id="194" w:name="_Toc209794824"/>
      <w:bookmarkStart w:id="195" w:name="_Toc183423098"/>
      <w:r>
        <w:rPr>
          <w:rStyle w:val="CharSectno"/>
        </w:rPr>
        <w:t>5AAB</w:t>
      </w:r>
      <w:r>
        <w:t>.</w:t>
      </w:r>
      <w:r>
        <w:tab/>
        <w:t>Application of this Part</w:t>
      </w:r>
      <w:bookmarkEnd w:id="194"/>
      <w:bookmarkEnd w:id="195"/>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No. 1 of 2011 s. 6.]</w:t>
      </w:r>
    </w:p>
    <w:p>
      <w:pPr>
        <w:pStyle w:val="Heading5"/>
      </w:pPr>
      <w:bookmarkStart w:id="196" w:name="_Toc209794825"/>
      <w:bookmarkStart w:id="197" w:name="_Toc183423099"/>
      <w:r>
        <w:rPr>
          <w:rStyle w:val="CharSectno"/>
        </w:rPr>
        <w:t>5AAC</w:t>
      </w:r>
      <w:r>
        <w:t>.</w:t>
      </w:r>
      <w:r>
        <w:tab/>
        <w:t>Protection of staff members</w:t>
      </w:r>
      <w:bookmarkEnd w:id="196"/>
      <w:bookmarkEnd w:id="197"/>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No. 1 of 2011 s. 6.]</w:t>
      </w:r>
    </w:p>
    <w:p>
      <w:pPr>
        <w:pStyle w:val="Heading5"/>
      </w:pPr>
      <w:bookmarkStart w:id="198" w:name="_Toc209794826"/>
      <w:bookmarkStart w:id="199" w:name="_Toc183423100"/>
      <w:r>
        <w:rPr>
          <w:rStyle w:val="CharSectno"/>
        </w:rPr>
        <w:t>5AAD</w:t>
      </w:r>
      <w:r>
        <w:t>.</w:t>
      </w:r>
      <w:r>
        <w:tab/>
        <w:t>Exclusion from protection</w:t>
      </w:r>
      <w:bookmarkEnd w:id="198"/>
      <w:bookmarkEnd w:id="199"/>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No. 1 of 2011 s. 6.]</w:t>
      </w:r>
    </w:p>
    <w:p>
      <w:pPr>
        <w:pStyle w:val="Heading2"/>
      </w:pPr>
      <w:bookmarkStart w:id="200" w:name="_Toc209535088"/>
      <w:bookmarkStart w:id="201" w:name="_Toc209537129"/>
      <w:bookmarkStart w:id="202" w:name="_Toc209696246"/>
      <w:bookmarkStart w:id="203" w:name="_Toc209696387"/>
      <w:bookmarkStart w:id="204" w:name="_Toc209794827"/>
      <w:bookmarkStart w:id="205" w:name="_Toc183180507"/>
      <w:bookmarkStart w:id="206" w:name="_Toc183182175"/>
      <w:bookmarkStart w:id="207" w:name="_Toc183182314"/>
      <w:bookmarkStart w:id="208" w:name="_Toc183423101"/>
      <w:r>
        <w:rPr>
          <w:rStyle w:val="CharPartNo"/>
        </w:rPr>
        <w:t>Part 1D</w:t>
      </w:r>
      <w:r>
        <w:rPr>
          <w:b w:val="0"/>
        </w:rPr>
        <w:t> </w:t>
      </w:r>
      <w:r>
        <w:t>—</w:t>
      </w:r>
      <w:r>
        <w:rPr>
          <w:b w:val="0"/>
        </w:rPr>
        <w:t> </w:t>
      </w:r>
      <w:r>
        <w:rPr>
          <w:rStyle w:val="CharPartText"/>
        </w:rPr>
        <w:t>Good samaritans</w:t>
      </w:r>
      <w:bookmarkEnd w:id="200"/>
      <w:bookmarkEnd w:id="201"/>
      <w:bookmarkEnd w:id="202"/>
      <w:bookmarkEnd w:id="203"/>
      <w:bookmarkEnd w:id="204"/>
      <w:bookmarkEnd w:id="205"/>
      <w:bookmarkEnd w:id="206"/>
      <w:bookmarkEnd w:id="207"/>
      <w:bookmarkEnd w:id="208"/>
    </w:p>
    <w:p>
      <w:pPr>
        <w:pStyle w:val="Footnoteheading"/>
      </w:pPr>
      <w:r>
        <w:tab/>
        <w:t>[Heading inserted: No. 58 of 2003 s. 8.]</w:t>
      </w:r>
    </w:p>
    <w:p>
      <w:pPr>
        <w:pStyle w:val="Heading5"/>
      </w:pPr>
      <w:bookmarkStart w:id="209" w:name="_Toc209794828"/>
      <w:bookmarkStart w:id="210" w:name="_Toc183423102"/>
      <w:r>
        <w:rPr>
          <w:rStyle w:val="CharSectno"/>
        </w:rPr>
        <w:t>5AB</w:t>
      </w:r>
      <w:r>
        <w:t>.</w:t>
      </w:r>
      <w:r>
        <w:tab/>
        <w:t>Terms used</w:t>
      </w:r>
      <w:bookmarkEnd w:id="209"/>
      <w:bookmarkEnd w:id="210"/>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a health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No. 58 of 2003 s. 8; amended: No. 22 of 2008 s. 162; No. 35 of 2010 s. 42; No. 4 of 2018 s. 103(3).]</w:t>
      </w:r>
    </w:p>
    <w:p>
      <w:pPr>
        <w:pStyle w:val="Heading5"/>
      </w:pPr>
      <w:bookmarkStart w:id="211" w:name="_Toc209794829"/>
      <w:bookmarkStart w:id="212" w:name="_Toc183423103"/>
      <w:r>
        <w:rPr>
          <w:rStyle w:val="CharSectno"/>
        </w:rPr>
        <w:t>5AC</w:t>
      </w:r>
      <w:r>
        <w:t>.</w:t>
      </w:r>
      <w:r>
        <w:tab/>
        <w:t>Application of this Part</w:t>
      </w:r>
      <w:bookmarkEnd w:id="211"/>
      <w:bookmarkEnd w:id="212"/>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No. 58 of 2003 s. 8.]</w:t>
      </w:r>
    </w:p>
    <w:p>
      <w:pPr>
        <w:pStyle w:val="Heading5"/>
      </w:pPr>
      <w:bookmarkStart w:id="213" w:name="_Toc209794830"/>
      <w:bookmarkStart w:id="214" w:name="_Toc183423104"/>
      <w:r>
        <w:rPr>
          <w:rStyle w:val="CharSectno"/>
        </w:rPr>
        <w:t>5AD</w:t>
      </w:r>
      <w:r>
        <w:t>.</w:t>
      </w:r>
      <w:r>
        <w:tab/>
        <w:t>Protection of good samaritans</w:t>
      </w:r>
      <w:bookmarkEnd w:id="213"/>
      <w:bookmarkEnd w:id="214"/>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No. 58 of 2003 s. 8.]</w:t>
      </w:r>
    </w:p>
    <w:p>
      <w:pPr>
        <w:pStyle w:val="Heading5"/>
      </w:pPr>
      <w:bookmarkStart w:id="215" w:name="_Toc209794831"/>
      <w:bookmarkStart w:id="216" w:name="_Toc183423105"/>
      <w:r>
        <w:rPr>
          <w:rStyle w:val="CharSectno"/>
        </w:rPr>
        <w:t>5AE</w:t>
      </w:r>
      <w:r>
        <w:t>.</w:t>
      </w:r>
      <w:r>
        <w:tab/>
        <w:t>Exclusion from protection</w:t>
      </w:r>
      <w:bookmarkEnd w:id="215"/>
      <w:bookmarkEnd w:id="216"/>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No. 58 of 2003 s. 8.]</w:t>
      </w:r>
    </w:p>
    <w:p>
      <w:pPr>
        <w:pStyle w:val="Heading2"/>
      </w:pPr>
      <w:bookmarkStart w:id="217" w:name="_Toc209535093"/>
      <w:bookmarkStart w:id="218" w:name="_Toc209537134"/>
      <w:bookmarkStart w:id="219" w:name="_Toc209696251"/>
      <w:bookmarkStart w:id="220" w:name="_Toc209696392"/>
      <w:bookmarkStart w:id="221" w:name="_Toc209794832"/>
      <w:bookmarkStart w:id="222" w:name="_Toc183180512"/>
      <w:bookmarkStart w:id="223" w:name="_Toc183182180"/>
      <w:bookmarkStart w:id="224" w:name="_Toc183182319"/>
      <w:bookmarkStart w:id="225" w:name="_Toc183423106"/>
      <w:r>
        <w:rPr>
          <w:rStyle w:val="CharPartNo"/>
        </w:rPr>
        <w:t>Part 1E</w:t>
      </w:r>
      <w:r>
        <w:rPr>
          <w:b w:val="0"/>
        </w:rPr>
        <w:t> </w:t>
      </w:r>
      <w:r>
        <w:t>—</w:t>
      </w:r>
      <w:r>
        <w:rPr>
          <w:b w:val="0"/>
        </w:rPr>
        <w:t> </w:t>
      </w:r>
      <w:r>
        <w:rPr>
          <w:rStyle w:val="CharPartText"/>
        </w:rPr>
        <w:t>Apologies</w:t>
      </w:r>
      <w:bookmarkEnd w:id="217"/>
      <w:bookmarkEnd w:id="218"/>
      <w:bookmarkEnd w:id="219"/>
      <w:bookmarkEnd w:id="220"/>
      <w:bookmarkEnd w:id="221"/>
      <w:bookmarkEnd w:id="222"/>
      <w:bookmarkEnd w:id="223"/>
      <w:bookmarkEnd w:id="224"/>
      <w:bookmarkEnd w:id="225"/>
    </w:p>
    <w:p>
      <w:pPr>
        <w:pStyle w:val="Footnoteheading"/>
      </w:pPr>
      <w:r>
        <w:tab/>
        <w:t>[Heading inserted: No. 58 of 2003 s. 8.]</w:t>
      </w:r>
    </w:p>
    <w:p>
      <w:pPr>
        <w:pStyle w:val="Heading5"/>
        <w:spacing w:before="180"/>
      </w:pPr>
      <w:bookmarkStart w:id="226" w:name="_Toc209794833"/>
      <w:bookmarkStart w:id="227" w:name="_Toc183423107"/>
      <w:r>
        <w:rPr>
          <w:rStyle w:val="CharSectno"/>
        </w:rPr>
        <w:t>5AF</w:t>
      </w:r>
      <w:r>
        <w:t>.</w:t>
      </w:r>
      <w:r>
        <w:tab/>
        <w:t>Term used: apology</w:t>
      </w:r>
      <w:bookmarkEnd w:id="226"/>
      <w:bookmarkEnd w:id="227"/>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No. 58 of 2003 s. 8.]</w:t>
      </w:r>
    </w:p>
    <w:p>
      <w:pPr>
        <w:pStyle w:val="Heading5"/>
        <w:spacing w:before="180"/>
      </w:pPr>
      <w:bookmarkStart w:id="228" w:name="_Toc209794834"/>
      <w:bookmarkStart w:id="229" w:name="_Toc183423108"/>
      <w:r>
        <w:rPr>
          <w:rStyle w:val="CharSectno"/>
        </w:rPr>
        <w:t>5AG</w:t>
      </w:r>
      <w:r>
        <w:t>.</w:t>
      </w:r>
      <w:r>
        <w:tab/>
        <w:t>Application of this Part</w:t>
      </w:r>
      <w:bookmarkEnd w:id="228"/>
      <w:bookmarkEnd w:id="229"/>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No. 58 of 2003 s. 8.]</w:t>
      </w:r>
    </w:p>
    <w:p>
      <w:pPr>
        <w:pStyle w:val="Heading5"/>
      </w:pPr>
      <w:bookmarkStart w:id="230" w:name="_Toc209794835"/>
      <w:bookmarkStart w:id="231" w:name="_Toc183423109"/>
      <w:r>
        <w:rPr>
          <w:rStyle w:val="CharSectno"/>
        </w:rPr>
        <w:t>5AH</w:t>
      </w:r>
      <w:r>
        <w:t>.</w:t>
      </w:r>
      <w:r>
        <w:tab/>
        <w:t>Effect of apology on liability</w:t>
      </w:r>
      <w:bookmarkEnd w:id="230"/>
      <w:bookmarkEnd w:id="231"/>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No. 58 of 2003 s. 8.]</w:t>
      </w:r>
    </w:p>
    <w:p>
      <w:pPr>
        <w:pStyle w:val="Heading2"/>
      </w:pPr>
      <w:bookmarkStart w:id="232" w:name="_Toc209535097"/>
      <w:bookmarkStart w:id="233" w:name="_Toc209537138"/>
      <w:bookmarkStart w:id="234" w:name="_Toc209696255"/>
      <w:bookmarkStart w:id="235" w:name="_Toc209696396"/>
      <w:bookmarkStart w:id="236" w:name="_Toc209794836"/>
      <w:bookmarkStart w:id="237" w:name="_Toc183180516"/>
      <w:bookmarkStart w:id="238" w:name="_Toc183182184"/>
      <w:bookmarkStart w:id="239" w:name="_Toc183182323"/>
      <w:bookmarkStart w:id="240" w:name="_Toc183423110"/>
      <w:r>
        <w:rPr>
          <w:rStyle w:val="CharPartNo"/>
        </w:rPr>
        <w:t>Part 1F</w:t>
      </w:r>
      <w:r>
        <w:rPr>
          <w:rStyle w:val="CharDivNo"/>
        </w:rPr>
        <w:t> </w:t>
      </w:r>
      <w:r>
        <w:t>—</w:t>
      </w:r>
      <w:r>
        <w:rPr>
          <w:rStyle w:val="CharDivText"/>
        </w:rPr>
        <w:t> </w:t>
      </w:r>
      <w:r>
        <w:rPr>
          <w:rStyle w:val="CharPartText"/>
        </w:rPr>
        <w:t>Proportionate liability</w:t>
      </w:r>
      <w:bookmarkEnd w:id="232"/>
      <w:bookmarkEnd w:id="233"/>
      <w:bookmarkEnd w:id="234"/>
      <w:bookmarkEnd w:id="235"/>
      <w:bookmarkEnd w:id="236"/>
      <w:bookmarkEnd w:id="237"/>
      <w:bookmarkEnd w:id="238"/>
      <w:bookmarkEnd w:id="239"/>
      <w:bookmarkEnd w:id="240"/>
    </w:p>
    <w:p>
      <w:pPr>
        <w:pStyle w:val="Footnoteheading"/>
      </w:pPr>
      <w:r>
        <w:tab/>
        <w:t>[Heading inserted: No. 58 of 2003 s. 9.]</w:t>
      </w:r>
    </w:p>
    <w:p>
      <w:pPr>
        <w:pStyle w:val="Heading5"/>
        <w:spacing w:before="240"/>
      </w:pPr>
      <w:bookmarkStart w:id="241" w:name="_Toc209794837"/>
      <w:bookmarkStart w:id="242" w:name="_Toc183423111"/>
      <w:r>
        <w:rPr>
          <w:rStyle w:val="CharSectno"/>
        </w:rPr>
        <w:t>5AI</w:t>
      </w:r>
      <w:r>
        <w:t>.</w:t>
      </w:r>
      <w:r>
        <w:tab/>
        <w:t>Terms used</w:t>
      </w:r>
      <w:bookmarkEnd w:id="241"/>
      <w:bookmarkEnd w:id="242"/>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No. 58 of 2003 s. 9; amended: No. 43 of 2004 s. 6; </w:t>
      </w:r>
      <w:r>
        <w:rPr>
          <w:spacing w:val="-4"/>
        </w:rPr>
        <w:t>No. 58 of 2010 s. 193</w:t>
      </w:r>
      <w:r>
        <w:t>.]</w:t>
      </w:r>
    </w:p>
    <w:p>
      <w:pPr>
        <w:pStyle w:val="Heading5"/>
        <w:spacing w:before="240"/>
      </w:pPr>
      <w:bookmarkStart w:id="243" w:name="_Toc209794838"/>
      <w:bookmarkStart w:id="244" w:name="_Toc183423112"/>
      <w:r>
        <w:rPr>
          <w:rStyle w:val="CharSectno"/>
        </w:rPr>
        <w:t>5AJ</w:t>
      </w:r>
      <w:r>
        <w:t>.</w:t>
      </w:r>
      <w:r>
        <w:tab/>
        <w:t>Application of Part</w:t>
      </w:r>
      <w:bookmarkEnd w:id="243"/>
      <w:bookmarkEnd w:id="244"/>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No. 58 of 2003 s. 9; amended: No. 43 of 2004 s. 7.]</w:t>
      </w:r>
    </w:p>
    <w:p>
      <w:pPr>
        <w:pStyle w:val="Heading5"/>
      </w:pPr>
      <w:bookmarkStart w:id="245" w:name="_Toc209794839"/>
      <w:bookmarkStart w:id="246" w:name="_Toc183423113"/>
      <w:r>
        <w:rPr>
          <w:rStyle w:val="CharSectno"/>
        </w:rPr>
        <w:t>5AJA</w:t>
      </w:r>
      <w:r>
        <w:t>.</w:t>
      </w:r>
      <w:r>
        <w:tab/>
        <w:t>Certain concurrent wrongdoers not to have benefit of apportionment</w:t>
      </w:r>
      <w:bookmarkEnd w:id="245"/>
      <w:bookmarkEnd w:id="246"/>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No. 43 of 2004 s. 8.]</w:t>
      </w:r>
    </w:p>
    <w:p>
      <w:pPr>
        <w:pStyle w:val="Heading5"/>
      </w:pPr>
      <w:bookmarkStart w:id="247" w:name="_Toc209794840"/>
      <w:bookmarkStart w:id="248" w:name="_Toc183423114"/>
      <w:r>
        <w:rPr>
          <w:rStyle w:val="CharSectno"/>
        </w:rPr>
        <w:t>5AK</w:t>
      </w:r>
      <w:r>
        <w:t>.</w:t>
      </w:r>
      <w:r>
        <w:tab/>
        <w:t>Proportionate liability for apportionable claims</w:t>
      </w:r>
      <w:bookmarkEnd w:id="247"/>
      <w:bookmarkEnd w:id="248"/>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keepNext/>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No. 58 of 2003 s. 9.]</w:t>
      </w:r>
    </w:p>
    <w:p>
      <w:pPr>
        <w:pStyle w:val="Heading5"/>
      </w:pPr>
      <w:bookmarkStart w:id="249" w:name="_Toc209794841"/>
      <w:bookmarkStart w:id="250" w:name="_Toc183423115"/>
      <w:r>
        <w:rPr>
          <w:rStyle w:val="CharSectno"/>
        </w:rPr>
        <w:t>5AKA</w:t>
      </w:r>
      <w:r>
        <w:t>.</w:t>
      </w:r>
      <w:r>
        <w:tab/>
        <w:t>Duty of defendant to inform plaintiff about concurrent wrongdoers</w:t>
      </w:r>
      <w:bookmarkEnd w:id="249"/>
      <w:bookmarkEnd w:id="250"/>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No. 43 of 2004 s. 9.]</w:t>
      </w:r>
    </w:p>
    <w:p>
      <w:pPr>
        <w:pStyle w:val="Heading5"/>
      </w:pPr>
      <w:bookmarkStart w:id="251" w:name="_Toc209794842"/>
      <w:bookmarkStart w:id="252" w:name="_Toc183423116"/>
      <w:r>
        <w:rPr>
          <w:rStyle w:val="CharSectno"/>
        </w:rPr>
        <w:t>5AL</w:t>
      </w:r>
      <w:r>
        <w:t>.</w:t>
      </w:r>
      <w:r>
        <w:tab/>
        <w:t>Contribution not recoverable from defendant</w:t>
      </w:r>
      <w:bookmarkEnd w:id="251"/>
      <w:bookmarkEnd w:id="252"/>
    </w:p>
    <w:p>
      <w:pPr>
        <w:pStyle w:val="Subsection"/>
        <w:keepNext/>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No. 58 of 2003 s. 9; amended: No. 43 of 2004 s. 10.]</w:t>
      </w:r>
    </w:p>
    <w:p>
      <w:pPr>
        <w:pStyle w:val="Heading5"/>
      </w:pPr>
      <w:bookmarkStart w:id="253" w:name="_Toc209794843"/>
      <w:bookmarkStart w:id="254" w:name="_Toc183423117"/>
      <w:r>
        <w:rPr>
          <w:rStyle w:val="CharSectno"/>
        </w:rPr>
        <w:t>5AM</w:t>
      </w:r>
      <w:r>
        <w:t>.</w:t>
      </w:r>
      <w:r>
        <w:tab/>
        <w:t>Subsequent actions</w:t>
      </w:r>
      <w:bookmarkEnd w:id="253"/>
      <w:bookmarkEnd w:id="254"/>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No. 58 of 2003 s. 9.]</w:t>
      </w:r>
    </w:p>
    <w:p>
      <w:pPr>
        <w:pStyle w:val="Heading5"/>
      </w:pPr>
      <w:bookmarkStart w:id="255" w:name="_Toc209794844"/>
      <w:bookmarkStart w:id="256" w:name="_Toc183423118"/>
      <w:r>
        <w:rPr>
          <w:rStyle w:val="CharSectno"/>
        </w:rPr>
        <w:t>5AN</w:t>
      </w:r>
      <w:r>
        <w:t>.</w:t>
      </w:r>
      <w:r>
        <w:tab/>
        <w:t>Joining non</w:t>
      </w:r>
      <w:r>
        <w:noBreakHyphen/>
        <w:t>party concurrent wrongdoers in action</w:t>
      </w:r>
      <w:bookmarkEnd w:id="255"/>
      <w:bookmarkEnd w:id="256"/>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No. 58 of 2003 s. 9.]</w:t>
      </w:r>
    </w:p>
    <w:p>
      <w:pPr>
        <w:pStyle w:val="Heading5"/>
      </w:pPr>
      <w:bookmarkStart w:id="257" w:name="_Toc209794845"/>
      <w:bookmarkStart w:id="258" w:name="_Toc183423119"/>
      <w:r>
        <w:rPr>
          <w:rStyle w:val="CharSectno"/>
        </w:rPr>
        <w:t>5AO</w:t>
      </w:r>
      <w:r>
        <w:t>.</w:t>
      </w:r>
      <w:r>
        <w:tab/>
        <w:t>Part does not prevent other liability or operation of other Act</w:t>
      </w:r>
      <w:bookmarkEnd w:id="257"/>
      <w:bookmarkEnd w:id="258"/>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No. 58 of 2003 s. 9.]</w:t>
      </w:r>
    </w:p>
    <w:p>
      <w:pPr>
        <w:pStyle w:val="Heading2"/>
      </w:pPr>
      <w:bookmarkStart w:id="259" w:name="_Toc209535107"/>
      <w:bookmarkStart w:id="260" w:name="_Toc209537148"/>
      <w:bookmarkStart w:id="261" w:name="_Toc209696265"/>
      <w:bookmarkStart w:id="262" w:name="_Toc209696406"/>
      <w:bookmarkStart w:id="263" w:name="_Toc209794846"/>
      <w:bookmarkStart w:id="264" w:name="_Toc183180526"/>
      <w:bookmarkStart w:id="265" w:name="_Toc183182194"/>
      <w:bookmarkStart w:id="266" w:name="_Toc183182333"/>
      <w:bookmarkStart w:id="267" w:name="_Toc183423120"/>
      <w:r>
        <w:rPr>
          <w:rStyle w:val="CharPartNo"/>
        </w:rPr>
        <w:t>Part 2</w:t>
      </w:r>
      <w:r>
        <w:rPr>
          <w:b w:val="0"/>
        </w:rPr>
        <w:t> </w:t>
      </w:r>
      <w:r>
        <w:t>—</w:t>
      </w:r>
      <w:r>
        <w:rPr>
          <w:b w:val="0"/>
        </w:rPr>
        <w:t> </w:t>
      </w:r>
      <w:r>
        <w:rPr>
          <w:rStyle w:val="CharPartText"/>
        </w:rPr>
        <w:t>Awards of personal injury damages</w:t>
      </w:r>
      <w:bookmarkEnd w:id="259"/>
      <w:bookmarkEnd w:id="260"/>
      <w:bookmarkEnd w:id="261"/>
      <w:bookmarkEnd w:id="262"/>
      <w:bookmarkEnd w:id="263"/>
      <w:bookmarkEnd w:id="264"/>
      <w:bookmarkEnd w:id="265"/>
      <w:bookmarkEnd w:id="266"/>
      <w:bookmarkEnd w:id="267"/>
    </w:p>
    <w:p>
      <w:pPr>
        <w:pStyle w:val="Footnoteheading"/>
      </w:pPr>
      <w:r>
        <w:tab/>
        <w:t>[Heading inserted: No. 58 of 2003 s. 10.]</w:t>
      </w:r>
    </w:p>
    <w:p>
      <w:pPr>
        <w:pStyle w:val="Heading3"/>
      </w:pPr>
      <w:bookmarkStart w:id="268" w:name="_Toc209535108"/>
      <w:bookmarkStart w:id="269" w:name="_Toc209537149"/>
      <w:bookmarkStart w:id="270" w:name="_Toc209696266"/>
      <w:bookmarkStart w:id="271" w:name="_Toc209696407"/>
      <w:bookmarkStart w:id="272" w:name="_Toc209794847"/>
      <w:bookmarkStart w:id="273" w:name="_Toc183180527"/>
      <w:bookmarkStart w:id="274" w:name="_Toc183182195"/>
      <w:bookmarkStart w:id="275" w:name="_Toc183182334"/>
      <w:bookmarkStart w:id="276" w:name="_Toc183423121"/>
      <w:r>
        <w:rPr>
          <w:rStyle w:val="CharDivNo"/>
        </w:rPr>
        <w:t>Division 1</w:t>
      </w:r>
      <w:r>
        <w:t xml:space="preserve"> — </w:t>
      </w:r>
      <w:r>
        <w:rPr>
          <w:rStyle w:val="CharDivText"/>
        </w:rPr>
        <w:t>Preliminary</w:t>
      </w:r>
      <w:bookmarkEnd w:id="268"/>
      <w:bookmarkEnd w:id="269"/>
      <w:bookmarkEnd w:id="270"/>
      <w:bookmarkEnd w:id="271"/>
      <w:bookmarkEnd w:id="272"/>
      <w:bookmarkEnd w:id="273"/>
      <w:bookmarkEnd w:id="274"/>
      <w:bookmarkEnd w:id="275"/>
      <w:bookmarkEnd w:id="276"/>
    </w:p>
    <w:p>
      <w:pPr>
        <w:pStyle w:val="Heading5"/>
      </w:pPr>
      <w:bookmarkStart w:id="277" w:name="_Toc209794848"/>
      <w:bookmarkStart w:id="278" w:name="_Toc183423122"/>
      <w:r>
        <w:rPr>
          <w:rStyle w:val="CharSectno"/>
        </w:rPr>
        <w:t>6</w:t>
      </w:r>
      <w:r>
        <w:t>.</w:t>
      </w:r>
      <w:r>
        <w:tab/>
        <w:t>Application of this Part</w:t>
      </w:r>
      <w:bookmarkEnd w:id="277"/>
      <w:bookmarkEnd w:id="278"/>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No. 58 of 2003 s. 11.]</w:t>
      </w:r>
    </w:p>
    <w:p>
      <w:pPr>
        <w:pStyle w:val="Heading5"/>
      </w:pPr>
      <w:bookmarkStart w:id="279" w:name="_Toc209794849"/>
      <w:bookmarkStart w:id="280" w:name="_Toc183423123"/>
      <w:r>
        <w:rPr>
          <w:rStyle w:val="CharSectno"/>
        </w:rPr>
        <w:t>7</w:t>
      </w:r>
      <w:r>
        <w:t>.</w:t>
      </w:r>
      <w:r>
        <w:tab/>
        <w:t>Court awards constrained</w:t>
      </w:r>
      <w:bookmarkEnd w:id="279"/>
      <w:bookmarkEnd w:id="280"/>
    </w:p>
    <w:p>
      <w:pPr>
        <w:pStyle w:val="Subsection"/>
      </w:pPr>
      <w:r>
        <w:tab/>
      </w:r>
      <w:r>
        <w:tab/>
        <w:t>A court cannot award damages contrary to Division 2 or 3.</w:t>
      </w:r>
    </w:p>
    <w:p>
      <w:pPr>
        <w:pStyle w:val="Heading5"/>
      </w:pPr>
      <w:bookmarkStart w:id="281" w:name="_Toc209794850"/>
      <w:bookmarkStart w:id="282" w:name="_Toc183423124"/>
      <w:r>
        <w:rPr>
          <w:rStyle w:val="CharSectno"/>
        </w:rPr>
        <w:t>8</w:t>
      </w:r>
      <w:r>
        <w:t>.</w:t>
      </w:r>
      <w:r>
        <w:tab/>
        <w:t>Act does not give rise to any cause of action</w:t>
      </w:r>
      <w:bookmarkEnd w:id="281"/>
      <w:bookmarkEnd w:id="282"/>
    </w:p>
    <w:p>
      <w:pPr>
        <w:pStyle w:val="Subsection"/>
        <w:keepNext/>
      </w:pPr>
      <w:r>
        <w:tab/>
      </w:r>
      <w:r>
        <w:tab/>
        <w:t>This Act, other than Part 2A, does not create or confer any cause of civil action for the recovery of damages in respect of an injury or death caused by the fault of a person.</w:t>
      </w:r>
    </w:p>
    <w:p>
      <w:pPr>
        <w:pStyle w:val="Footnotesection"/>
      </w:pPr>
      <w:r>
        <w:tab/>
        <w:t>[Section 8 amended: No. 3 of 2018 s. 4.]</w:t>
      </w:r>
    </w:p>
    <w:p>
      <w:pPr>
        <w:pStyle w:val="Heading3"/>
      </w:pPr>
      <w:bookmarkStart w:id="283" w:name="_Toc209535112"/>
      <w:bookmarkStart w:id="284" w:name="_Toc209537153"/>
      <w:bookmarkStart w:id="285" w:name="_Toc209696270"/>
      <w:bookmarkStart w:id="286" w:name="_Toc209696411"/>
      <w:bookmarkStart w:id="287" w:name="_Toc209794851"/>
      <w:bookmarkStart w:id="288" w:name="_Toc183180531"/>
      <w:bookmarkStart w:id="289" w:name="_Toc183182199"/>
      <w:bookmarkStart w:id="290" w:name="_Toc183182338"/>
      <w:bookmarkStart w:id="291" w:name="_Toc183423125"/>
      <w:r>
        <w:rPr>
          <w:rStyle w:val="CharDivNo"/>
        </w:rPr>
        <w:t>Division 2</w:t>
      </w:r>
      <w:r>
        <w:t> — </w:t>
      </w:r>
      <w:r>
        <w:rPr>
          <w:rStyle w:val="CharDivText"/>
        </w:rPr>
        <w:t>Damages for non</w:t>
      </w:r>
      <w:r>
        <w:rPr>
          <w:rStyle w:val="CharDivText"/>
        </w:rPr>
        <w:noBreakHyphen/>
        <w:t>pecuniary loss (general damages)</w:t>
      </w:r>
      <w:bookmarkEnd w:id="283"/>
      <w:bookmarkEnd w:id="284"/>
      <w:bookmarkEnd w:id="285"/>
      <w:bookmarkEnd w:id="286"/>
      <w:bookmarkEnd w:id="287"/>
      <w:bookmarkEnd w:id="288"/>
      <w:bookmarkEnd w:id="289"/>
      <w:bookmarkEnd w:id="290"/>
      <w:bookmarkEnd w:id="291"/>
    </w:p>
    <w:p>
      <w:pPr>
        <w:pStyle w:val="Footnoteheading"/>
      </w:pPr>
      <w:r>
        <w:tab/>
        <w:t>[Heading inserted: No. 58 of 2003 s. 12.]</w:t>
      </w:r>
    </w:p>
    <w:p>
      <w:pPr>
        <w:pStyle w:val="Heading5"/>
      </w:pPr>
      <w:bookmarkStart w:id="292" w:name="_Toc209794852"/>
      <w:bookmarkStart w:id="293" w:name="_Toc183423126"/>
      <w:r>
        <w:rPr>
          <w:rStyle w:val="CharSectno"/>
        </w:rPr>
        <w:t>9</w:t>
      </w:r>
      <w:r>
        <w:t>.</w:t>
      </w:r>
      <w:r>
        <w:tab/>
        <w:t>Restrictions on damages for non</w:t>
      </w:r>
      <w:r>
        <w:noBreakHyphen/>
        <w:t>pecuniary loss (general damages)</w:t>
      </w:r>
      <w:bookmarkEnd w:id="292"/>
      <w:bookmarkEnd w:id="293"/>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6.5pt">
            <v:imagedata r:id="rId15" o:title=""/>
          </v:shape>
        </w:pi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keepNex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294" w:name="_Toc209794853"/>
      <w:bookmarkStart w:id="295" w:name="_Toc183423127"/>
      <w:r>
        <w:rPr>
          <w:rStyle w:val="CharSectno"/>
        </w:rPr>
        <w:t>10</w:t>
      </w:r>
      <w:r>
        <w:t>.</w:t>
      </w:r>
      <w:r>
        <w:tab/>
        <w:t>Amount A and Amount C</w:t>
      </w:r>
      <w:bookmarkEnd w:id="294"/>
      <w:bookmarkEnd w:id="295"/>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296" w:name="_Toc209794854"/>
      <w:bookmarkStart w:id="297" w:name="_Toc183423128"/>
      <w:r>
        <w:rPr>
          <w:rStyle w:val="CharSectno"/>
        </w:rPr>
        <w:t>10A</w:t>
      </w:r>
      <w:r>
        <w:t>.</w:t>
      </w:r>
      <w:r>
        <w:tab/>
        <w:t>Tariffs for damages for non</w:t>
      </w:r>
      <w:r>
        <w:noBreakHyphen/>
        <w:t>pecuniary loss</w:t>
      </w:r>
      <w:bookmarkEnd w:id="296"/>
      <w:bookmarkEnd w:id="297"/>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No. 58 of 2003 s. 13.]</w:t>
      </w:r>
    </w:p>
    <w:p>
      <w:pPr>
        <w:pStyle w:val="Heading3"/>
      </w:pPr>
      <w:bookmarkStart w:id="298" w:name="_Toc209535116"/>
      <w:bookmarkStart w:id="299" w:name="_Toc209537157"/>
      <w:bookmarkStart w:id="300" w:name="_Toc209696274"/>
      <w:bookmarkStart w:id="301" w:name="_Toc209696415"/>
      <w:bookmarkStart w:id="302" w:name="_Toc209794855"/>
      <w:bookmarkStart w:id="303" w:name="_Toc183180535"/>
      <w:bookmarkStart w:id="304" w:name="_Toc183182203"/>
      <w:bookmarkStart w:id="305" w:name="_Toc183182342"/>
      <w:bookmarkStart w:id="306" w:name="_Toc183423129"/>
      <w:r>
        <w:rPr>
          <w:rStyle w:val="CharDivNo"/>
        </w:rPr>
        <w:t>Division 3</w:t>
      </w:r>
      <w:r>
        <w:t xml:space="preserve"> — </w:t>
      </w:r>
      <w:r>
        <w:rPr>
          <w:rStyle w:val="CharDivText"/>
        </w:rPr>
        <w:t>Fixing damages for pecuniary loss</w:t>
      </w:r>
      <w:bookmarkEnd w:id="298"/>
      <w:bookmarkEnd w:id="299"/>
      <w:bookmarkEnd w:id="300"/>
      <w:bookmarkEnd w:id="301"/>
      <w:bookmarkEnd w:id="302"/>
      <w:bookmarkEnd w:id="303"/>
      <w:bookmarkEnd w:id="304"/>
      <w:bookmarkEnd w:id="305"/>
      <w:bookmarkEnd w:id="306"/>
    </w:p>
    <w:p>
      <w:pPr>
        <w:pStyle w:val="Heading5"/>
      </w:pPr>
      <w:bookmarkStart w:id="307" w:name="_Toc209794856"/>
      <w:bookmarkStart w:id="308" w:name="_Toc183423130"/>
      <w:r>
        <w:rPr>
          <w:rStyle w:val="CharSectno"/>
        </w:rPr>
        <w:t>11</w:t>
      </w:r>
      <w:r>
        <w:t>.</w:t>
      </w:r>
      <w:r>
        <w:tab/>
        <w:t>Damages for loss of earnings</w:t>
      </w:r>
      <w:bookmarkEnd w:id="307"/>
      <w:bookmarkEnd w:id="308"/>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309" w:name="_Toc209794857"/>
      <w:bookmarkStart w:id="310" w:name="_Toc183423131"/>
      <w:r>
        <w:rPr>
          <w:rStyle w:val="CharSectno"/>
        </w:rPr>
        <w:t>12</w:t>
      </w:r>
      <w:r>
        <w:t>.</w:t>
      </w:r>
      <w:r>
        <w:tab/>
        <w:t>Damages for provision of home care services</w:t>
      </w:r>
      <w:bookmarkEnd w:id="309"/>
      <w:bookmarkEnd w:id="310"/>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311" w:name="_Toc209794858"/>
      <w:bookmarkStart w:id="312" w:name="_Toc183423132"/>
      <w:r>
        <w:rPr>
          <w:rStyle w:val="CharSectno"/>
        </w:rPr>
        <w:t>13</w:t>
      </w:r>
      <w:r>
        <w:t>.</w:t>
      </w:r>
      <w:r>
        <w:tab/>
        <w:t>Amount B</w:t>
      </w:r>
      <w:bookmarkEnd w:id="311"/>
      <w:bookmarkEnd w:id="312"/>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313" w:name="_Toc209794859"/>
      <w:bookmarkStart w:id="314" w:name="_Toc183423133"/>
      <w:r>
        <w:rPr>
          <w:rStyle w:val="CharSectno"/>
        </w:rPr>
        <w:t>13A</w:t>
      </w:r>
      <w:r>
        <w:t>.</w:t>
      </w:r>
      <w:r>
        <w:tab/>
        <w:t>Restrictions on damages if payments received under CISS</w:t>
      </w:r>
      <w:bookmarkEnd w:id="313"/>
      <w:bookmarkEnd w:id="314"/>
    </w:p>
    <w:p>
      <w:pPr>
        <w:pStyle w:val="Subsection"/>
      </w:pPr>
      <w:r>
        <w:tab/>
        <w:t>(1)</w:t>
      </w:r>
      <w:r>
        <w:tab/>
        <w:t xml:space="preserve">In this Act — </w:t>
      </w:r>
    </w:p>
    <w:p>
      <w:pPr>
        <w:pStyle w:val="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pPr>
        <w:pStyle w:val="Defstart"/>
      </w:pPr>
      <w:r>
        <w:tab/>
      </w:r>
      <w:r>
        <w:rPr>
          <w:rStyle w:val="CharDefText"/>
        </w:rPr>
        <w:t>interim participant</w:t>
      </w:r>
      <w:r>
        <w:t xml:space="preserve"> means a person who under the MVWA(CI) Act is an interim participant in the CISS;</w:t>
      </w:r>
    </w:p>
    <w:p>
      <w:pPr>
        <w:pStyle w:val="Defstart"/>
      </w:pPr>
      <w:r>
        <w:tab/>
      </w:r>
      <w:r>
        <w:rPr>
          <w:rStyle w:val="CharDefText"/>
        </w:rPr>
        <w:t>lifetime participant</w:t>
      </w:r>
      <w:r>
        <w:t xml:space="preserve"> means a person who under the MVWA(CI) Act is a lifetime participant in the CISS;</w:t>
      </w:r>
    </w:p>
    <w:p>
      <w:pPr>
        <w:pStyle w:val="Defstart"/>
      </w:pPr>
      <w:r>
        <w:tab/>
      </w:r>
      <w:r>
        <w:rPr>
          <w:rStyle w:val="CharDefText"/>
        </w:rPr>
        <w:t>MVWA(CI) Act</w:t>
      </w:r>
      <w:r>
        <w:t xml:space="preserve"> means the </w:t>
      </w:r>
      <w:r>
        <w:rPr>
          <w:i/>
        </w:rPr>
        <w:t>Motor Vehicle and Workplace Accidents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MVWA(CI)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MVWA(CI) Act section 3(1), it has the same meaning in this section.</w:t>
      </w:r>
    </w:p>
    <w:p>
      <w:pPr>
        <w:pStyle w:val="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or workplace injury suffered by a person if the person is a participant in the CISS in respect of the injury.</w:t>
      </w:r>
    </w:p>
    <w:p>
      <w:pPr>
        <w:pStyle w:val="Subsection"/>
      </w:pPr>
      <w:r>
        <w:tab/>
        <w:t>(5)</w:t>
      </w:r>
      <w:r>
        <w:tab/>
        <w:t>No damages can be awarded to the person in respect of any treatment, care and support needs of the person that relate to the motor vehicle injury or workplace injury and that —</w:t>
      </w:r>
    </w:p>
    <w:p>
      <w:pPr>
        <w:pStyle w:val="Indenta"/>
      </w:pPr>
      <w:r>
        <w:tab/>
        <w:t>(a)</w:t>
      </w:r>
      <w:r>
        <w:tab/>
        <w:t>have arisen during the period in respect of which the person is a participant in the CISS; or</w:t>
      </w:r>
    </w:p>
    <w:p>
      <w:pPr>
        <w:pStyle w:val="Indenta"/>
      </w:pPr>
      <w:r>
        <w:tab/>
        <w:t>(b)</w:t>
      </w:r>
      <w:r>
        <w:tab/>
        <w:t>will or may arise in future.</w:t>
      </w:r>
    </w:p>
    <w:p>
      <w:pPr>
        <w:pStyle w:val="Subsection"/>
      </w:pPr>
      <w:r>
        <w:tab/>
        <w:t>(6)</w:t>
      </w:r>
      <w:r>
        <w:tab/>
        <w:t>If the person is an interim participant, it must be assumed for the purposes of subsection (5) that the person will become a lifetime participant in respect of the injury.</w:t>
      </w:r>
    </w:p>
    <w:p>
      <w:pPr>
        <w:pStyle w:val="Subsection"/>
      </w:pPr>
      <w:r>
        <w:tab/>
        <w:t>(7)</w:t>
      </w:r>
      <w:r>
        <w:tab/>
        <w:t>Subsection (8) applies to the awarding of damages in respect of a motor vehicle injury or workplace injury suffered by a person if the person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pPr>
        <w:pStyle w:val="Subsection"/>
      </w:pPr>
      <w:r>
        <w:tab/>
        <w:t>(9)</w:t>
      </w:r>
      <w:r>
        <w:tab/>
        <w:t>Subsections (5) and (8) apply —</w:t>
      </w:r>
    </w:p>
    <w:p>
      <w:pPr>
        <w:pStyle w:val="Indenta"/>
      </w:pPr>
      <w:r>
        <w:tab/>
        <w:t>(a)</w:t>
      </w:r>
      <w:r>
        <w:tab/>
        <w:t>whether or not the treatment, care and support needs are assessed treatment, care and support needs, as defined in the MVWA(CI) Act section 3(1);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Heading3"/>
        <w:spacing w:before="180"/>
      </w:pPr>
      <w:bookmarkStart w:id="315" w:name="_Toc209535121"/>
      <w:bookmarkStart w:id="316" w:name="_Toc209537162"/>
      <w:bookmarkStart w:id="317" w:name="_Toc209696279"/>
      <w:bookmarkStart w:id="318" w:name="_Toc209696420"/>
      <w:bookmarkStart w:id="319" w:name="_Toc209794860"/>
      <w:bookmarkStart w:id="320" w:name="_Toc183180540"/>
      <w:bookmarkStart w:id="321" w:name="_Toc183182208"/>
      <w:bookmarkStart w:id="322" w:name="_Toc183182347"/>
      <w:bookmarkStart w:id="323" w:name="_Toc183423134"/>
      <w:r>
        <w:rPr>
          <w:rStyle w:val="CharDivNo"/>
        </w:rPr>
        <w:t>Division 4</w:t>
      </w:r>
      <w:r>
        <w:t> — </w:t>
      </w:r>
      <w:r>
        <w:rPr>
          <w:rStyle w:val="CharDivText"/>
        </w:rPr>
        <w:t>Structured settlements</w:t>
      </w:r>
      <w:bookmarkEnd w:id="315"/>
      <w:bookmarkEnd w:id="316"/>
      <w:bookmarkEnd w:id="317"/>
      <w:bookmarkEnd w:id="318"/>
      <w:bookmarkEnd w:id="319"/>
      <w:bookmarkEnd w:id="320"/>
      <w:bookmarkEnd w:id="321"/>
      <w:bookmarkEnd w:id="322"/>
      <w:bookmarkEnd w:id="323"/>
    </w:p>
    <w:p>
      <w:pPr>
        <w:pStyle w:val="Heading5"/>
        <w:spacing w:before="180"/>
      </w:pPr>
      <w:bookmarkStart w:id="324" w:name="_Toc209794861"/>
      <w:bookmarkStart w:id="325" w:name="_Toc183423135"/>
      <w:r>
        <w:rPr>
          <w:rStyle w:val="CharSectno"/>
        </w:rPr>
        <w:t>14</w:t>
      </w:r>
      <w:r>
        <w:t>.</w:t>
      </w:r>
      <w:r>
        <w:tab/>
        <w:t>Term used: structured settlement</w:t>
      </w:r>
      <w:bookmarkEnd w:id="324"/>
      <w:bookmarkEnd w:id="325"/>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326" w:name="_Toc209794862"/>
      <w:bookmarkStart w:id="327" w:name="_Toc183423136"/>
      <w:r>
        <w:rPr>
          <w:rStyle w:val="CharSectno"/>
        </w:rPr>
        <w:t>15</w:t>
      </w:r>
      <w:r>
        <w:t>.</w:t>
      </w:r>
      <w:r>
        <w:tab/>
        <w:t>Consent order for structured settlement</w:t>
      </w:r>
      <w:bookmarkEnd w:id="326"/>
      <w:bookmarkEnd w:id="327"/>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3"/>
      </w:pPr>
      <w:bookmarkStart w:id="328" w:name="_Toc209535124"/>
      <w:bookmarkStart w:id="329" w:name="_Toc209537165"/>
      <w:bookmarkStart w:id="330" w:name="_Toc209696282"/>
      <w:bookmarkStart w:id="331" w:name="_Toc209696423"/>
      <w:bookmarkStart w:id="332" w:name="_Toc209794863"/>
      <w:bookmarkStart w:id="333" w:name="_Toc178258504"/>
      <w:bookmarkStart w:id="334" w:name="_Toc178258576"/>
      <w:bookmarkStart w:id="335" w:name="_Toc178258688"/>
      <w:bookmarkStart w:id="336" w:name="_Toc183182211"/>
      <w:bookmarkStart w:id="337" w:name="_Toc183182350"/>
      <w:bookmarkStart w:id="338" w:name="_Toc183423137"/>
      <w:r>
        <w:rPr>
          <w:rStyle w:val="CharDivNo"/>
        </w:rPr>
        <w:t>Division 5</w:t>
      </w:r>
      <w:r>
        <w:t> — </w:t>
      </w:r>
      <w:r>
        <w:rPr>
          <w:rStyle w:val="CharDivText"/>
        </w:rPr>
        <w:t>Provisional and subsequent damages</w:t>
      </w:r>
      <w:bookmarkEnd w:id="328"/>
      <w:bookmarkEnd w:id="329"/>
      <w:bookmarkEnd w:id="330"/>
      <w:bookmarkEnd w:id="331"/>
      <w:bookmarkEnd w:id="332"/>
      <w:bookmarkEnd w:id="333"/>
      <w:bookmarkEnd w:id="334"/>
      <w:bookmarkEnd w:id="335"/>
      <w:bookmarkEnd w:id="336"/>
      <w:bookmarkEnd w:id="337"/>
      <w:bookmarkEnd w:id="338"/>
    </w:p>
    <w:p>
      <w:pPr>
        <w:pStyle w:val="Footnoteheading"/>
      </w:pPr>
      <w:r>
        <w:tab/>
        <w:t>[Heading inserted: No. 32 of 2024 s. 5.]</w:t>
      </w:r>
    </w:p>
    <w:p>
      <w:pPr>
        <w:pStyle w:val="Heading4"/>
      </w:pPr>
      <w:bookmarkStart w:id="339" w:name="_Toc209535125"/>
      <w:bookmarkStart w:id="340" w:name="_Toc209537166"/>
      <w:bookmarkStart w:id="341" w:name="_Toc209696283"/>
      <w:bookmarkStart w:id="342" w:name="_Toc209696424"/>
      <w:bookmarkStart w:id="343" w:name="_Toc209794864"/>
      <w:bookmarkStart w:id="344" w:name="_Toc178258505"/>
      <w:bookmarkStart w:id="345" w:name="_Toc178258577"/>
      <w:bookmarkStart w:id="346" w:name="_Toc178258689"/>
      <w:bookmarkStart w:id="347" w:name="_Toc183182212"/>
      <w:bookmarkStart w:id="348" w:name="_Toc183182351"/>
      <w:bookmarkStart w:id="349" w:name="_Toc183423138"/>
      <w:r>
        <w:t>Subdivision 1 — Preliminary</w:t>
      </w:r>
      <w:bookmarkEnd w:id="339"/>
      <w:bookmarkEnd w:id="340"/>
      <w:bookmarkEnd w:id="341"/>
      <w:bookmarkEnd w:id="342"/>
      <w:bookmarkEnd w:id="343"/>
      <w:bookmarkEnd w:id="344"/>
      <w:bookmarkEnd w:id="345"/>
      <w:bookmarkEnd w:id="346"/>
      <w:bookmarkEnd w:id="347"/>
      <w:bookmarkEnd w:id="348"/>
      <w:bookmarkEnd w:id="349"/>
    </w:p>
    <w:p>
      <w:pPr>
        <w:pStyle w:val="Footnoteheading"/>
      </w:pPr>
      <w:r>
        <w:tab/>
        <w:t>[Heading inserted: No. 32 of 2024 s. 5.]</w:t>
      </w:r>
    </w:p>
    <w:p>
      <w:pPr>
        <w:pStyle w:val="Heading5"/>
      </w:pPr>
      <w:bookmarkStart w:id="350" w:name="_Toc209794865"/>
      <w:bookmarkStart w:id="351" w:name="_Toc178258690"/>
      <w:bookmarkStart w:id="352" w:name="_Toc183423139"/>
      <w:r>
        <w:rPr>
          <w:rStyle w:val="CharSectno"/>
        </w:rPr>
        <w:t>15AA</w:t>
      </w:r>
      <w:r>
        <w:t>.</w:t>
      </w:r>
      <w:r>
        <w:tab/>
        <w:t>Terms used</w:t>
      </w:r>
      <w:bookmarkEnd w:id="350"/>
      <w:bookmarkEnd w:id="351"/>
      <w:bookmarkEnd w:id="352"/>
    </w:p>
    <w:p>
      <w:pPr>
        <w:pStyle w:val="Subsection"/>
      </w:pPr>
      <w:r>
        <w:tab/>
        <w:t>(1)</w:t>
      </w:r>
      <w:r>
        <w:tab/>
        <w:t xml:space="preserve">In this Division — </w:t>
      </w:r>
    </w:p>
    <w:p>
      <w:pPr>
        <w:pStyle w:val="Defstart"/>
      </w:pPr>
      <w:r>
        <w:tab/>
      </w:r>
      <w:r>
        <w:rPr>
          <w:rStyle w:val="CharDefText"/>
        </w:rPr>
        <w:t>Court</w:t>
      </w:r>
      <w:r>
        <w:t xml:space="preserve"> means the Supreme Court;</w:t>
      </w:r>
    </w:p>
    <w:p>
      <w:pPr>
        <w:pStyle w:val="Defstart"/>
      </w:pPr>
      <w:r>
        <w:tab/>
      </w:r>
      <w:r>
        <w:rPr>
          <w:rStyle w:val="CharDefText"/>
        </w:rPr>
        <w:t>dust disease</w:t>
      </w:r>
      <w:r>
        <w:t xml:space="preserve"> has the meaning given in section 15AB(1);</w:t>
      </w:r>
    </w:p>
    <w:p>
      <w:pPr>
        <w:pStyle w:val="Defstart"/>
      </w:pPr>
      <w:r>
        <w:tab/>
      </w:r>
      <w:r>
        <w:rPr>
          <w:rStyle w:val="CharDefText"/>
        </w:rPr>
        <w:t>initial action</w:t>
      </w:r>
      <w:r>
        <w:t xml:space="preserve"> has the meaning given in section 15AC(1);</w:t>
      </w:r>
    </w:p>
    <w:p>
      <w:pPr>
        <w:pStyle w:val="Defstart"/>
      </w:pPr>
      <w:r>
        <w:tab/>
      </w:r>
      <w:r>
        <w:rPr>
          <w:rStyle w:val="CharDefText"/>
        </w:rPr>
        <w:t>provisional damages</w:t>
      </w:r>
      <w:r>
        <w:t xml:space="preserve"> has the meaning given in section 15AC(1);</w:t>
      </w:r>
    </w:p>
    <w:p>
      <w:pPr>
        <w:pStyle w:val="Defstart"/>
      </w:pPr>
      <w:r>
        <w:tab/>
      </w:r>
      <w:r>
        <w:rPr>
          <w:rStyle w:val="CharDefText"/>
        </w:rPr>
        <w:t>settlement agreement</w:t>
      </w:r>
      <w:r>
        <w:t xml:space="preserve"> — </w:t>
      </w:r>
    </w:p>
    <w:p>
      <w:pPr>
        <w:pStyle w:val="Defpara"/>
      </w:pPr>
      <w:r>
        <w:tab/>
        <w:t>(a)</w:t>
      </w:r>
      <w:r>
        <w:tab/>
        <w:t>in relation to an initial action, has the meaning given in section 15AE;</w:t>
      </w:r>
    </w:p>
    <w:p>
      <w:pPr>
        <w:pStyle w:val="Defpara"/>
      </w:pPr>
      <w:r>
        <w:tab/>
        <w:t>(b)</w:t>
      </w:r>
      <w:r>
        <w:tab/>
        <w:t>in relation to a subsequent action, has the meaning given in section 15AL;</w:t>
      </w:r>
    </w:p>
    <w:p>
      <w:pPr>
        <w:pStyle w:val="Defstart"/>
      </w:pPr>
      <w:r>
        <w:tab/>
      </w:r>
      <w:r>
        <w:rPr>
          <w:rStyle w:val="CharDefText"/>
        </w:rPr>
        <w:t>subsequent action</w:t>
      </w:r>
      <w:r>
        <w:t xml:space="preserve"> has the meaning given in section 15AG(1);</w:t>
      </w:r>
    </w:p>
    <w:p>
      <w:pPr>
        <w:pStyle w:val="Defstart"/>
      </w:pPr>
      <w:r>
        <w:tab/>
      </w:r>
      <w:r>
        <w:rPr>
          <w:rStyle w:val="CharDefText"/>
        </w:rPr>
        <w:t>subsequent damages</w:t>
      </w:r>
      <w:r>
        <w:t xml:space="preserve"> has the meaning given in section 15AG(1);</w:t>
      </w:r>
    </w:p>
    <w:p>
      <w:pPr>
        <w:pStyle w:val="Defstart"/>
      </w:pPr>
      <w:r>
        <w:tab/>
      </w:r>
      <w:r>
        <w:rPr>
          <w:rStyle w:val="CharDefText"/>
        </w:rPr>
        <w:t>subsequent dust disease</w:t>
      </w:r>
      <w:r>
        <w:t xml:space="preserve"> has the meaning given in section 15AC(2)(b).</w:t>
      </w:r>
    </w:p>
    <w:p>
      <w:pPr>
        <w:pStyle w:val="Footnotesection"/>
      </w:pPr>
      <w:r>
        <w:tab/>
        <w:t>[Section 15AA inserted: No. 32 of 2024 s. 5.]</w:t>
      </w:r>
    </w:p>
    <w:p>
      <w:pPr>
        <w:pStyle w:val="Heading5"/>
      </w:pPr>
      <w:bookmarkStart w:id="353" w:name="_Toc209794866"/>
      <w:bookmarkStart w:id="354" w:name="_Toc178258691"/>
      <w:bookmarkStart w:id="355" w:name="_Toc183423140"/>
      <w:r>
        <w:rPr>
          <w:rStyle w:val="CharSectno"/>
        </w:rPr>
        <w:t>15AB</w:t>
      </w:r>
      <w:r>
        <w:t>.</w:t>
      </w:r>
      <w:r>
        <w:tab/>
        <w:t>Dust disease</w:t>
      </w:r>
      <w:bookmarkEnd w:id="353"/>
      <w:bookmarkEnd w:id="354"/>
      <w:bookmarkEnd w:id="355"/>
    </w:p>
    <w:p>
      <w:pPr>
        <w:pStyle w:val="Subsection"/>
      </w:pPr>
      <w:r>
        <w:tab/>
      </w:r>
      <w:r>
        <w:tab/>
        <w:t xml:space="preserve">A </w:t>
      </w:r>
      <w:r>
        <w:rPr>
          <w:rStyle w:val="CharDefText"/>
        </w:rPr>
        <w:t>dust disease</w:t>
      </w:r>
      <w:r>
        <w:t xml:space="preserve"> means a pathological condition that is either or both of the following — </w:t>
      </w:r>
    </w:p>
    <w:p>
      <w:pPr>
        <w:pStyle w:val="Indenta"/>
      </w:pPr>
      <w:r>
        <w:tab/>
        <w:t>(a)</w:t>
      </w:r>
      <w:r>
        <w:tab/>
        <w:t>a pathological condition of the lungs, pleura or peritoneum that has resulted from the inhalation of asbestos or silica;</w:t>
      </w:r>
    </w:p>
    <w:p>
      <w:pPr>
        <w:pStyle w:val="Indenta"/>
      </w:pPr>
      <w:r>
        <w:tab/>
        <w:t>(b)</w:t>
      </w:r>
      <w:r>
        <w:tab/>
        <w:t>a pathological condition specified in the Table (whether or not of the lungs, pleura or peritoneum) that has resulted from the inhalation of asbestos or silica.</w:t>
      </w:r>
    </w:p>
    <w:p>
      <w:pPr>
        <w:pStyle w:val="THeadingNAm"/>
        <w:keepNext w:val="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5074"/>
      </w:tblGrid>
      <w:tr>
        <w:trPr>
          <w:tblHeader/>
        </w:trPr>
        <w:tc>
          <w:tcPr>
            <w:tcW w:w="993" w:type="dxa"/>
          </w:tcPr>
          <w:p>
            <w:pPr>
              <w:pStyle w:val="TableNAm"/>
              <w:jc w:val="center"/>
              <w:rPr>
                <w:b/>
                <w:bCs/>
              </w:rPr>
            </w:pPr>
            <w:r>
              <w:rPr>
                <w:b/>
                <w:bCs/>
              </w:rPr>
              <w:t>Item</w:t>
            </w:r>
          </w:p>
        </w:tc>
        <w:tc>
          <w:tcPr>
            <w:tcW w:w="5074" w:type="dxa"/>
          </w:tcPr>
          <w:p>
            <w:pPr>
              <w:pStyle w:val="TableNAm"/>
              <w:jc w:val="center"/>
            </w:pPr>
            <w:r>
              <w:rPr>
                <w:b/>
                <w:bCs/>
              </w:rPr>
              <w:t>Disease</w:t>
            </w:r>
          </w:p>
        </w:tc>
      </w:tr>
      <w:tr>
        <w:tc>
          <w:tcPr>
            <w:tcW w:w="993" w:type="dxa"/>
          </w:tcPr>
          <w:p>
            <w:pPr>
              <w:pStyle w:val="TableNAm"/>
            </w:pPr>
            <w:r>
              <w:t>1.</w:t>
            </w:r>
          </w:p>
        </w:tc>
        <w:tc>
          <w:tcPr>
            <w:tcW w:w="5074" w:type="dxa"/>
          </w:tcPr>
          <w:p>
            <w:pPr>
              <w:pStyle w:val="TableNAm"/>
            </w:pPr>
            <w:r>
              <w:t>Asbestosis</w:t>
            </w:r>
          </w:p>
        </w:tc>
      </w:tr>
      <w:tr>
        <w:tc>
          <w:tcPr>
            <w:tcW w:w="993" w:type="dxa"/>
          </w:tcPr>
          <w:p>
            <w:pPr>
              <w:pStyle w:val="TableNAm"/>
            </w:pPr>
            <w:r>
              <w:t>2.</w:t>
            </w:r>
          </w:p>
        </w:tc>
        <w:tc>
          <w:tcPr>
            <w:tcW w:w="5074" w:type="dxa"/>
          </w:tcPr>
          <w:p>
            <w:pPr>
              <w:pStyle w:val="TableNAm"/>
            </w:pPr>
            <w:r>
              <w:t>Asbestos</w:t>
            </w:r>
            <w:r>
              <w:noBreakHyphen/>
              <w:t>induced carcinoma</w:t>
            </w:r>
          </w:p>
        </w:tc>
      </w:tr>
      <w:tr>
        <w:tc>
          <w:tcPr>
            <w:tcW w:w="993" w:type="dxa"/>
          </w:tcPr>
          <w:p>
            <w:pPr>
              <w:pStyle w:val="TableNAm"/>
            </w:pPr>
            <w:r>
              <w:t>3.</w:t>
            </w:r>
          </w:p>
        </w:tc>
        <w:tc>
          <w:tcPr>
            <w:tcW w:w="5074" w:type="dxa"/>
          </w:tcPr>
          <w:p>
            <w:pPr>
              <w:pStyle w:val="TableNAm"/>
            </w:pPr>
            <w:r>
              <w:t>Asbestos</w:t>
            </w:r>
            <w:r>
              <w:noBreakHyphen/>
              <w:t>related pleural disease</w:t>
            </w:r>
          </w:p>
        </w:tc>
      </w:tr>
      <w:tr>
        <w:tc>
          <w:tcPr>
            <w:tcW w:w="993" w:type="dxa"/>
          </w:tcPr>
          <w:p>
            <w:pPr>
              <w:pStyle w:val="TableNAm"/>
            </w:pPr>
            <w:r>
              <w:t>4.</w:t>
            </w:r>
          </w:p>
        </w:tc>
        <w:tc>
          <w:tcPr>
            <w:tcW w:w="5074" w:type="dxa"/>
          </w:tcPr>
          <w:p>
            <w:pPr>
              <w:pStyle w:val="TableNAm"/>
            </w:pPr>
            <w:r>
              <w:t>Lung cancer</w:t>
            </w:r>
          </w:p>
        </w:tc>
      </w:tr>
      <w:tr>
        <w:tc>
          <w:tcPr>
            <w:tcW w:w="993" w:type="dxa"/>
          </w:tcPr>
          <w:p>
            <w:pPr>
              <w:pStyle w:val="TableNAm"/>
            </w:pPr>
            <w:r>
              <w:t>5.</w:t>
            </w:r>
          </w:p>
        </w:tc>
        <w:tc>
          <w:tcPr>
            <w:tcW w:w="5074" w:type="dxa"/>
          </w:tcPr>
          <w:p>
            <w:pPr>
              <w:pStyle w:val="TableNAm"/>
            </w:pPr>
            <w:r>
              <w:t>Mesothelioma</w:t>
            </w:r>
          </w:p>
        </w:tc>
      </w:tr>
      <w:tr>
        <w:tc>
          <w:tcPr>
            <w:tcW w:w="993" w:type="dxa"/>
          </w:tcPr>
          <w:p>
            <w:pPr>
              <w:pStyle w:val="TableNAm"/>
            </w:pPr>
            <w:r>
              <w:t>6.</w:t>
            </w:r>
          </w:p>
        </w:tc>
        <w:tc>
          <w:tcPr>
            <w:tcW w:w="5074" w:type="dxa"/>
          </w:tcPr>
          <w:p>
            <w:pPr>
              <w:pStyle w:val="TableNAm"/>
            </w:pPr>
            <w:r>
              <w:t>Pneumoconiosis or silicosis</w:t>
            </w:r>
          </w:p>
        </w:tc>
      </w:tr>
      <w:tr>
        <w:tc>
          <w:tcPr>
            <w:tcW w:w="993" w:type="dxa"/>
          </w:tcPr>
          <w:p>
            <w:pPr>
              <w:pStyle w:val="TableNAm"/>
            </w:pPr>
            <w:r>
              <w:t>7.</w:t>
            </w:r>
          </w:p>
        </w:tc>
        <w:tc>
          <w:tcPr>
            <w:tcW w:w="5074" w:type="dxa"/>
          </w:tcPr>
          <w:p>
            <w:pPr>
              <w:pStyle w:val="TableNAm"/>
            </w:pPr>
            <w:r>
              <w:t>Silico</w:t>
            </w:r>
            <w:r>
              <w:noBreakHyphen/>
              <w:t>tuberculosis</w:t>
            </w:r>
          </w:p>
        </w:tc>
      </w:tr>
    </w:tbl>
    <w:p>
      <w:pPr>
        <w:pStyle w:val="Footnotesection"/>
      </w:pPr>
      <w:bookmarkStart w:id="356" w:name="_Toc178258508"/>
      <w:bookmarkStart w:id="357" w:name="_Toc178258580"/>
      <w:bookmarkStart w:id="358" w:name="_Toc178258692"/>
      <w:r>
        <w:tab/>
        <w:t>[Section 15AB inserted: No. 32 of 2024 s. 5.]</w:t>
      </w:r>
    </w:p>
    <w:p>
      <w:pPr>
        <w:pStyle w:val="Heading4"/>
      </w:pPr>
      <w:bookmarkStart w:id="359" w:name="_Toc209535128"/>
      <w:bookmarkStart w:id="360" w:name="_Toc209537169"/>
      <w:bookmarkStart w:id="361" w:name="_Toc209696286"/>
      <w:bookmarkStart w:id="362" w:name="_Toc209696427"/>
      <w:bookmarkStart w:id="363" w:name="_Toc209794867"/>
      <w:bookmarkStart w:id="364" w:name="_Toc183182215"/>
      <w:bookmarkStart w:id="365" w:name="_Toc183182354"/>
      <w:bookmarkStart w:id="366" w:name="_Toc183423141"/>
      <w:r>
        <w:t>Subdivision 2 — Provisional damages</w:t>
      </w:r>
      <w:bookmarkEnd w:id="359"/>
      <w:bookmarkEnd w:id="360"/>
      <w:bookmarkEnd w:id="361"/>
      <w:bookmarkEnd w:id="362"/>
      <w:bookmarkEnd w:id="363"/>
      <w:bookmarkEnd w:id="356"/>
      <w:bookmarkEnd w:id="357"/>
      <w:bookmarkEnd w:id="358"/>
      <w:bookmarkEnd w:id="364"/>
      <w:bookmarkEnd w:id="365"/>
      <w:bookmarkEnd w:id="366"/>
    </w:p>
    <w:p>
      <w:pPr>
        <w:pStyle w:val="Footnoteheading"/>
      </w:pPr>
      <w:r>
        <w:tab/>
        <w:t>[Heading inserted: No. 32 of 2024 s. 5.]</w:t>
      </w:r>
    </w:p>
    <w:p>
      <w:pPr>
        <w:pStyle w:val="Heading5"/>
      </w:pPr>
      <w:bookmarkStart w:id="367" w:name="_Toc209794868"/>
      <w:bookmarkStart w:id="368" w:name="_Toc178258693"/>
      <w:bookmarkStart w:id="369" w:name="_Toc183423142"/>
      <w:r>
        <w:rPr>
          <w:rStyle w:val="CharSectno"/>
        </w:rPr>
        <w:t>15AC</w:t>
      </w:r>
      <w:r>
        <w:t>.</w:t>
      </w:r>
      <w:r>
        <w:tab/>
        <w:t>Award of provisional damages</w:t>
      </w:r>
      <w:bookmarkEnd w:id="367"/>
      <w:bookmarkEnd w:id="368"/>
      <w:bookmarkEnd w:id="369"/>
    </w:p>
    <w:p>
      <w:pPr>
        <w:pStyle w:val="Subsection"/>
      </w:pPr>
      <w:r>
        <w:tab/>
        <w:t>(1)</w:t>
      </w:r>
      <w:r>
        <w:tab/>
        <w:t xml:space="preserve">In an action (an </w:t>
      </w:r>
      <w:r>
        <w:rPr>
          <w:rStyle w:val="CharDefText"/>
        </w:rPr>
        <w:t>initial action</w:t>
      </w:r>
      <w:r>
        <w:t>) in respect of a dust disease suffered by a plaintiff for which personal injury damages are claimed, the Court may award damages (</w:t>
      </w:r>
      <w:r>
        <w:rPr>
          <w:rStyle w:val="CharDefText"/>
        </w:rPr>
        <w:t>provisional damages</w:t>
      </w:r>
      <w:r>
        <w:t>) on a provisional basis for that dust disease.</w:t>
      </w:r>
    </w:p>
    <w:p>
      <w:pPr>
        <w:pStyle w:val="Subsection"/>
      </w:pPr>
      <w:r>
        <w:tab/>
        <w:t>(2)</w:t>
      </w:r>
      <w:r>
        <w:tab/>
        <w:t xml:space="preserve">Despite subsection (1), provisional damages can only be awarded if the initial action is commenced in the Court by an indorsed writ or a writ indorsed with a statement of claim (as the case may be) that — </w:t>
      </w:r>
    </w:p>
    <w:p>
      <w:pPr>
        <w:pStyle w:val="Indenta"/>
      </w:pPr>
      <w:r>
        <w:tab/>
        <w:t>(a)</w:t>
      </w:r>
      <w:r>
        <w:tab/>
        <w:t>nominates provisional damages as the remedy required; and</w:t>
      </w:r>
    </w:p>
    <w:p>
      <w:pPr>
        <w:pStyle w:val="Indenta"/>
      </w:pPr>
      <w:r>
        <w:tab/>
        <w:t>(b)</w:t>
      </w:r>
      <w:r>
        <w:tab/>
        <w:t xml:space="preserve">specifies another dust disease (a </w:t>
      </w:r>
      <w:r>
        <w:rPr>
          <w:rStyle w:val="CharDefText"/>
        </w:rPr>
        <w:t>subsequent dust disease</w:t>
      </w:r>
      <w:r>
        <w:t>) or more than 1 subsequent dust disease that the plaintiff may develop, wholly or partly as a result of the act or omission giving rise to the cause of action.</w:t>
      </w:r>
    </w:p>
    <w:p>
      <w:pPr>
        <w:pStyle w:val="Footnotesection"/>
      </w:pPr>
      <w:r>
        <w:tab/>
        <w:t>[Section 15AC inserted: No. 32 of 2024 s. 5.]</w:t>
      </w:r>
    </w:p>
    <w:p>
      <w:pPr>
        <w:pStyle w:val="Heading5"/>
      </w:pPr>
      <w:bookmarkStart w:id="370" w:name="_Toc209794869"/>
      <w:bookmarkStart w:id="371" w:name="_Toc178258694"/>
      <w:bookmarkStart w:id="372" w:name="_Toc183423143"/>
      <w:r>
        <w:rPr>
          <w:rStyle w:val="CharSectno"/>
        </w:rPr>
        <w:t>15AD</w:t>
      </w:r>
      <w:r>
        <w:t>.</w:t>
      </w:r>
      <w:r>
        <w:tab/>
        <w:t>Amount of provisional damages</w:t>
      </w:r>
      <w:bookmarkEnd w:id="370"/>
      <w:bookmarkEnd w:id="371"/>
      <w:bookmarkEnd w:id="372"/>
    </w:p>
    <w:p>
      <w:pPr>
        <w:pStyle w:val="Subsection"/>
      </w:pPr>
      <w:r>
        <w:tab/>
      </w:r>
      <w:r>
        <w:tab/>
        <w:t>In determining the amount of provisional damages to award to a plaintiff the Court must not assume that the plaintiff will develop a subsequent dust disease.</w:t>
      </w:r>
    </w:p>
    <w:p>
      <w:pPr>
        <w:pStyle w:val="Footnotesection"/>
      </w:pPr>
      <w:r>
        <w:tab/>
        <w:t>[Section 15AD inserted: No. 32 of 2024 s. 5.]</w:t>
      </w:r>
    </w:p>
    <w:p>
      <w:pPr>
        <w:pStyle w:val="Heading5"/>
      </w:pPr>
      <w:bookmarkStart w:id="373" w:name="_Toc209794870"/>
      <w:bookmarkStart w:id="374" w:name="_Toc178258695"/>
      <w:bookmarkStart w:id="375" w:name="_Toc183423144"/>
      <w:r>
        <w:rPr>
          <w:rStyle w:val="CharSectno"/>
        </w:rPr>
        <w:t>15AE</w:t>
      </w:r>
      <w:r>
        <w:t>.</w:t>
      </w:r>
      <w:r>
        <w:tab/>
        <w:t>Settlement agreement in initial action</w:t>
      </w:r>
      <w:bookmarkEnd w:id="373"/>
      <w:bookmarkEnd w:id="374"/>
      <w:bookmarkEnd w:id="375"/>
    </w:p>
    <w:p>
      <w:pPr>
        <w:pStyle w:val="Subsection"/>
      </w:pPr>
      <w:r>
        <w:tab/>
      </w:r>
      <w:r>
        <w:tab/>
        <w:t xml:space="preserve">An agreement (a </w:t>
      </w:r>
      <w:r>
        <w:rPr>
          <w:rStyle w:val="CharDefText"/>
        </w:rPr>
        <w:t>settlement agreement</w:t>
      </w:r>
      <w:r>
        <w:t xml:space="preserve">) effecting the settlement of an initial action must specify the following — </w:t>
      </w:r>
    </w:p>
    <w:p>
      <w:pPr>
        <w:pStyle w:val="Indenta"/>
      </w:pPr>
      <w:r>
        <w:tab/>
        <w:t>(a)</w:t>
      </w:r>
      <w:r>
        <w:tab/>
        <w:t>any subsequent dust disease that the plaintiff claims they may develop, wholly or partly as a result of the act or omission giving rise to the cause of action;</w:t>
      </w:r>
    </w:p>
    <w:p>
      <w:pPr>
        <w:pStyle w:val="Indenta"/>
      </w:pPr>
      <w:r>
        <w:tab/>
        <w:t>(b)</w:t>
      </w:r>
      <w:r>
        <w:tab/>
        <w:t xml:space="preserve">whether or not the defendant admits liability for — </w:t>
      </w:r>
    </w:p>
    <w:p>
      <w:pPr>
        <w:pStyle w:val="Indenti"/>
      </w:pPr>
      <w:r>
        <w:tab/>
        <w:t>(i)</w:t>
      </w:r>
      <w:r>
        <w:tab/>
        <w:t>the dust disease; and</w:t>
      </w:r>
    </w:p>
    <w:p>
      <w:pPr>
        <w:pStyle w:val="Indenti"/>
      </w:pPr>
      <w:r>
        <w:tab/>
        <w:t>(ii)</w:t>
      </w:r>
      <w:r>
        <w:tab/>
        <w:t>if a subsequent dust disease is specified in accordance with paragraph (a) — the subsequent dust disease;</w:t>
      </w:r>
    </w:p>
    <w:p>
      <w:pPr>
        <w:pStyle w:val="Indenta"/>
      </w:pPr>
      <w:r>
        <w:tab/>
        <w:t>(c)</w:t>
      </w:r>
      <w:r>
        <w:tab/>
        <w:t>whether or not the plaintiff is barred from commencing a subsequent action in relation to a subsequent dust disease specified in accordance with paragraph (a).</w:t>
      </w:r>
    </w:p>
    <w:p>
      <w:pPr>
        <w:pStyle w:val="Footnotesection"/>
      </w:pPr>
      <w:r>
        <w:tab/>
        <w:t>[Section 15AE inserted: No. 32 of 2024 s. 5.]</w:t>
      </w:r>
    </w:p>
    <w:p>
      <w:pPr>
        <w:pStyle w:val="Heading5"/>
      </w:pPr>
      <w:bookmarkStart w:id="376" w:name="_Toc209794871"/>
      <w:bookmarkStart w:id="377" w:name="_Toc178258696"/>
      <w:bookmarkStart w:id="378" w:name="_Toc183423145"/>
      <w:r>
        <w:rPr>
          <w:rStyle w:val="CharSectno"/>
        </w:rPr>
        <w:t>15AF</w:t>
      </w:r>
      <w:r>
        <w:t>.</w:t>
      </w:r>
      <w:r>
        <w:tab/>
        <w:t>Consequence of settlement in initial action</w:t>
      </w:r>
      <w:bookmarkEnd w:id="376"/>
      <w:bookmarkEnd w:id="377"/>
      <w:bookmarkEnd w:id="378"/>
    </w:p>
    <w:p>
      <w:pPr>
        <w:pStyle w:val="Subsection"/>
      </w:pPr>
      <w:r>
        <w:tab/>
        <w:t>(1)</w:t>
      </w:r>
      <w:r>
        <w:tab/>
        <w:t>If an initial action is disposed of in whole by a settlement agreement that specifies that the plaintiff is not barred from commencing a subsequent action in relation to at least 1 subsequent dust disease specified in the settlement agreement in accordance with section 15AE(a), the initial action must be discontinued.</w:t>
      </w:r>
    </w:p>
    <w:p>
      <w:pPr>
        <w:pStyle w:val="Subsection"/>
      </w:pPr>
      <w:r>
        <w:tab/>
        <w:t>(2)</w:t>
      </w:r>
      <w:r>
        <w:tab/>
        <w:t>If an initial action is disposed of in whole by a settlement agreement that specifies that the plaintiff is barred from commencing a subsequent action in relation to all subsequent dust diseases identified in the indorsed writ or a writ indorsed with a statement of claim (as the case may be), the initial action may be dismissed.</w:t>
      </w:r>
    </w:p>
    <w:p>
      <w:pPr>
        <w:pStyle w:val="Footnotesection"/>
      </w:pPr>
      <w:r>
        <w:tab/>
        <w:t>[Section 15AF inserted: No. 32 of 2024 s. 5.]</w:t>
      </w:r>
    </w:p>
    <w:p>
      <w:pPr>
        <w:pStyle w:val="Heading4"/>
      </w:pPr>
      <w:bookmarkStart w:id="379" w:name="_Toc209535133"/>
      <w:bookmarkStart w:id="380" w:name="_Toc209537174"/>
      <w:bookmarkStart w:id="381" w:name="_Toc209696291"/>
      <w:bookmarkStart w:id="382" w:name="_Toc209696432"/>
      <w:bookmarkStart w:id="383" w:name="_Toc209794872"/>
      <w:bookmarkStart w:id="384" w:name="_Toc178258513"/>
      <w:bookmarkStart w:id="385" w:name="_Toc178258585"/>
      <w:bookmarkStart w:id="386" w:name="_Toc178258697"/>
      <w:bookmarkStart w:id="387" w:name="_Toc183182220"/>
      <w:bookmarkStart w:id="388" w:name="_Toc183182359"/>
      <w:bookmarkStart w:id="389" w:name="_Toc183423146"/>
      <w:r>
        <w:t>Subdivision 3 — Subsequent damages</w:t>
      </w:r>
      <w:bookmarkEnd w:id="379"/>
      <w:bookmarkEnd w:id="380"/>
      <w:bookmarkEnd w:id="381"/>
      <w:bookmarkEnd w:id="382"/>
      <w:bookmarkEnd w:id="383"/>
      <w:bookmarkEnd w:id="384"/>
      <w:bookmarkEnd w:id="385"/>
      <w:bookmarkEnd w:id="386"/>
      <w:bookmarkEnd w:id="387"/>
      <w:bookmarkEnd w:id="388"/>
      <w:bookmarkEnd w:id="389"/>
    </w:p>
    <w:p>
      <w:pPr>
        <w:pStyle w:val="Footnoteheading"/>
      </w:pPr>
      <w:r>
        <w:tab/>
        <w:t>[Heading inserted: No. 32 of 2024 s. 5.]</w:t>
      </w:r>
    </w:p>
    <w:p>
      <w:pPr>
        <w:pStyle w:val="Heading5"/>
      </w:pPr>
      <w:bookmarkStart w:id="390" w:name="_Toc209794873"/>
      <w:bookmarkStart w:id="391" w:name="_Toc178258698"/>
      <w:bookmarkStart w:id="392" w:name="_Toc183423147"/>
      <w:r>
        <w:rPr>
          <w:rStyle w:val="CharSectno"/>
        </w:rPr>
        <w:t>15AG</w:t>
      </w:r>
      <w:r>
        <w:t>.</w:t>
      </w:r>
      <w:r>
        <w:tab/>
        <w:t>Award of subsequent damages</w:t>
      </w:r>
      <w:bookmarkEnd w:id="390"/>
      <w:bookmarkEnd w:id="391"/>
      <w:bookmarkEnd w:id="392"/>
    </w:p>
    <w:p>
      <w:pPr>
        <w:pStyle w:val="Subsection"/>
      </w:pPr>
      <w:r>
        <w:tab/>
        <w:t>(1)</w:t>
      </w:r>
      <w:r>
        <w:tab/>
        <w:t xml:space="preserve">In an action (a </w:t>
      </w:r>
      <w:r>
        <w:rPr>
          <w:rStyle w:val="CharDefText"/>
        </w:rPr>
        <w:t>subsequent action</w:t>
      </w:r>
      <w:r>
        <w:t>) in respect of a subsequent dust disease for which personal injury damages are claimed, the Court may award damages (</w:t>
      </w:r>
      <w:r>
        <w:rPr>
          <w:rStyle w:val="CharDefText"/>
        </w:rPr>
        <w:t>subsequent damages</w:t>
      </w:r>
      <w:r>
        <w:t>) for that subsequent dust disease.</w:t>
      </w:r>
    </w:p>
    <w:p>
      <w:pPr>
        <w:pStyle w:val="Subsection"/>
      </w:pPr>
      <w:r>
        <w:tab/>
        <w:t>(2)</w:t>
      </w:r>
      <w:r>
        <w:tab/>
        <w:t>A subsequent action must be commenced in the Court.</w:t>
      </w:r>
    </w:p>
    <w:p>
      <w:pPr>
        <w:pStyle w:val="Subsection"/>
      </w:pPr>
      <w:r>
        <w:tab/>
        <w:t>(3)</w:t>
      </w:r>
      <w:r>
        <w:tab/>
        <w:t>A subsequent action must be in respect of a subsequent dust disease specified in the indorsed writ or a writ indorsed with a statement of claim (as the case may be) that commenced the initial action.</w:t>
      </w:r>
    </w:p>
    <w:p>
      <w:pPr>
        <w:pStyle w:val="Subsection"/>
      </w:pPr>
      <w:r>
        <w:tab/>
        <w:t>(4)</w:t>
      </w:r>
      <w:r>
        <w:tab/>
        <w:t>A plaintiff may commence more than 1 subsequent action, with each subsequent action relating to a subsequent dust disease or more than 1 subsequent dust disease.</w:t>
      </w:r>
    </w:p>
    <w:p>
      <w:pPr>
        <w:pStyle w:val="Subsection"/>
      </w:pPr>
      <w:r>
        <w:tab/>
        <w:t>(5)</w:t>
      </w:r>
      <w:r>
        <w:tab/>
        <w:t>Despite subsection (4), a plaintiff cannot commence a subsequent action in relation to a subsequent dust disease that has already been the subject of a subsequent action.</w:t>
      </w:r>
    </w:p>
    <w:p>
      <w:pPr>
        <w:pStyle w:val="Subsection"/>
      </w:pPr>
      <w:r>
        <w:tab/>
        <w:t>(6)</w:t>
      </w:r>
      <w:r>
        <w:tab/>
        <w:t xml:space="preserve">A plaintiff is barred from commencing a subsequent action if — </w:t>
      </w:r>
    </w:p>
    <w:p>
      <w:pPr>
        <w:pStyle w:val="Indenta"/>
      </w:pPr>
      <w:r>
        <w:tab/>
        <w:t>(a)</w:t>
      </w:r>
      <w:r>
        <w:tab/>
        <w:t>the initial action was disposed of in whole by a settlement agreement that specifies that the plaintiff is barred from commencing a subsequent action; or</w:t>
      </w:r>
    </w:p>
    <w:p>
      <w:pPr>
        <w:pStyle w:val="Indenta"/>
      </w:pPr>
      <w:r>
        <w:tab/>
        <w:t>(b)</w:t>
      </w:r>
      <w:r>
        <w:tab/>
        <w:t>any other subsequent action was disposed of in whole by a settlement agreement that specifies that the plaintiff is barred from commencing another subsequent action.</w:t>
      </w:r>
    </w:p>
    <w:p>
      <w:pPr>
        <w:pStyle w:val="Footnotesection"/>
      </w:pPr>
      <w:r>
        <w:tab/>
        <w:t>[Section 15AG inserted: No. 32 of 2024 s. 5.]</w:t>
      </w:r>
    </w:p>
    <w:p>
      <w:pPr>
        <w:pStyle w:val="Heading5"/>
      </w:pPr>
      <w:bookmarkStart w:id="393" w:name="_Toc209794874"/>
      <w:bookmarkStart w:id="394" w:name="_Toc178258699"/>
      <w:bookmarkStart w:id="395" w:name="_Toc183423148"/>
      <w:r>
        <w:rPr>
          <w:rStyle w:val="CharSectno"/>
        </w:rPr>
        <w:t>15AH</w:t>
      </w:r>
      <w:r>
        <w:t>.</w:t>
      </w:r>
      <w:r>
        <w:tab/>
        <w:t>Court must give effect to terms of settlement agreements</w:t>
      </w:r>
      <w:bookmarkEnd w:id="393"/>
      <w:bookmarkEnd w:id="394"/>
      <w:bookmarkEnd w:id="395"/>
    </w:p>
    <w:p>
      <w:pPr>
        <w:pStyle w:val="Subsection"/>
      </w:pPr>
      <w:r>
        <w:tab/>
        <w:t>(1)</w:t>
      </w:r>
      <w:r>
        <w:tab/>
        <w:t xml:space="preserve">In this section — </w:t>
      </w:r>
    </w:p>
    <w:p>
      <w:pPr>
        <w:pStyle w:val="Defstart"/>
      </w:pPr>
      <w:r>
        <w:tab/>
      </w:r>
      <w:r>
        <w:rPr>
          <w:rStyle w:val="CharDefText"/>
        </w:rPr>
        <w:t>information</w:t>
      </w:r>
      <w:r>
        <w:t xml:space="preserve"> includes any document;</w:t>
      </w:r>
    </w:p>
    <w:p>
      <w:pPr>
        <w:pStyle w:val="Defstart"/>
      </w:pPr>
      <w:r>
        <w:tab/>
      </w:r>
      <w:r>
        <w:rPr>
          <w:rStyle w:val="CharDefText"/>
        </w:rPr>
        <w:t>non</w:t>
      </w:r>
      <w:r>
        <w:rPr>
          <w:rStyle w:val="CharDefText"/>
        </w:rPr>
        <w:noBreakHyphen/>
        <w:t>publication order</w:t>
      </w:r>
      <w:r>
        <w:t xml:space="preserve"> means an order that prohibits or restricts the publication of information (but that does not otherwise prohibit or restrict the disclosure of information);</w:t>
      </w:r>
    </w:p>
    <w:p>
      <w:pPr>
        <w:pStyle w:val="Defstart"/>
      </w:pPr>
      <w:r>
        <w:tab/>
      </w:r>
      <w:r>
        <w:rPr>
          <w:rStyle w:val="CharDefText"/>
        </w:rPr>
        <w:t>publication</w:t>
      </w:r>
      <w:r>
        <w:t>, in relation to information, means the dissemination of information to the public or a section of the public by any means, including —</w:t>
      </w:r>
    </w:p>
    <w:p>
      <w:pPr>
        <w:pStyle w:val="Defpara"/>
      </w:pPr>
      <w:r>
        <w:tab/>
        <w:t>(a)</w:t>
      </w:r>
      <w:r>
        <w:tab/>
        <w:t>in a book, newspaper, magazine or other written publication; and</w:t>
      </w:r>
    </w:p>
    <w:p>
      <w:pPr>
        <w:pStyle w:val="Defpara"/>
      </w:pPr>
      <w:r>
        <w:tab/>
        <w:t>(b)</w:t>
      </w:r>
      <w:r>
        <w:tab/>
        <w:t>by radio broadcast, television, a website, an online facility or other electronic means;</w:t>
      </w:r>
    </w:p>
    <w:p>
      <w:pPr>
        <w:pStyle w:val="Defstart"/>
      </w:pPr>
      <w:r>
        <w:tab/>
      </w:r>
      <w:r>
        <w:rPr>
          <w:rStyle w:val="CharDefText"/>
        </w:rPr>
        <w:t>suppression order</w:t>
      </w:r>
      <w:r>
        <w:t xml:space="preserve"> means an order that prohibits or restricts the disclosure of information (by publication or otherwise).</w:t>
      </w:r>
    </w:p>
    <w:p>
      <w:pPr>
        <w:pStyle w:val="Subsection"/>
      </w:pPr>
      <w:r>
        <w:tab/>
        <w:t>(2)</w:t>
      </w:r>
      <w:r>
        <w:tab/>
        <w:t xml:space="preserve">In a subsequent action the Court must consider, and if relevant give effect to, the terms of any settlement agreement entered into by the parties effecting the settlement, in whole or in part, of — </w:t>
      </w:r>
    </w:p>
    <w:p>
      <w:pPr>
        <w:pStyle w:val="Indenta"/>
      </w:pPr>
      <w:r>
        <w:tab/>
        <w:t>(a)</w:t>
      </w:r>
      <w:r>
        <w:tab/>
        <w:t>the subsequent action; or</w:t>
      </w:r>
    </w:p>
    <w:p>
      <w:pPr>
        <w:pStyle w:val="Indenta"/>
      </w:pPr>
      <w:r>
        <w:tab/>
        <w:t>(b)</w:t>
      </w:r>
      <w:r>
        <w:tab/>
        <w:t>the initial action; or</w:t>
      </w:r>
    </w:p>
    <w:p>
      <w:pPr>
        <w:pStyle w:val="Indenta"/>
      </w:pPr>
      <w:r>
        <w:tab/>
        <w:t>(c)</w:t>
      </w:r>
      <w:r>
        <w:tab/>
        <w:t>any other subsequent action.</w:t>
      </w:r>
    </w:p>
    <w:p>
      <w:pPr>
        <w:pStyle w:val="Subsection"/>
      </w:pPr>
      <w:r>
        <w:tab/>
        <w:t>(3)</w:t>
      </w:r>
      <w:r>
        <w:tab/>
        <w:t>The Court may, on its own initiative or on the application of a party to the proceedings, make a suppression order or non</w:t>
      </w:r>
      <w:r>
        <w:noBreakHyphen/>
        <w:t>publication order in relation to any terms of a settlement agreement considered under subsection (2).</w:t>
      </w:r>
    </w:p>
    <w:p>
      <w:pPr>
        <w:pStyle w:val="Subsection"/>
      </w:pPr>
      <w:r>
        <w:tab/>
        <w:t>(4)</w:t>
      </w:r>
      <w:r>
        <w:tab/>
        <w:t>The Court may only make a suppression order or non</w:t>
      </w:r>
      <w:r>
        <w:noBreakHyphen/>
        <w:t>publication order under subsection (3) if the Court considers that making the order is necessary for the proper administration of justice.</w:t>
      </w:r>
    </w:p>
    <w:p>
      <w:pPr>
        <w:pStyle w:val="Subsection"/>
      </w:pPr>
      <w:r>
        <w:tab/>
        <w:t>(5)</w:t>
      </w:r>
      <w:r>
        <w:tab/>
        <w:t>In deciding whether it is necessary to make a suppression order or non</w:t>
      </w:r>
      <w:r>
        <w:noBreakHyphen/>
        <w:t>publication order, the Court must take into account that a primary objective of the administration of justice is to safeguard the public interest in open justice.</w:t>
      </w:r>
    </w:p>
    <w:p>
      <w:pPr>
        <w:pStyle w:val="Subsection"/>
      </w:pPr>
      <w:r>
        <w:tab/>
        <w:t>(6)</w:t>
      </w:r>
      <w:r>
        <w:tab/>
        <w:t>A suppression order or non</w:t>
      </w:r>
      <w:r>
        <w:noBreakHyphen/>
        <w:t>publication order may be made subject to any exceptions or conditions as the Court thinks fit and specifies in the order.</w:t>
      </w:r>
    </w:p>
    <w:p>
      <w:pPr>
        <w:pStyle w:val="Subsection"/>
      </w:pPr>
      <w:r>
        <w:tab/>
        <w:t>(7)</w:t>
      </w:r>
      <w:r>
        <w:tab/>
        <w:t>This section does not limit or otherwise affect any powers that the Court has apart from this section to regulate its proceedings or to deal with a contempt of the Court.</w:t>
      </w:r>
    </w:p>
    <w:p>
      <w:pPr>
        <w:pStyle w:val="Footnotesection"/>
      </w:pPr>
      <w:r>
        <w:tab/>
        <w:t>[Section 15AH inserted: No. 32 of 2024 s. 5.]</w:t>
      </w:r>
    </w:p>
    <w:p>
      <w:pPr>
        <w:pStyle w:val="Heading5"/>
      </w:pPr>
      <w:bookmarkStart w:id="396" w:name="_Toc209794875"/>
      <w:bookmarkStart w:id="397" w:name="_Toc178258700"/>
      <w:bookmarkStart w:id="398" w:name="_Toc183423149"/>
      <w:r>
        <w:rPr>
          <w:rStyle w:val="CharSectno"/>
        </w:rPr>
        <w:t>15AI</w:t>
      </w:r>
      <w:r>
        <w:t>.</w:t>
      </w:r>
      <w:r>
        <w:tab/>
        <w:t>Evidence to apply in subsequent actions</w:t>
      </w:r>
      <w:bookmarkEnd w:id="396"/>
      <w:bookmarkEnd w:id="397"/>
      <w:bookmarkEnd w:id="398"/>
    </w:p>
    <w:p>
      <w:pPr>
        <w:pStyle w:val="Subsection"/>
      </w:pPr>
      <w:r>
        <w:tab/>
      </w:r>
      <w:r>
        <w:tab/>
        <w:t xml:space="preserve">In a subsequent action, the Court may — </w:t>
      </w:r>
    </w:p>
    <w:p>
      <w:pPr>
        <w:pStyle w:val="Indenta"/>
      </w:pPr>
      <w:r>
        <w:tab/>
        <w:t>(a)</w:t>
      </w:r>
      <w:r>
        <w:tab/>
        <w:t>admit into evidence any evidence admitted in the initial action or any other subsequent action; and</w:t>
      </w:r>
    </w:p>
    <w:p>
      <w:pPr>
        <w:pStyle w:val="Indenta"/>
      </w:pPr>
      <w:r>
        <w:tab/>
        <w:t>(b)</w:t>
      </w:r>
      <w:r>
        <w:tab/>
        <w:t>make a finding of fact that has been made in the initial action or any other subsequent action.</w:t>
      </w:r>
    </w:p>
    <w:p>
      <w:pPr>
        <w:pStyle w:val="Footnotesection"/>
      </w:pPr>
      <w:r>
        <w:tab/>
        <w:t>[Section 15AI inserted: No. 32 of 2024 s. 5.]</w:t>
      </w:r>
    </w:p>
    <w:p>
      <w:pPr>
        <w:pStyle w:val="Heading5"/>
      </w:pPr>
      <w:bookmarkStart w:id="399" w:name="_Toc209794876"/>
      <w:bookmarkStart w:id="400" w:name="_Toc178258701"/>
      <w:bookmarkStart w:id="401" w:name="_Toc183423150"/>
      <w:r>
        <w:rPr>
          <w:rStyle w:val="CharSectno"/>
        </w:rPr>
        <w:t>15AJ</w:t>
      </w:r>
      <w:r>
        <w:t>.</w:t>
      </w:r>
      <w:r>
        <w:tab/>
        <w:t>One award of subsequent damages for each subsequent dust disease</w:t>
      </w:r>
      <w:bookmarkEnd w:id="399"/>
      <w:bookmarkEnd w:id="400"/>
      <w:bookmarkEnd w:id="401"/>
    </w:p>
    <w:p>
      <w:pPr>
        <w:pStyle w:val="Subsection"/>
      </w:pPr>
      <w:r>
        <w:tab/>
      </w:r>
      <w:r>
        <w:tab/>
        <w:t>Only 1 award of subsequent damages can be made for each subsequent dust disease that is claimed in a subsequent action.</w:t>
      </w:r>
    </w:p>
    <w:p>
      <w:pPr>
        <w:pStyle w:val="Footnotesection"/>
      </w:pPr>
      <w:r>
        <w:tab/>
        <w:t>[Section 15AJ inserted: No. 32 of 2024 s. 5.]</w:t>
      </w:r>
    </w:p>
    <w:p>
      <w:pPr>
        <w:pStyle w:val="Heading5"/>
      </w:pPr>
      <w:bookmarkStart w:id="402" w:name="_Toc209794877"/>
      <w:bookmarkStart w:id="403" w:name="_Toc178258702"/>
      <w:bookmarkStart w:id="404" w:name="_Toc183423151"/>
      <w:r>
        <w:rPr>
          <w:rStyle w:val="CharSectno"/>
        </w:rPr>
        <w:t>15AK</w:t>
      </w:r>
      <w:r>
        <w:t>.</w:t>
      </w:r>
      <w:r>
        <w:tab/>
        <w:t>Amount of subsequent damages</w:t>
      </w:r>
      <w:bookmarkEnd w:id="402"/>
      <w:bookmarkEnd w:id="403"/>
      <w:bookmarkEnd w:id="404"/>
    </w:p>
    <w:p>
      <w:pPr>
        <w:pStyle w:val="Subsection"/>
      </w:pPr>
      <w:r>
        <w:tab/>
      </w:r>
      <w:r>
        <w:tab/>
        <w:t xml:space="preserve">In determining the amount of subsequent damages to award, the Court must take into account any amount — </w:t>
      </w:r>
    </w:p>
    <w:p>
      <w:pPr>
        <w:pStyle w:val="Indenta"/>
      </w:pPr>
      <w:r>
        <w:tab/>
        <w:t>(a)</w:t>
      </w:r>
      <w:r>
        <w:tab/>
        <w:t xml:space="preserve">awarded to the plaintiff — </w:t>
      </w:r>
    </w:p>
    <w:p>
      <w:pPr>
        <w:pStyle w:val="Indenti"/>
      </w:pPr>
      <w:r>
        <w:tab/>
        <w:t>(i)</w:t>
      </w:r>
      <w:r>
        <w:tab/>
        <w:t>in the initial action by way of provisional damages; and</w:t>
      </w:r>
    </w:p>
    <w:p>
      <w:pPr>
        <w:pStyle w:val="Indenti"/>
      </w:pPr>
      <w:r>
        <w:tab/>
        <w:t>(ii)</w:t>
      </w:r>
      <w:r>
        <w:tab/>
        <w:t>in any other subsequent action by way of subsequent damages;</w:t>
      </w:r>
    </w:p>
    <w:p>
      <w:pPr>
        <w:pStyle w:val="Indenta"/>
      </w:pPr>
      <w:r>
        <w:tab/>
      </w:r>
      <w:r>
        <w:tab/>
        <w:t>and</w:t>
      </w:r>
    </w:p>
    <w:p>
      <w:pPr>
        <w:pStyle w:val="Indenta"/>
      </w:pPr>
      <w:r>
        <w:tab/>
        <w:t>(b)</w:t>
      </w:r>
      <w:r>
        <w:tab/>
        <w:t xml:space="preserve">received by the plaintiff in settlement of — </w:t>
      </w:r>
    </w:p>
    <w:p>
      <w:pPr>
        <w:pStyle w:val="Indenti"/>
      </w:pPr>
      <w:r>
        <w:tab/>
        <w:t>(i)</w:t>
      </w:r>
      <w:r>
        <w:tab/>
        <w:t>the initial action; or</w:t>
      </w:r>
    </w:p>
    <w:p>
      <w:pPr>
        <w:pStyle w:val="Indenti"/>
      </w:pPr>
      <w:r>
        <w:tab/>
        <w:t>(ii)</w:t>
      </w:r>
      <w:r>
        <w:tab/>
        <w:t>any other subsequent action.</w:t>
      </w:r>
    </w:p>
    <w:p>
      <w:pPr>
        <w:pStyle w:val="Footnotesection"/>
      </w:pPr>
      <w:r>
        <w:tab/>
        <w:t>[Section 15AK inserted: No. 32 of 2024 s. 5.]</w:t>
      </w:r>
    </w:p>
    <w:p>
      <w:pPr>
        <w:pStyle w:val="Heading5"/>
      </w:pPr>
      <w:bookmarkStart w:id="405" w:name="_Toc209794878"/>
      <w:bookmarkStart w:id="406" w:name="_Toc178258703"/>
      <w:bookmarkStart w:id="407" w:name="_Toc183423152"/>
      <w:r>
        <w:rPr>
          <w:rStyle w:val="CharSectno"/>
        </w:rPr>
        <w:t>15AL</w:t>
      </w:r>
      <w:r>
        <w:t>.</w:t>
      </w:r>
      <w:r>
        <w:tab/>
        <w:t>Settlement agreement in subsequent action</w:t>
      </w:r>
      <w:bookmarkEnd w:id="405"/>
      <w:bookmarkEnd w:id="406"/>
      <w:bookmarkEnd w:id="407"/>
    </w:p>
    <w:p>
      <w:pPr>
        <w:pStyle w:val="Subsection"/>
      </w:pPr>
      <w:r>
        <w:tab/>
      </w:r>
      <w:r>
        <w:tab/>
        <w:t xml:space="preserve">An agreement (a </w:t>
      </w:r>
      <w:r>
        <w:rPr>
          <w:rStyle w:val="CharDefText"/>
        </w:rPr>
        <w:t>settlement agreement</w:t>
      </w:r>
      <w:r>
        <w:t xml:space="preserve">) effecting the settlement of a subsequent action must specify the following — </w:t>
      </w:r>
    </w:p>
    <w:p>
      <w:pPr>
        <w:pStyle w:val="Indenta"/>
      </w:pPr>
      <w:r>
        <w:tab/>
        <w:t>(a)</w:t>
      </w:r>
      <w:r>
        <w:tab/>
        <w:t>any other subsequent dust disease that the plaintiff claims they may develop, wholly or partly as a result of the act or omission giving rise to the cause of action;</w:t>
      </w:r>
    </w:p>
    <w:p>
      <w:pPr>
        <w:pStyle w:val="Indenta"/>
      </w:pPr>
      <w:r>
        <w:tab/>
        <w:t>(b)</w:t>
      </w:r>
      <w:r>
        <w:tab/>
        <w:t xml:space="preserve">whether or not the defendant admits liability for — </w:t>
      </w:r>
    </w:p>
    <w:p>
      <w:pPr>
        <w:pStyle w:val="Indenti"/>
      </w:pPr>
      <w:r>
        <w:tab/>
        <w:t>(i)</w:t>
      </w:r>
      <w:r>
        <w:tab/>
        <w:t>the subsequent dust disease; and</w:t>
      </w:r>
    </w:p>
    <w:p>
      <w:pPr>
        <w:pStyle w:val="Indenti"/>
      </w:pPr>
      <w:r>
        <w:tab/>
        <w:t>(ii)</w:t>
      </w:r>
      <w:r>
        <w:tab/>
        <w:t>if another subsequent dust disease is specified in accordance with paragraph (a) — that subsequent dust disease;</w:t>
      </w:r>
    </w:p>
    <w:p>
      <w:pPr>
        <w:pStyle w:val="Indenta"/>
      </w:pPr>
      <w:r>
        <w:tab/>
        <w:t>(c)</w:t>
      </w:r>
      <w:r>
        <w:tab/>
        <w:t>whether or not the plaintiff is barred from commencing another subsequent action in relation to a subsequent dust disease specified in accordance with paragraph (a).</w:t>
      </w:r>
    </w:p>
    <w:p>
      <w:pPr>
        <w:pStyle w:val="Footnotesection"/>
      </w:pPr>
      <w:r>
        <w:tab/>
        <w:t>[Section 15AL inserted: No. 32 of 2024 s. 5.]</w:t>
      </w:r>
    </w:p>
    <w:p>
      <w:pPr>
        <w:pStyle w:val="Heading5"/>
      </w:pPr>
      <w:bookmarkStart w:id="408" w:name="_Toc209794879"/>
      <w:bookmarkStart w:id="409" w:name="_Toc178258704"/>
      <w:bookmarkStart w:id="410" w:name="_Toc183423153"/>
      <w:r>
        <w:rPr>
          <w:rStyle w:val="CharSectno"/>
        </w:rPr>
        <w:t>15AM</w:t>
      </w:r>
      <w:r>
        <w:t>.</w:t>
      </w:r>
      <w:r>
        <w:tab/>
        <w:t>Consequence of settlement in subsequent action</w:t>
      </w:r>
      <w:bookmarkEnd w:id="408"/>
      <w:bookmarkEnd w:id="409"/>
      <w:bookmarkEnd w:id="410"/>
    </w:p>
    <w:p>
      <w:pPr>
        <w:pStyle w:val="Subsection"/>
      </w:pPr>
      <w:r>
        <w:tab/>
        <w:t>(1)</w:t>
      </w:r>
      <w:r>
        <w:tab/>
        <w:t>If a subsequent action is disposed of in whole by a settlement agreement that specifies that the plaintiff is not barred from commencing another subsequent action, the subsequent action must be discontinued.</w:t>
      </w:r>
    </w:p>
    <w:p>
      <w:pPr>
        <w:pStyle w:val="Subsection"/>
      </w:pPr>
      <w:r>
        <w:tab/>
        <w:t>(2)</w:t>
      </w:r>
      <w:r>
        <w:tab/>
        <w:t>If a subsequent action is disposed of in whole by a settlement agreement that specifies that the plaintiff is barred from commencing another subsequent action, the subsequent action may be dismissed.</w:t>
      </w:r>
    </w:p>
    <w:p>
      <w:pPr>
        <w:pStyle w:val="Footnotesection"/>
      </w:pPr>
      <w:r>
        <w:tab/>
        <w:t>[Section 15AM inserted: No. 32 of 2024 s. 5.]</w:t>
      </w:r>
    </w:p>
    <w:p>
      <w:pPr>
        <w:pStyle w:val="Heading5"/>
      </w:pPr>
      <w:bookmarkStart w:id="411" w:name="_Toc209794880"/>
      <w:bookmarkStart w:id="412" w:name="_Toc178258705"/>
      <w:bookmarkStart w:id="413" w:name="_Toc183423154"/>
      <w:r>
        <w:rPr>
          <w:rStyle w:val="CharSectno"/>
        </w:rPr>
        <w:t>15AN</w:t>
      </w:r>
      <w:r>
        <w:t>.</w:t>
      </w:r>
      <w:r>
        <w:tab/>
        <w:t>Costs</w:t>
      </w:r>
      <w:bookmarkEnd w:id="411"/>
      <w:bookmarkEnd w:id="412"/>
      <w:bookmarkEnd w:id="413"/>
    </w:p>
    <w:p>
      <w:pPr>
        <w:pStyle w:val="Subsection"/>
      </w:pPr>
      <w:r>
        <w:tab/>
      </w:r>
      <w:r>
        <w:tab/>
        <w:t xml:space="preserve">In determining costs in relation to a subsequent action, the Court must have regard to — </w:t>
      </w:r>
    </w:p>
    <w:p>
      <w:pPr>
        <w:pStyle w:val="Indenta"/>
      </w:pPr>
      <w:r>
        <w:tab/>
        <w:t>(a)</w:t>
      </w:r>
      <w:r>
        <w:tab/>
        <w:t xml:space="preserve">any amount of costs awarded in relation to — </w:t>
      </w:r>
    </w:p>
    <w:p>
      <w:pPr>
        <w:pStyle w:val="Indenti"/>
      </w:pPr>
      <w:r>
        <w:tab/>
        <w:t>(i)</w:t>
      </w:r>
      <w:r>
        <w:tab/>
        <w:t>the initial action; and</w:t>
      </w:r>
    </w:p>
    <w:p>
      <w:pPr>
        <w:pStyle w:val="Indenti"/>
      </w:pPr>
      <w:r>
        <w:tab/>
        <w:t>(ii)</w:t>
      </w:r>
      <w:r>
        <w:tab/>
        <w:t>any other subsequent action;</w:t>
      </w:r>
    </w:p>
    <w:p>
      <w:pPr>
        <w:pStyle w:val="Indenta"/>
      </w:pPr>
      <w:r>
        <w:tab/>
      </w:r>
      <w:r>
        <w:tab/>
        <w:t>and</w:t>
      </w:r>
    </w:p>
    <w:p>
      <w:pPr>
        <w:pStyle w:val="Indenta"/>
      </w:pPr>
      <w:r>
        <w:tab/>
        <w:t>(b)</w:t>
      </w:r>
      <w:r>
        <w:tab/>
        <w:t>if costs were awarded under paragraph (a) — whether a basis for which costs were awarded is duplicated in a basis for which costs are subsequently claimed.</w:t>
      </w:r>
    </w:p>
    <w:p>
      <w:pPr>
        <w:pStyle w:val="Footnotesection"/>
      </w:pPr>
      <w:r>
        <w:tab/>
        <w:t>[Section 15AN inserted: No. 32 of 2024 s. 5.]</w:t>
      </w:r>
    </w:p>
    <w:p>
      <w:pPr>
        <w:pStyle w:val="Heading4"/>
      </w:pPr>
      <w:bookmarkStart w:id="414" w:name="_Toc209535142"/>
      <w:bookmarkStart w:id="415" w:name="_Toc209537183"/>
      <w:bookmarkStart w:id="416" w:name="_Toc209696300"/>
      <w:bookmarkStart w:id="417" w:name="_Toc209696441"/>
      <w:bookmarkStart w:id="418" w:name="_Toc209794881"/>
      <w:bookmarkStart w:id="419" w:name="_Toc178258522"/>
      <w:bookmarkStart w:id="420" w:name="_Toc178258594"/>
      <w:bookmarkStart w:id="421" w:name="_Toc178258706"/>
      <w:bookmarkStart w:id="422" w:name="_Toc183182229"/>
      <w:bookmarkStart w:id="423" w:name="_Toc183182368"/>
      <w:bookmarkStart w:id="424" w:name="_Toc183423155"/>
      <w:r>
        <w:t>Subdivision 4 — Transitional provisions</w:t>
      </w:r>
      <w:bookmarkEnd w:id="414"/>
      <w:bookmarkEnd w:id="415"/>
      <w:bookmarkEnd w:id="416"/>
      <w:bookmarkEnd w:id="417"/>
      <w:bookmarkEnd w:id="418"/>
      <w:bookmarkEnd w:id="419"/>
      <w:bookmarkEnd w:id="420"/>
      <w:bookmarkEnd w:id="421"/>
      <w:bookmarkEnd w:id="422"/>
      <w:bookmarkEnd w:id="423"/>
      <w:bookmarkEnd w:id="424"/>
    </w:p>
    <w:p>
      <w:pPr>
        <w:pStyle w:val="Footnoteheading"/>
      </w:pPr>
      <w:r>
        <w:tab/>
        <w:t>[Heading inserted: No. 32 of 2024 s. 5.]</w:t>
      </w:r>
    </w:p>
    <w:p>
      <w:pPr>
        <w:pStyle w:val="Heading5"/>
      </w:pPr>
      <w:bookmarkStart w:id="425" w:name="_Toc209794882"/>
      <w:bookmarkStart w:id="426" w:name="_Toc178258707"/>
      <w:bookmarkStart w:id="427" w:name="_Toc183423156"/>
      <w:r>
        <w:rPr>
          <w:rStyle w:val="CharSectno"/>
        </w:rPr>
        <w:t>15AO</w:t>
      </w:r>
      <w:r>
        <w:t>.</w:t>
      </w:r>
      <w:r>
        <w:tab/>
        <w:t>Transitional provision</w:t>
      </w:r>
      <w:bookmarkEnd w:id="425"/>
      <w:bookmarkEnd w:id="426"/>
      <w:bookmarkEnd w:id="427"/>
    </w:p>
    <w:p>
      <w:pPr>
        <w:pStyle w:val="Subsection"/>
      </w:pPr>
      <w:r>
        <w:tab/>
        <w:t>(1)</w:t>
      </w:r>
      <w:r>
        <w:tab/>
        <w:t xml:space="preserve">In this section — </w:t>
      </w:r>
    </w:p>
    <w:p>
      <w:pPr>
        <w:pStyle w:val="Defstart"/>
      </w:pPr>
      <w:r>
        <w:tab/>
      </w:r>
      <w:r>
        <w:rPr>
          <w:rStyle w:val="CharDefText"/>
        </w:rPr>
        <w:t>proclamation day</w:t>
      </w:r>
      <w:r>
        <w:t xml:space="preserve"> means the day on which the </w:t>
      </w:r>
      <w:r>
        <w:rPr>
          <w:i/>
        </w:rPr>
        <w:t xml:space="preserve">Civil Liability Amendment (Provisional Damages for Dust Diseases) Act 2024 </w:t>
      </w:r>
      <w:r>
        <w:t>Part 2 comes into operation.</w:t>
      </w:r>
    </w:p>
    <w:p>
      <w:pPr>
        <w:pStyle w:val="Subsection"/>
      </w:pPr>
      <w:r>
        <w:tab/>
        <w:t>(2)</w:t>
      </w:r>
      <w:r>
        <w:tab/>
        <w:t xml:space="preserve">If an action in respect of a dust disease suffered by a plaintiff for which personal injury damages are claimed is commenced before proclamation day, the claim may be amended to specify — </w:t>
      </w:r>
    </w:p>
    <w:p>
      <w:pPr>
        <w:pStyle w:val="Indenta"/>
      </w:pPr>
      <w:r>
        <w:tab/>
        <w:t>(a)</w:t>
      </w:r>
      <w:r>
        <w:tab/>
        <w:t>that provisional damages are the remedy required; and</w:t>
      </w:r>
    </w:p>
    <w:p>
      <w:pPr>
        <w:pStyle w:val="Indenta"/>
      </w:pPr>
      <w:r>
        <w:tab/>
        <w:t>(b)</w:t>
      </w:r>
      <w:r>
        <w:tab/>
        <w:t>a subsequent dust disease or more than 1 subsequent dust disease that the plaintiff may develop, wholly or partly as a result of the act or omission giving rise to the cause of action.</w:t>
      </w:r>
    </w:p>
    <w:p>
      <w:pPr>
        <w:pStyle w:val="Subsection"/>
      </w:pPr>
      <w:r>
        <w:tab/>
        <w:t>(3)</w:t>
      </w:r>
      <w:r>
        <w:tab/>
        <w:t xml:space="preserve">Despite subsection (2), this section does not apply if, before proclamation day — </w:t>
      </w:r>
    </w:p>
    <w:p>
      <w:pPr>
        <w:pStyle w:val="Indenta"/>
      </w:pPr>
      <w:r>
        <w:tab/>
        <w:t>(a)</w:t>
      </w:r>
      <w:r>
        <w:tab/>
        <w:t xml:space="preserve">the hearing of the action has commenced; or </w:t>
      </w:r>
    </w:p>
    <w:p>
      <w:pPr>
        <w:pStyle w:val="Indenta"/>
      </w:pPr>
      <w:r>
        <w:tab/>
        <w:t>(b)</w:t>
      </w:r>
      <w:r>
        <w:tab/>
        <w:t>damages have been awarded or a settlement reached in the action.</w:t>
      </w:r>
    </w:p>
    <w:p>
      <w:pPr>
        <w:pStyle w:val="Subsection"/>
      </w:pPr>
      <w:r>
        <w:tab/>
        <w:t>(4)</w:t>
      </w:r>
      <w:r>
        <w:tab/>
        <w:t>If a claim is commenced in a court other than the Court and the claim is amended in accordance with subsection (2), a registrar of the court in which the action was commenced must transfer the action to the Court.</w:t>
      </w:r>
    </w:p>
    <w:p>
      <w:pPr>
        <w:pStyle w:val="Footnotesection"/>
      </w:pPr>
      <w:r>
        <w:tab/>
        <w:t>[Section 15AO inserted: No. 32 of 2024 s. 5.]</w:t>
      </w:r>
    </w:p>
    <w:p>
      <w:pPr>
        <w:pStyle w:val="Heading2"/>
      </w:pPr>
      <w:bookmarkStart w:id="428" w:name="_Toc209535144"/>
      <w:bookmarkStart w:id="429" w:name="_Toc209537185"/>
      <w:bookmarkStart w:id="430" w:name="_Toc209696302"/>
      <w:bookmarkStart w:id="431" w:name="_Toc209696443"/>
      <w:bookmarkStart w:id="432" w:name="_Toc209794883"/>
      <w:bookmarkStart w:id="433" w:name="_Toc183180543"/>
      <w:bookmarkStart w:id="434" w:name="_Toc183182231"/>
      <w:bookmarkStart w:id="435" w:name="_Toc183182370"/>
      <w:bookmarkStart w:id="436" w:name="_Toc183423157"/>
      <w:r>
        <w:rPr>
          <w:rStyle w:val="CharPartNo"/>
        </w:rPr>
        <w:t>Part 2A</w:t>
      </w:r>
      <w:r>
        <w:t> — </w:t>
      </w:r>
      <w:r>
        <w:rPr>
          <w:rStyle w:val="CharPartText"/>
        </w:rPr>
        <w:t>Child sexual abuse actions</w:t>
      </w:r>
      <w:bookmarkEnd w:id="428"/>
      <w:bookmarkEnd w:id="429"/>
      <w:bookmarkEnd w:id="430"/>
      <w:bookmarkEnd w:id="431"/>
      <w:bookmarkEnd w:id="432"/>
      <w:bookmarkEnd w:id="433"/>
      <w:bookmarkEnd w:id="434"/>
      <w:bookmarkEnd w:id="435"/>
      <w:bookmarkEnd w:id="436"/>
    </w:p>
    <w:p>
      <w:pPr>
        <w:pStyle w:val="Footnoteheading"/>
      </w:pPr>
      <w:r>
        <w:tab/>
        <w:t>[Heading inserted: No. 3 of 2018 s. 5.]</w:t>
      </w:r>
    </w:p>
    <w:p>
      <w:pPr>
        <w:pStyle w:val="Heading3"/>
      </w:pPr>
      <w:bookmarkStart w:id="437" w:name="_Toc209535145"/>
      <w:bookmarkStart w:id="438" w:name="_Toc209537186"/>
      <w:bookmarkStart w:id="439" w:name="_Toc209696303"/>
      <w:bookmarkStart w:id="440" w:name="_Toc209696444"/>
      <w:bookmarkStart w:id="441" w:name="_Toc209794884"/>
      <w:bookmarkStart w:id="442" w:name="_Toc183180544"/>
      <w:bookmarkStart w:id="443" w:name="_Toc183182232"/>
      <w:bookmarkStart w:id="444" w:name="_Toc183182371"/>
      <w:bookmarkStart w:id="445" w:name="_Toc183423158"/>
      <w:r>
        <w:rPr>
          <w:rStyle w:val="CharDivNo"/>
        </w:rPr>
        <w:t>Division 1</w:t>
      </w:r>
      <w:r>
        <w:t xml:space="preserve"> — </w:t>
      </w:r>
      <w:r>
        <w:rPr>
          <w:rStyle w:val="CharDivText"/>
        </w:rPr>
        <w:t>Preliminary</w:t>
      </w:r>
      <w:bookmarkEnd w:id="437"/>
      <w:bookmarkEnd w:id="438"/>
      <w:bookmarkEnd w:id="439"/>
      <w:bookmarkEnd w:id="440"/>
      <w:bookmarkEnd w:id="441"/>
      <w:bookmarkEnd w:id="442"/>
      <w:bookmarkEnd w:id="443"/>
      <w:bookmarkEnd w:id="444"/>
      <w:bookmarkEnd w:id="445"/>
    </w:p>
    <w:p>
      <w:pPr>
        <w:pStyle w:val="Footnoteheading"/>
      </w:pPr>
      <w:r>
        <w:tab/>
        <w:t>[Heading inserted: No. 3 of 2018 s. 5.]</w:t>
      </w:r>
    </w:p>
    <w:p>
      <w:pPr>
        <w:pStyle w:val="Heading5"/>
      </w:pPr>
      <w:bookmarkStart w:id="446" w:name="_Toc209794885"/>
      <w:bookmarkStart w:id="447" w:name="_Toc183423159"/>
      <w:r>
        <w:rPr>
          <w:rStyle w:val="CharSectno"/>
        </w:rPr>
        <w:t>15A</w:t>
      </w:r>
      <w:r>
        <w:t>.</w:t>
      </w:r>
      <w:r>
        <w:tab/>
        <w:t>Terms used</w:t>
      </w:r>
      <w:bookmarkEnd w:id="446"/>
      <w:bookmarkEnd w:id="447"/>
    </w:p>
    <w:p>
      <w:pPr>
        <w:pStyle w:val="Subsection"/>
      </w:pPr>
      <w:r>
        <w:tab/>
      </w:r>
      <w:r>
        <w:tab/>
        <w:t xml:space="preserve">In this Part — </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Defstart"/>
      </w:pPr>
      <w:r>
        <w:tab/>
      </w:r>
      <w:r>
        <w:rPr>
          <w:rStyle w:val="CharDefText"/>
        </w:rPr>
        <w:t>child sexual abuse</w:t>
      </w:r>
      <w:r>
        <w:t xml:space="preserve"> has the meaning given in the </w:t>
      </w:r>
      <w:r>
        <w:rPr>
          <w:i/>
        </w:rPr>
        <w:t>Limitation Act 2005</w:t>
      </w:r>
      <w:r>
        <w:t xml:space="preserve"> section 6A(1);</w:t>
      </w:r>
    </w:p>
    <w:p>
      <w:pPr>
        <w:pStyle w:val="Defstart"/>
      </w:pPr>
      <w:r>
        <w:tab/>
      </w:r>
      <w:r>
        <w:rPr>
          <w:rStyle w:val="CharDefText"/>
        </w:rPr>
        <w:t>child sexual abuse action</w:t>
      </w:r>
      <w:r>
        <w:t xml:space="preserve"> has the meaning given in the </w:t>
      </w:r>
      <w:r>
        <w:rPr>
          <w:i/>
        </w:rPr>
        <w:t>Limitation Act 2005</w:t>
      </w:r>
      <w:r>
        <w:t xml:space="preserve"> section 6A(1);</w:t>
      </w:r>
    </w:p>
    <w:p>
      <w:pPr>
        <w:pStyle w:val="Defstart"/>
      </w:pPr>
      <w:r>
        <w:tab/>
      </w:r>
      <w:r>
        <w:rPr>
          <w:rStyle w:val="CharDefText"/>
        </w:rPr>
        <w:t>child sexual abuse cause of action</w:t>
      </w:r>
      <w:r>
        <w:t xml:space="preserve"> has the meaning given in the </w:t>
      </w:r>
      <w:r>
        <w:rPr>
          <w:i/>
        </w:rPr>
        <w:t>Limitation Act 2005</w:t>
      </w:r>
      <w:r>
        <w:t xml:space="preserve"> section 6A(1);</w:t>
      </w:r>
    </w:p>
    <w:p>
      <w:pPr>
        <w:pStyle w:val="Defstart"/>
      </w:pPr>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p>
    <w:p>
      <w:pPr>
        <w:pStyle w:val="Footnotesection"/>
      </w:pPr>
      <w:r>
        <w:tab/>
        <w:t>[Section 15A inserted: No. 3 of 2018 s. 5.]</w:t>
      </w:r>
    </w:p>
    <w:p>
      <w:pPr>
        <w:pStyle w:val="Heading3"/>
      </w:pPr>
      <w:bookmarkStart w:id="448" w:name="_Toc209535147"/>
      <w:bookmarkStart w:id="449" w:name="_Toc209537188"/>
      <w:bookmarkStart w:id="450" w:name="_Toc209696305"/>
      <w:bookmarkStart w:id="451" w:name="_Toc209696446"/>
      <w:bookmarkStart w:id="452" w:name="_Toc209794886"/>
      <w:bookmarkStart w:id="453" w:name="_Toc183180546"/>
      <w:bookmarkStart w:id="454" w:name="_Toc183182234"/>
      <w:bookmarkStart w:id="455" w:name="_Toc183182373"/>
      <w:bookmarkStart w:id="456" w:name="_Toc183423160"/>
      <w:r>
        <w:rPr>
          <w:rStyle w:val="CharDivNo"/>
        </w:rPr>
        <w:t>Division 2</w:t>
      </w:r>
      <w:r>
        <w:t xml:space="preserve"> — </w:t>
      </w:r>
      <w:r>
        <w:rPr>
          <w:rStyle w:val="CharDivText"/>
        </w:rPr>
        <w:t>Liability of certain office holders and institutions, and availability of assets</w:t>
      </w:r>
      <w:bookmarkEnd w:id="448"/>
      <w:bookmarkEnd w:id="449"/>
      <w:bookmarkEnd w:id="450"/>
      <w:bookmarkEnd w:id="451"/>
      <w:bookmarkEnd w:id="452"/>
      <w:bookmarkEnd w:id="453"/>
      <w:bookmarkEnd w:id="454"/>
      <w:bookmarkEnd w:id="455"/>
      <w:bookmarkEnd w:id="456"/>
    </w:p>
    <w:p>
      <w:pPr>
        <w:pStyle w:val="Footnoteheading"/>
        <w:keepNext/>
      </w:pPr>
      <w:r>
        <w:tab/>
        <w:t>[Heading inserted: No. 3 of 2018 s. 5.]</w:t>
      </w:r>
    </w:p>
    <w:p>
      <w:pPr>
        <w:pStyle w:val="Heading5"/>
      </w:pPr>
      <w:bookmarkStart w:id="457" w:name="_Toc209794887"/>
      <w:bookmarkStart w:id="458" w:name="_Toc183423161"/>
      <w:r>
        <w:rPr>
          <w:rStyle w:val="CharSectno"/>
        </w:rPr>
        <w:t>15B</w:t>
      </w:r>
      <w:r>
        <w:t>.</w:t>
      </w:r>
      <w:r>
        <w:tab/>
        <w:t>Liability of current office holder in unincorporated institution</w:t>
      </w:r>
      <w:bookmarkEnd w:id="457"/>
      <w:bookmarkEnd w:id="458"/>
    </w:p>
    <w:p>
      <w:pPr>
        <w:pStyle w:val="Subsection"/>
        <w:keepNext/>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not incorporated; and</w:t>
      </w:r>
    </w:p>
    <w:p>
      <w:pPr>
        <w:pStyle w:val="Indenta"/>
      </w:pPr>
      <w:r>
        <w:tab/>
        <w:t>(e)</w:t>
      </w:r>
      <w:r>
        <w:tab/>
        <w:t>the office holder no longer holds the office; and</w:t>
      </w:r>
    </w:p>
    <w:p>
      <w:pPr>
        <w:pStyle w:val="Indenta"/>
      </w:pPr>
      <w:r>
        <w:tab/>
        <w:t>(f)</w:t>
      </w:r>
      <w:r>
        <w:tab/>
        <w:t>the person would be able to maintain an action on the cause of action if the office holder continued to hold the office.</w:t>
      </w:r>
    </w:p>
    <w:p>
      <w:pPr>
        <w:pStyle w:val="Subsection"/>
      </w:pPr>
      <w:r>
        <w:tab/>
        <w:t>(2)</w:t>
      </w:r>
      <w:r>
        <w:tab/>
        <w:t xml:space="preserve">An action on the cause of action referred to in subsection (1)(b) may be commenced against the current holder of the office (the </w:t>
      </w:r>
      <w:r>
        <w:rPr>
          <w:rStyle w:val="CharDefText"/>
        </w:rPr>
        <w:t>current office holder</w:t>
      </w:r>
      <w:r>
        <w:t>) in the name of the office.</w:t>
      </w:r>
    </w:p>
    <w:p>
      <w:pPr>
        <w:pStyle w:val="Subsection"/>
      </w:pPr>
      <w:r>
        <w:tab/>
        <w:t>(3)</w:t>
      </w:r>
      <w:r>
        <w:tab/>
        <w:t>Any liability that the office holder would have had in relation to the cause of action is taken to be held by the current office holder.</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15B inserted: No. 3 of 2018 s. 5.]</w:t>
      </w:r>
    </w:p>
    <w:p>
      <w:pPr>
        <w:pStyle w:val="Heading5"/>
      </w:pPr>
      <w:bookmarkStart w:id="459" w:name="_Toc209794888"/>
      <w:bookmarkStart w:id="460" w:name="_Toc183423162"/>
      <w:r>
        <w:rPr>
          <w:rStyle w:val="CharSectno"/>
        </w:rPr>
        <w:t>15C</w:t>
      </w:r>
      <w:r>
        <w:t>.</w:t>
      </w:r>
      <w:r>
        <w:tab/>
        <w:t>Assets available for judgments and settlements: office holders</w:t>
      </w:r>
      <w:bookmarkEnd w:id="459"/>
      <w:bookmarkEnd w:id="460"/>
    </w:p>
    <w:p>
      <w:pPr>
        <w:pStyle w:val="Subsection"/>
      </w:pPr>
      <w:r>
        <w:tab/>
        <w:t>(1)</w:t>
      </w:r>
      <w:r>
        <w:tab/>
        <w:t>This section applies if a holder of an office of authority in an institution has a liability under a judgment in or settlement of an action on a child sexual abuse cause of action of the type described in section 15B(1)(b).</w:t>
      </w:r>
    </w:p>
    <w:p>
      <w:pPr>
        <w:pStyle w:val="Subsection"/>
      </w:pPr>
      <w:r>
        <w:tab/>
        <w:t>(2)</w:t>
      </w:r>
      <w:r>
        <w:tab/>
        <w:t>The holder of the office may satisfy the liability out of assets held by or for the office or the institution, including assets of a trust (whether or not a charitable trust).</w:t>
      </w:r>
    </w:p>
    <w:p>
      <w:pPr>
        <w:pStyle w:val="Subsection"/>
      </w:pPr>
      <w:r>
        <w:tab/>
        <w:t>(3)</w:t>
      </w:r>
      <w:r>
        <w:tab/>
        <w:t>However, personal assets of the holder of the office cannot be used to satisfy the liability.</w:t>
      </w:r>
    </w:p>
    <w:p>
      <w:pPr>
        <w:pStyle w:val="Subsection"/>
      </w:pPr>
      <w:r>
        <w:tab/>
        <w:t>(4)</w:t>
      </w:r>
      <w:r>
        <w:tab/>
        <w:t xml:space="preserve">For the purposes of subsection (2) — </w:t>
      </w:r>
    </w:p>
    <w:p>
      <w:pPr>
        <w:pStyle w:val="Indenta"/>
      </w:pPr>
      <w:r>
        <w:tab/>
        <w:t>(a)</w:t>
      </w:r>
      <w:r>
        <w:tab/>
        <w:t>the holder of the office may realise assets held by or for the office or the institution; and</w:t>
      </w:r>
    </w:p>
    <w:p>
      <w:pPr>
        <w:pStyle w:val="Indenta"/>
      </w:pPr>
      <w:r>
        <w:tab/>
        <w:t>(b)</w:t>
      </w:r>
      <w:r>
        <w:tab/>
        <w:t>a trustee of a trust may pay an amount in satisfaction of the liability and, for that purpose, realise assets of the trust.</w:t>
      </w:r>
    </w:p>
    <w:p>
      <w:pPr>
        <w:pStyle w:val="Subsection"/>
        <w:keepNext/>
      </w:pPr>
      <w:r>
        <w:tab/>
        <w:t>(5)</w:t>
      </w:r>
      <w:r>
        <w:tab/>
        <w:t xml:space="preserve">The holder of the office and a trustee may take the actions referred to in subsections (2) and (4)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(6)</w:t>
      </w:r>
      <w:r>
        <w:tab/>
        <w:t xml:space="preserve">Subsection (3) has effect despite any written or other law, including the </w:t>
      </w:r>
      <w:r>
        <w:rPr>
          <w:i/>
        </w:rPr>
        <w:t>Civil Judgments Enforcement Act 2004</w:t>
      </w:r>
      <w:r>
        <w:t>.</w:t>
      </w:r>
    </w:p>
    <w:p>
      <w:pPr>
        <w:pStyle w:val="Subsection"/>
      </w:pPr>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15C inserted: No. 3 of 2018 s. 5.]</w:t>
      </w:r>
    </w:p>
    <w:p>
      <w:pPr>
        <w:pStyle w:val="Heading5"/>
      </w:pPr>
      <w:bookmarkStart w:id="461" w:name="_Toc209794889"/>
      <w:bookmarkStart w:id="462" w:name="_Toc183423163"/>
      <w:r>
        <w:rPr>
          <w:rStyle w:val="CharSectno"/>
        </w:rPr>
        <w:t>15D</w:t>
      </w:r>
      <w:r>
        <w:t>.</w:t>
      </w:r>
      <w:r>
        <w:tab/>
        <w:t>Liability of incorporated institution that was unincorporated at time of abuse</w:t>
      </w:r>
      <w:bookmarkEnd w:id="461"/>
      <w:bookmarkEnd w:id="462"/>
    </w:p>
    <w:p>
      <w:pPr>
        <w:pStyle w:val="Subsection"/>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keepNext/>
      </w:pPr>
      <w:r>
        <w:tab/>
        <w:t>(ii)</w:t>
      </w:r>
      <w:r>
        <w:tab/>
        <w:t>was not incorporated;</w:t>
      </w:r>
    </w:p>
    <w:p>
      <w:pPr>
        <w:pStyle w:val="Indenta"/>
      </w:pPr>
      <w:r>
        <w:tab/>
      </w:r>
      <w:r>
        <w:tab/>
        <w:t>and</w:t>
      </w:r>
    </w:p>
    <w:p>
      <w:pPr>
        <w:pStyle w:val="Indenta"/>
      </w:pPr>
      <w:r>
        <w:tab/>
        <w:t>(d)</w:t>
      </w:r>
      <w:r>
        <w:tab/>
        <w:t>the institution is currently incorporated; and</w:t>
      </w:r>
    </w:p>
    <w:p>
      <w:pPr>
        <w:pStyle w:val="Indenta"/>
      </w:pPr>
      <w:r>
        <w:tab/>
        <w:t>(e)</w:t>
      </w:r>
      <w:r>
        <w:tab/>
        <w:t>the person is able to maintain an action on the cause of action or would be able to do so if the office holder continued to hold the office.</w:t>
      </w:r>
    </w:p>
    <w:p>
      <w:pPr>
        <w:pStyle w:val="Subsection"/>
      </w:pPr>
      <w:r>
        <w:tab/>
        <w:t>(2)</w:t>
      </w:r>
      <w:r>
        <w:tab/>
        <w:t>An action on the cause of action referred to in subsection (1)(b) may be commenced against the institution.</w:t>
      </w:r>
    </w:p>
    <w:p>
      <w:pPr>
        <w:pStyle w:val="Subsection"/>
      </w:pPr>
      <w:r>
        <w:tab/>
        <w:t>(3)</w:t>
      </w:r>
      <w:r>
        <w:tab/>
        <w:t>Any liability that the office holder would have had in relation to the cause of action is taken to be held by the institution.</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15D inserted: No. 3 of 2018 s. 5.]</w:t>
      </w:r>
    </w:p>
    <w:p>
      <w:pPr>
        <w:pStyle w:val="Heading5"/>
      </w:pPr>
      <w:bookmarkStart w:id="463" w:name="_Toc209794890"/>
      <w:bookmarkStart w:id="464" w:name="_Toc183423164"/>
      <w:r>
        <w:rPr>
          <w:rStyle w:val="CharSectno"/>
        </w:rPr>
        <w:t>15E</w:t>
      </w:r>
      <w:r>
        <w:t>.</w:t>
      </w:r>
      <w:r>
        <w:tab/>
        <w:t>Assets available for judgments and settlements: institutions</w:t>
      </w:r>
      <w:bookmarkEnd w:id="463"/>
      <w:bookmarkEnd w:id="464"/>
    </w:p>
    <w:p>
      <w:pPr>
        <w:pStyle w:val="Subsection"/>
      </w:pPr>
      <w:r>
        <w:tab/>
        <w:t>(1)</w:t>
      </w:r>
      <w:r>
        <w:tab/>
        <w:t>This section applies if an institution has a liability under a judgment in or settlement of a child sexual abuse action.</w:t>
      </w:r>
    </w:p>
    <w:p>
      <w:pPr>
        <w:pStyle w:val="Subsection"/>
      </w:pPr>
      <w:r>
        <w:tab/>
        <w:t>(2)</w:t>
      </w:r>
      <w:r>
        <w:tab/>
        <w:t>The institution may satisfy the liability out of assets held by or for the institution, including assets of a trust (whether or not a charitable trust).</w:t>
      </w:r>
    </w:p>
    <w:p>
      <w:pPr>
        <w:pStyle w:val="Subsection"/>
      </w:pPr>
      <w:r>
        <w:tab/>
        <w:t>(3)</w:t>
      </w:r>
      <w:r>
        <w:tab/>
        <w:t xml:space="preserve">For the purposes of subsection (2) — </w:t>
      </w:r>
    </w:p>
    <w:p>
      <w:pPr>
        <w:pStyle w:val="Indenta"/>
      </w:pPr>
      <w:r>
        <w:tab/>
        <w:t>(a)</w:t>
      </w:r>
      <w:r>
        <w:tab/>
        <w:t>the institution may realise assets held by or for the institution; and</w:t>
      </w:r>
    </w:p>
    <w:p>
      <w:pPr>
        <w:pStyle w:val="Indenta"/>
      </w:pPr>
      <w:r>
        <w:tab/>
        <w:t>(b)</w:t>
      </w:r>
      <w:r>
        <w:tab/>
        <w:t>a trustee of a trust may pay an amount in satisfaction of the liability and, for that purpose, realise assets of the trust.</w:t>
      </w:r>
    </w:p>
    <w:p>
      <w:pPr>
        <w:pStyle w:val="Subsection"/>
      </w:pPr>
      <w:r>
        <w:tab/>
        <w:t>(4)</w:t>
      </w:r>
      <w:r>
        <w:tab/>
        <w:t xml:space="preserve">The institution or a trustee may take the actions referred to in subsections (2) and (3)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15E inserted: No. 3 of 2018 s. 5.]</w:t>
      </w:r>
    </w:p>
    <w:p>
      <w:pPr>
        <w:pStyle w:val="Heading5"/>
      </w:pPr>
      <w:bookmarkStart w:id="465" w:name="_Toc209794891"/>
      <w:bookmarkStart w:id="466" w:name="_Toc183423165"/>
      <w:r>
        <w:rPr>
          <w:rStyle w:val="CharSectno"/>
        </w:rPr>
        <w:t>15F</w:t>
      </w:r>
      <w:r>
        <w:t>.</w:t>
      </w:r>
      <w:r>
        <w:tab/>
        <w:t>Continuity of institutions: institution substantially the same</w:t>
      </w:r>
      <w:bookmarkEnd w:id="465"/>
      <w:bookmarkEnd w:id="466"/>
    </w:p>
    <w:p>
      <w:pPr>
        <w:pStyle w:val="Subsection"/>
      </w:pPr>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p>
    <w:p>
      <w:pPr>
        <w:pStyle w:val="Subsection"/>
      </w:pPr>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p>
    <w:p>
      <w:pPr>
        <w:pStyle w:val="Subsection"/>
      </w:pPr>
      <w:r>
        <w:tab/>
        <w:t>(3)</w:t>
      </w:r>
      <w:r>
        <w:tab/>
        <w:t xml:space="preserve">Subsections (1) and (2) have effect regardless of whether, after the relevant time — </w:t>
      </w:r>
    </w:p>
    <w:p>
      <w:pPr>
        <w:pStyle w:val="Indenta"/>
      </w:pPr>
      <w:r>
        <w:tab/>
        <w:t>(a)</w:t>
      </w:r>
      <w:r>
        <w:tab/>
        <w:t>the name of the institution changed;</w:t>
      </w:r>
    </w:p>
    <w:p>
      <w:pPr>
        <w:pStyle w:val="Indenta"/>
      </w:pPr>
      <w:r>
        <w:tab/>
        <w:t>(b)</w:t>
      </w:r>
      <w:r>
        <w:tab/>
        <w:t>the organisational structure of the institution changed;</w:t>
      </w:r>
    </w:p>
    <w:p>
      <w:pPr>
        <w:pStyle w:val="Indenta"/>
      </w:pPr>
      <w:r>
        <w:tab/>
        <w:t>(c)</w:t>
      </w:r>
      <w:r>
        <w:tab/>
        <w:t>the institution became incorporated;</w:t>
      </w:r>
    </w:p>
    <w:p>
      <w:pPr>
        <w:pStyle w:val="Indenta"/>
        <w:keepNext/>
      </w:pPr>
      <w:r>
        <w:tab/>
        <w:t>(d)</w:t>
      </w:r>
      <w:r>
        <w:tab/>
        <w:t>the geographic area in which the members of the institution carried out the purposes or work of the institution changed.</w:t>
      </w:r>
    </w:p>
    <w:p>
      <w:pPr>
        <w:pStyle w:val="Footnotesection"/>
      </w:pPr>
      <w:r>
        <w:tab/>
        <w:t>[Section 15F inserted: No. 3 of 2018 s. 5.]</w:t>
      </w:r>
    </w:p>
    <w:p>
      <w:pPr>
        <w:pStyle w:val="Heading5"/>
      </w:pPr>
      <w:bookmarkStart w:id="467" w:name="_Toc209794892"/>
      <w:bookmarkStart w:id="468" w:name="_Toc183423166"/>
      <w:r>
        <w:rPr>
          <w:rStyle w:val="CharSectno"/>
        </w:rPr>
        <w:t>15G</w:t>
      </w:r>
      <w:r>
        <w:t>.</w:t>
      </w:r>
      <w:r>
        <w:tab/>
        <w:t>Continuity of institutions: no institution the same or substantially the same</w:t>
      </w:r>
      <w:bookmarkEnd w:id="467"/>
      <w:bookmarkEnd w:id="468"/>
    </w:p>
    <w:p>
      <w:pPr>
        <w:pStyle w:val="Subsection"/>
      </w:pPr>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p>
    <w:p>
      <w:pPr>
        <w:pStyle w:val="Subsection"/>
      </w:pPr>
      <w:r>
        <w:tab/>
        <w:t>(2)</w:t>
      </w:r>
      <w:r>
        <w:tab/>
        <w:t xml:space="preserve">A current institution is the relevant successor of an earlier institution if — </w:t>
      </w:r>
    </w:p>
    <w:p>
      <w:pPr>
        <w:pStyle w:val="Indenta"/>
      </w:pPr>
      <w:r>
        <w:tab/>
        <w:t>(a)</w:t>
      </w:r>
      <w:r>
        <w:tab/>
        <w:t>1 of the circumstances in subsection (3) applies to the institution and the earlier institution; or</w:t>
      </w:r>
    </w:p>
    <w:p>
      <w:pPr>
        <w:pStyle w:val="Indenta"/>
      </w:pPr>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p>
    <w:p>
      <w:pPr>
        <w:pStyle w:val="Subsection"/>
      </w:pPr>
      <w:r>
        <w:tab/>
        <w:t>(3)</w:t>
      </w:r>
      <w:r>
        <w:tab/>
        <w:t xml:space="preserve">For the purposes of subsection (2)(a), the circumstances are — </w:t>
      </w:r>
    </w:p>
    <w:p>
      <w:pPr>
        <w:pStyle w:val="Indenta"/>
      </w:pPr>
      <w:r>
        <w:tab/>
        <w:t>(a)</w:t>
      </w:r>
      <w:r>
        <w:tab/>
        <w:t>some or all of the earlier institution merged into the institution;</w:t>
      </w:r>
    </w:p>
    <w:p>
      <w:pPr>
        <w:pStyle w:val="Indenta"/>
      </w:pPr>
      <w:r>
        <w:tab/>
        <w:t>(b)</w:t>
      </w:r>
      <w:r>
        <w:tab/>
        <w:t>some or all of the earlier institution merged with 1 or more other entities to form the institution;</w:t>
      </w:r>
    </w:p>
    <w:p>
      <w:pPr>
        <w:pStyle w:val="Indenta"/>
      </w:pPr>
      <w:r>
        <w:tab/>
        <w:t>(c)</w:t>
      </w:r>
      <w:r>
        <w:tab/>
        <w:t>the institution is the remainder of the earlier institution after some of the earlier institution ceased to be part of the earlier institution.</w:t>
      </w:r>
    </w:p>
    <w:p>
      <w:pPr>
        <w:pStyle w:val="Subsection"/>
        <w:keepNext/>
      </w:pPr>
      <w:r>
        <w:tab/>
        <w:t>(4)</w:t>
      </w:r>
      <w:r>
        <w:tab/>
        <w:t xml:space="preserve">For the purposes of subsection (2)(b), the circumstances are — </w:t>
      </w:r>
    </w:p>
    <w:p>
      <w:pPr>
        <w:pStyle w:val="Indenta"/>
      </w:pPr>
      <w:r>
        <w:tab/>
        <w:t>(a)</w:t>
      </w:r>
      <w:r>
        <w:tab/>
        <w:t>some or all of an earlier institution merged into an institution;</w:t>
      </w:r>
    </w:p>
    <w:p>
      <w:pPr>
        <w:pStyle w:val="Indenta"/>
      </w:pPr>
      <w:r>
        <w:tab/>
        <w:t>(b)</w:t>
      </w:r>
      <w:r>
        <w:tab/>
        <w:t>some or all of an earlier institution merged with 1 or more other entities to form an institution;</w:t>
      </w:r>
    </w:p>
    <w:p>
      <w:pPr>
        <w:pStyle w:val="Indenta"/>
      </w:pPr>
      <w:r>
        <w:tab/>
        <w:t>(c)</w:t>
      </w:r>
      <w:r>
        <w:tab/>
        <w:t>an institution is the remainder of an earlier institution after some of the earlier institution ceased to be part of the earlier institution;</w:t>
      </w:r>
    </w:p>
    <w:p>
      <w:pPr>
        <w:pStyle w:val="Indenta"/>
      </w:pPr>
      <w:r>
        <w:tab/>
        <w:t>(d)</w:t>
      </w:r>
      <w:r>
        <w:tab/>
        <w:t>an institution as it is at a particular time is substantially the same as it was at an earlier time (and section 15F(2) and (3) apply, with all necessary modifications, in determining what is substantially the same).</w:t>
      </w:r>
    </w:p>
    <w:p>
      <w:pPr>
        <w:pStyle w:val="Subsection"/>
      </w:pPr>
      <w:r>
        <w:tab/>
        <w:t>(5)</w:t>
      </w:r>
      <w:r>
        <w:tab/>
        <w:t>The Governor may, on the recommendation of the Minister, make regulations providing that, for the purposes of subsection (1), a specified current institution is the relevant successor of a specified earlier institution.</w:t>
      </w:r>
    </w:p>
    <w:p>
      <w:pPr>
        <w:pStyle w:val="Subsection"/>
      </w:pPr>
      <w:r>
        <w:tab/>
        <w:t>(6)</w:t>
      </w:r>
      <w:r>
        <w:tab/>
        <w:t xml:space="preserve">The Minister cannot make a recommendation for the purposes of subsection (5) unless satisfied that — </w:t>
      </w:r>
    </w:p>
    <w:p>
      <w:pPr>
        <w:pStyle w:val="Indenta"/>
      </w:pPr>
      <w:r>
        <w:tab/>
        <w:t>(a)</w:t>
      </w:r>
      <w:r>
        <w:tab/>
        <w:t>the current institution has some relevant connection to the earlier institution; or</w:t>
      </w:r>
    </w:p>
    <w:p>
      <w:pPr>
        <w:pStyle w:val="Indenta"/>
      </w:pPr>
      <w:r>
        <w:tab/>
        <w:t>(b)</w:t>
      </w:r>
      <w:r>
        <w:tab/>
        <w:t>the head of the current institution, as worked out under section 15H(3), has agreed to the current institution being the relevant successor of the earlier institution.</w:t>
      </w:r>
    </w:p>
    <w:p>
      <w:pPr>
        <w:pStyle w:val="Subsection"/>
      </w:pPr>
      <w:r>
        <w:tab/>
        <w:t>(7)</w:t>
      </w:r>
      <w:r>
        <w:tab/>
        <w:t xml:space="preserve">Regulations made for the purposes of subsection (5) — </w:t>
      </w:r>
    </w:p>
    <w:p>
      <w:pPr>
        <w:pStyle w:val="Indenta"/>
      </w:pPr>
      <w:r>
        <w:tab/>
        <w:t>(a)</w:t>
      </w:r>
      <w:r>
        <w:tab/>
        <w:t>prevail over subsections (2) to (4) to the extent of any inconsistency; and</w:t>
      </w:r>
    </w:p>
    <w:p>
      <w:pPr>
        <w:pStyle w:val="Indenta"/>
      </w:pPr>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p>
    <w:p>
      <w:pPr>
        <w:pStyle w:val="Footnotesection"/>
      </w:pPr>
      <w:r>
        <w:tab/>
        <w:t>[Section 15G inserted: No. 3 of 2018 s. 5.]</w:t>
      </w:r>
    </w:p>
    <w:p>
      <w:pPr>
        <w:pStyle w:val="Heading5"/>
      </w:pPr>
      <w:bookmarkStart w:id="469" w:name="_Toc209794893"/>
      <w:bookmarkStart w:id="470" w:name="_Toc183423167"/>
      <w:r>
        <w:rPr>
          <w:rStyle w:val="CharSectno"/>
        </w:rPr>
        <w:t>15H</w:t>
      </w:r>
      <w:r>
        <w:t>.</w:t>
      </w:r>
      <w:r>
        <w:tab/>
        <w:t>Continuity of offices</w:t>
      </w:r>
      <w:bookmarkEnd w:id="469"/>
      <w:bookmarkEnd w:id="470"/>
    </w:p>
    <w:p>
      <w:pPr>
        <w:pStyle w:val="Subsection"/>
      </w:pPr>
      <w:r>
        <w:tab/>
        <w:t>(1)</w:t>
      </w:r>
      <w:r>
        <w:tab/>
        <w:t>For the purposes of section 15B, it is sufficient that an office (as it is currently) is substantially the same as it was at the time when the cause of action accrued.</w:t>
      </w:r>
    </w:p>
    <w:p>
      <w:pPr>
        <w:pStyle w:val="Subsection"/>
      </w:pPr>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p>
    <w:p>
      <w:pPr>
        <w:pStyle w:val="Subsection"/>
      </w:pPr>
      <w:r>
        <w:tab/>
        <w:t>(3)</w:t>
      </w:r>
      <w:r>
        <w:tab/>
        <w:t xml:space="preserve">The head of an institution is the individual or body who or which, as a member or part of the institution — </w:t>
      </w:r>
    </w:p>
    <w:p>
      <w:pPr>
        <w:pStyle w:val="Indenta"/>
      </w:pPr>
      <w:r>
        <w:tab/>
        <w:t>(a)</w:t>
      </w:r>
      <w:r>
        <w:tab/>
        <w:t>is acknowledged by the institution as the head of the institution; or</w:t>
      </w:r>
    </w:p>
    <w:p>
      <w:pPr>
        <w:pStyle w:val="Indenta"/>
      </w:pPr>
      <w:r>
        <w:tab/>
        <w:t>(b)</w:t>
      </w:r>
      <w:r>
        <w:tab/>
        <w:t>in the absence of such an individual, body or acknowledgment — has overall responsibility for the institution.</w:t>
      </w:r>
    </w:p>
    <w:p>
      <w:pPr>
        <w:pStyle w:val="Subsection"/>
      </w:pPr>
      <w:r>
        <w:tab/>
        <w:t>(4)</w:t>
      </w:r>
      <w:r>
        <w:tab/>
        <w:t xml:space="preserve">For the purposes of subsection (2), there is continuity of the institution if the institution (as it is currently) — </w:t>
      </w:r>
    </w:p>
    <w:p>
      <w:pPr>
        <w:pStyle w:val="Indenta"/>
      </w:pPr>
      <w:r>
        <w:tab/>
        <w:t>(a)</w:t>
      </w:r>
      <w:r>
        <w:tab/>
        <w:t>is the same as it was at the time when the cause of action accrued; or</w:t>
      </w:r>
    </w:p>
    <w:p>
      <w:pPr>
        <w:pStyle w:val="Indenta"/>
      </w:pPr>
      <w:r>
        <w:tab/>
        <w:t>(b)</w:t>
      </w:r>
      <w:r>
        <w:tab/>
        <w:t>is the same institution, under section 15G, as the institution referred to in section 15B(1)(a).</w:t>
      </w:r>
    </w:p>
    <w:p>
      <w:pPr>
        <w:pStyle w:val="Footnotesection"/>
      </w:pPr>
      <w:r>
        <w:tab/>
        <w:t>[Section 15H inserted: No. 3 of 2018 s. 5.]</w:t>
      </w:r>
    </w:p>
    <w:p>
      <w:pPr>
        <w:pStyle w:val="Heading5"/>
      </w:pPr>
      <w:bookmarkStart w:id="471" w:name="_Toc209794894"/>
      <w:bookmarkStart w:id="472" w:name="_Toc183423168"/>
      <w:r>
        <w:rPr>
          <w:rStyle w:val="CharSectno"/>
        </w:rPr>
        <w:t>15I</w:t>
      </w:r>
      <w:r>
        <w:t>.</w:t>
      </w:r>
      <w:r>
        <w:tab/>
        <w:t>Accrual of certain child sexual abuse causes of action</w:t>
      </w:r>
      <w:bookmarkEnd w:id="471"/>
      <w:bookmarkEnd w:id="472"/>
    </w:p>
    <w:p>
      <w:pPr>
        <w:pStyle w:val="Subsection"/>
      </w:pPr>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p>
    <w:p>
      <w:pPr>
        <w:pStyle w:val="Footnotesection"/>
      </w:pPr>
      <w:r>
        <w:tab/>
        <w:t>[Section 15I inserted: No. 3 of 2018 s. 5.]</w:t>
      </w:r>
    </w:p>
    <w:p>
      <w:pPr>
        <w:pStyle w:val="Heading5"/>
      </w:pPr>
      <w:bookmarkStart w:id="473" w:name="_Toc209794895"/>
      <w:bookmarkStart w:id="474" w:name="_Toc183423169"/>
      <w:r>
        <w:rPr>
          <w:rStyle w:val="CharSectno"/>
        </w:rPr>
        <w:t>15J</w:t>
      </w:r>
      <w:r>
        <w:t>.</w:t>
      </w:r>
      <w:r>
        <w:tab/>
        <w:t>Displacement of Corporations legislation</w:t>
      </w:r>
      <w:bookmarkEnd w:id="473"/>
      <w:bookmarkEnd w:id="474"/>
    </w:p>
    <w:p>
      <w:pPr>
        <w:pStyle w:val="Subsection"/>
      </w:pPr>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p>
    <w:p>
      <w:pPr>
        <w:pStyle w:val="Footnotesection"/>
      </w:pPr>
      <w:r>
        <w:tab/>
        <w:t>[Section 15J inserted: No. 3 of 2018 s. 5.]</w:t>
      </w:r>
    </w:p>
    <w:p>
      <w:pPr>
        <w:pStyle w:val="Heading3"/>
      </w:pPr>
      <w:bookmarkStart w:id="475" w:name="_Toc209535157"/>
      <w:bookmarkStart w:id="476" w:name="_Toc209537198"/>
      <w:bookmarkStart w:id="477" w:name="_Toc209696315"/>
      <w:bookmarkStart w:id="478" w:name="_Toc209696456"/>
      <w:bookmarkStart w:id="479" w:name="_Toc209794896"/>
      <w:bookmarkStart w:id="480" w:name="_Toc183180556"/>
      <w:bookmarkStart w:id="481" w:name="_Toc183182244"/>
      <w:bookmarkStart w:id="482" w:name="_Toc183182383"/>
      <w:bookmarkStart w:id="483" w:name="_Toc183423170"/>
      <w:r>
        <w:rPr>
          <w:rStyle w:val="CharDivNo"/>
        </w:rPr>
        <w:t>Division 3</w:t>
      </w:r>
      <w:r>
        <w:t xml:space="preserve"> — </w:t>
      </w:r>
      <w:r>
        <w:rPr>
          <w:rStyle w:val="CharDivText"/>
        </w:rPr>
        <w:t>Prior compensation payments</w:t>
      </w:r>
      <w:bookmarkEnd w:id="475"/>
      <w:bookmarkEnd w:id="476"/>
      <w:bookmarkEnd w:id="477"/>
      <w:bookmarkEnd w:id="478"/>
      <w:bookmarkEnd w:id="479"/>
      <w:bookmarkEnd w:id="480"/>
      <w:bookmarkEnd w:id="481"/>
      <w:bookmarkEnd w:id="482"/>
      <w:bookmarkEnd w:id="483"/>
    </w:p>
    <w:p>
      <w:pPr>
        <w:pStyle w:val="Footnoteheading"/>
      </w:pPr>
      <w:r>
        <w:tab/>
        <w:t>[Heading inserted: No. 3 of 2018 s. 5.]</w:t>
      </w:r>
    </w:p>
    <w:p>
      <w:pPr>
        <w:pStyle w:val="Heading5"/>
      </w:pPr>
      <w:bookmarkStart w:id="484" w:name="_Toc209794897"/>
      <w:bookmarkStart w:id="485" w:name="_Toc183423171"/>
      <w:r>
        <w:rPr>
          <w:rStyle w:val="CharSectno"/>
        </w:rPr>
        <w:t>15K</w:t>
      </w:r>
      <w:r>
        <w:t>.</w:t>
      </w:r>
      <w:r>
        <w:tab/>
        <w:t>Prior compensation payments taken into account</w:t>
      </w:r>
      <w:bookmarkEnd w:id="484"/>
      <w:bookmarkEnd w:id="485"/>
    </w:p>
    <w:p>
      <w:pPr>
        <w:pStyle w:val="Subsection"/>
      </w:pPr>
      <w:r>
        <w:tab/>
        <w:t>(1)</w:t>
      </w:r>
      <w:r>
        <w:tab/>
        <w:t xml:space="preserve">In this section — </w:t>
      </w:r>
    </w:p>
    <w:p>
      <w:pPr>
        <w:pStyle w:val="Defstart"/>
      </w:pPr>
      <w:r>
        <w:tab/>
      </w:r>
      <w:r>
        <w:rPr>
          <w:rStyle w:val="CharDefText"/>
        </w:rPr>
        <w:t>compensation payment</w:t>
      </w:r>
      <w:r>
        <w:t xml:space="preserve">, made in respect of a person — </w:t>
      </w:r>
    </w:p>
    <w:p>
      <w:pPr>
        <w:pStyle w:val="Defpara"/>
      </w:pPr>
      <w:r>
        <w:tab/>
        <w:t>(a)</w:t>
      </w:r>
      <w:r>
        <w:tab/>
        <w:t>means a payment made in respect of the person by way of compensation or redress (including an ex gratia payment) for child sexual abuse of the person; but</w:t>
      </w:r>
    </w:p>
    <w:p>
      <w:pPr>
        <w:pStyle w:val="Defpara"/>
      </w:pPr>
      <w:r>
        <w:tab/>
        <w:t>(b)</w:t>
      </w:r>
      <w:r>
        <w:tab/>
        <w:t>does not include an amount paid under a judgment in or settlement of a child sexual abuse action.</w:t>
      </w:r>
    </w:p>
    <w:p>
      <w:pPr>
        <w:pStyle w:val="Subsection"/>
      </w:pPr>
      <w:r>
        <w:tab/>
        <w:t>(2)</w:t>
      </w:r>
      <w:r>
        <w:tab/>
        <w:t>A court, in making an award of damages in a child sexual abuse action in respect of a person, must deduct an amount equal to the amount of any compensation payment made in respect of the person for the child sexual abuse the subject of the action.</w:t>
      </w:r>
    </w:p>
    <w:p>
      <w:pPr>
        <w:pStyle w:val="Subsection"/>
      </w:pPr>
      <w:r>
        <w:tab/>
        <w:t>(3)</w:t>
      </w:r>
      <w:r>
        <w:tab/>
        <w:t>The court must do so only to the extent to which the compensation payment is for that child sexual abuse.</w:t>
      </w:r>
    </w:p>
    <w:p>
      <w:pPr>
        <w:pStyle w:val="Subsection"/>
      </w:pPr>
      <w:r>
        <w:tab/>
        <w:t>(4)</w:t>
      </w:r>
      <w:r>
        <w:tab/>
        <w:t>If the court is not satisfied as to the extent to which the compensation payment is for that child sexual abuse, the court must deduct an amount equal to 50% of the payment.</w:t>
      </w:r>
    </w:p>
    <w:p>
      <w:pPr>
        <w:pStyle w:val="Subsection"/>
        <w:keepNext/>
      </w:pPr>
      <w:r>
        <w:tab/>
        <w:t>(5)</w:t>
      </w:r>
      <w:r>
        <w:tab/>
        <w:t>This section does not limit a court’s power, in making an award of damages in a child sexual abuse action in respect of a person, to take into account an amount paid under a judgment in or settlement of a previous child sexual abuse action in respect of the person.</w:t>
      </w:r>
    </w:p>
    <w:p>
      <w:pPr>
        <w:pStyle w:val="Footnotesection"/>
      </w:pPr>
      <w:r>
        <w:tab/>
        <w:t>[Section 15K inserted: No. 3 of 2018 s. 5.]</w:t>
      </w:r>
    </w:p>
    <w:p>
      <w:pPr>
        <w:pStyle w:val="Heading3"/>
      </w:pPr>
      <w:bookmarkStart w:id="486" w:name="_Toc209535159"/>
      <w:bookmarkStart w:id="487" w:name="_Toc209537200"/>
      <w:bookmarkStart w:id="488" w:name="_Toc209696317"/>
      <w:bookmarkStart w:id="489" w:name="_Toc209696458"/>
      <w:bookmarkStart w:id="490" w:name="_Toc209794898"/>
      <w:bookmarkStart w:id="491" w:name="_Toc183180558"/>
      <w:bookmarkStart w:id="492" w:name="_Toc183182246"/>
      <w:bookmarkStart w:id="493" w:name="_Toc183182385"/>
      <w:bookmarkStart w:id="494" w:name="_Toc183423172"/>
      <w:r>
        <w:rPr>
          <w:rStyle w:val="CharDivNo"/>
        </w:rPr>
        <w:t>Division 4</w:t>
      </w:r>
      <w:r>
        <w:t> — </w:t>
      </w:r>
      <w:r>
        <w:rPr>
          <w:rStyle w:val="CharDivText"/>
        </w:rPr>
        <w:t>Caps on legal fees</w:t>
      </w:r>
      <w:bookmarkEnd w:id="486"/>
      <w:bookmarkEnd w:id="487"/>
      <w:bookmarkEnd w:id="488"/>
      <w:bookmarkEnd w:id="489"/>
      <w:bookmarkEnd w:id="490"/>
      <w:bookmarkEnd w:id="491"/>
      <w:bookmarkEnd w:id="492"/>
      <w:bookmarkEnd w:id="493"/>
      <w:bookmarkEnd w:id="494"/>
    </w:p>
    <w:p>
      <w:pPr>
        <w:pStyle w:val="Footnoteheading"/>
        <w:keepNext/>
      </w:pPr>
      <w:r>
        <w:tab/>
        <w:t>[Heading inserted: No. 3 of 2018 s. 5.]</w:t>
      </w:r>
    </w:p>
    <w:p>
      <w:pPr>
        <w:pStyle w:val="Heading5"/>
      </w:pPr>
      <w:bookmarkStart w:id="495" w:name="_Toc209794899"/>
      <w:bookmarkStart w:id="496" w:name="_Toc183423173"/>
      <w:r>
        <w:rPr>
          <w:rStyle w:val="CharSectno"/>
        </w:rPr>
        <w:t>15L</w:t>
      </w:r>
      <w:r>
        <w:t>.</w:t>
      </w:r>
      <w:r>
        <w:tab/>
        <w:t>Caps on legal fees</w:t>
      </w:r>
      <w:bookmarkEnd w:id="495"/>
      <w:bookmarkEnd w:id="496"/>
    </w:p>
    <w:p>
      <w:pPr>
        <w:pStyle w:val="Subsection"/>
      </w:pPr>
      <w:r>
        <w:tab/>
        <w:t>(1)</w:t>
      </w:r>
      <w:r>
        <w:tab/>
        <w:t xml:space="preserve">In this section — </w:t>
      </w: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Defstart"/>
      </w:pPr>
      <w:r>
        <w:tab/>
      </w:r>
      <w:r>
        <w:rPr>
          <w:rStyle w:val="CharDefText"/>
        </w:rPr>
        <w:t>law practice</w:t>
      </w:r>
      <w:r>
        <w:t xml:space="preserve"> has the meaning given in the </w:t>
      </w:r>
      <w:r>
        <w:rPr>
          <w:i/>
        </w:rPr>
        <w:t>Legal Profession Uniform Law (WA)</w:t>
      </w:r>
      <w:r>
        <w:t xml:space="preserve"> section 6(1).</w:t>
      </w:r>
    </w:p>
    <w:p>
      <w:pPr>
        <w:pStyle w:val="Subsection"/>
      </w:pPr>
      <w:r>
        <w:tab/>
        <w:t>(2)</w:t>
      </w:r>
      <w:r>
        <w:tab/>
        <w:t>An agreement must not be made for a law practice to receive, for appearing for or acting on behalf of a person in a child sexual abuse action, any greater reward than is provided for by any costs determination that is in force.</w:t>
      </w:r>
    </w:p>
    <w:p>
      <w:pPr>
        <w:pStyle w:val="Subsection"/>
      </w:pPr>
      <w:r>
        <w:tab/>
        <w:t>(3)</w:t>
      </w:r>
      <w:r>
        <w:tab/>
        <w:t xml:space="preserve">An agreement is void, and any money paid under the agreement is recoverable by the person who paid the money, if the agreement — </w:t>
      </w:r>
    </w:p>
    <w:p>
      <w:pPr>
        <w:pStyle w:val="Indenta"/>
      </w:pPr>
      <w:r>
        <w:tab/>
        <w:t>(a)</w:t>
      </w:r>
      <w:r>
        <w:tab/>
        <w:t>is made contrary to this section; or</w:t>
      </w:r>
    </w:p>
    <w:p>
      <w:pPr>
        <w:pStyle w:val="Indenta"/>
      </w:pPr>
      <w:r>
        <w:tab/>
        <w:t>(b)</w:t>
      </w:r>
      <w:r>
        <w:tab/>
        <w:t xml:space="preserve">would have been contrary to this section if it had been made after the commencement of the </w:t>
      </w:r>
      <w:r>
        <w:rPr>
          <w:i/>
        </w:rPr>
        <w:t xml:space="preserve">Civil Liability Legislation Amendment (Child Sexual Abuse Actions) Act 2018 </w:t>
      </w:r>
      <w:r>
        <w:t>section 5.</w:t>
      </w:r>
    </w:p>
    <w:p>
      <w:pPr>
        <w:pStyle w:val="Subsection"/>
        <w:keepNext/>
      </w:pPr>
      <w:r>
        <w:tab/>
        <w:t>(4)</w:t>
      </w:r>
      <w:r>
        <w:tab/>
        <w:t xml:space="preserve">Subsection (3) does not affect the operation of an agreement so far as it relates to services provided before the commencement of the </w:t>
      </w:r>
      <w:r>
        <w:rPr>
          <w:i/>
        </w:rPr>
        <w:t xml:space="preserve">Civil Liability Legislation Amendment (Child Sexual Abuse Actions) Act 2018 </w:t>
      </w:r>
      <w:r>
        <w:t>section 5 and does not apply in relation to any money paid or payable in respect of services so provided.</w:t>
      </w:r>
    </w:p>
    <w:p>
      <w:pPr>
        <w:pStyle w:val="Footnotesection"/>
      </w:pPr>
      <w:r>
        <w:tab/>
        <w:t>[Section 15L inserted: No. 3 of 2018 s. 5; amended: No. 9 of 2022 s. 338.]</w:t>
      </w:r>
    </w:p>
    <w:p>
      <w:pPr>
        <w:pStyle w:val="Heading3"/>
      </w:pPr>
      <w:bookmarkStart w:id="497" w:name="_Toc209535161"/>
      <w:bookmarkStart w:id="498" w:name="_Toc209537202"/>
      <w:bookmarkStart w:id="499" w:name="_Toc209696319"/>
      <w:bookmarkStart w:id="500" w:name="_Toc209696460"/>
      <w:bookmarkStart w:id="501" w:name="_Toc209794900"/>
      <w:bookmarkStart w:id="502" w:name="_Toc183180560"/>
      <w:bookmarkStart w:id="503" w:name="_Toc183182248"/>
      <w:bookmarkStart w:id="504" w:name="_Toc183182387"/>
      <w:bookmarkStart w:id="505" w:name="_Toc183423174"/>
      <w:r>
        <w:rPr>
          <w:rStyle w:val="CharDivNo"/>
        </w:rPr>
        <w:t>Division 5</w:t>
      </w:r>
      <w:r>
        <w:t> — </w:t>
      </w:r>
      <w:r>
        <w:rPr>
          <w:rStyle w:val="CharDivText"/>
        </w:rPr>
        <w:t>Review of Part 2A</w:t>
      </w:r>
      <w:bookmarkEnd w:id="497"/>
      <w:bookmarkEnd w:id="498"/>
      <w:bookmarkEnd w:id="499"/>
      <w:bookmarkEnd w:id="500"/>
      <w:bookmarkEnd w:id="501"/>
      <w:bookmarkEnd w:id="502"/>
      <w:bookmarkEnd w:id="503"/>
      <w:bookmarkEnd w:id="504"/>
      <w:bookmarkEnd w:id="505"/>
    </w:p>
    <w:p>
      <w:pPr>
        <w:pStyle w:val="Footnoteheading"/>
        <w:keepNext/>
      </w:pPr>
      <w:r>
        <w:tab/>
        <w:t>[Heading inserted: No. 3 of 2018 s. 5.]</w:t>
      </w:r>
    </w:p>
    <w:p>
      <w:pPr>
        <w:pStyle w:val="Heading5"/>
      </w:pPr>
      <w:bookmarkStart w:id="506" w:name="_Toc209794901"/>
      <w:bookmarkStart w:id="507" w:name="_Toc183423175"/>
      <w:r>
        <w:rPr>
          <w:rStyle w:val="CharSectno"/>
        </w:rPr>
        <w:t>15M</w:t>
      </w:r>
      <w:r>
        <w:t>.</w:t>
      </w:r>
      <w:r>
        <w:tab/>
        <w:t>Review of Part</w:t>
      </w:r>
      <w:bookmarkEnd w:id="506"/>
      <w:bookmarkEnd w:id="507"/>
    </w:p>
    <w:p>
      <w:pPr>
        <w:pStyle w:val="Subsection"/>
      </w:pPr>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15M inserted: No. 3 of 2018 s. 5.]</w:t>
      </w:r>
    </w:p>
    <w:p>
      <w:pPr>
        <w:pStyle w:val="Heading2"/>
      </w:pPr>
      <w:bookmarkStart w:id="508" w:name="_Toc209535163"/>
      <w:bookmarkStart w:id="509" w:name="_Toc209537204"/>
      <w:bookmarkStart w:id="510" w:name="_Toc209696321"/>
      <w:bookmarkStart w:id="511" w:name="_Toc209696462"/>
      <w:bookmarkStart w:id="512" w:name="_Toc209794902"/>
      <w:bookmarkStart w:id="513" w:name="_Toc183180562"/>
      <w:bookmarkStart w:id="514" w:name="_Toc183182250"/>
      <w:bookmarkStart w:id="515" w:name="_Toc183182389"/>
      <w:bookmarkStart w:id="516" w:name="_Toc183423176"/>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508"/>
      <w:bookmarkEnd w:id="509"/>
      <w:bookmarkEnd w:id="510"/>
      <w:bookmarkEnd w:id="511"/>
      <w:bookmarkEnd w:id="512"/>
      <w:bookmarkEnd w:id="513"/>
      <w:bookmarkEnd w:id="514"/>
      <w:bookmarkEnd w:id="515"/>
      <w:bookmarkEnd w:id="516"/>
    </w:p>
    <w:p>
      <w:pPr>
        <w:pStyle w:val="Heading5"/>
      </w:pPr>
      <w:bookmarkStart w:id="517" w:name="_Toc209794903"/>
      <w:bookmarkStart w:id="518" w:name="_Toc183423177"/>
      <w:r>
        <w:rPr>
          <w:rStyle w:val="CharSectno"/>
        </w:rPr>
        <w:t>16</w:t>
      </w:r>
      <w:r>
        <w:t>.</w:t>
      </w:r>
      <w:r>
        <w:tab/>
        <w:t>Terms used</w:t>
      </w:r>
      <w:bookmarkEnd w:id="517"/>
      <w:bookmarkEnd w:id="518"/>
    </w:p>
    <w:p>
      <w:pPr>
        <w:pStyle w:val="Subsection"/>
      </w:pPr>
      <w:r>
        <w:tab/>
      </w:r>
      <w:r>
        <w:tab/>
        <w:t xml:space="preserve">In this Part, unless the contrary intention appears — </w:t>
      </w:r>
    </w:p>
    <w:p>
      <w:pPr>
        <w:pStyle w:val="Defstart"/>
      </w:pPr>
      <w:r>
        <w:tab/>
      </w:r>
      <w:r>
        <w:rPr>
          <w:rStyle w:val="CharDefText"/>
        </w:rPr>
        <w:t>client</w:t>
      </w:r>
      <w:r>
        <w:t>, of a lawyer, includes a person who makes a genuine inquiry of a lawyer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rPr>
        <w:t>Legal Profession Uniform Law (WA)</w:t>
      </w:r>
      <w:r>
        <w:t xml:space="preserve"> section 6(1);</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keepNex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No. 65 of 2003 s. 19(2); No. 21 of 2008 s. 646(2); No. 9 of 2022 s. 339.]</w:t>
      </w:r>
    </w:p>
    <w:p>
      <w:pPr>
        <w:pStyle w:val="Heading5"/>
      </w:pPr>
      <w:bookmarkStart w:id="519" w:name="_Toc209794904"/>
      <w:bookmarkStart w:id="520" w:name="_Toc183423178"/>
      <w:r>
        <w:rPr>
          <w:rStyle w:val="CharSectno"/>
        </w:rPr>
        <w:t>17</w:t>
      </w:r>
      <w:r>
        <w:t>.</w:t>
      </w:r>
      <w:r>
        <w:tab/>
        <w:t>Restriction on advertising legal services relating to personal injury</w:t>
      </w:r>
      <w:bookmarkEnd w:id="519"/>
      <w:bookmarkEnd w:id="520"/>
    </w:p>
    <w:p>
      <w:pPr>
        <w:pStyle w:val="Subsection"/>
      </w:pPr>
      <w:r>
        <w:tab/>
        <w:t>(1)</w:t>
      </w:r>
      <w:r>
        <w:tab/>
        <w:t xml:space="preserve">A lawyer or a person acting for a lawyer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lawyer, or another named lawyer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lawyer or a person acting for a lawyer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lawyer or in a costs agreement made in accordance with the </w:t>
      </w:r>
      <w:r>
        <w:rPr>
          <w:i/>
        </w:rPr>
        <w:t>Legal Profession Uniform Law (WA)</w:t>
      </w:r>
      <w:r>
        <w:t xml:space="preserve"> Part 4.3 Division 4; or</w:t>
      </w:r>
    </w:p>
    <w:p>
      <w:pPr>
        <w:pStyle w:val="Indenti"/>
      </w:pPr>
      <w:r>
        <w:tab/>
        <w:t>(ii)</w:t>
      </w:r>
      <w:r>
        <w:tab/>
        <w:t>to a person at the lawyer’s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lawyer’s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lawyer is prepared to provide personal injury services.</w:t>
      </w:r>
    </w:p>
    <w:p>
      <w:pPr>
        <w:pStyle w:val="Subsection"/>
      </w:pPr>
      <w:r>
        <w:tab/>
        <w:t>(3)</w:t>
      </w:r>
      <w:r>
        <w:tab/>
        <w:t>The liability of a lawyer who contravenes subsection (1) to the penalty provided under that subsection does not prevent the lawyer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No. 65 of 2003 s. 19(3); No. 21 of 2008 s. 646(3) and (4); No. 9 of 2022 s. 340 and 341.]</w:t>
      </w:r>
    </w:p>
    <w:p>
      <w:pPr>
        <w:pStyle w:val="Heading5"/>
        <w:keepNext w:val="0"/>
        <w:keepLines w:val="0"/>
        <w:widowControl w:val="0"/>
      </w:pPr>
      <w:bookmarkStart w:id="521" w:name="_Toc209794905"/>
      <w:bookmarkStart w:id="522" w:name="_Toc183423179"/>
      <w:r>
        <w:rPr>
          <w:rStyle w:val="CharSectno"/>
        </w:rPr>
        <w:t>18</w:t>
      </w:r>
      <w:r>
        <w:t>.</w:t>
      </w:r>
      <w:r>
        <w:tab/>
        <w:t>Allowed publication</w:t>
      </w:r>
      <w:bookmarkEnd w:id="521"/>
      <w:bookmarkEnd w:id="522"/>
    </w:p>
    <w:p>
      <w:pPr>
        <w:pStyle w:val="Subsection"/>
      </w:pPr>
      <w:r>
        <w:tab/>
        <w:t>(1)</w:t>
      </w:r>
      <w:r>
        <w:tab/>
        <w:t xml:space="preserve">Except as stated in subsection (3), the publication of a statement that states only the name of a lawyer or a law practice and the contact details of the lawyer or law practice, with or without information as to any area of practice, speciality, or accreditation, of the lawyer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lawyer; or</w:t>
      </w:r>
    </w:p>
    <w:p>
      <w:pPr>
        <w:pStyle w:val="Indenta"/>
      </w:pPr>
      <w:r>
        <w:tab/>
        <w:t>(c)</w:t>
      </w:r>
      <w:r>
        <w:tab/>
        <w:t>part of the publication on an internet website of the contents of a directory or database that is published or maintained independently of a lawyer;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lawyer only if — </w:t>
      </w:r>
    </w:p>
    <w:p>
      <w:pPr>
        <w:pStyle w:val="Indenta"/>
      </w:pPr>
      <w:r>
        <w:tab/>
        <w:t>(a)</w:t>
      </w:r>
      <w:r>
        <w:tab/>
        <w:t>it is not published or maintained by the lawyer or by a partner, employee or member of the lawyer’s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No. 21 of 2008 s. 646(5); No. 9 of 2022 s. 341.]</w:t>
      </w:r>
    </w:p>
    <w:p>
      <w:pPr>
        <w:pStyle w:val="Heading5"/>
      </w:pPr>
      <w:bookmarkStart w:id="523" w:name="_Toc209794906"/>
      <w:bookmarkStart w:id="524" w:name="_Toc183423180"/>
      <w:r>
        <w:rPr>
          <w:rStyle w:val="CharSectno"/>
        </w:rPr>
        <w:t>19</w:t>
      </w:r>
      <w:r>
        <w:t>.</w:t>
      </w:r>
      <w:r>
        <w:tab/>
        <w:t>Prohibition on touting at scene of incidents or at any time</w:t>
      </w:r>
      <w:bookmarkEnd w:id="523"/>
      <w:bookmarkEnd w:id="524"/>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keepNext/>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lawyer or law practice; or</w:t>
      </w:r>
    </w:p>
    <w:p>
      <w:pPr>
        <w:pStyle w:val="Indenta"/>
      </w:pPr>
      <w:r>
        <w:tab/>
        <w:t>(b)</w:t>
      </w:r>
      <w:r>
        <w:tab/>
        <w:t>an employee or agent of the lawyer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lawyers or law practices; or</w:t>
      </w:r>
    </w:p>
    <w:p>
      <w:pPr>
        <w:pStyle w:val="Indenta"/>
      </w:pPr>
      <w:r>
        <w:tab/>
        <w:t>(b)</w:t>
      </w:r>
      <w:r>
        <w:tab/>
        <w:t>the information is given on behalf of an association in order to help a person to make use of an arrangement that the association has, as a service to its members, made with a particular lawyer or law practice.</w:t>
      </w:r>
    </w:p>
    <w:p>
      <w:pPr>
        <w:pStyle w:val="Subsection"/>
      </w:pPr>
      <w:r>
        <w:tab/>
        <w:t>(6)</w:t>
      </w:r>
      <w:r>
        <w:tab/>
        <w:t>When counting how many competing lawyers or law practices there are for the purposes of subsection (5)(a), 2 or more lawyers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lawyer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lawyer or agent.</w:t>
      </w:r>
    </w:p>
    <w:p>
      <w:pPr>
        <w:pStyle w:val="Subsection"/>
        <w:keepNext/>
        <w:keepLines/>
      </w:pPr>
      <w:r>
        <w:tab/>
        <w:t>(9)</w:t>
      </w:r>
      <w:r>
        <w:tab/>
        <w:t xml:space="preserve">The name or address of a person involved in the incident may be disclosed to a lawyer if — </w:t>
      </w:r>
    </w:p>
    <w:p>
      <w:pPr>
        <w:pStyle w:val="Indenta"/>
      </w:pPr>
      <w:r>
        <w:tab/>
        <w:t>(a)</w:t>
      </w:r>
      <w:r>
        <w:tab/>
        <w:t>the person making the disclosure is a client of the lawyer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No. 21 of 2008 s. 646(6)</w:t>
      </w:r>
      <w:r>
        <w:noBreakHyphen/>
        <w:t>(8); No. 9 of 2022 s. 341.]</w:t>
      </w:r>
    </w:p>
    <w:p>
      <w:pPr>
        <w:pStyle w:val="Heading5"/>
        <w:spacing w:before="180"/>
      </w:pPr>
      <w:bookmarkStart w:id="525" w:name="_Toc209794907"/>
      <w:bookmarkStart w:id="526" w:name="_Toc183423181"/>
      <w:r>
        <w:rPr>
          <w:rStyle w:val="CharSectno"/>
        </w:rPr>
        <w:t>20</w:t>
      </w:r>
      <w:r>
        <w:t>.</w:t>
      </w:r>
      <w:r>
        <w:tab/>
        <w:t>Prohibition against paying, or seeking payment, for touting</w:t>
      </w:r>
      <w:bookmarkEnd w:id="525"/>
      <w:bookmarkEnd w:id="526"/>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lawyer and is not acting for a lawyer,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lawyer or is acting for a lawyer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keepNext/>
      </w:pPr>
      <w:r>
        <w:tab/>
        <w:t>(b)</w:t>
      </w:r>
      <w:r>
        <w:tab/>
        <w:t>employment, or an agreement to give employment, in any capacity.</w:t>
      </w:r>
    </w:p>
    <w:p>
      <w:pPr>
        <w:pStyle w:val="Footnotesection"/>
      </w:pPr>
      <w:r>
        <w:tab/>
        <w:t>[Section 20 amended: No. 9 of 2022 s. 341.]</w:t>
      </w:r>
    </w:p>
    <w:p>
      <w:pPr>
        <w:pStyle w:val="Heading5"/>
        <w:spacing w:before="180"/>
      </w:pPr>
      <w:bookmarkStart w:id="527" w:name="_Toc209794908"/>
      <w:bookmarkStart w:id="528" w:name="_Toc183423182"/>
      <w:r>
        <w:rPr>
          <w:rStyle w:val="CharSectno"/>
        </w:rPr>
        <w:t>21</w:t>
      </w:r>
      <w:r>
        <w:t>.</w:t>
      </w:r>
      <w:r>
        <w:tab/>
        <w:t>Consequences if person approved under an Act is convicted under s. 19 or 20</w:t>
      </w:r>
      <w:bookmarkEnd w:id="527"/>
      <w:bookmarkEnd w:id="528"/>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529" w:name="_Toc209535170"/>
      <w:bookmarkStart w:id="530" w:name="_Toc209537211"/>
      <w:bookmarkStart w:id="531" w:name="_Toc209696328"/>
      <w:bookmarkStart w:id="532" w:name="_Toc209696469"/>
      <w:bookmarkStart w:id="533" w:name="_Toc209794909"/>
      <w:bookmarkStart w:id="534" w:name="_Toc183180569"/>
      <w:bookmarkStart w:id="535" w:name="_Toc183182257"/>
      <w:bookmarkStart w:id="536" w:name="_Toc183182396"/>
      <w:bookmarkStart w:id="537" w:name="_Toc183423183"/>
      <w:r>
        <w:rPr>
          <w:rStyle w:val="CharPartNo"/>
        </w:rPr>
        <w:t>Part 4</w:t>
      </w:r>
      <w:r>
        <w:rPr>
          <w:rStyle w:val="CharDivNo"/>
        </w:rPr>
        <w:t> </w:t>
      </w:r>
      <w:r>
        <w:t>—</w:t>
      </w:r>
      <w:r>
        <w:rPr>
          <w:rStyle w:val="CharDivText"/>
        </w:rPr>
        <w:t> </w:t>
      </w:r>
      <w:r>
        <w:rPr>
          <w:rStyle w:val="CharPartText"/>
        </w:rPr>
        <w:t>Other matters</w:t>
      </w:r>
      <w:bookmarkEnd w:id="529"/>
      <w:bookmarkEnd w:id="530"/>
      <w:bookmarkEnd w:id="531"/>
      <w:bookmarkEnd w:id="532"/>
      <w:bookmarkEnd w:id="533"/>
      <w:bookmarkEnd w:id="534"/>
      <w:bookmarkEnd w:id="535"/>
      <w:bookmarkEnd w:id="536"/>
      <w:bookmarkEnd w:id="537"/>
    </w:p>
    <w:p>
      <w:pPr>
        <w:pStyle w:val="Heading5"/>
      </w:pPr>
      <w:bookmarkStart w:id="538" w:name="_Toc209794910"/>
      <w:bookmarkStart w:id="539" w:name="_Toc183423184"/>
      <w:r>
        <w:rPr>
          <w:rStyle w:val="CharSectno"/>
        </w:rPr>
        <w:t>22</w:t>
      </w:r>
      <w:r>
        <w:t>.</w:t>
      </w:r>
      <w:r>
        <w:tab/>
        <w:t>Regulations</w:t>
      </w:r>
      <w:bookmarkEnd w:id="538"/>
      <w:bookmarkEnd w:id="53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nHeading2"/>
      </w:pPr>
      <w:bookmarkStart w:id="540" w:name="_Toc209535172"/>
      <w:bookmarkStart w:id="541" w:name="_Toc209537213"/>
      <w:bookmarkStart w:id="542" w:name="_Toc209696330"/>
      <w:bookmarkStart w:id="543" w:name="_Toc209696471"/>
      <w:bookmarkStart w:id="544" w:name="_Toc209794911"/>
      <w:bookmarkStart w:id="545" w:name="_Toc183180571"/>
      <w:bookmarkStart w:id="546" w:name="_Toc183182259"/>
      <w:bookmarkStart w:id="547" w:name="_Toc183182398"/>
      <w:bookmarkStart w:id="548" w:name="_Toc183423185"/>
      <w:r>
        <w:t>Notes</w:t>
      </w:r>
      <w:bookmarkEnd w:id="540"/>
      <w:bookmarkEnd w:id="541"/>
      <w:bookmarkEnd w:id="542"/>
      <w:bookmarkEnd w:id="543"/>
      <w:bookmarkEnd w:id="544"/>
      <w:bookmarkEnd w:id="545"/>
      <w:bookmarkEnd w:id="546"/>
      <w:bookmarkEnd w:id="547"/>
      <w:bookmarkEnd w:id="548"/>
    </w:p>
    <w:p>
      <w:pPr>
        <w:pStyle w:val="nStatement"/>
      </w:pPr>
      <w:r>
        <w:t xml:space="preserve">This is a compilation of the </w:t>
      </w:r>
      <w:r>
        <w:rPr>
          <w:i/>
          <w:noProof/>
        </w:rPr>
        <w:t>Civil Liability Act 2002</w:t>
      </w:r>
      <w:r>
        <w:t xml:space="preserve"> and includes amendments made by other written laws. For provisions that have come into operation</w:t>
      </w:r>
      <w:del w:id="549" w:author="Master Repository Process" w:date="2025-09-26T16:27:00Z">
        <w:r>
          <w:delText>, and for information about any reprints,</w:delText>
        </w:r>
      </w:del>
      <w:r>
        <w:t xml:space="preserve"> see the compilation table. </w:t>
      </w:r>
      <w:ins w:id="550" w:author="Master Repository Process" w:date="2025-09-26T16:27:00Z">
        <w:r>
          <w:t>For provisions that have not yet come into operation see the uncommenced provisions table.</w:t>
        </w:r>
      </w:ins>
    </w:p>
    <w:p>
      <w:pPr>
        <w:pStyle w:val="nHeading3"/>
      </w:pPr>
      <w:bookmarkStart w:id="551" w:name="_Toc209794912"/>
      <w:bookmarkStart w:id="552" w:name="_Toc183423186"/>
      <w:r>
        <w:t>Compilation table</w:t>
      </w:r>
      <w:bookmarkEnd w:id="551"/>
      <w:bookmarkEnd w:id="552"/>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Civil Liability Act 2002</w:t>
            </w:r>
          </w:p>
        </w:tc>
        <w:tc>
          <w:tcPr>
            <w:tcW w:w="1134" w:type="dxa"/>
            <w:tcBorders>
              <w:top w:val="single" w:sz="8" w:space="0" w:color="auto"/>
            </w:tcBorders>
          </w:tcPr>
          <w:p>
            <w:pPr>
              <w:pStyle w:val="nTable"/>
              <w:spacing w:after="40"/>
            </w:pPr>
            <w:r>
              <w:t>35 of 2002</w:t>
            </w:r>
          </w:p>
        </w:tc>
        <w:tc>
          <w:tcPr>
            <w:tcW w:w="1134" w:type="dxa"/>
            <w:tcBorders>
              <w:top w:val="single" w:sz="8" w:space="0" w:color="auto"/>
            </w:tcBorders>
          </w:tcPr>
          <w:p>
            <w:pPr>
              <w:pStyle w:val="nTable"/>
              <w:spacing w:after="40"/>
            </w:pPr>
            <w:r>
              <w:t>20 Nov 2002</w:t>
            </w:r>
          </w:p>
        </w:tc>
        <w:tc>
          <w:tcPr>
            <w:tcW w:w="2552" w:type="dxa"/>
            <w:tcBorders>
              <w:top w:val="single" w:sz="8" w:space="0" w:color="auto"/>
            </w:tcBorders>
          </w:tcPr>
          <w:p>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Civil Liability Amendment Act 2003</w:t>
            </w:r>
            <w:r>
              <w:rPr>
                <w:snapToGrid w:val="0"/>
              </w:rPr>
              <w:t xml:space="preserve"> </w:t>
            </w:r>
          </w:p>
        </w:tc>
        <w:tc>
          <w:tcPr>
            <w:tcW w:w="1134" w:type="dxa"/>
          </w:tcPr>
          <w:p>
            <w:pPr>
              <w:pStyle w:val="nTable"/>
              <w:spacing w:after="40"/>
            </w:pPr>
            <w:r>
              <w:t>58 of 2003</w:t>
            </w:r>
          </w:p>
        </w:tc>
        <w:tc>
          <w:tcPr>
            <w:tcW w:w="1134" w:type="dxa"/>
          </w:tcPr>
          <w:p>
            <w:pPr>
              <w:pStyle w:val="nTable"/>
              <w:spacing w:after="40"/>
            </w:pPr>
            <w:r>
              <w:t>30 Oct 2003</w:t>
            </w:r>
          </w:p>
        </w:tc>
        <w:tc>
          <w:tcPr>
            <w:tcW w:w="2552" w:type="dxa"/>
          </w:tcPr>
          <w:p>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Civil Liability Amendment Act 2004</w:t>
            </w:r>
            <w:r>
              <w:rPr>
                <w:iCs/>
                <w:snapToGrid w:val="0"/>
              </w:rPr>
              <w:t xml:space="preserve"> </w:t>
            </w:r>
          </w:p>
        </w:tc>
        <w:tc>
          <w:tcPr>
            <w:tcW w:w="1134" w:type="dxa"/>
          </w:tcPr>
          <w:p>
            <w:pPr>
              <w:pStyle w:val="nTable"/>
              <w:spacing w:after="40"/>
            </w:pPr>
            <w:r>
              <w:t>43 of 2004</w:t>
            </w:r>
          </w:p>
        </w:tc>
        <w:tc>
          <w:tcPr>
            <w:tcW w:w="1134" w:type="dxa"/>
          </w:tcPr>
          <w:p>
            <w:pPr>
              <w:pStyle w:val="nTable"/>
              <w:spacing w:after="40"/>
            </w:pPr>
            <w:r>
              <w:t>9 Nov 2004</w:t>
            </w:r>
          </w:p>
        </w:tc>
        <w:tc>
          <w:tcPr>
            <w:tcW w:w="2552" w:type="dxa"/>
          </w:tcPr>
          <w:p>
            <w:pPr>
              <w:pStyle w:val="nTable"/>
              <w:spacing w:after="40"/>
            </w:pPr>
            <w:r>
              <w:t>Act other than Pt. 3: 9 Nov 2004 (see s. 2(1));</w:t>
            </w:r>
            <w:r>
              <w:br/>
              <w:t xml:space="preserve">Pt. 3: 1 Dec 2004 (see s. 2(2) and </w:t>
            </w:r>
            <w:r>
              <w:rPr>
                <w:i/>
                <w:iCs/>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 xml:space="preserve">Gazette </w:t>
            </w:r>
            <w:r>
              <w:t>20 Feb 2007 p. 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Osteopaths Act 2005</w:t>
            </w:r>
            <w:r>
              <w:rPr>
                <w:iCs/>
                <w:noProof/>
                <w:snapToGrid w:val="0"/>
              </w:rPr>
              <w:t xml:space="preserve"> Sch. 3 cl. 1</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pPr>
              <w:pStyle w:val="nTable"/>
              <w:keepNext/>
              <w:keepLines/>
              <w:spacing w:after="40"/>
            </w:pPr>
            <w:r>
              <w:t>21 of 2006</w:t>
            </w:r>
          </w:p>
        </w:tc>
        <w:tc>
          <w:tcPr>
            <w:tcW w:w="1134" w:type="dxa"/>
          </w:tcPr>
          <w:p>
            <w:pPr>
              <w:pStyle w:val="nTable"/>
              <w:keepNext/>
              <w:keepLines/>
              <w:spacing w:after="40"/>
            </w:pPr>
            <w:r>
              <w:t>9 Jun 2006</w:t>
            </w:r>
          </w:p>
        </w:tc>
        <w:tc>
          <w:tcPr>
            <w:tcW w:w="2552" w:type="dxa"/>
          </w:tcPr>
          <w:p>
            <w:pPr>
              <w:pStyle w:val="nTable"/>
              <w:keepNext/>
              <w:keepLines/>
              <w:spacing w:after="40"/>
            </w:pPr>
            <w:r>
              <w:t xml:space="preserve">1 Jul 2007 (see s. 2 and </w:t>
            </w:r>
            <w:r>
              <w:rPr>
                <w:i/>
                <w:iCs/>
              </w:rPr>
              <w:t xml:space="preserve">Gazette </w:t>
            </w:r>
            <w:r>
              <w:t xml:space="preserve"> 26 Jun 2007 p. 3013)</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pPr>
              <w:pStyle w:val="nTable"/>
              <w:spacing w:after="40"/>
            </w:pPr>
            <w:r>
              <w:rPr>
                <w:snapToGrid w:val="0"/>
              </w:rPr>
              <w:t>50 of 2006</w:t>
            </w:r>
          </w:p>
        </w:tc>
        <w:tc>
          <w:tcPr>
            <w:tcW w:w="1134" w:type="dxa"/>
          </w:tcPr>
          <w:p>
            <w:pPr>
              <w:pStyle w:val="nTable"/>
              <w:spacing w:after="40"/>
            </w:pPr>
            <w:r>
              <w:rPr>
                <w:snapToGrid w:val="0"/>
              </w:rPr>
              <w:t>6 Oct 2006</w:t>
            </w:r>
          </w:p>
        </w:tc>
        <w:tc>
          <w:tcPr>
            <w:tcW w:w="2552" w:type="dxa"/>
          </w:tcPr>
          <w:p>
            <w:pPr>
              <w:pStyle w:val="nTable"/>
              <w:spacing w:after="40"/>
            </w:pPr>
            <w:r>
              <w:t xml:space="preserve">19 Sep 2007 (see s. 2 and </w:t>
            </w:r>
            <w:r>
              <w:rPr>
                <w:i/>
                <w:iCs/>
              </w:rPr>
              <w:t>Gazette</w:t>
            </w:r>
            <w: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after="40"/>
            </w:pPr>
            <w:r>
              <w:rPr>
                <w:i/>
                <w:snapToGrid w:val="0"/>
              </w:rPr>
              <w:t>Medical Practitioners Act 2008</w:t>
            </w:r>
            <w:r>
              <w:t xml:space="preserve"> Sch. 3 cl. 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pPr>
              <w:pStyle w:val="nTable"/>
              <w:spacing w:after="40"/>
            </w:pPr>
            <w:r>
              <w:t>25 of 2008</w:t>
            </w:r>
          </w:p>
        </w:tc>
        <w:tc>
          <w:tcPr>
            <w:tcW w:w="1134" w:type="dxa"/>
          </w:tcPr>
          <w:p>
            <w:pPr>
              <w:pStyle w:val="nTable"/>
              <w:spacing w:after="40"/>
            </w:pPr>
            <w:r>
              <w:t>19 Jun 2008</w:t>
            </w:r>
          </w:p>
        </w:tc>
        <w:tc>
          <w:tcPr>
            <w:tcW w:w="2552" w:type="dxa"/>
          </w:tcPr>
          <w:p>
            <w:pPr>
              <w:pStyle w:val="nTable"/>
              <w:spacing w:after="40"/>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33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noProof/>
                <w:snapToGrid w:val="0"/>
              </w:rPr>
            </w:pPr>
            <w:r>
              <w:rPr>
                <w:i/>
                <w:snapToGrid w:val="0"/>
              </w:rPr>
              <w:t>Health, Safety and Civil Liability (Children in Schools and Child Care Services) Act 2011</w:t>
            </w:r>
            <w:r>
              <w:rPr>
                <w:snapToGrid w:val="0"/>
              </w:rPr>
              <w:t xml:space="preserve"> Pt. 2</w:t>
            </w:r>
          </w:p>
        </w:tc>
        <w:tc>
          <w:tcPr>
            <w:tcW w:w="1134" w:type="dxa"/>
          </w:tcPr>
          <w:p>
            <w:pPr>
              <w:pStyle w:val="nTable"/>
              <w:spacing w:after="40"/>
            </w:pPr>
            <w:r>
              <w:rPr>
                <w:snapToGrid w:val="0"/>
              </w:rPr>
              <w:t>1 of 2011</w:t>
            </w:r>
          </w:p>
        </w:tc>
        <w:tc>
          <w:tcPr>
            <w:tcW w:w="1134" w:type="dxa"/>
          </w:tcPr>
          <w:p>
            <w:pPr>
              <w:pStyle w:val="nTable"/>
              <w:spacing w:after="40"/>
            </w:pPr>
            <w:r>
              <w:rPr>
                <w:snapToGrid w:val="0"/>
              </w:rPr>
              <w:t>1 Mar 2011</w:t>
            </w:r>
          </w:p>
        </w:tc>
        <w:tc>
          <w:tcPr>
            <w:tcW w:w="2552" w:type="dxa"/>
          </w:tcPr>
          <w:p>
            <w:pPr>
              <w:pStyle w:val="nTable"/>
              <w:spacing w:after="40"/>
            </w:pPr>
            <w:r>
              <w:rPr>
                <w:snapToGrid w:val="0"/>
              </w:rPr>
              <w:t xml:space="preserve">1 Jan 2013 (see s.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 xml:space="preserve">Education and Care Services National Law (WA) Act 2012 </w:t>
            </w:r>
            <w:r>
              <w:rPr>
                <w:snapToGrid w:val="0"/>
              </w:rPr>
              <w:t>Pt. 4 Div. 3</w:t>
            </w:r>
          </w:p>
        </w:tc>
        <w:tc>
          <w:tcPr>
            <w:tcW w:w="1134" w:type="dxa"/>
            <w:shd w:val="clear" w:color="auto" w:fill="auto"/>
          </w:tcPr>
          <w:p>
            <w:pPr>
              <w:pStyle w:val="nTable"/>
              <w:spacing w:after="40"/>
              <w:rPr>
                <w:snapToGrid w:val="0"/>
              </w:rPr>
            </w:pPr>
            <w:r>
              <w:rPr>
                <w:snapToGrid w:val="0"/>
              </w:rPr>
              <w:t>11 of 2012</w:t>
            </w:r>
          </w:p>
        </w:tc>
        <w:tc>
          <w:tcPr>
            <w:tcW w:w="1134" w:type="dxa"/>
            <w:shd w:val="clear" w:color="auto" w:fill="auto"/>
          </w:tcPr>
          <w:p>
            <w:pPr>
              <w:pStyle w:val="nTable"/>
              <w:spacing w:after="40"/>
              <w:rPr>
                <w:snapToGrid w:val="0"/>
              </w:rPr>
            </w:pPr>
            <w:r>
              <w:rPr>
                <w:snapToGrid w:val="0"/>
              </w:rPr>
              <w:t>20 Jun 2012</w:t>
            </w:r>
          </w:p>
        </w:tc>
        <w:tc>
          <w:tcPr>
            <w:tcW w:w="2552" w:type="dxa"/>
            <w:shd w:val="clear" w:color="auto" w:fill="auto"/>
          </w:tcPr>
          <w:p>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Motor Vehicle (Catastrophic Injuries) Act 2016</w:t>
            </w:r>
            <w:r>
              <w:t xml:space="preserve"> Pt. 7 Div. 1</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snapToGrid w:val="0"/>
              </w:rPr>
              <w:t>Local Government Legislation Amendment Act 2016</w:t>
            </w:r>
            <w:r>
              <w:rPr>
                <w:snapToGrid w:val="0"/>
              </w:rPr>
              <w:t xml:space="preserve"> Pt. 3 Div. 8</w:t>
            </w:r>
          </w:p>
        </w:tc>
        <w:tc>
          <w:tcPr>
            <w:tcW w:w="1134" w:type="dxa"/>
            <w:shd w:val="clear" w:color="auto" w:fill="auto"/>
          </w:tcPr>
          <w:p>
            <w:pPr>
              <w:pStyle w:val="nTable"/>
              <w:spacing w:after="40"/>
            </w:pPr>
            <w:r>
              <w:t>26 of 2016</w:t>
            </w:r>
          </w:p>
        </w:tc>
        <w:tc>
          <w:tcPr>
            <w:tcW w:w="1134" w:type="dxa"/>
            <w:shd w:val="clear" w:color="auto" w:fill="auto"/>
          </w:tcPr>
          <w:p>
            <w:pPr>
              <w:pStyle w:val="nTable"/>
              <w:spacing w:after="40"/>
            </w:pPr>
            <w:r>
              <w:t>21 Sep 2016</w:t>
            </w:r>
          </w:p>
        </w:tc>
        <w:tc>
          <w:tcPr>
            <w:tcW w:w="2552" w:type="dxa"/>
            <w:shd w:val="clear" w:color="auto" w:fill="auto"/>
          </w:tcPr>
          <w:p>
            <w:pPr>
              <w:pStyle w:val="nTable"/>
              <w:spacing w:after="40"/>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snapToGrid w:val="0"/>
              </w:rPr>
              <w:t xml:space="preserve">Civil Liability Legislation Amendment (Child Sexual Abuse Actions) Act 2018 </w:t>
            </w:r>
            <w:r>
              <w:rPr>
                <w:snapToGrid w:val="0"/>
              </w:rPr>
              <w:t>Pt. 2</w:t>
            </w:r>
          </w:p>
        </w:tc>
        <w:tc>
          <w:tcPr>
            <w:tcW w:w="1134" w:type="dxa"/>
          </w:tcPr>
          <w:p>
            <w:pPr>
              <w:pStyle w:val="nTable"/>
              <w:spacing w:after="40"/>
            </w:pPr>
            <w:r>
              <w:t>3 of 2018</w:t>
            </w:r>
          </w:p>
        </w:tc>
        <w:tc>
          <w:tcPr>
            <w:tcW w:w="1134" w:type="dxa"/>
          </w:tcPr>
          <w:p>
            <w:pPr>
              <w:pStyle w:val="nTable"/>
              <w:spacing w:after="40"/>
            </w:pPr>
            <w:r>
              <w:t>19 Apr 2018</w:t>
            </w:r>
          </w:p>
        </w:tc>
        <w:tc>
          <w:tcPr>
            <w:tcW w:w="2552" w:type="dxa"/>
          </w:tcPr>
          <w:p>
            <w:pPr>
              <w:pStyle w:val="nTable"/>
              <w:spacing w:after="40"/>
            </w:pPr>
            <w:r>
              <w:rPr>
                <w:color w:val="000000"/>
              </w:rPr>
              <w:t>1 Jul 2018</w:t>
            </w:r>
            <w:r>
              <w:t xml:space="preserve"> (see s. 2(b) and </w:t>
            </w:r>
            <w:r>
              <w:rPr>
                <w:i/>
              </w:rPr>
              <w:t>Gazette</w:t>
            </w:r>
            <w:r>
              <w:t xml:space="preserve"> 29 Jun 2018 p. 2434)</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Amendment Act 2018 </w:t>
            </w:r>
            <w:r>
              <w:rPr>
                <w:snapToGrid w:val="0"/>
              </w:rPr>
              <w:t>s. 103</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color w:val="000000"/>
              </w:rPr>
            </w:pPr>
            <w:r>
              <w:t xml:space="preserve">1 Dec 2018 (see s. 2(d) and </w:t>
            </w:r>
            <w:r>
              <w:rPr>
                <w:i/>
              </w:rPr>
              <w:t>Gazette</w:t>
            </w:r>
            <w:r>
              <w:t xml:space="preserve"> 13 Nov 2018 p. 4427</w:t>
            </w:r>
            <w:r>
              <w:noBreakHyphen/>
              <w:t>8)</w:t>
            </w:r>
          </w:p>
        </w:tc>
      </w:tr>
      <w:tr>
        <w:tc>
          <w:tcPr>
            <w:tcW w:w="2268" w:type="dxa"/>
            <w:tcBorders>
              <w:top w:val="nil"/>
              <w:bottom w:val="nil"/>
            </w:tcBorders>
          </w:tcPr>
          <w:p>
            <w:pPr>
              <w:pStyle w:val="nTable"/>
              <w:spacing w:after="40"/>
              <w:rPr>
                <w:i/>
                <w:snapToGrid w:val="0"/>
              </w:rPr>
            </w:pPr>
            <w:r>
              <w:rPr>
                <w:i/>
              </w:rPr>
              <w:t>Legal Profession Uniform Law Application Act 2022</w:t>
            </w:r>
            <w:r>
              <w:t xml:space="preserve"> Pt. 17 Div. 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c>
          <w:tcPr>
            <w:tcW w:w="2268" w:type="dxa"/>
            <w:tcBorders>
              <w:top w:val="nil"/>
              <w:bottom w:val="nil"/>
            </w:tcBorders>
          </w:tcPr>
          <w:p>
            <w:pPr>
              <w:pStyle w:val="nTable"/>
              <w:spacing w:after="40"/>
            </w:pPr>
            <w:r>
              <w:rPr>
                <w:i/>
                <w:iCs/>
              </w:rPr>
              <w:t>Workers Compensation and Injury Management Act 2023</w:t>
            </w:r>
            <w:r>
              <w:t xml:space="preserve"> Pt. 15 Div. 3 Subdiv. 1</w:t>
            </w:r>
          </w:p>
        </w:tc>
        <w:tc>
          <w:tcPr>
            <w:tcW w:w="1134" w:type="dxa"/>
            <w:tcBorders>
              <w:top w:val="nil"/>
              <w:bottom w:val="nil"/>
            </w:tcBorders>
          </w:tcPr>
          <w:p>
            <w:pPr>
              <w:pStyle w:val="nTable"/>
              <w:spacing w:after="40"/>
            </w:pPr>
            <w:r>
              <w:t>21 of 2023</w:t>
            </w:r>
          </w:p>
        </w:tc>
        <w:tc>
          <w:tcPr>
            <w:tcW w:w="1134" w:type="dxa"/>
            <w:tcBorders>
              <w:top w:val="nil"/>
              <w:bottom w:val="nil"/>
            </w:tcBorders>
          </w:tcPr>
          <w:p>
            <w:pPr>
              <w:pStyle w:val="nTable"/>
              <w:spacing w:after="40"/>
              <w:rPr>
                <w:highlight w:val="yellow"/>
              </w:rPr>
            </w:pPr>
            <w:r>
              <w:t>24 Oct 2023</w:t>
            </w:r>
          </w:p>
        </w:tc>
        <w:tc>
          <w:tcPr>
            <w:tcW w:w="2552" w:type="dxa"/>
            <w:tcBorders>
              <w:top w:val="nil"/>
              <w:bottom w:val="nil"/>
            </w:tcBorders>
          </w:tcPr>
          <w:p>
            <w:pPr>
              <w:pStyle w:val="nTable"/>
              <w:spacing w:after="40"/>
            </w:pPr>
            <w:r>
              <w:rPr>
                <w:noProof/>
              </w:rPr>
              <w:t xml:space="preserve">1 Jul 2024 </w:t>
            </w:r>
            <w:r>
              <w:t>(see s. 2(d)</w:t>
            </w:r>
            <w:r>
              <w:rPr>
                <w:noProof/>
              </w:rPr>
              <w:t xml:space="preserve"> and SL 2024/34 cl. 2</w:t>
            </w:r>
            <w:r>
              <w:t>)</w:t>
            </w:r>
          </w:p>
        </w:tc>
      </w:tr>
      <w:tr>
        <w:tc>
          <w:tcPr>
            <w:tcW w:w="2268" w:type="dxa"/>
            <w:tcBorders>
              <w:top w:val="nil"/>
              <w:bottom w:val="nil"/>
            </w:tcBorders>
          </w:tcPr>
          <w:p>
            <w:pPr>
              <w:pStyle w:val="nTable"/>
              <w:spacing w:after="40"/>
            </w:pPr>
            <w:r>
              <w:rPr>
                <w:i/>
                <w:iCs/>
              </w:rPr>
              <w:t xml:space="preserve">Civil Liability Amendment (Provisional Damages for Dust Diseases) Act 2024 </w:t>
            </w:r>
            <w:r>
              <w:t>Pt. 2</w:t>
            </w:r>
          </w:p>
        </w:tc>
        <w:tc>
          <w:tcPr>
            <w:tcW w:w="1134" w:type="dxa"/>
            <w:tcBorders>
              <w:top w:val="nil"/>
              <w:bottom w:val="nil"/>
            </w:tcBorders>
          </w:tcPr>
          <w:p>
            <w:pPr>
              <w:pStyle w:val="nTable"/>
              <w:spacing w:after="40"/>
            </w:pPr>
            <w:r>
              <w:t>32 of 2024</w:t>
            </w:r>
          </w:p>
        </w:tc>
        <w:tc>
          <w:tcPr>
            <w:tcW w:w="1134" w:type="dxa"/>
            <w:tcBorders>
              <w:top w:val="nil"/>
              <w:bottom w:val="nil"/>
            </w:tcBorders>
          </w:tcPr>
          <w:p>
            <w:pPr>
              <w:pStyle w:val="nTable"/>
              <w:spacing w:after="40"/>
            </w:pPr>
            <w:r>
              <w:t>26 Sep 2024</w:t>
            </w:r>
          </w:p>
        </w:tc>
        <w:tc>
          <w:tcPr>
            <w:tcW w:w="2552" w:type="dxa"/>
            <w:tcBorders>
              <w:top w:val="nil"/>
              <w:bottom w:val="nil"/>
            </w:tcBorders>
          </w:tcPr>
          <w:p>
            <w:pPr>
              <w:pStyle w:val="nTable"/>
              <w:spacing w:after="40"/>
              <w:rPr>
                <w:noProof/>
              </w:rPr>
            </w:pPr>
            <w:r>
              <w:rPr>
                <w:noProof/>
              </w:rPr>
              <w:t>1 Dec 2024 (see s. 2(d) and SL 2024/238 cl. 2)</w:t>
            </w:r>
          </w:p>
        </w:tc>
      </w:tr>
      <w:tr>
        <w:trPr>
          <w:ins w:id="553" w:author="Master Repository Process" w:date="2025-09-26T16:27:00Z"/>
        </w:trPr>
        <w:tc>
          <w:tcPr>
            <w:tcW w:w="2268" w:type="dxa"/>
            <w:tcBorders>
              <w:top w:val="nil"/>
              <w:bottom w:val="single" w:sz="4" w:space="0" w:color="auto"/>
            </w:tcBorders>
          </w:tcPr>
          <w:p>
            <w:pPr>
              <w:pStyle w:val="nTable"/>
              <w:spacing w:after="40"/>
              <w:rPr>
                <w:ins w:id="554" w:author="Master Repository Process" w:date="2025-09-26T16:27:00Z"/>
                <w:i/>
                <w:iCs/>
              </w:rPr>
            </w:pPr>
            <w:ins w:id="555" w:author="Master Repository Process" w:date="2025-09-26T16:27:00Z">
              <w:r>
                <w:rPr>
                  <w:i/>
                  <w:snapToGrid w:val="0"/>
                </w:rPr>
                <w:t>Statutes</w:t>
              </w:r>
              <w:r>
                <w:rPr>
                  <w:i/>
                </w:rPr>
                <w:t xml:space="preserve"> (Repeals and Minor Amendments) Act 2025</w:t>
              </w:r>
              <w:r>
                <w:rPr>
                  <w:iCs/>
                </w:rPr>
                <w:t xml:space="preserve"> s. 16</w:t>
              </w:r>
            </w:ins>
          </w:p>
        </w:tc>
        <w:tc>
          <w:tcPr>
            <w:tcW w:w="1134" w:type="dxa"/>
            <w:tcBorders>
              <w:top w:val="nil"/>
              <w:bottom w:val="single" w:sz="4" w:space="0" w:color="auto"/>
            </w:tcBorders>
          </w:tcPr>
          <w:p>
            <w:pPr>
              <w:pStyle w:val="nTable"/>
              <w:spacing w:after="40"/>
              <w:rPr>
                <w:ins w:id="556" w:author="Master Repository Process" w:date="2025-09-26T16:27:00Z"/>
              </w:rPr>
            </w:pPr>
            <w:ins w:id="557" w:author="Master Repository Process" w:date="2025-09-26T16:27:00Z">
              <w:r>
                <w:rPr>
                  <w:snapToGrid w:val="0"/>
                </w:rPr>
                <w:t>14 of 2025</w:t>
              </w:r>
            </w:ins>
          </w:p>
        </w:tc>
        <w:tc>
          <w:tcPr>
            <w:tcW w:w="1134" w:type="dxa"/>
            <w:tcBorders>
              <w:top w:val="nil"/>
              <w:bottom w:val="single" w:sz="4" w:space="0" w:color="auto"/>
            </w:tcBorders>
          </w:tcPr>
          <w:p>
            <w:pPr>
              <w:pStyle w:val="nTable"/>
              <w:spacing w:after="40"/>
              <w:rPr>
                <w:ins w:id="558" w:author="Master Repository Process" w:date="2025-09-26T16:27:00Z"/>
              </w:rPr>
            </w:pPr>
            <w:ins w:id="559" w:author="Master Repository Process" w:date="2025-09-26T16:27:00Z">
              <w:r>
                <w:rPr>
                  <w:snapToGrid w:val="0"/>
                </w:rPr>
                <w:t>25 Sep 2025</w:t>
              </w:r>
            </w:ins>
          </w:p>
        </w:tc>
        <w:tc>
          <w:tcPr>
            <w:tcW w:w="2552" w:type="dxa"/>
            <w:tcBorders>
              <w:top w:val="nil"/>
              <w:bottom w:val="single" w:sz="4" w:space="0" w:color="auto"/>
            </w:tcBorders>
          </w:tcPr>
          <w:p>
            <w:pPr>
              <w:pStyle w:val="nTable"/>
              <w:spacing w:after="40"/>
              <w:rPr>
                <w:ins w:id="560" w:author="Master Repository Process" w:date="2025-09-26T16:27:00Z"/>
                <w:noProof/>
              </w:rPr>
            </w:pPr>
            <w:ins w:id="561" w:author="Master Repository Process" w:date="2025-09-26T16:27:00Z">
              <w:r>
                <w:rPr>
                  <w:snapToGrid w:val="0"/>
                </w:rPr>
                <w:t>26 Sep 2025 (see s. 2(b))</w:t>
              </w:r>
            </w:ins>
          </w:p>
        </w:tc>
      </w:tr>
    </w:tbl>
    <w:p>
      <w:pPr>
        <w:pStyle w:val="nHeading3"/>
        <w:rPr>
          <w:ins w:id="562" w:author="Master Repository Process" w:date="2025-09-26T16:27:00Z"/>
        </w:rPr>
      </w:pPr>
      <w:bookmarkStart w:id="563" w:name="_Toc209794913"/>
      <w:ins w:id="564" w:author="Master Repository Process" w:date="2025-09-26T16:27:00Z">
        <w:r>
          <w:t>Uncommenced provisions table</w:t>
        </w:r>
        <w:bookmarkEnd w:id="563"/>
      </w:ins>
    </w:p>
    <w:p>
      <w:pPr>
        <w:pStyle w:val="nStatement"/>
        <w:keepNext/>
        <w:spacing w:after="240"/>
        <w:rPr>
          <w:ins w:id="565" w:author="Master Repository Process" w:date="2025-09-26T16:27:00Z"/>
        </w:rPr>
      </w:pPr>
      <w:ins w:id="566" w:author="Master Repository Process" w:date="2025-09-26T16:27: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67" w:author="Master Repository Process" w:date="2025-09-26T16:27:00Z"/>
        </w:trPr>
        <w:tc>
          <w:tcPr>
            <w:tcW w:w="2268" w:type="dxa"/>
          </w:tcPr>
          <w:p>
            <w:pPr>
              <w:pStyle w:val="nTable"/>
              <w:spacing w:after="40"/>
              <w:rPr>
                <w:ins w:id="568" w:author="Master Repository Process" w:date="2025-09-26T16:27:00Z"/>
                <w:b/>
              </w:rPr>
            </w:pPr>
            <w:ins w:id="569" w:author="Master Repository Process" w:date="2025-09-26T16:27:00Z">
              <w:r>
                <w:rPr>
                  <w:b/>
                </w:rPr>
                <w:t>Short title</w:t>
              </w:r>
            </w:ins>
          </w:p>
        </w:tc>
        <w:tc>
          <w:tcPr>
            <w:tcW w:w="1134" w:type="dxa"/>
          </w:tcPr>
          <w:p>
            <w:pPr>
              <w:pStyle w:val="nTable"/>
              <w:spacing w:after="40"/>
              <w:rPr>
                <w:ins w:id="570" w:author="Master Repository Process" w:date="2025-09-26T16:27:00Z"/>
                <w:b/>
              </w:rPr>
            </w:pPr>
            <w:ins w:id="571" w:author="Master Repository Process" w:date="2025-09-26T16:27:00Z">
              <w:r>
                <w:rPr>
                  <w:b/>
                </w:rPr>
                <w:t>Number and year</w:t>
              </w:r>
            </w:ins>
          </w:p>
        </w:tc>
        <w:tc>
          <w:tcPr>
            <w:tcW w:w="1134" w:type="dxa"/>
          </w:tcPr>
          <w:p>
            <w:pPr>
              <w:pStyle w:val="nTable"/>
              <w:spacing w:after="40"/>
              <w:rPr>
                <w:ins w:id="572" w:author="Master Repository Process" w:date="2025-09-26T16:27:00Z"/>
                <w:b/>
              </w:rPr>
            </w:pPr>
            <w:ins w:id="573" w:author="Master Repository Process" w:date="2025-09-26T16:27:00Z">
              <w:r>
                <w:rPr>
                  <w:b/>
                </w:rPr>
                <w:t>Assent</w:t>
              </w:r>
            </w:ins>
          </w:p>
        </w:tc>
        <w:tc>
          <w:tcPr>
            <w:tcW w:w="2552" w:type="dxa"/>
          </w:tcPr>
          <w:p>
            <w:pPr>
              <w:pStyle w:val="nTable"/>
              <w:spacing w:after="40"/>
              <w:rPr>
                <w:ins w:id="574" w:author="Master Repository Process" w:date="2025-09-26T16:27:00Z"/>
                <w:b/>
              </w:rPr>
            </w:pPr>
            <w:ins w:id="575" w:author="Master Repository Process" w:date="2025-09-26T16:27:00Z">
              <w:r>
                <w:rPr>
                  <w:b/>
                </w:rPr>
                <w:t>Commencement</w:t>
              </w:r>
            </w:ins>
          </w:p>
        </w:tc>
      </w:tr>
      <w:tr>
        <w:trPr>
          <w:ins w:id="576" w:author="Master Repository Process" w:date="2025-09-26T16:27:00Z"/>
        </w:trPr>
        <w:tc>
          <w:tcPr>
            <w:tcW w:w="2268" w:type="dxa"/>
          </w:tcPr>
          <w:p>
            <w:pPr>
              <w:pStyle w:val="nTable"/>
              <w:spacing w:after="40"/>
              <w:rPr>
                <w:ins w:id="577" w:author="Master Repository Process" w:date="2025-09-26T16:27:00Z"/>
                <w:iCs/>
              </w:rPr>
            </w:pPr>
            <w:ins w:id="578" w:author="Master Repository Process" w:date="2025-09-26T16:27:00Z">
              <w:r>
                <w:rPr>
                  <w:i/>
                </w:rPr>
                <w:t>Evidence Act 2025</w:t>
              </w:r>
              <w:r>
                <w:rPr>
                  <w:iCs/>
                </w:rPr>
                <w:t xml:space="preserve"> s. 492(2)</w:t>
              </w:r>
            </w:ins>
          </w:p>
        </w:tc>
        <w:tc>
          <w:tcPr>
            <w:tcW w:w="1134" w:type="dxa"/>
          </w:tcPr>
          <w:p>
            <w:pPr>
              <w:pStyle w:val="nTable"/>
              <w:spacing w:after="40"/>
              <w:rPr>
                <w:ins w:id="579" w:author="Master Repository Process" w:date="2025-09-26T16:27:00Z"/>
              </w:rPr>
            </w:pPr>
            <w:ins w:id="580" w:author="Master Repository Process" w:date="2025-09-26T16:27:00Z">
              <w:r>
                <w:t>15 of 2025</w:t>
              </w:r>
            </w:ins>
          </w:p>
        </w:tc>
        <w:tc>
          <w:tcPr>
            <w:tcW w:w="1134" w:type="dxa"/>
          </w:tcPr>
          <w:p>
            <w:pPr>
              <w:pStyle w:val="nTable"/>
              <w:spacing w:after="40"/>
              <w:rPr>
                <w:ins w:id="581" w:author="Master Repository Process" w:date="2025-09-26T16:27:00Z"/>
              </w:rPr>
            </w:pPr>
            <w:ins w:id="582" w:author="Master Repository Process" w:date="2025-09-26T16:27:00Z">
              <w:r>
                <w:t>25 Sep 2025</w:t>
              </w:r>
            </w:ins>
          </w:p>
        </w:tc>
        <w:tc>
          <w:tcPr>
            <w:tcW w:w="2552" w:type="dxa"/>
          </w:tcPr>
          <w:p>
            <w:pPr>
              <w:pStyle w:val="nTable"/>
              <w:spacing w:after="40"/>
              <w:rPr>
                <w:ins w:id="583" w:author="Master Repository Process" w:date="2025-09-26T16:27:00Z"/>
              </w:rPr>
            </w:pPr>
            <w:ins w:id="584" w:author="Master Repository Process" w:date="2025-09-26T16:27:00Z">
              <w:r>
                <w:t>To be proclaimed (see s. 2(e))</w:t>
              </w:r>
            </w:ins>
          </w:p>
        </w:tc>
      </w:tr>
    </w:tbl>
    <w:p>
      <w:pPr>
        <w:rPr>
          <w:ins w:id="585" w:author="Master Repository Process" w:date="2025-09-26T16:27:00Z"/>
        </w:rPr>
      </w:pPr>
    </w:p>
    <w:p>
      <w:pPr>
        <w:sectPr>
          <w:headerReference w:type="even" r:id="rId23"/>
          <w:headerReference w:type="default" r:id="rId24"/>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87" w:author="Master Repository Process" w:date="2025-09-26T16:27:00Z">
                              <w:r>
                                <w:rPr>
                                  <w:sz w:val="16"/>
                                </w:rPr>
                                <w:delText>2024</w:delText>
                              </w:r>
                            </w:del>
                            <w:ins w:id="588" w:author="Master Repository Process" w:date="2025-09-26T16:2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89" w:author="Master Repository Process" w:date="2025-09-26T16:27:00Z">
                              <w:r>
                                <w:rPr>
                                  <w:sz w:val="16"/>
                                </w:rPr>
                                <w:delText>2024</w:delText>
                              </w:r>
                            </w:del>
                            <w:ins w:id="590" w:author="Master Repository Process" w:date="2025-09-26T16:2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91" w:author="Master Repository Process" w:date="2025-09-26T16:27:00Z">
                        <w:r>
                          <w:rPr>
                            <w:sz w:val="16"/>
                          </w:rPr>
                          <w:delText>2024</w:delText>
                        </w:r>
                      </w:del>
                      <w:ins w:id="592" w:author="Master Repository Process" w:date="2025-09-26T16:2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93" w:author="Master Repository Process" w:date="2025-09-26T16:27:00Z">
                        <w:r>
                          <w:rPr>
                            <w:sz w:val="16"/>
                          </w:rPr>
                          <w:delText>2024</w:delText>
                        </w:r>
                      </w:del>
                      <w:ins w:id="594" w:author="Master Repository Process" w:date="2025-09-26T16:2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86" w:name="Compilation"/>
    <w:bookmarkEnd w:id="5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5" w:name="Coversheet"/>
    <w:bookmarkEnd w:id="5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154608"/>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 w:name="WAFER_20180629091846" w:val="RemoveTocBookmarks,RemoveUnusedBookmarks,RemoveLanguageTags,UsedStyles,ResetPageSize"/>
    <w:docVar w:name="WAFER_20180629091846_GUID" w:val="7c0d6bf6-cc35-4e46-a8e8-65b56d407bcd"/>
    <w:docVar w:name="WAFER_20220407143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43353_GUID" w:val="fff6a653-9fe3-4840-af21-686170811ee0"/>
    <w:docVar w:name="WAFER_20220628115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5700_GUID" w:val="bcca8d0d-78b0-4191-818a-bf1712a98a07"/>
    <w:docVar w:name="WAFER_20231019133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315_GUID" w:val="c960b0ec-c799-474d-b13d-67744453b403"/>
    <w:docVar w:name="WAFER_20231221164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112_GUID" w:val="ffcbfd2a-ec1d-4ff9-8e66-0bb07f88b323"/>
    <w:docVar w:name="WAFER_20240314162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158_GUID" w:val="30fac60a-cb50-4b24-9243-63d00dd0caca"/>
    <w:docVar w:name="WAFER_2024060609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092603_GUID" w:val="ab9d9867-6110-4c60-8a2e-775c82cbbe23"/>
    <w:docVar w:name="WAFER_20240919092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092153_GUID" w:val="c942eb4f-16a7-49e6-8695-67f2a5468c37"/>
    <w:docVar w:name="WAFER_20241122150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50553_GUID" w:val="6ecaa65b-2a74-459e-9989-7458ebf46d67"/>
    <w:docVar w:name="WAFER_2025092315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154608_GUID" w:val="ff9dcb06-6796-4016-b086-ec847ceba9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71A9E7-9AE1-456E-9144-F8D9440A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F2CB7-D72A-4653-958B-D258F1332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19398</Words>
  <Characters>91171</Characters>
  <Application>Microsoft Office Word</Application>
  <DocSecurity>0</DocSecurity>
  <Lines>2532</Lines>
  <Paragraphs>1454</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109115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04-n0-00 - 04-o0-00</dc:title>
  <dc:subject/>
  <dc:creator/>
  <cp:keywords/>
  <dc:description/>
  <cp:lastModifiedBy>Master Repository Process</cp:lastModifiedBy>
  <cp:revision>2</cp:revision>
  <cp:lastPrinted>2013-10-02T01:35:00Z</cp:lastPrinted>
  <dcterms:created xsi:type="dcterms:W3CDTF">2025-09-26T08:27:00Z</dcterms:created>
  <dcterms:modified xsi:type="dcterms:W3CDTF">2025-09-26T08:27:00Z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Official">
    <vt:lpwstr/>
  </property>
  <property fmtid="{D5CDD505-2E9C-101B-9397-08002B2CF9AE}" pid="8" name="CommencementDate">
    <vt:lpwstr>20250926</vt:lpwstr>
  </property>
  <property fmtid="{D5CDD505-2E9C-101B-9397-08002B2CF9AE}" pid="9" name="CommencementAsAt">
    <vt:filetime>2025-09-25T16:00:00Z</vt:filetime>
  </property>
  <property fmtid="{D5CDD505-2E9C-101B-9397-08002B2CF9AE}" pid="10" name="CommencementYear">
    <vt:lpwstr>2025</vt:lpwstr>
  </property>
  <property fmtid="{D5CDD505-2E9C-101B-9397-08002B2CF9AE}" pid="11" name="FromSuffix">
    <vt:lpwstr>04-n0-00</vt:lpwstr>
  </property>
  <property fmtid="{D5CDD505-2E9C-101B-9397-08002B2CF9AE}" pid="12" name="FromAsAtDate">
    <vt:lpwstr>01 Dec 2024</vt:lpwstr>
  </property>
  <property fmtid="{D5CDD505-2E9C-101B-9397-08002B2CF9AE}" pid="13" name="ToSuffix">
    <vt:lpwstr>04-o0-00</vt:lpwstr>
  </property>
  <property fmtid="{D5CDD505-2E9C-101B-9397-08002B2CF9AE}" pid="14" name="ToAsAtDate">
    <vt:lpwstr>26 Sep 2025</vt:lpwstr>
  </property>
</Properties>
</file>