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2025</w:t>
      </w:r>
      <w:r>
        <w:fldChar w:fldCharType="end"/>
      </w:r>
      <w:r>
        <w:t xml:space="preserve">, </w:t>
      </w:r>
      <w:r>
        <w:fldChar w:fldCharType="begin"/>
      </w:r>
      <w:r>
        <w:instrText xml:space="preserve"> DocProperty FromSuffix </w:instrText>
      </w:r>
      <w:r>
        <w:fldChar w:fldCharType="separate"/>
      </w:r>
      <w:r>
        <w:t>02-q0-00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1" w:name="_Toc216772902"/>
      <w:bookmarkStart w:id="2" w:name="_Toc203658131"/>
      <w:bookmarkStart w:id="3" w:name="_Toc203745033"/>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4" w:name="_Toc216772903"/>
      <w:bookmarkStart w:id="5" w:name="_Toc203745034"/>
      <w:r>
        <w:rPr>
          <w:rStyle w:val="CharSectno"/>
        </w:rPr>
        <w:t>1</w:t>
      </w:r>
      <w:r>
        <w:t>.</w:t>
      </w:r>
      <w:r>
        <w:tab/>
        <w:t>Short title</w:t>
      </w:r>
      <w:bookmarkEnd w:id="4"/>
      <w:bookmarkEnd w:id="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6" w:name="_Toc216772904"/>
      <w:bookmarkStart w:id="7" w:name="_Toc203745035"/>
      <w:r>
        <w:rPr>
          <w:rStyle w:val="CharSectno"/>
        </w:rPr>
        <w:t>2</w:t>
      </w:r>
      <w:r>
        <w:t>.</w:t>
      </w:r>
      <w:r>
        <w:tab/>
        <w:t>Commencement</w:t>
      </w:r>
      <w:bookmarkEnd w:id="6"/>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216772905"/>
      <w:bookmarkStart w:id="9" w:name="_Toc203745036"/>
      <w:r>
        <w:rPr>
          <w:rStyle w:val="CharSectno"/>
        </w:rPr>
        <w:t>3</w:t>
      </w:r>
      <w:r>
        <w:t>.</w:t>
      </w:r>
      <w:r>
        <w:tab/>
        <w:t>Terms used</w:t>
      </w:r>
      <w:bookmarkEnd w:id="8"/>
      <w:bookmarkEnd w:id="9"/>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electronic device</w:t>
      </w:r>
      <w:r>
        <w:t xml:space="preserve"> means any device capable of storing or accessing electronic data;</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 or</w:t>
      </w:r>
    </w:p>
    <w:p>
      <w:pPr>
        <w:pStyle w:val="Defpara"/>
      </w:pPr>
      <w:r>
        <w:tab/>
        <w:t>(c)</w:t>
      </w:r>
      <w:r>
        <w:tab/>
        <w:t>immigration detention under a law of a foreign jurisdiction;</w:t>
      </w:r>
    </w:p>
    <w:p>
      <w:pPr>
        <w:pStyle w:val="Defstart"/>
      </w:pPr>
      <w:r>
        <w:tab/>
      </w:r>
      <w:r>
        <w:rPr>
          <w:rStyle w:val="CharDefText"/>
        </w:rPr>
        <w:t>immigration detention</w:t>
      </w:r>
      <w:r>
        <w:t> —</w:t>
      </w:r>
    </w:p>
    <w:p>
      <w:pPr>
        <w:pStyle w:val="Defpara"/>
      </w:pPr>
      <w:r>
        <w:tab/>
        <w:t>(a)</w:t>
      </w:r>
      <w:r>
        <w:tab/>
        <w:t xml:space="preserve">includes immigration detention as defined in the </w:t>
      </w:r>
      <w:r>
        <w:rPr>
          <w:i/>
        </w:rPr>
        <w:t>Migration Act 1958</w:t>
      </w:r>
      <w:r>
        <w:t xml:space="preserve"> (Commonwealth) section 5(1); but </w:t>
      </w:r>
    </w:p>
    <w:p>
      <w:pPr>
        <w:pStyle w:val="Defpara"/>
      </w:pPr>
      <w:r>
        <w:tab/>
        <w:t>(b)</w:t>
      </w:r>
      <w:r>
        <w:tab/>
        <w:t xml:space="preserve">does not include detention during a period when a person undertakes the detention in the community; </w:t>
      </w:r>
    </w:p>
    <w:p>
      <w:pPr>
        <w:pStyle w:val="PermNoteHeading"/>
      </w:pPr>
      <w:r>
        <w:tab/>
        <w:t xml:space="preserve">Example for this definition: </w:t>
      </w:r>
    </w:p>
    <w:p>
      <w:pPr>
        <w:pStyle w:val="PermNoteText"/>
      </w:pPr>
      <w:r>
        <w:tab/>
      </w:r>
      <w:r>
        <w:tab/>
        <w:t xml:space="preserve">For the purposes of paragraph (b) — detention of a person subject to a residence determination under the </w:t>
      </w:r>
      <w:r>
        <w:rPr>
          <w:i/>
        </w:rPr>
        <w:t>Migration Act 1958</w:t>
      </w:r>
      <w:r>
        <w:t xml:space="preserve"> (Commonwealth) section 197AB(1).</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pPr>
      <w:r>
        <w:tab/>
      </w:r>
      <w:r>
        <w:rPr>
          <w:rStyle w:val="CharDefText"/>
        </w:rPr>
        <w:t>non</w:t>
      </w:r>
      <w:r>
        <w:rPr>
          <w:rStyle w:val="CharDefText"/>
        </w:rPr>
        <w:noBreakHyphen/>
        <w:t>intimate identifying procedure</w:t>
      </w:r>
      <w:r>
        <w:t xml:space="preserve"> has the meaning given in the </w:t>
      </w:r>
      <w:r>
        <w:rPr>
          <w:i/>
          <w:iCs/>
        </w:rPr>
        <w:t>Criminal Investigation (Identifying People) Act 2002</w:t>
      </w:r>
      <w:r>
        <w:t xml:space="preserve"> section 3(1);</w:t>
      </w:r>
    </w:p>
    <w:p>
      <w:pPr>
        <w:pStyle w:val="Defstart"/>
        <w:rPr>
          <w:b/>
          <w:i/>
        </w:rPr>
      </w:pPr>
      <w:r>
        <w:rPr>
          <w:b/>
        </w:rPr>
        <w:tab/>
      </w:r>
      <w:r>
        <w:rPr>
          <w:rStyle w:val="CharDefText"/>
        </w:rPr>
        <w:t>offender reporting order</w:t>
      </w:r>
      <w:r>
        <w:t xml:space="preserve"> means an order made under section 13 or 14A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tab/>
      </w:r>
      <w:r>
        <w:rPr>
          <w:rStyle w:val="CharDefText"/>
        </w:rPr>
        <w:t>reportable contact</w:t>
      </w:r>
      <w:r>
        <w:t xml:space="preserve"> has the meaning given in section 4A;</w:t>
      </w:r>
    </w:p>
    <w:p>
      <w:pPr>
        <w:pStyle w:val="Defstart"/>
      </w:pPr>
      <w:r>
        <w:tab/>
      </w:r>
      <w:r>
        <w:rPr>
          <w:rStyle w:val="CharDefText"/>
        </w:rPr>
        <w:t>reportable contact details</w:t>
      </w:r>
      <w:r>
        <w:t xml:space="preserve"> has the meaning given in section 4B;</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the offender by Part 3;</w:t>
      </w:r>
    </w:p>
    <w:p>
      <w:pPr>
        <w:pStyle w:val="Defstart"/>
      </w:pPr>
      <w:r>
        <w:tab/>
      </w:r>
      <w:r>
        <w:rPr>
          <w:rStyle w:val="CharDefText"/>
        </w:rPr>
        <w:t>reporting order</w:t>
      </w:r>
      <w:r>
        <w:t xml:space="preserve"> means any of the following — </w:t>
      </w:r>
    </w:p>
    <w:p>
      <w:pPr>
        <w:pStyle w:val="Defpara"/>
      </w:pPr>
      <w:r>
        <w:tab/>
        <w:t>(a)</w:t>
      </w:r>
      <w:r>
        <w:tab/>
        <w:t xml:space="preserve">an offender reporting order; </w:t>
      </w:r>
    </w:p>
    <w:p>
      <w:pPr>
        <w:pStyle w:val="Defpara"/>
      </w:pPr>
      <w:r>
        <w:tab/>
        <w:t>(b)</w:t>
      </w:r>
      <w:r>
        <w:tab/>
        <w:t>a past offender reporting order;</w:t>
      </w:r>
    </w:p>
    <w:p>
      <w:pPr>
        <w:pStyle w:val="PermNoteHeading"/>
      </w:pPr>
      <w:r>
        <w:tab/>
        <w:t xml:space="preserve">Note for this definition: </w:t>
      </w:r>
    </w:p>
    <w:p>
      <w:pPr>
        <w:pStyle w:val="PermNoteText"/>
      </w:pPr>
      <w:r>
        <w:tab/>
      </w:r>
      <w:r>
        <w:tab/>
        <w:t>For the purposes of paragraph (a) — an offender reporting order includes a corresponding offender reporting order.</w:t>
      </w:r>
    </w:p>
    <w:p>
      <w:pPr>
        <w:pStyle w:val="Defstart"/>
      </w:pPr>
      <w:r>
        <w:rPr>
          <w:b/>
        </w:rPr>
        <w:tab/>
      </w:r>
      <w:r>
        <w:rPr>
          <w:rStyle w:val="CharDefText"/>
        </w:rPr>
        <w:t>reporting period</w:t>
      </w:r>
      <w:r>
        <w:t xml:space="preserve"> means the period, as determined under Part 3 Division 5, during which a reportable offender must comply with the offender’s reporting obligations;</w:t>
      </w:r>
    </w:p>
    <w:p>
      <w:pPr>
        <w:pStyle w:val="Defstart"/>
      </w:pPr>
      <w:r>
        <w:tab/>
      </w:r>
      <w:r>
        <w:rPr>
          <w:rStyle w:val="CharDefText"/>
        </w:rPr>
        <w:t>senior police officer</w:t>
      </w:r>
      <w:r>
        <w:t xml:space="preserve"> means a police officer of, or acting in, the rank of sergeant or a higher rank;</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person in immigration detention, as a prisoner, detainee or detainee under the 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as the supervising authority of that class of reportable offenders;</w:t>
      </w:r>
    </w:p>
    <w:p>
      <w:pPr>
        <w:pStyle w:val="Defstart"/>
      </w:pPr>
      <w:r>
        <w:tab/>
      </w:r>
      <w:r>
        <w:rPr>
          <w:rStyle w:val="CharDefText"/>
        </w:rPr>
        <w:t>WA Police</w:t>
      </w:r>
      <w:r>
        <w:t xml:space="preserve"> has the meaning given in the </w:t>
      </w:r>
      <w:r>
        <w:rPr>
          <w:i/>
        </w:rPr>
        <w:t xml:space="preserve">Criminal Investigation (Identifying People) Act 2002 </w:t>
      </w:r>
      <w:r>
        <w:rPr>
          <w:iCs/>
        </w:rPr>
        <w:t>section 3(1)</w:t>
      </w:r>
      <w:r>
        <w:t>;</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 No. 31 of 2024 s. 28; No. 35 of 2024 s. 4 and 59.]</w:t>
      </w:r>
    </w:p>
    <w:p>
      <w:pPr>
        <w:pStyle w:val="Heading5"/>
      </w:pPr>
      <w:bookmarkStart w:id="10" w:name="_Toc216772906"/>
      <w:bookmarkStart w:id="11" w:name="_Toc203745037"/>
      <w:r>
        <w:rPr>
          <w:rStyle w:val="CharSectno"/>
        </w:rPr>
        <w:t>4</w:t>
      </w:r>
      <w:r>
        <w:t>.</w:t>
      </w:r>
      <w:r>
        <w:tab/>
        <w:t>Meaning of finding of guilt</w:t>
      </w:r>
      <w:bookmarkEnd w:id="10"/>
      <w:bookmarkEnd w:id="1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12" w:name="_Toc216772907"/>
      <w:bookmarkStart w:id="13" w:name="_Toc180506966"/>
      <w:bookmarkStart w:id="14" w:name="_Toc203745038"/>
      <w:r>
        <w:rPr>
          <w:rStyle w:val="CharSectno"/>
        </w:rPr>
        <w:t>4A</w:t>
      </w:r>
      <w:r>
        <w:t>.</w:t>
      </w:r>
      <w:r>
        <w:tab/>
        <w:t>Meaning of reportable contact</w:t>
      </w:r>
      <w:bookmarkEnd w:id="12"/>
      <w:bookmarkEnd w:id="13"/>
      <w:bookmarkEnd w:id="14"/>
    </w:p>
    <w:p>
      <w:pPr>
        <w:pStyle w:val="Subsection"/>
      </w:pPr>
      <w:r>
        <w:tab/>
        <w:t>(1)</w:t>
      </w:r>
      <w:r>
        <w:tab/>
        <w:t xml:space="preserve">A reportable offender has </w:t>
      </w:r>
      <w:r>
        <w:rPr>
          <w:rStyle w:val="CharDefText"/>
        </w:rPr>
        <w:t>reportable contact</w:t>
      </w:r>
      <w:r>
        <w:t xml:space="preserve"> with a child if the offender has contact with the child when the offender — </w:t>
      </w:r>
    </w:p>
    <w:p>
      <w:pPr>
        <w:pStyle w:val="Indenta"/>
      </w:pPr>
      <w:r>
        <w:tab/>
        <w:t>(a)</w:t>
      </w:r>
      <w:r>
        <w:tab/>
        <w:t>supervises or cares for the child; or</w:t>
      </w:r>
    </w:p>
    <w:p>
      <w:pPr>
        <w:pStyle w:val="Indenta"/>
      </w:pPr>
      <w:r>
        <w:tab/>
        <w:t>(b)</w:t>
      </w:r>
      <w:r>
        <w:tab/>
        <w:t>visits or stays at a household where the child is present; or</w:t>
      </w:r>
    </w:p>
    <w:p>
      <w:pPr>
        <w:pStyle w:val="Indenta"/>
      </w:pPr>
      <w:r>
        <w:tab/>
        <w:t>(c)</w:t>
      </w:r>
      <w:r>
        <w:tab/>
        <w:t>gives their contact details to the child or receives the child’s contact details; or</w:t>
      </w:r>
    </w:p>
    <w:p>
      <w:pPr>
        <w:pStyle w:val="Indenta"/>
      </w:pPr>
      <w:r>
        <w:tab/>
        <w:t>(d)</w:t>
      </w:r>
      <w:r>
        <w:tab/>
        <w:t>befriends or attempts to befriend the child.</w:t>
      </w:r>
    </w:p>
    <w:p>
      <w:pPr>
        <w:pStyle w:val="Subsection"/>
      </w:pPr>
      <w:r>
        <w:tab/>
        <w:t>(2)</w:t>
      </w:r>
      <w:r>
        <w:tab/>
        <w:t xml:space="preserve">For the purposes of this section, contact with a child by a reportable offender includes any of the following — </w:t>
      </w:r>
    </w:p>
    <w:p>
      <w:pPr>
        <w:pStyle w:val="Indenta"/>
      </w:pPr>
      <w:r>
        <w:tab/>
        <w:t>(a)</w:t>
      </w:r>
      <w:r>
        <w:tab/>
        <w:t xml:space="preserve">the offender having physical contact with the child; </w:t>
      </w:r>
    </w:p>
    <w:p>
      <w:pPr>
        <w:pStyle w:val="Indenta"/>
      </w:pPr>
      <w:r>
        <w:tab/>
        <w:t>(b)</w:t>
      </w:r>
      <w:r>
        <w:tab/>
        <w:t xml:space="preserve">the offender being in very close physical proximity to the child; </w:t>
      </w:r>
    </w:p>
    <w:p>
      <w:pPr>
        <w:pStyle w:val="Indenta"/>
      </w:pPr>
      <w:r>
        <w:tab/>
        <w:t>(c)</w:t>
      </w:r>
      <w:r>
        <w:tab/>
        <w:t>the offender communicating with the child (including oral or written communication or communication that takes place by mail, in person, by telephone or by electronic means).</w:t>
      </w:r>
    </w:p>
    <w:p>
      <w:pPr>
        <w:pStyle w:val="PermNoteHeading"/>
      </w:pPr>
      <w:r>
        <w:tab/>
        <w:t xml:space="preserve">Examples for this subsection: </w:t>
      </w:r>
    </w:p>
    <w:p>
      <w:pPr>
        <w:pStyle w:val="PermNoteText"/>
      </w:pPr>
      <w:r>
        <w:tab/>
      </w:r>
      <w:r>
        <w:tab/>
        <w:t>For the purposes of paragraph (c), electronic means includes internet, email, messaging service, chat room, social networking site, message board.</w:t>
      </w:r>
    </w:p>
    <w:p>
      <w:pPr>
        <w:pStyle w:val="Footnotesection"/>
      </w:pPr>
      <w:bookmarkStart w:id="15" w:name="_Toc180506967"/>
      <w:r>
        <w:tab/>
        <w:t>[Section 4A inserted: No. 35 of 2024 s. 5.]</w:t>
      </w:r>
    </w:p>
    <w:p>
      <w:pPr>
        <w:pStyle w:val="Heading5"/>
      </w:pPr>
      <w:bookmarkStart w:id="16" w:name="_Toc216772908"/>
      <w:bookmarkStart w:id="17" w:name="_Toc203745039"/>
      <w:r>
        <w:rPr>
          <w:rStyle w:val="CharSectno"/>
        </w:rPr>
        <w:t>4B</w:t>
      </w:r>
      <w:r>
        <w:t>.</w:t>
      </w:r>
      <w:r>
        <w:tab/>
        <w:t>Meaning of reportable contact details</w:t>
      </w:r>
      <w:bookmarkEnd w:id="16"/>
      <w:bookmarkEnd w:id="15"/>
      <w:bookmarkEnd w:id="17"/>
    </w:p>
    <w:p>
      <w:pPr>
        <w:pStyle w:val="Subsection"/>
        <w:keepNext/>
      </w:pPr>
      <w:r>
        <w:tab/>
        <w:t>(1)</w:t>
      </w:r>
      <w:r>
        <w:tab/>
        <w:t xml:space="preserve">For the purposes of this Act, </w:t>
      </w:r>
      <w:r>
        <w:rPr>
          <w:rStyle w:val="CharDefText"/>
        </w:rPr>
        <w:t>reportable contact details</w:t>
      </w:r>
      <w:r>
        <w:t xml:space="preserve">, in relation to a reportable offender’s reportable contact or likely reportable contact with a child, are — </w:t>
      </w:r>
    </w:p>
    <w:p>
      <w:pPr>
        <w:pStyle w:val="Indenta"/>
      </w:pPr>
      <w:r>
        <w:tab/>
        <w:t>(a)</w:t>
      </w:r>
      <w:r>
        <w:tab/>
        <w:t>the name, age and residential address (if known) and any other known contact details of each child with whom the offender has reportable contact or is likely to have reportable contact; and</w:t>
      </w:r>
    </w:p>
    <w:p>
      <w:pPr>
        <w:pStyle w:val="Indenta"/>
      </w:pPr>
      <w:r>
        <w:tab/>
        <w:t>(b)</w:t>
      </w:r>
      <w:r>
        <w:tab/>
        <w:t>the name and residential address (if known) and any other known contact details of each parent or guardian of each child referred to in paragraph (a); and</w:t>
      </w:r>
    </w:p>
    <w:p>
      <w:pPr>
        <w:pStyle w:val="Indenta"/>
      </w:pPr>
      <w:r>
        <w:tab/>
        <w:t>(c)</w:t>
      </w:r>
      <w:r>
        <w:tab/>
        <w:t>details related to the reportable contact or likely reportable contact with the child referred to in paragraph (a).</w:t>
      </w:r>
    </w:p>
    <w:p>
      <w:pPr>
        <w:pStyle w:val="Subsection"/>
      </w:pPr>
      <w:r>
        <w:tab/>
        <w:t>(2)</w:t>
      </w:r>
      <w:r>
        <w:tab/>
        <w:t>For the purposes of this section, details related to reportable contact or likely reportable contact with a child by a reportable offender are —</w:t>
      </w:r>
    </w:p>
    <w:p>
      <w:pPr>
        <w:pStyle w:val="Indenta"/>
      </w:pPr>
      <w:r>
        <w:tab/>
        <w:t>(a)</w:t>
      </w:r>
      <w:r>
        <w:tab/>
        <w:t>a description of the type of contact the offender has with the child or is likely to have with the child; and</w:t>
      </w:r>
    </w:p>
    <w:p>
      <w:pPr>
        <w:pStyle w:val="Indenta"/>
      </w:pPr>
      <w:r>
        <w:tab/>
        <w:t>(b)</w:t>
      </w:r>
      <w:r>
        <w:tab/>
        <w:t xml:space="preserve">whether the contact occurs or is likely to occur when the offender — </w:t>
      </w:r>
    </w:p>
    <w:p>
      <w:pPr>
        <w:pStyle w:val="Indenti"/>
      </w:pPr>
      <w:r>
        <w:tab/>
        <w:t>(i)</w:t>
      </w:r>
      <w:r>
        <w:tab/>
        <w:t>supervises or cares for the child; or</w:t>
      </w:r>
    </w:p>
    <w:p>
      <w:pPr>
        <w:pStyle w:val="Indenti"/>
      </w:pPr>
      <w:r>
        <w:tab/>
        <w:t>(ii)</w:t>
      </w:r>
      <w:r>
        <w:tab/>
        <w:t>visits or stays at a household where the child is present; or</w:t>
      </w:r>
    </w:p>
    <w:p>
      <w:pPr>
        <w:pStyle w:val="Indenti"/>
      </w:pPr>
      <w:r>
        <w:tab/>
        <w:t>(iii)</w:t>
      </w:r>
      <w:r>
        <w:tab/>
        <w:t>gives their contact details to the child or receives the child’s contact details; or</w:t>
      </w:r>
    </w:p>
    <w:p>
      <w:pPr>
        <w:pStyle w:val="Indenti"/>
      </w:pPr>
      <w:r>
        <w:tab/>
        <w:t>(iv)</w:t>
      </w:r>
      <w:r>
        <w:tab/>
        <w:t>befriends or attempts to befriend the child;</w:t>
      </w:r>
    </w:p>
    <w:p>
      <w:pPr>
        <w:pStyle w:val="Indenta"/>
      </w:pPr>
      <w:r>
        <w:tab/>
      </w:r>
      <w:r>
        <w:tab/>
        <w:t>and</w:t>
      </w:r>
    </w:p>
    <w:p>
      <w:pPr>
        <w:pStyle w:val="Indenta"/>
      </w:pPr>
      <w:r>
        <w:tab/>
        <w:t>(c)</w:t>
      </w:r>
      <w:r>
        <w:tab/>
        <w:t xml:space="preserve">any other prescribed details relating to the contact or likely contact. </w:t>
      </w:r>
    </w:p>
    <w:p>
      <w:pPr>
        <w:pStyle w:val="PermNoteHeading"/>
      </w:pPr>
      <w:r>
        <w:tab/>
        <w:t>Examples for this subsection:</w:t>
      </w:r>
    </w:p>
    <w:p>
      <w:pPr>
        <w:pStyle w:val="PermNoteText"/>
      </w:pPr>
      <w:r>
        <w:tab/>
      </w:r>
      <w:r>
        <w:tab/>
        <w:t>For the purposes of paragraph (a) — whether the contact involves or is likely to involve physical contact with the child, being in very close proximity to the child, or communication with the child (including communication by mail, in person, by telephone or by electronic means).</w:t>
      </w:r>
    </w:p>
    <w:p>
      <w:pPr>
        <w:pStyle w:val="PermNoteText"/>
      </w:pPr>
      <w:r>
        <w:tab/>
      </w:r>
      <w:r>
        <w:tab/>
        <w:t>For the purposes of paragraph (c) — frequency of contact.</w:t>
      </w:r>
    </w:p>
    <w:p>
      <w:pPr>
        <w:pStyle w:val="Footnotesection"/>
      </w:pPr>
      <w:r>
        <w:tab/>
        <w:t>[Section 4B inserted: No. 35 of 2024 s. 5.]</w:t>
      </w:r>
    </w:p>
    <w:p>
      <w:pPr>
        <w:pStyle w:val="Heading5"/>
      </w:pPr>
      <w:bookmarkStart w:id="18" w:name="_Toc216772909"/>
      <w:bookmarkStart w:id="19" w:name="_Toc203745040"/>
      <w:r>
        <w:rPr>
          <w:rStyle w:val="CharSectno"/>
        </w:rPr>
        <w:t>5</w:t>
      </w:r>
      <w:r>
        <w:t>.</w:t>
      </w:r>
      <w:r>
        <w:tab/>
        <w:t>Other reference provisions</w:t>
      </w:r>
      <w:bookmarkEnd w:id="18"/>
      <w:bookmarkEnd w:id="1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0" w:name="_Toc216772910"/>
      <w:bookmarkStart w:id="21" w:name="_Toc203658137"/>
      <w:bookmarkStart w:id="22" w:name="_Toc203745041"/>
      <w:r>
        <w:rPr>
          <w:rStyle w:val="CharPartNo"/>
        </w:rPr>
        <w:t>Part 2</w:t>
      </w:r>
      <w:r>
        <w:t> — </w:t>
      </w:r>
      <w:r>
        <w:rPr>
          <w:rStyle w:val="CharPartText"/>
        </w:rPr>
        <w:t>Offenders to whom Act applies</w:t>
      </w:r>
      <w:bookmarkEnd w:id="20"/>
      <w:bookmarkEnd w:id="21"/>
      <w:bookmarkEnd w:id="22"/>
    </w:p>
    <w:p>
      <w:pPr>
        <w:pStyle w:val="Heading3"/>
      </w:pPr>
      <w:bookmarkStart w:id="23" w:name="_Toc216772911"/>
      <w:bookmarkStart w:id="24" w:name="_Toc203658138"/>
      <w:bookmarkStart w:id="25" w:name="_Toc203745042"/>
      <w:r>
        <w:rPr>
          <w:rStyle w:val="CharDivNo"/>
        </w:rPr>
        <w:t>Division 1</w:t>
      </w:r>
      <w:r>
        <w:t> — </w:t>
      </w:r>
      <w:r>
        <w:rPr>
          <w:rStyle w:val="CharDivText"/>
        </w:rPr>
        <w:t>General</w:t>
      </w:r>
      <w:bookmarkEnd w:id="23"/>
      <w:bookmarkEnd w:id="24"/>
      <w:bookmarkEnd w:id="25"/>
    </w:p>
    <w:p>
      <w:pPr>
        <w:pStyle w:val="Heading5"/>
      </w:pPr>
      <w:bookmarkStart w:id="26" w:name="_Toc216772912"/>
      <w:bookmarkStart w:id="27" w:name="_Toc203745043"/>
      <w:r>
        <w:rPr>
          <w:rStyle w:val="CharSectno"/>
        </w:rPr>
        <w:t>6</w:t>
      </w:r>
      <w:r>
        <w:t>.</w:t>
      </w:r>
      <w:r>
        <w:tab/>
        <w:t>Reportable offenders</w:t>
      </w:r>
      <w:bookmarkEnd w:id="26"/>
      <w:bookmarkEnd w:id="27"/>
    </w:p>
    <w:p>
      <w:pPr>
        <w:pStyle w:val="Subsection"/>
      </w:pPr>
      <w:r>
        <w:tab/>
        <w:t>(1)</w:t>
      </w:r>
      <w:r>
        <w:tab/>
        <w:t>Subject to subsections (4), (5) and (5A),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a person is a reportable offender because of subsection (3), a person is not a reportable offender merely because the person as a child committed a single offence (including an offence under the laws of a foreign jurisdiction) that falls within a class of offences that are prescribed to be offences for the purposes of this subsection.</w:t>
      </w:r>
    </w:p>
    <w:p>
      <w:pPr>
        <w:pStyle w:val="Subsection"/>
      </w:pPr>
      <w:r>
        <w:tab/>
        <w:t>(5)</w:t>
      </w:r>
      <w:r>
        <w:tab/>
        <w:t>A person is also not a reportable offender if the person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(5A)</w:t>
      </w:r>
      <w:r>
        <w:tab/>
        <w:t>If a reporting order is made in relation to an offence committed by a person after the person is sentenced for the offence, the person is taken to be a reportable offender when the order is made rather than when the person is sentenced for the offence.</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the person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reporting order.</w:t>
      </w:r>
    </w:p>
    <w:p>
      <w:pPr>
        <w:pStyle w:val="Subsection"/>
      </w:pPr>
      <w:r>
        <w:tab/>
        <w:t>(8)</w:t>
      </w:r>
      <w:r>
        <w:tab/>
        <w:t>A reference to a single offence in subsection (4) includes a reference to more than one offence of the same kind arising from the same incident.</w:t>
      </w:r>
    </w:p>
    <w:p>
      <w:pPr>
        <w:pStyle w:val="Footnotesection"/>
      </w:pPr>
      <w:r>
        <w:tab/>
        <w:t>[Section 6 amended: No. 31 of 2024 s. 28; No. 35 of 2024 s. 6 and 59.]</w:t>
      </w:r>
    </w:p>
    <w:p>
      <w:pPr>
        <w:pStyle w:val="Heading5"/>
      </w:pPr>
      <w:bookmarkStart w:id="28" w:name="_Toc216772913"/>
      <w:bookmarkStart w:id="29" w:name="_Toc203745044"/>
      <w:r>
        <w:rPr>
          <w:rStyle w:val="CharSectno"/>
        </w:rPr>
        <w:t>7</w:t>
      </w:r>
      <w:r>
        <w:t>.</w:t>
      </w:r>
      <w:r>
        <w:tab/>
        <w:t>Corresponding reportable offenders</w:t>
      </w:r>
      <w:bookmarkEnd w:id="28"/>
      <w:bookmarkEnd w:id="29"/>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the person were currently in that foreign jurisdiction, be required to report to the corresponding registrar in that jurisdiction for a particular period; or</w:t>
      </w:r>
    </w:p>
    <w:p>
      <w:pPr>
        <w:pStyle w:val="Indenti"/>
      </w:pPr>
      <w:r>
        <w:tab/>
        <w:t>(ii)</w:t>
      </w:r>
      <w:r>
        <w:tab/>
        <w:t>falls within a class of persons who are prescribed to be corresponding reportable offenders for the purposes of this Act.</w:t>
      </w:r>
    </w:p>
    <w:p>
      <w:pPr>
        <w:pStyle w:val="Footnotesection"/>
      </w:pPr>
      <w:r>
        <w:tab/>
        <w:t>[Section 7 amended: No. 54 of 2012 s. 5; No. 31 of 2024 s. 28; No. 35 of 2024 s. 59.]</w:t>
      </w:r>
    </w:p>
    <w:p>
      <w:pPr>
        <w:pStyle w:val="Heading5"/>
      </w:pPr>
      <w:bookmarkStart w:id="30" w:name="_Toc216772914"/>
      <w:bookmarkStart w:id="31" w:name="_Toc203745045"/>
      <w:r>
        <w:rPr>
          <w:rStyle w:val="CharSectno"/>
        </w:rPr>
        <w:t>8</w:t>
      </w:r>
      <w:r>
        <w:t>.</w:t>
      </w:r>
      <w:r>
        <w:tab/>
        <w:t>New South Wales reportable offenders</w:t>
      </w:r>
      <w:bookmarkEnd w:id="30"/>
      <w:bookmarkEnd w:id="3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not to be a New South Wales reportable offender for the purposes of this Act.</w:t>
      </w:r>
    </w:p>
    <w:p>
      <w:pPr>
        <w:pStyle w:val="Footnotesection"/>
      </w:pPr>
      <w:r>
        <w:tab/>
        <w:t>[Section 8 amended: No. 35 of 2024 s. 59.]</w:t>
      </w:r>
    </w:p>
    <w:p>
      <w:pPr>
        <w:pStyle w:val="Heading5"/>
      </w:pPr>
      <w:bookmarkStart w:id="32" w:name="_Toc216772915"/>
      <w:bookmarkStart w:id="33" w:name="_Toc203745046"/>
      <w:r>
        <w:rPr>
          <w:rStyle w:val="CharSectno"/>
        </w:rPr>
        <w:t>9</w:t>
      </w:r>
      <w:r>
        <w:t>.</w:t>
      </w:r>
      <w:r>
        <w:tab/>
        <w:t>Reportable offences</w:t>
      </w:r>
      <w:bookmarkEnd w:id="32"/>
      <w:bookmarkEnd w:id="33"/>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4" w:name="_Toc216772916"/>
      <w:bookmarkStart w:id="35" w:name="_Toc203745047"/>
      <w:r>
        <w:rPr>
          <w:rStyle w:val="CharSectno"/>
        </w:rPr>
        <w:t>10</w:t>
      </w:r>
      <w:r>
        <w:t>.</w:t>
      </w:r>
      <w:r>
        <w:tab/>
        <w:t>Class 1 offences</w:t>
      </w:r>
      <w:bookmarkEnd w:id="34"/>
      <w:bookmarkEnd w:id="35"/>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pPr>
      <w:r>
        <w:tab/>
        <w:t>[Section 10 amended: No. 35 of 2024 s. 59.]</w:t>
      </w:r>
    </w:p>
    <w:p>
      <w:pPr>
        <w:pStyle w:val="Heading5"/>
      </w:pPr>
      <w:bookmarkStart w:id="36" w:name="_Toc216772917"/>
      <w:bookmarkStart w:id="37" w:name="_Toc203745048"/>
      <w:r>
        <w:rPr>
          <w:rStyle w:val="CharSectno"/>
        </w:rPr>
        <w:t>11</w:t>
      </w:r>
      <w:r>
        <w:t>.</w:t>
      </w:r>
      <w:r>
        <w:tab/>
        <w:t>Class 2 offences</w:t>
      </w:r>
      <w:bookmarkEnd w:id="36"/>
      <w:bookmarkEnd w:id="37"/>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keepNext/>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pPr>
      <w:r>
        <w:tab/>
        <w:t>[Section 11 amended: No. 35 of 2024 s. 59.]</w:t>
      </w:r>
    </w:p>
    <w:p>
      <w:pPr>
        <w:pStyle w:val="Ednotesection"/>
      </w:pPr>
      <w:r>
        <w:t>[</w:t>
      </w:r>
      <w:r>
        <w:rPr>
          <w:b/>
          <w:bCs/>
        </w:rPr>
        <w:t>12.</w:t>
      </w:r>
      <w:r>
        <w:tab/>
        <w:t>Has not come into operation.]</w:t>
      </w:r>
    </w:p>
    <w:p>
      <w:pPr>
        <w:pStyle w:val="Heading5"/>
      </w:pPr>
      <w:bookmarkStart w:id="38" w:name="_Toc216772918"/>
      <w:bookmarkStart w:id="39" w:name="_Toc203745049"/>
      <w:r>
        <w:rPr>
          <w:rStyle w:val="CharSectno"/>
        </w:rPr>
        <w:t>13</w:t>
      </w:r>
      <w:r>
        <w:t>.</w:t>
      </w:r>
      <w:r>
        <w:tab/>
        <w:t>Offender reporting orders</w:t>
      </w:r>
      <w:bookmarkEnd w:id="38"/>
      <w:bookmarkEnd w:id="39"/>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keepNext/>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0" w:name="_Toc216772919"/>
      <w:bookmarkStart w:id="41" w:name="_Toc203745050"/>
      <w:r>
        <w:rPr>
          <w:rStyle w:val="CharSectno"/>
        </w:rPr>
        <w:t>14A</w:t>
      </w:r>
      <w:r>
        <w:t>.</w:t>
      </w:r>
      <w:r>
        <w:tab/>
        <w:t>Consent orders</w:t>
      </w:r>
      <w:bookmarkEnd w:id="40"/>
      <w:bookmarkEnd w:id="41"/>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2" w:name="_Toc216772920"/>
      <w:bookmarkStart w:id="43" w:name="_Toc203658147"/>
      <w:bookmarkStart w:id="44" w:name="_Toc203745051"/>
      <w:r>
        <w:rPr>
          <w:rStyle w:val="CharDivNo"/>
        </w:rPr>
        <w:t>Division 2</w:t>
      </w:r>
      <w:r>
        <w:t> — </w:t>
      </w:r>
      <w:r>
        <w:rPr>
          <w:rStyle w:val="CharDivText"/>
        </w:rPr>
        <w:t>Past offender reporting orders</w:t>
      </w:r>
      <w:bookmarkEnd w:id="42"/>
      <w:bookmarkEnd w:id="43"/>
      <w:bookmarkEnd w:id="44"/>
    </w:p>
    <w:p>
      <w:pPr>
        <w:pStyle w:val="Heading5"/>
      </w:pPr>
      <w:bookmarkStart w:id="45" w:name="_Toc216772921"/>
      <w:bookmarkStart w:id="46" w:name="_Toc203745052"/>
      <w:r>
        <w:rPr>
          <w:rStyle w:val="CharSectno"/>
        </w:rPr>
        <w:t>14</w:t>
      </w:r>
      <w:r>
        <w:t>.</w:t>
      </w:r>
      <w:r>
        <w:tab/>
        <w:t>Terms used</w:t>
      </w:r>
      <w:bookmarkEnd w:id="45"/>
      <w:bookmarkEnd w:id="46"/>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past offender reporting order is made;</w:t>
      </w:r>
    </w:p>
    <w:p>
      <w:pPr>
        <w:pStyle w:val="Defstart"/>
      </w:pPr>
      <w:r>
        <w:rPr>
          <w:b/>
        </w:rPr>
        <w:tab/>
      </w:r>
      <w:r>
        <w:rPr>
          <w:rStyle w:val="CharDefText"/>
        </w:rPr>
        <w:t>respondent</w:t>
      </w:r>
      <w:r>
        <w:t xml:space="preserve"> means the person who is subject to a past offender reporting order or in respect of whom a past offender reporting order is sought.</w:t>
      </w:r>
    </w:p>
    <w:p>
      <w:pPr>
        <w:pStyle w:val="Footnotesection"/>
      </w:pPr>
      <w:r>
        <w:tab/>
        <w:t>[Section 14 amended: No. 35 of 2024 s. 7.]</w:t>
      </w:r>
    </w:p>
    <w:p>
      <w:pPr>
        <w:pStyle w:val="Heading5"/>
      </w:pPr>
      <w:bookmarkStart w:id="47" w:name="_Toc216772922"/>
      <w:bookmarkStart w:id="48" w:name="_Toc203745053"/>
      <w:r>
        <w:rPr>
          <w:rStyle w:val="CharSectno"/>
        </w:rPr>
        <w:t>15</w:t>
      </w:r>
      <w:r>
        <w:t>.</w:t>
      </w:r>
      <w:r>
        <w:tab/>
        <w:t>Commissioner may apply for reporting orders</w:t>
      </w:r>
      <w:bookmarkEnd w:id="47"/>
      <w:bookmarkEnd w:id="48"/>
    </w:p>
    <w:p>
      <w:pPr>
        <w:pStyle w:val="Subsection"/>
        <w:keepNext/>
      </w:pPr>
      <w:r>
        <w:tab/>
      </w:r>
      <w:r>
        <w:tab/>
        <w:t xml:space="preserve">If — </w:t>
      </w:r>
    </w:p>
    <w:p>
      <w:pPr>
        <w:pStyle w:val="Indenta"/>
      </w:pPr>
      <w:r>
        <w:tab/>
        <w:t>(a)</w:t>
      </w:r>
      <w:r>
        <w:tab/>
        <w:t>a person has been sentenced before the commencement day for an offence; and</w:t>
      </w:r>
    </w:p>
    <w:p>
      <w:pPr>
        <w:pStyle w:val="Indenta"/>
        <w:keepNext/>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49" w:name="_Toc216772923"/>
      <w:bookmarkStart w:id="50" w:name="_Toc203745054"/>
      <w:r>
        <w:rPr>
          <w:rStyle w:val="CharSectno"/>
        </w:rPr>
        <w:t>16</w:t>
      </w:r>
      <w:r>
        <w:t>.</w:t>
      </w:r>
      <w:r>
        <w:tab/>
        <w:t>Fixing a hearing</w:t>
      </w:r>
      <w:bookmarkEnd w:id="49"/>
      <w:bookmarkEnd w:id="50"/>
    </w:p>
    <w:p>
      <w:pPr>
        <w:pStyle w:val="Subsection"/>
        <w:keepNext/>
        <w:keepLines/>
      </w:pPr>
      <w:r>
        <w:tab/>
      </w:r>
      <w:r>
        <w:tab/>
        <w:t xml:space="preserve">When an application for a past offender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Footnotesection"/>
      </w:pPr>
      <w:r>
        <w:tab/>
        <w:t>[Section 16 amended: No. 35 of 2024 s. 8.]</w:t>
      </w:r>
    </w:p>
    <w:p>
      <w:pPr>
        <w:pStyle w:val="Heading5"/>
      </w:pPr>
      <w:bookmarkStart w:id="51" w:name="_Toc216772924"/>
      <w:bookmarkStart w:id="52" w:name="_Toc203745055"/>
      <w:r>
        <w:rPr>
          <w:rStyle w:val="CharSectno"/>
        </w:rPr>
        <w:t>17</w:t>
      </w:r>
      <w:r>
        <w:t>.</w:t>
      </w:r>
      <w:r>
        <w:tab/>
        <w:t>Evidence</w:t>
      </w:r>
      <w:bookmarkEnd w:id="51"/>
      <w:bookmarkEnd w:id="52"/>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keepNext/>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keepNext/>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53" w:name="_Toc216772925"/>
      <w:bookmarkStart w:id="54" w:name="_Toc203745056"/>
      <w:r>
        <w:rPr>
          <w:rStyle w:val="CharSectno"/>
        </w:rPr>
        <w:t>18</w:t>
      </w:r>
      <w:r>
        <w:t>.</w:t>
      </w:r>
      <w:r>
        <w:tab/>
        <w:t>How application to be disposed of</w:t>
      </w:r>
      <w:bookmarkEnd w:id="53"/>
      <w:bookmarkEnd w:id="54"/>
    </w:p>
    <w:p>
      <w:pPr>
        <w:pStyle w:val="Subsection"/>
        <w:keepNext/>
      </w:pPr>
      <w:r>
        <w:tab/>
      </w:r>
      <w:r>
        <w:tab/>
        <w:t xml:space="preserve">The court may dispose of the application — </w:t>
      </w:r>
    </w:p>
    <w:p>
      <w:pPr>
        <w:pStyle w:val="Indenta"/>
      </w:pPr>
      <w:r>
        <w:tab/>
        <w:t>(a)</w:t>
      </w:r>
      <w:r>
        <w:tab/>
        <w:t>by making a past offender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18 amended: No. 35 of 2024 s. 9.]</w:t>
      </w:r>
    </w:p>
    <w:p>
      <w:pPr>
        <w:pStyle w:val="Heading5"/>
        <w:spacing w:before="180"/>
      </w:pPr>
      <w:bookmarkStart w:id="55" w:name="_Toc216772926"/>
      <w:bookmarkStart w:id="56" w:name="_Toc203745057"/>
      <w:r>
        <w:rPr>
          <w:rStyle w:val="CharSectno"/>
        </w:rPr>
        <w:t>19</w:t>
      </w:r>
      <w:r>
        <w:t>.</w:t>
      </w:r>
      <w:r>
        <w:tab/>
        <w:t>Court may make past offender reporting orders</w:t>
      </w:r>
      <w:bookmarkEnd w:id="55"/>
      <w:bookmarkEnd w:id="56"/>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57" w:name="_Toc216772927"/>
      <w:bookmarkStart w:id="58" w:name="_Toc203745058"/>
      <w:r>
        <w:rPr>
          <w:rStyle w:val="CharSectno"/>
        </w:rPr>
        <w:t>20A</w:t>
      </w:r>
      <w:r>
        <w:t>.</w:t>
      </w:r>
      <w:r>
        <w:tab/>
        <w:t>Consent orders</w:t>
      </w:r>
      <w:bookmarkEnd w:id="57"/>
      <w:bookmarkEnd w:id="58"/>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 xml:space="preserve">On an application under section 15, a court may make a </w:t>
      </w:r>
      <w:r>
        <w:t>past offender reporting order</w:t>
      </w:r>
      <w:r>
        <w:rPr>
          <w:color w:val="000000"/>
        </w:rPr>
        <w:t xml:space="preserve"> without being subject to section 19 if the applicant and the past offender consent to the making of the order.</w:t>
      </w:r>
    </w:p>
    <w:p>
      <w:pPr>
        <w:pStyle w:val="Footnotesection"/>
      </w:pPr>
      <w:r>
        <w:tab/>
        <w:t>[Section 20A inserted: No. 54 of 2012 s. 10; amended: No. 35 of 2024 s. 10.]</w:t>
      </w:r>
    </w:p>
    <w:p>
      <w:pPr>
        <w:pStyle w:val="Heading5"/>
        <w:spacing w:before="180"/>
      </w:pPr>
      <w:bookmarkStart w:id="59" w:name="_Toc216772928"/>
      <w:bookmarkStart w:id="60" w:name="_Toc203745059"/>
      <w:r>
        <w:rPr>
          <w:rStyle w:val="CharSectno"/>
        </w:rPr>
        <w:t>20</w:t>
      </w:r>
      <w:r>
        <w:t>.</w:t>
      </w:r>
      <w:r>
        <w:tab/>
        <w:t>Attendance at hearings</w:t>
      </w:r>
      <w:bookmarkEnd w:id="59"/>
      <w:bookmarkEnd w:id="60"/>
    </w:p>
    <w:p>
      <w:pPr>
        <w:pStyle w:val="Subsection"/>
        <w:keepNext/>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1" w:name="_Toc216772929"/>
      <w:bookmarkStart w:id="62" w:name="_Toc203745060"/>
      <w:r>
        <w:rPr>
          <w:rStyle w:val="CharSectno"/>
        </w:rPr>
        <w:t>21</w:t>
      </w:r>
      <w:r>
        <w:t>.</w:t>
      </w:r>
      <w:r>
        <w:tab/>
        <w:t>Notification of orders made in absence of respondent</w:t>
      </w:r>
      <w:bookmarkEnd w:id="61"/>
      <w:bookmarkEnd w:id="62"/>
    </w:p>
    <w:p>
      <w:pPr>
        <w:pStyle w:val="Subsection"/>
      </w:pPr>
      <w:r>
        <w:tab/>
      </w:r>
      <w:r>
        <w:tab/>
        <w:t>The registrar of a court that makes a past offender reporting order in the absence of the respondent must cause a copy of the order to be served on the respondent.</w:t>
      </w:r>
    </w:p>
    <w:p>
      <w:pPr>
        <w:pStyle w:val="Footnotesection"/>
      </w:pPr>
      <w:r>
        <w:tab/>
        <w:t>[Section 21 amended: No. 35 of 2024 s. 11.]</w:t>
      </w:r>
    </w:p>
    <w:p>
      <w:pPr>
        <w:pStyle w:val="Heading5"/>
      </w:pPr>
      <w:bookmarkStart w:id="63" w:name="_Toc216772930"/>
      <w:bookmarkStart w:id="64" w:name="_Toc203745061"/>
      <w:r>
        <w:rPr>
          <w:rStyle w:val="CharSectno"/>
        </w:rPr>
        <w:t>22</w:t>
      </w:r>
      <w:r>
        <w:t>.</w:t>
      </w:r>
      <w:r>
        <w:tab/>
        <w:t>Appeals</w:t>
      </w:r>
      <w:bookmarkEnd w:id="63"/>
      <w:bookmarkEnd w:id="64"/>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past offender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 No. 35 of 2024 s. 12.]</w:t>
      </w:r>
    </w:p>
    <w:p>
      <w:pPr>
        <w:pStyle w:val="Heading5"/>
      </w:pPr>
      <w:bookmarkStart w:id="65" w:name="_Toc216772931"/>
      <w:bookmarkStart w:id="66" w:name="_Toc203745062"/>
      <w:r>
        <w:rPr>
          <w:rStyle w:val="CharSectno"/>
        </w:rPr>
        <w:t>23</w:t>
      </w:r>
      <w:r>
        <w:t>.</w:t>
      </w:r>
      <w:r>
        <w:tab/>
        <w:t>Appeal does not stay order</w:t>
      </w:r>
      <w:bookmarkEnd w:id="65"/>
      <w:bookmarkEnd w:id="66"/>
    </w:p>
    <w:p>
      <w:pPr>
        <w:pStyle w:val="Subsection"/>
      </w:pPr>
      <w:r>
        <w:tab/>
      </w:r>
      <w:r>
        <w:tab/>
        <w:t>An appeal against an order made under this Part does not operate to stay the operation of the order unless the court to which the appeal is made so orders.</w:t>
      </w:r>
    </w:p>
    <w:p>
      <w:pPr>
        <w:pStyle w:val="Heading2"/>
      </w:pPr>
      <w:bookmarkStart w:id="67" w:name="_Toc216772932"/>
      <w:bookmarkStart w:id="68" w:name="_Toc203658159"/>
      <w:bookmarkStart w:id="69" w:name="_Toc203745063"/>
      <w:r>
        <w:rPr>
          <w:rStyle w:val="CharPartNo"/>
        </w:rPr>
        <w:t>Part 3</w:t>
      </w:r>
      <w:r>
        <w:t> — </w:t>
      </w:r>
      <w:r>
        <w:rPr>
          <w:rStyle w:val="CharPartText"/>
        </w:rPr>
        <w:t>Reporting obligations</w:t>
      </w:r>
      <w:bookmarkEnd w:id="67"/>
      <w:bookmarkEnd w:id="68"/>
      <w:bookmarkEnd w:id="69"/>
    </w:p>
    <w:p>
      <w:pPr>
        <w:pStyle w:val="Heading3"/>
      </w:pPr>
      <w:bookmarkStart w:id="70" w:name="_Toc216772933"/>
      <w:bookmarkStart w:id="71" w:name="_Toc203658160"/>
      <w:bookmarkStart w:id="72" w:name="_Toc203745064"/>
      <w:r>
        <w:rPr>
          <w:rStyle w:val="CharDivNo"/>
        </w:rPr>
        <w:t>Division 1</w:t>
      </w:r>
      <w:r>
        <w:t> — </w:t>
      </w:r>
      <w:r>
        <w:rPr>
          <w:rStyle w:val="CharDivText"/>
        </w:rPr>
        <w:t>Initial report</w:t>
      </w:r>
      <w:bookmarkEnd w:id="70"/>
      <w:bookmarkEnd w:id="71"/>
      <w:bookmarkEnd w:id="72"/>
    </w:p>
    <w:p>
      <w:pPr>
        <w:pStyle w:val="Heading5"/>
      </w:pPr>
      <w:bookmarkStart w:id="73" w:name="_Toc216772934"/>
      <w:bookmarkStart w:id="74" w:name="_Toc203745065"/>
      <w:r>
        <w:rPr>
          <w:rStyle w:val="CharSectno"/>
        </w:rPr>
        <w:t>24</w:t>
      </w:r>
      <w:r>
        <w:t>.</w:t>
      </w:r>
      <w:r>
        <w:tab/>
        <w:t>When report must be made</w:t>
      </w:r>
      <w:bookmarkEnd w:id="73"/>
      <w:bookmarkEnd w:id="74"/>
    </w:p>
    <w:p>
      <w:pPr>
        <w:pStyle w:val="Subsection"/>
      </w:pPr>
      <w:r>
        <w:tab/>
        <w:t>(1)</w:t>
      </w:r>
      <w:r>
        <w:tab/>
        <w:t>Subject to subsection (2A), a reportable offender of a kind referred to in column 1 of the Table to this subsection must report the offender’s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the offender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the offender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the offender is given written notice of the offender’s reporting obligations within 53 days after that day, within 7 days after the offender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the offender is sentenced</w:t>
            </w:r>
          </w:p>
        </w:tc>
      </w:tr>
      <w:tr>
        <w:tc>
          <w:tcPr>
            <w:tcW w:w="2976" w:type="dxa"/>
          </w:tcPr>
          <w:p>
            <w:pPr>
              <w:pStyle w:val="Table"/>
              <w:spacing w:before="120"/>
            </w:pPr>
            <w:r>
              <w:t>A reportable offender who enters Western Australia from a foreign jurisdiction and who has not previously been required under this section to report the offender’s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the offender’s personal details to the Commissioner and who is in Western Australia on the date on which the offender becomes a corresponding reportable offender</w:t>
            </w:r>
          </w:p>
        </w:tc>
        <w:tc>
          <w:tcPr>
            <w:tcW w:w="3545" w:type="dxa"/>
            <w:tcBorders>
              <w:bottom w:val="single" w:sz="4" w:space="0" w:color="auto"/>
            </w:tcBorders>
          </w:tcPr>
          <w:p>
            <w:pPr>
              <w:pStyle w:val="Table"/>
              <w:spacing w:before="120"/>
            </w:pPr>
            <w:r>
              <w:t>Within 7 days after the offender becomes a corresponding reportable offender or 7 days after the offender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w:t>
      </w:r>
      <w:r>
        <w:t>a reporting order</w:t>
      </w:r>
      <w:r>
        <w:rPr>
          <w:color w:val="000000"/>
        </w:rPr>
        <w:t xml:space="preserve"> must report </w:t>
      </w:r>
      <w:r>
        <w:t>the offender’s</w:t>
      </w:r>
      <w:r>
        <w:rPr>
          <w:color w:val="000000"/>
        </w:rPr>
        <w:t xml:space="preserve"> personal details to the Commissioner — </w:t>
      </w:r>
    </w:p>
    <w:p>
      <w:pPr>
        <w:pStyle w:val="Indenta"/>
      </w:pPr>
      <w:r>
        <w:tab/>
        <w:t>(a)</w:t>
      </w:r>
      <w:r>
        <w:tab/>
        <w:t>within 7 days after the order is made; or</w:t>
      </w:r>
    </w:p>
    <w:p>
      <w:pPr>
        <w:pStyle w:val="Indenta"/>
      </w:pPr>
      <w:r>
        <w:tab/>
        <w:t>(b)</w:t>
      </w:r>
      <w:r>
        <w:tab/>
        <w:t>if the offender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24 amended: No. 54 of 2012 s. 12; No. 31 of 2024 s. 28; No. 35 of 2024 s. 13.]</w:t>
      </w:r>
    </w:p>
    <w:p>
      <w:pPr>
        <w:pStyle w:val="Heading5"/>
      </w:pPr>
      <w:bookmarkStart w:id="75" w:name="_Toc216772935"/>
      <w:bookmarkStart w:id="76" w:name="_Toc203745066"/>
      <w:r>
        <w:rPr>
          <w:rStyle w:val="CharSectno"/>
        </w:rPr>
        <w:t>25</w:t>
      </w:r>
      <w:r>
        <w:t>.</w:t>
      </w:r>
      <w:r>
        <w:tab/>
        <w:t>When new initial report must be made by offender whose previous reporting obligations have ceased</w:t>
      </w:r>
      <w:bookmarkEnd w:id="75"/>
      <w:bookmarkEnd w:id="76"/>
    </w:p>
    <w:p>
      <w:pPr>
        <w:pStyle w:val="Subsection"/>
      </w:pPr>
      <w:r>
        <w:tab/>
        <w:t>(1)</w:t>
      </w:r>
      <w:r>
        <w:tab/>
        <w:t xml:space="preserve">If a reportable offender’s reporting period expires but the offender is then sentenced for a reportable offence, the offender must report the offender’s personal details to the Commissioner — </w:t>
      </w:r>
    </w:p>
    <w:p>
      <w:pPr>
        <w:pStyle w:val="Indenta"/>
      </w:pPr>
      <w:r>
        <w:tab/>
        <w:t>(a)</w:t>
      </w:r>
      <w:r>
        <w:tab/>
        <w:t>within 7 days after being sentenced for the reportable offence; or</w:t>
      </w:r>
    </w:p>
    <w:p>
      <w:pPr>
        <w:pStyle w:val="Indenta"/>
      </w:pPr>
      <w:r>
        <w:tab/>
        <w:t>(aa)</w:t>
      </w:r>
      <w:r>
        <w:tab/>
        <w:t>if the offence results in the making of a reporting order that is not made at the time of sentencing for the offence – within 7 days after the order is made;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the offender then becomes a corresponding reportable offender who must under section 49 continue to comply with the reporting obligations imposed by this Part for any period, the offender must report the offender’s personal details to the Commissioner — </w:t>
      </w:r>
    </w:p>
    <w:p>
      <w:pPr>
        <w:pStyle w:val="Indenta"/>
      </w:pPr>
      <w:r>
        <w:tab/>
        <w:t>(a)</w:t>
      </w:r>
      <w:r>
        <w:tab/>
        <w:t>within 7 days after becoming a corresponding reportable offender;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the offender’s personal details to the Commissioner — </w:t>
      </w:r>
    </w:p>
    <w:p>
      <w:pPr>
        <w:pStyle w:val="Indenta"/>
      </w:pPr>
      <w:r>
        <w:tab/>
        <w:t>(a)</w:t>
      </w:r>
      <w:r>
        <w:tab/>
        <w:t>within 7 days after the order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the offender’s personal details to the Commissioner — </w:t>
      </w:r>
    </w:p>
    <w:p>
      <w:pPr>
        <w:pStyle w:val="Indenta"/>
      </w:pPr>
      <w:r>
        <w:tab/>
        <w:t>(a)</w:t>
      </w:r>
      <w:r>
        <w:tab/>
        <w:t>within 7 days after the approval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the offender would be required under subsection (1), (2), (3) or (4) to report the offender’s personal details to the Commissioner, then the offender must report the offender’s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the person does not remain in Western Australia for 14 or more consecutive days, not counting any days spent in government custody.</w:t>
      </w:r>
    </w:p>
    <w:p>
      <w:pPr>
        <w:pStyle w:val="Subsection"/>
      </w:pPr>
      <w:r>
        <w:tab/>
        <w:t>(7)</w:t>
      </w:r>
      <w:r>
        <w:tab/>
        <w:t>Despite subsections (1), (2), (3) and (4), 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25 amended: No. 31 of 2024 s. 28; No. 35 of 2024 s. 14.]</w:t>
      </w:r>
    </w:p>
    <w:p>
      <w:pPr>
        <w:pStyle w:val="Heading5"/>
      </w:pPr>
      <w:bookmarkStart w:id="77" w:name="_Toc216772936"/>
      <w:bookmarkStart w:id="78" w:name="_Toc203745067"/>
      <w:r>
        <w:rPr>
          <w:rStyle w:val="CharSectno"/>
        </w:rPr>
        <w:t>26</w:t>
      </w:r>
      <w:r>
        <w:t>.</w:t>
      </w:r>
      <w:r>
        <w:tab/>
        <w:t>Initial report by reportable offender of personal details</w:t>
      </w:r>
      <w:bookmarkEnd w:id="77"/>
      <w:bookmarkEnd w:id="78"/>
    </w:p>
    <w:p>
      <w:pPr>
        <w:pStyle w:val="Subsection"/>
      </w:pPr>
      <w:r>
        <w:tab/>
        <w:t>(1)</w:t>
      </w:r>
      <w:r>
        <w:tab/>
        <w:t xml:space="preserve">The details the reportable offender must report are — </w:t>
      </w:r>
    </w:p>
    <w:p>
      <w:pPr>
        <w:pStyle w:val="Indenta"/>
        <w:spacing w:before="100"/>
      </w:pPr>
      <w:r>
        <w:tab/>
        <w:t>(a)</w:t>
      </w:r>
      <w:r>
        <w:tab/>
        <w:t>the offender’s name, together with any other name by which the offender is, or has previously been, known; and</w:t>
      </w:r>
    </w:p>
    <w:p>
      <w:pPr>
        <w:pStyle w:val="Indenta"/>
        <w:spacing w:before="100"/>
      </w:pPr>
      <w:r>
        <w:tab/>
        <w:t>(b)</w:t>
      </w:r>
      <w:r>
        <w:tab/>
        <w:t>in respect of each name other than the offender’s current name, the period during which the offender was known by that other name; and</w:t>
      </w:r>
    </w:p>
    <w:p>
      <w:pPr>
        <w:pStyle w:val="Indenta"/>
        <w:keepNext/>
        <w:spacing w:before="100"/>
      </w:pPr>
      <w:r>
        <w:tab/>
        <w:t>(c)</w:t>
      </w:r>
      <w:r>
        <w:tab/>
        <w:t>the offender’s date of birth; and</w:t>
      </w:r>
    </w:p>
    <w:p>
      <w:pPr>
        <w:pStyle w:val="Indenta"/>
      </w:pPr>
      <w:r>
        <w:tab/>
        <w:t>(ca)</w:t>
      </w:r>
      <w:r>
        <w:tab/>
        <w:t xml:space="preserve">the offender’s sex or gender — </w:t>
      </w:r>
    </w:p>
    <w:p>
      <w:pPr>
        <w:pStyle w:val="Indenti"/>
      </w:pPr>
      <w:r>
        <w:tab/>
        <w:t>(i)</w:t>
      </w:r>
      <w:r>
        <w:tab/>
        <w:t xml:space="preserve">as registered under the </w:t>
      </w:r>
      <w:r>
        <w:rPr>
          <w:i/>
        </w:rPr>
        <w:t>Births, Deaths and Marriages Registration Act 1998</w:t>
      </w:r>
      <w:r>
        <w:t xml:space="preserve"> or a corresponding law (as defined in section 4 of that Act); or</w:t>
      </w:r>
    </w:p>
    <w:p>
      <w:pPr>
        <w:pStyle w:val="Indenti"/>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pPr>
        <w:pStyle w:val="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pPr>
        <w:pStyle w:val="Indenta"/>
      </w:pPr>
      <w:r>
        <w:tab/>
      </w:r>
      <w:r>
        <w:tab/>
        <w:t>and</w:t>
      </w:r>
    </w:p>
    <w:p>
      <w:pPr>
        <w:pStyle w:val="Indenta"/>
      </w:pPr>
      <w:r>
        <w:tab/>
        <w:t>(cb)</w:t>
      </w:r>
      <w:r>
        <w:tab/>
        <w:t>details of each foreign citizenship that the offender holds (if any), including the name of the country for which it is held; and</w:t>
      </w:r>
    </w:p>
    <w:p>
      <w:pPr>
        <w:pStyle w:val="Indenta"/>
        <w:spacing w:before="100"/>
      </w:pPr>
      <w:r>
        <w:tab/>
        <w:t>(daa)</w:t>
      </w:r>
      <w:r>
        <w:tab/>
        <w:t>details of each passport that the offender holds (if any), including its number and expiry date and the name of the country that issued it; and</w:t>
      </w:r>
    </w:p>
    <w:p>
      <w:pPr>
        <w:pStyle w:val="Indenta"/>
      </w:pPr>
      <w:r>
        <w:tab/>
        <w:t>(d)</w:t>
      </w:r>
      <w:r>
        <w:tab/>
        <w:t xml:space="preserve">the address of each of the following — </w:t>
      </w:r>
    </w:p>
    <w:p>
      <w:pPr>
        <w:pStyle w:val="Indenti"/>
      </w:pPr>
      <w:r>
        <w:tab/>
        <w:t>(i)</w:t>
      </w:r>
      <w:r>
        <w:tab/>
        <w:t>each premises at which the offender generally resides or, if they do not generally reside at any particular premises, the name of each of the localities in which they can generally be found;</w:t>
      </w:r>
    </w:p>
    <w:p>
      <w:pPr>
        <w:pStyle w:val="Indenti"/>
      </w:pPr>
      <w:r>
        <w:tab/>
        <w:t>(ii)</w:t>
      </w:r>
      <w:r>
        <w:tab/>
        <w:t>each other premises (including a storage facility), if any, owned or rented by the offender or of which the offender has control or management;</w:t>
      </w:r>
    </w:p>
    <w:p>
      <w:pPr>
        <w:pStyle w:val="Indenta"/>
      </w:pPr>
      <w:r>
        <w:tab/>
      </w:r>
      <w:r>
        <w:tab/>
        <w:t>and</w:t>
      </w:r>
    </w:p>
    <w:p>
      <w:pPr>
        <w:pStyle w:val="Indenta"/>
        <w:spacing w:before="100"/>
      </w:pPr>
      <w:r>
        <w:tab/>
        <w:t>(da)</w:t>
      </w:r>
      <w:r>
        <w:tab/>
        <w:t>each telephone number that the offender has or that the offender regularly uses; and</w:t>
      </w:r>
    </w:p>
    <w:p>
      <w:pPr>
        <w:pStyle w:val="Indenta"/>
        <w:spacing w:before="100"/>
      </w:pPr>
      <w:r>
        <w:tab/>
        <w:t>(db)</w:t>
      </w:r>
      <w:r>
        <w:tab/>
        <w:t>each email address (if any) that the offender has or that the offender regularly uses; and</w:t>
      </w:r>
    </w:p>
    <w:p>
      <w:pPr>
        <w:pStyle w:val="Indenta"/>
        <w:spacing w:before="100"/>
      </w:pPr>
      <w:r>
        <w:tab/>
        <w:t>(dc)</w:t>
      </w:r>
      <w:r>
        <w:tab/>
        <w:t xml:space="preserve">the name of each Internet service provider whose Internet carriage service — </w:t>
      </w:r>
    </w:p>
    <w:p>
      <w:pPr>
        <w:pStyle w:val="Indenti"/>
        <w:spacing w:before="100"/>
      </w:pPr>
      <w:r>
        <w:tab/>
        <w:t>(i)</w:t>
      </w:r>
      <w:r>
        <w:tab/>
        <w:t>the offender is supplied with; or</w:t>
      </w:r>
    </w:p>
    <w:p>
      <w:pPr>
        <w:pStyle w:val="Indenti"/>
        <w:spacing w:before="100"/>
      </w:pPr>
      <w:r>
        <w:tab/>
        <w:t>(ii)</w:t>
      </w:r>
      <w:r>
        <w:tab/>
        <w:t>the offender regularly uses;</w:t>
      </w:r>
    </w:p>
    <w:p>
      <w:pPr>
        <w:pStyle w:val="Indenta"/>
        <w:spacing w:before="100"/>
      </w:pPr>
      <w:r>
        <w:tab/>
      </w:r>
      <w:r>
        <w:tab/>
        <w:t>and</w:t>
      </w:r>
    </w:p>
    <w:p>
      <w:pPr>
        <w:pStyle w:val="Indenta"/>
      </w:pPr>
      <w:r>
        <w:tab/>
        <w:t>(dd)</w:t>
      </w:r>
      <w:r>
        <w:tab/>
        <w:t xml:space="preserve">each name (other than a name reported under paragraph (a)), if any, that the offender uses, or by which the offender is known, when using each of the following (if any) — </w:t>
      </w:r>
    </w:p>
    <w:p>
      <w:pPr>
        <w:pStyle w:val="Indenti"/>
      </w:pPr>
      <w:r>
        <w:tab/>
        <w:t>(i)</w:t>
      </w:r>
      <w:r>
        <w:tab/>
        <w:t>the internet for the purposes of communication;</w:t>
      </w:r>
    </w:p>
    <w:p>
      <w:pPr>
        <w:pStyle w:val="Indenti"/>
      </w:pPr>
      <w:r>
        <w:tab/>
        <w:t>(ii)</w:t>
      </w:r>
      <w:r>
        <w:tab/>
        <w:t>an electronic communication service;</w:t>
      </w:r>
    </w:p>
    <w:p>
      <w:pPr>
        <w:pStyle w:val="Indenti"/>
      </w:pPr>
      <w:r>
        <w:tab/>
        <w:t>(iii)</w:t>
      </w:r>
      <w:r>
        <w:tab/>
        <w:t xml:space="preserve">an incidental communication application; </w:t>
      </w:r>
    </w:p>
    <w:p>
      <w:pPr>
        <w:pStyle w:val="Indenta"/>
      </w:pPr>
      <w:r>
        <w:tab/>
      </w:r>
      <w:r>
        <w:tab/>
        <w:t>and</w:t>
      </w:r>
    </w:p>
    <w:p>
      <w:pPr>
        <w:pStyle w:val="Indenta"/>
      </w:pPr>
      <w:r>
        <w:tab/>
        <w:t>(de)</w:t>
      </w:r>
      <w:r>
        <w:tab/>
        <w:t xml:space="preserve">the name or URL of each of the following (if any) in connection with which the offender uses a name referred to in paragraph (a) or (dd) or an email address referred to in paragraph (db) — </w:t>
      </w:r>
    </w:p>
    <w:p>
      <w:pPr>
        <w:pStyle w:val="Indenti"/>
      </w:pPr>
      <w:r>
        <w:tab/>
        <w:t>(i)</w:t>
      </w:r>
      <w:r>
        <w:tab/>
        <w:t xml:space="preserve">a website; </w:t>
      </w:r>
    </w:p>
    <w:p>
      <w:pPr>
        <w:pStyle w:val="Indenti"/>
      </w:pPr>
      <w:r>
        <w:tab/>
        <w:t>(ii)</w:t>
      </w:r>
      <w:r>
        <w:tab/>
        <w:t>an electronic communication service;</w:t>
      </w:r>
    </w:p>
    <w:p>
      <w:pPr>
        <w:pStyle w:val="Indenti"/>
      </w:pPr>
      <w:r>
        <w:tab/>
        <w:t>(iii)</w:t>
      </w:r>
      <w:r>
        <w:tab/>
        <w:t>an incidental communication application;</w:t>
      </w:r>
    </w:p>
    <w:p>
      <w:pPr>
        <w:pStyle w:val="Indenta"/>
      </w:pPr>
      <w:r>
        <w:tab/>
      </w:r>
      <w:r>
        <w:tab/>
        <w:t>and</w:t>
      </w:r>
    </w:p>
    <w:p>
      <w:pPr>
        <w:pStyle w:val="Indenta"/>
        <w:spacing w:before="64"/>
      </w:pPr>
      <w:r>
        <w:tab/>
        <w:t>(df)</w:t>
      </w:r>
      <w:r>
        <w:tab/>
        <w:t xml:space="preserve">each user name, code, password or other information (if any) that the offender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an electronic communication service referred to in paragraph (de); or</w:t>
      </w:r>
    </w:p>
    <w:p>
      <w:pPr>
        <w:pStyle w:val="Indenti"/>
      </w:pPr>
      <w:r>
        <w:tab/>
        <w:t>(iii)</w:t>
      </w:r>
      <w:r>
        <w:tab/>
        <w:t>an incidental communication application referred to in paragraph (de);</w:t>
      </w:r>
    </w:p>
    <w:p>
      <w:pPr>
        <w:pStyle w:val="Indenta"/>
        <w:spacing w:before="64"/>
      </w:pPr>
      <w:r>
        <w:tab/>
      </w:r>
      <w:r>
        <w:tab/>
        <w:t>and</w:t>
      </w:r>
    </w:p>
    <w:p>
      <w:pPr>
        <w:pStyle w:val="Indenta"/>
      </w:pPr>
      <w:r>
        <w:tab/>
        <w:t>(e)</w:t>
      </w:r>
      <w:r>
        <w:tab/>
        <w:t xml:space="preserve">reportable contact details of each reportable contact (if any) the offender — </w:t>
      </w:r>
    </w:p>
    <w:p>
      <w:pPr>
        <w:pStyle w:val="Indenti"/>
      </w:pPr>
      <w:r>
        <w:tab/>
        <w:t>(i)</w:t>
      </w:r>
      <w:r>
        <w:tab/>
        <w:t xml:space="preserve">has with a child; or </w:t>
      </w:r>
    </w:p>
    <w:p>
      <w:pPr>
        <w:pStyle w:val="Indenti"/>
      </w:pPr>
      <w:r>
        <w:tab/>
        <w:t>(ii)</w:t>
      </w:r>
      <w:r>
        <w:tab/>
        <w:t>is likely to have with a child within the period of 12 months after the day on which the report is made;</w:t>
      </w:r>
    </w:p>
    <w:p>
      <w:pPr>
        <w:pStyle w:val="Indenta"/>
      </w:pPr>
      <w:r>
        <w:tab/>
      </w:r>
      <w:r>
        <w:tab/>
        <w:t>and</w:t>
      </w:r>
    </w:p>
    <w:p>
      <w:pPr>
        <w:pStyle w:val="Ednotepara"/>
      </w:pPr>
      <w:r>
        <w:tab/>
        <w:t>[(fa)</w:t>
      </w:r>
      <w:r>
        <w:tab/>
        <w:t>deleted]</w:t>
      </w:r>
    </w:p>
    <w:p>
      <w:pPr>
        <w:pStyle w:val="Indenta"/>
        <w:spacing w:before="64"/>
      </w:pPr>
      <w:r>
        <w:tab/>
        <w:t>(f)</w:t>
      </w:r>
      <w:r>
        <w:tab/>
        <w:t xml:space="preserve">if the offender is employed — </w:t>
      </w:r>
    </w:p>
    <w:p>
      <w:pPr>
        <w:pStyle w:val="Indenti"/>
        <w:spacing w:before="64"/>
      </w:pPr>
      <w:r>
        <w:tab/>
        <w:t>(i)</w:t>
      </w:r>
      <w:r>
        <w:tab/>
        <w:t>the nature of the offender’s employment; and</w:t>
      </w:r>
    </w:p>
    <w:p>
      <w:pPr>
        <w:pStyle w:val="Indenti"/>
        <w:spacing w:before="64"/>
      </w:pPr>
      <w:r>
        <w:tab/>
        <w:t>(ii)</w:t>
      </w:r>
      <w:r>
        <w:tab/>
        <w:t>the name of the offender’s employer (if any); and</w:t>
      </w:r>
    </w:p>
    <w:p>
      <w:pPr>
        <w:pStyle w:val="Indenti"/>
        <w:spacing w:before="64"/>
      </w:pPr>
      <w:r>
        <w:tab/>
        <w:t>(iii)</w:t>
      </w:r>
      <w:r>
        <w:tab/>
        <w:t>the address of each of the premises at which the offender is generally employed or, if the offender is not generally employed at any particular premises, the name of each of the localities in which the offender is generally employed;</w:t>
      </w:r>
    </w:p>
    <w:p>
      <w:pPr>
        <w:pStyle w:val="Indenta"/>
        <w:spacing w:before="64"/>
      </w:pPr>
      <w:r>
        <w:tab/>
      </w:r>
      <w:r>
        <w:tab/>
        <w:t>and</w:t>
      </w:r>
    </w:p>
    <w:p>
      <w:pPr>
        <w:pStyle w:val="Indenta"/>
      </w:pPr>
      <w:r>
        <w:tab/>
        <w:t>(g)</w:t>
      </w:r>
      <w:r>
        <w:tab/>
        <w:t>details of the offender’s affiliation with each club or organisation (if any) that has members who are children or that conducts activities in which children participate; and</w:t>
      </w:r>
    </w:p>
    <w:p>
      <w:pPr>
        <w:pStyle w:val="Indenta"/>
      </w:pPr>
      <w:r>
        <w:tab/>
        <w:t>(h)</w:t>
      </w:r>
      <w:r>
        <w:tab/>
        <w:t>the make, model, colour and registration number of each motor vehicle (if any) owned by, or generally driven by, the offender; and</w:t>
      </w:r>
    </w:p>
    <w:p>
      <w:pPr>
        <w:pStyle w:val="Indenta"/>
      </w:pPr>
      <w:r>
        <w:tab/>
        <w:t>(i)</w:t>
      </w:r>
      <w:r>
        <w:tab/>
        <w:t>details of each tattoo or permanent distinguishing mark that the offender has (including details of each tattoo or mark that has been removed) if any; and</w:t>
      </w:r>
    </w:p>
    <w:p>
      <w:pPr>
        <w:pStyle w:val="Indenta"/>
      </w:pPr>
      <w:r>
        <w:tab/>
        <w:t>(j)</w:t>
      </w:r>
      <w:r>
        <w:tab/>
        <w:t>whether the offender has ever been found guilty in any foreign jurisdiction of a reportable offence or of an offence that required the offender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the offender has been in government custody since the offender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the offender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Indenta"/>
      </w:pPr>
      <w:r>
        <w:tab/>
      </w:r>
      <w:r>
        <w:tab/>
        <w:t>and</w:t>
      </w:r>
    </w:p>
    <w:p>
      <w:pPr>
        <w:pStyle w:val="Indenta"/>
      </w:pPr>
      <w:r>
        <w:tab/>
        <w:t>(m)</w:t>
      </w:r>
      <w:r>
        <w:tab/>
        <w:t>the name of each authorised deposit</w:t>
      </w:r>
      <w:r>
        <w:noBreakHyphen/>
        <w:t xml:space="preserve">taking institution, as defined in the </w:t>
      </w:r>
      <w:r>
        <w:rPr>
          <w:i/>
        </w:rPr>
        <w:t>Banking Act 1959</w:t>
      </w:r>
      <w:r>
        <w:t xml:space="preserve"> (Commonwealth) section 5(1), or other prescribed financial service provider, with which the offender has an account or dealings; and</w:t>
      </w:r>
    </w:p>
    <w:p>
      <w:pPr>
        <w:pStyle w:val="Indenta"/>
      </w:pPr>
      <w:r>
        <w:tab/>
        <w:t>(n)</w:t>
      </w:r>
      <w:r>
        <w:tab/>
        <w:t>any other prescribed information.</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own, rent, control or manage any particular premises unless the offender (as the case requires) resides at, owns, rents, controls or manages those premises for at least 3 days (whether consecutive or not) in any period of 12 months; and</w:t>
      </w:r>
    </w:p>
    <w:p>
      <w:pPr>
        <w:pStyle w:val="Ednotepara"/>
      </w:pPr>
      <w:r>
        <w:tab/>
        <w:t>[(b)</w:t>
      </w:r>
      <w:r>
        <w:noBreakHyphen/>
        <w:t>(db)</w:t>
      </w:r>
      <w:r>
        <w:tab/>
        <w:t>deleted]</w:t>
      </w:r>
    </w:p>
    <w:p>
      <w:pPr>
        <w:pStyle w:val="Indenta"/>
        <w:spacing w:before="70"/>
      </w:pPr>
      <w:r>
        <w:tab/>
        <w:t>(d)</w:t>
      </w:r>
      <w:r>
        <w:tab/>
        <w:t>a reportable offender is not generally employed at any particular premises unless the offender is employed at those premises for at least 3 days (whether consecutive or not) in any period of 12 months; and</w:t>
      </w:r>
    </w:p>
    <w:p>
      <w:pPr>
        <w:pStyle w:val="Indenta"/>
        <w:spacing w:before="70"/>
      </w:pPr>
      <w:r>
        <w:tab/>
        <w:t>(e)</w:t>
      </w:r>
      <w:r>
        <w:tab/>
        <w:t>a reportable offender does not generally drive a particular motor vehicle unless the person drives that vehicle for at least 3 days (whether consecutive or not) in any period of 12 months.</w:t>
      </w:r>
    </w:p>
    <w:p>
      <w:pPr>
        <w:pStyle w:val="Subsection"/>
      </w:pPr>
      <w:r>
        <w:tab/>
        <w:t>(3)</w:t>
      </w:r>
      <w:r>
        <w:tab/>
        <w:t xml:space="preserve">For the purposes of this section, a person is taken to be employed if the person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Subsection"/>
      </w:pPr>
      <w:r>
        <w:tab/>
        <w:t>(5)</w:t>
      </w:r>
      <w:r>
        <w:tab/>
        <w:t xml:space="preserve">For the purposes of subsection (1)(dd), (de) or (df), an </w:t>
      </w:r>
      <w:r>
        <w:rPr>
          <w:rStyle w:val="CharDefText"/>
        </w:rPr>
        <w:t>incidental communication application</w:t>
      </w:r>
      <w:r>
        <w:t xml:space="preserve"> includes software, an application or an electronic device that may be used for communication or that has communication as an incidental function.</w:t>
      </w:r>
    </w:p>
    <w:p>
      <w:pPr>
        <w:pStyle w:val="PermNoteHeading"/>
      </w:pPr>
      <w:r>
        <w:tab/>
        <w:t>Example for this subsection:</w:t>
      </w:r>
    </w:p>
    <w:p>
      <w:pPr>
        <w:pStyle w:val="PermNoteText"/>
      </w:pPr>
      <w:r>
        <w:tab/>
      </w:r>
      <w:r>
        <w:tab/>
        <w:t>Computer games or consoles.</w:t>
      </w:r>
    </w:p>
    <w:p>
      <w:pPr>
        <w:pStyle w:val="Footnotesection"/>
      </w:pPr>
      <w:r>
        <w:tab/>
        <w:t>[Section 26 amended: No. 27 of 2008 s. 4; No. 54 of 2012 s. 13 and 42(2); No. 31 of 2024 s. 24 and 28; No. 35 of 2024 s. 15.]</w:t>
      </w:r>
    </w:p>
    <w:p>
      <w:pPr>
        <w:pStyle w:val="Heading5"/>
      </w:pPr>
      <w:bookmarkStart w:id="79" w:name="_Toc216772937"/>
      <w:bookmarkStart w:id="80" w:name="_Toc203745068"/>
      <w:r>
        <w:rPr>
          <w:rStyle w:val="CharSectno"/>
        </w:rPr>
        <w:t>27</w:t>
      </w:r>
      <w:r>
        <w:t>.</w:t>
      </w:r>
      <w:r>
        <w:tab/>
        <w:t>Persons required to report under corresponding Act</w:t>
      </w:r>
      <w:bookmarkEnd w:id="79"/>
      <w:bookmarkEnd w:id="80"/>
    </w:p>
    <w:p>
      <w:pPr>
        <w:pStyle w:val="Subsection"/>
      </w:pPr>
      <w:r>
        <w:tab/>
        <w:t>(1)</w:t>
      </w:r>
      <w:r>
        <w:tab/>
        <w:t>This section applies to a person (other than a person to whom Division 10 applies) who has been required to report to a corresponding registrar, whether or not the person is a reportable offender for the purposes of this Act.</w:t>
      </w:r>
    </w:p>
    <w:p>
      <w:pPr>
        <w:pStyle w:val="Subsection"/>
      </w:pPr>
      <w:r>
        <w:tab/>
        <w:t>(2)</w:t>
      </w:r>
      <w:r>
        <w:tab/>
        <w:t>Unless the person has previously complied with the obligation imposed by this section, the person must, within 7 days after entering Western Australia, contact (by telephone or another means prescribed) an authorised person nominated by the Commissioner for the purposes of this section.</w:t>
      </w:r>
    </w:p>
    <w:p>
      <w:pPr>
        <w:pStyle w:val="Subsection"/>
        <w:spacing w:before="120"/>
      </w:pPr>
      <w:r>
        <w:tab/>
        <w:t>(3)</w:t>
      </w:r>
      <w:r>
        <w:tab/>
        <w:t>The contacted authorised person must advise the person whether the person is a reportable offender for the purposes of this Act and any reporting obligations that the person has under this Act.</w:t>
      </w:r>
    </w:p>
    <w:p>
      <w:pPr>
        <w:pStyle w:val="Subsection"/>
      </w:pPr>
      <w:r>
        <w:tab/>
        <w:t>(4)</w:t>
      </w:r>
      <w:r>
        <w:tab/>
        <w:t xml:space="preserve">A person does not commit an offence against section 63 because of a failure to comply with the reporting obligation imposed by subsection (2) if the person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Footnotesection"/>
      </w:pPr>
      <w:r>
        <w:tab/>
        <w:t>[Section 27 amended: No. 31 of 2024 s. 28; No. 35 of 2024 s. 59.]</w:t>
      </w:r>
    </w:p>
    <w:p>
      <w:pPr>
        <w:pStyle w:val="Heading3"/>
      </w:pPr>
      <w:bookmarkStart w:id="81" w:name="_Toc216772938"/>
      <w:bookmarkStart w:id="82" w:name="_Toc203658165"/>
      <w:bookmarkStart w:id="83" w:name="_Toc203745069"/>
      <w:r>
        <w:rPr>
          <w:rStyle w:val="CharDivNo"/>
        </w:rPr>
        <w:t>Division 2</w:t>
      </w:r>
      <w:r>
        <w:t> — </w:t>
      </w:r>
      <w:r>
        <w:rPr>
          <w:rStyle w:val="CharDivText"/>
        </w:rPr>
        <w:t>Ongoing reporting obligations</w:t>
      </w:r>
      <w:bookmarkEnd w:id="81"/>
      <w:bookmarkEnd w:id="82"/>
      <w:bookmarkEnd w:id="83"/>
    </w:p>
    <w:p>
      <w:pPr>
        <w:pStyle w:val="Heading4"/>
      </w:pPr>
      <w:bookmarkStart w:id="84" w:name="_Toc216772939"/>
      <w:bookmarkStart w:id="85" w:name="_Toc180506595"/>
      <w:bookmarkStart w:id="86" w:name="_Toc180506787"/>
      <w:bookmarkStart w:id="87" w:name="_Toc180506979"/>
      <w:bookmarkStart w:id="88" w:name="_Toc203745070"/>
      <w:r>
        <w:rPr>
          <w:rStyle w:val="CharSDivNo"/>
        </w:rPr>
        <w:t>Subdivision 1</w:t>
      </w:r>
      <w:r>
        <w:t> —</w:t>
      </w:r>
      <w:r>
        <w:rPr>
          <w:rStyle w:val="CharSDivText"/>
        </w:rPr>
        <w:t> General</w:t>
      </w:r>
      <w:bookmarkEnd w:id="84"/>
      <w:bookmarkEnd w:id="85"/>
      <w:bookmarkEnd w:id="86"/>
      <w:bookmarkEnd w:id="87"/>
      <w:bookmarkEnd w:id="88"/>
    </w:p>
    <w:p>
      <w:pPr>
        <w:pStyle w:val="Footnoteheading"/>
        <w:keepNext/>
      </w:pPr>
      <w:r>
        <w:tab/>
        <w:t>[Heading inserted: No. 35 of 2024 s. 16.]</w:t>
      </w:r>
    </w:p>
    <w:p>
      <w:pPr>
        <w:pStyle w:val="Heading5"/>
      </w:pPr>
      <w:bookmarkStart w:id="89" w:name="_Toc216772940"/>
      <w:bookmarkStart w:id="90" w:name="_Toc203745071"/>
      <w:r>
        <w:rPr>
          <w:rStyle w:val="CharSectno"/>
        </w:rPr>
        <w:t>28</w:t>
      </w:r>
      <w:r>
        <w:t>.</w:t>
      </w:r>
      <w:r>
        <w:tab/>
        <w:t>Reportable offender to report annually and as required by Commissioner</w:t>
      </w:r>
      <w:bookmarkEnd w:id="89"/>
      <w:bookmarkEnd w:id="90"/>
    </w:p>
    <w:p>
      <w:pPr>
        <w:pStyle w:val="Subsection"/>
      </w:pPr>
      <w:r>
        <w:tab/>
        <w:t>(1)</w:t>
      </w:r>
      <w:r>
        <w:tab/>
        <w:t>A reportable offender must report the offender’s personal details to the Commissioner each year.</w:t>
      </w:r>
    </w:p>
    <w:p>
      <w:pPr>
        <w:pStyle w:val="Subsection"/>
      </w:pPr>
      <w:r>
        <w:tab/>
        <w:t>(2)</w:t>
      </w:r>
      <w:r>
        <w:tab/>
        <w:t>The reportable offender must make the report in each year during the calendar month in which the offender first reported in accordance with this Act or a corresponding Act.</w:t>
      </w:r>
    </w:p>
    <w:p>
      <w:pPr>
        <w:pStyle w:val="Subsection"/>
      </w:pPr>
      <w:r>
        <w:tab/>
        <w:t>(3)</w:t>
      </w:r>
      <w:r>
        <w:tab/>
        <w:t>The Commissioner may, at any time, cause written notice to be given to a reportable offender requiring the reportable offender to report the offender’s personal details to the Commissioner at the time or times stated in the notice.</w:t>
      </w:r>
    </w:p>
    <w:p>
      <w:pPr>
        <w:pStyle w:val="Subsection"/>
      </w:pPr>
      <w:r>
        <w:tab/>
        <w:t>(4)</w:t>
      </w:r>
      <w:r>
        <w:tab/>
        <w:t>A reportable offender must report the offender’s personal details to the Commissioner in accordance with a notice under subsection (3).</w:t>
      </w:r>
    </w:p>
    <w:p>
      <w:pPr>
        <w:pStyle w:val="Subsection"/>
      </w:pPr>
      <w:r>
        <w:tab/>
        <w:t>(5)</w:t>
      </w:r>
      <w:r>
        <w:tab/>
        <w:t>If the reportable offender has been in government custody for any period since the offender last reported the offender’s personal details under this section, the details the offender must report include details of when and where that custody occurred.</w:t>
      </w:r>
    </w:p>
    <w:p>
      <w:pPr>
        <w:pStyle w:val="Subsection"/>
      </w:pPr>
      <w:r>
        <w:tab/>
        <w:t>(6)</w:t>
      </w:r>
      <w:r>
        <w:tab/>
        <w:t>If a reportable offender’s reporting period expires but the offender is then required to report again under section 25, the reference in subsection (2) to the month during which the offender first reported is to be read as a reference to the month during which the offender first reported in respect of the current reporting period.</w:t>
      </w:r>
    </w:p>
    <w:p>
      <w:pPr>
        <w:pStyle w:val="Footnotesection"/>
      </w:pPr>
      <w:r>
        <w:tab/>
        <w:t>[Section 28 amended: No. 31 of 2024 s. 28.]</w:t>
      </w:r>
    </w:p>
    <w:p>
      <w:pPr>
        <w:pStyle w:val="Heading5"/>
      </w:pPr>
      <w:bookmarkStart w:id="91" w:name="_Toc216772941"/>
      <w:bookmarkStart w:id="92" w:name="_Toc203745072"/>
      <w:r>
        <w:rPr>
          <w:rStyle w:val="CharSectno"/>
        </w:rPr>
        <w:t>29</w:t>
      </w:r>
      <w:r>
        <w:t>.</w:t>
      </w:r>
      <w:r>
        <w:tab/>
        <w:t>Reportable offender to report changes to relevant personal details</w:t>
      </w:r>
      <w:bookmarkEnd w:id="91"/>
      <w:bookmarkEnd w:id="92"/>
    </w:p>
    <w:p>
      <w:pPr>
        <w:pStyle w:val="Subsection"/>
      </w:pPr>
      <w:r>
        <w:rPr>
          <w:color w:val="000000"/>
        </w:rPr>
        <w:tab/>
        <w:t>(1)</w:t>
      </w:r>
      <w:r>
        <w:rPr>
          <w:color w:val="000000"/>
        </w:rPr>
        <w:tab/>
        <w:t xml:space="preserve">A reportable offender must report to the Commissioner any change in </w:t>
      </w:r>
      <w:r>
        <w:t>the offender’s</w:t>
      </w:r>
      <w:r>
        <w:rPr>
          <w:color w:val="000000"/>
        </w:rPr>
        <w:t xml:space="preserve"> personal details — </w:t>
      </w:r>
    </w:p>
    <w:p>
      <w:pPr>
        <w:pStyle w:val="Indenta"/>
      </w:pPr>
      <w:r>
        <w:tab/>
        <w:t>(a)</w:t>
      </w:r>
      <w:r>
        <w:tab/>
        <w:t xml:space="preserve">if the change relates to any of the details referred to in section 26(1)(d), within 24 hours after the change occurs; or </w:t>
      </w:r>
    </w:p>
    <w:p>
      <w:pPr>
        <w:pStyle w:val="Indenta"/>
      </w:pPr>
      <w:r>
        <w:tab/>
        <w:t>(b)</w:t>
      </w:r>
      <w:r>
        <w:tab/>
        <w:t>if the change relates to any of the details referred to in section 26(1)(f) or (h), within 3 days after the change occurs; or</w:t>
      </w:r>
    </w:p>
    <w:p>
      <w:pPr>
        <w:pStyle w:val="Indenta"/>
      </w:pPr>
      <w:r>
        <w:tab/>
        <w:t>(c)</w:t>
      </w:r>
      <w:r>
        <w:tab/>
        <w:t>otherwise, within 7 days after the change occurs.</w:t>
      </w:r>
    </w:p>
    <w:p>
      <w:pPr>
        <w:pStyle w:val="Subsection"/>
      </w:pPr>
      <w:r>
        <w:tab/>
        <w:t>(2)</w:t>
      </w:r>
      <w:r>
        <w:tab/>
        <w:t xml:space="preserve">For the purposes of subsection (1), a change occurs on the expiry of the 3 day period referred to in section 26(2)(a), (d) or (e) in relation to — </w:t>
      </w:r>
    </w:p>
    <w:p>
      <w:pPr>
        <w:pStyle w:val="Indenta"/>
      </w:pPr>
      <w:r>
        <w:tab/>
        <w:t>(a)</w:t>
      </w:r>
      <w:r>
        <w:tab/>
        <w:t xml:space="preserve">the premises that the reportable offender resides at, owns, rents, controls or manages; or </w:t>
      </w:r>
    </w:p>
    <w:p>
      <w:pPr>
        <w:pStyle w:val="Indenta"/>
      </w:pPr>
      <w:r>
        <w:tab/>
        <w:t>(b)</w:t>
      </w:r>
      <w:r>
        <w:tab/>
        <w:t>the premises where the reportable offender is generally employed; or</w:t>
      </w:r>
    </w:p>
    <w:p>
      <w:pPr>
        <w:pStyle w:val="Indenta"/>
      </w:pPr>
      <w:r>
        <w:tab/>
        <w:t>(c)</w:t>
      </w:r>
      <w:r>
        <w:tab/>
        <w:t>the motor vehicle that the reportable offender generally drives.</w:t>
      </w:r>
    </w:p>
    <w:p>
      <w:pPr>
        <w:pStyle w:val="Subsection"/>
      </w:pPr>
      <w:r>
        <w:tab/>
        <w:t>(2A)</w:t>
      </w:r>
      <w:r>
        <w:tab/>
        <w:t xml:space="preserve">For the purposes of subsection (1), a change occurs in a reportable offender’s personal details relating to sex or gender only if — </w:t>
      </w:r>
    </w:p>
    <w:p>
      <w:pPr>
        <w:pStyle w:val="Indenta"/>
      </w:pPr>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pPr>
        <w:pStyle w:val="Indenta"/>
        <w:rPr>
          <w:iCs/>
        </w:rPr>
      </w:pPr>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pPr>
        <w:pStyle w:val="Subsection"/>
      </w:pPr>
      <w:r>
        <w:tab/>
        <w:t>(3)</w:t>
      </w:r>
      <w:r>
        <w:tab/>
        <w:t>If the personal details of a reportable offender (other than one to whom Division 10 applies) change while the offender is not in Western Australia, the offender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the person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the offender’s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the offender leaves within that 7 day period.</w:t>
      </w:r>
    </w:p>
    <w:p>
      <w:pPr>
        <w:pStyle w:val="Subsection"/>
      </w:pPr>
      <w:r>
        <w:tab/>
        <w:t>(6)</w:t>
      </w:r>
      <w:r>
        <w:tab/>
        <w:t>Despite a reporting obligation in this section, a reportable offender is not required to report a change under this section that relates to reportable contact with a child referred to in section 26(1)(e).</w:t>
      </w:r>
    </w:p>
    <w:p>
      <w:pPr>
        <w:pStyle w:val="PermNoteHeading"/>
      </w:pPr>
      <w:r>
        <w:tab/>
        <w:t xml:space="preserve">Note for this subsection: </w:t>
      </w:r>
    </w:p>
    <w:p>
      <w:pPr>
        <w:pStyle w:val="PermNoteText"/>
      </w:pPr>
      <w:r>
        <w:tab/>
      </w:r>
      <w:r>
        <w:tab/>
        <w:t>A reportable offender’s ongoing obligations in relation to reportable contact with a child are provided under section 33A.</w:t>
      </w:r>
    </w:p>
    <w:p>
      <w:pPr>
        <w:pStyle w:val="Footnotesection"/>
      </w:pPr>
      <w:r>
        <w:tab/>
        <w:t>[Section 29 amended: No. 54 of 2012 s. 14; No. 31 of 2024 s. 25 and 28; No. 35 of 2024 s. 17.]</w:t>
      </w:r>
    </w:p>
    <w:p>
      <w:pPr>
        <w:pStyle w:val="Heading5"/>
        <w:spacing w:before="240"/>
      </w:pPr>
      <w:bookmarkStart w:id="93" w:name="_Toc216772942"/>
      <w:bookmarkStart w:id="94" w:name="_Toc203745073"/>
      <w:r>
        <w:rPr>
          <w:rStyle w:val="CharSectno"/>
        </w:rPr>
        <w:t>29A</w:t>
      </w:r>
      <w:r>
        <w:t>.</w:t>
      </w:r>
      <w:r>
        <w:tab/>
        <w:t>Intended absence from place of residence to be reported</w:t>
      </w:r>
      <w:bookmarkEnd w:id="93"/>
      <w:bookmarkEnd w:id="9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the offender generally resides, as determined in accordance with section 26(2)(a); or</w:t>
      </w:r>
    </w:p>
    <w:p>
      <w:pPr>
        <w:pStyle w:val="Indenta"/>
      </w:pPr>
      <w:r>
        <w:tab/>
        <w:t>(b)</w:t>
      </w:r>
      <w:r>
        <w:tab/>
        <w:t>if the offender does not generally reside at any particular premises, the localities in which the offender can generally be found.</w:t>
      </w:r>
    </w:p>
    <w:p>
      <w:pPr>
        <w:pStyle w:val="Subsection"/>
        <w:keepNext/>
      </w:pPr>
      <w:r>
        <w:tab/>
        <w:t>(2)</w:t>
      </w:r>
      <w:r>
        <w:tab/>
        <w:t xml:space="preserve">This section applies to a reportable offender who — </w:t>
      </w:r>
    </w:p>
    <w:p>
      <w:pPr>
        <w:pStyle w:val="Indenta"/>
      </w:pPr>
      <w:r>
        <w:tab/>
        <w:t>(a)</w:t>
      </w:r>
      <w:r>
        <w:tab/>
        <w:t>intends to leave the place where the offender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the offender generally resides, the reportable offender must report the intended absence to the Commissioner and must provide details of — </w:t>
      </w:r>
    </w:p>
    <w:p>
      <w:pPr>
        <w:pStyle w:val="Indenta"/>
      </w:pPr>
      <w:r>
        <w:tab/>
        <w:t>(a)</w:t>
      </w:r>
      <w:r>
        <w:tab/>
        <w:t>the dates, or approximate dates, of the period during which the offender intends to be absent from the place where the offender generally resides; and</w:t>
      </w:r>
    </w:p>
    <w:p>
      <w:pPr>
        <w:pStyle w:val="Indenta"/>
      </w:pPr>
      <w:r>
        <w:tab/>
        <w:t>(b)</w:t>
      </w:r>
      <w:r>
        <w:tab/>
        <w:t>each address or location within Western Australia at which the offender intends to reside (to the extent that they are known) and the dates, or approximate dates, of the periods during which the offender intends to reside at those addresses or locations.</w:t>
      </w:r>
    </w:p>
    <w:p>
      <w:pPr>
        <w:pStyle w:val="Subsection"/>
        <w:spacing w:before="150"/>
      </w:pPr>
      <w:r>
        <w:tab/>
        <w:t>(4)</w:t>
      </w:r>
      <w:r>
        <w:tab/>
        <w:t>If circumstances arise making it impracticable for a reportable offender to make the report at least 7 days before the offender leaves, it is sufficient compliance with subsection (3) if the reportable offender reports the required information to the Commissioner no later than 24 hours after leaving the place where the offender generally resides.</w:t>
      </w:r>
    </w:p>
    <w:p>
      <w:pPr>
        <w:pStyle w:val="Subsection"/>
        <w:spacing w:before="150"/>
      </w:pPr>
      <w:r>
        <w:tab/>
        <w:t>(5)</w:t>
      </w:r>
      <w:r>
        <w:tab/>
        <w:t>If the reportable offender decides not to leave the place where the offender generally resides, the offender must report the offender’s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the offender generally resides.</w:t>
      </w:r>
    </w:p>
    <w:p>
      <w:pPr>
        <w:pStyle w:val="Footnotesection"/>
        <w:spacing w:before="100"/>
      </w:pPr>
      <w:r>
        <w:tab/>
        <w:t>[Section 29A inserted: No. 27 of 2008 s. 5; amended: No. 31 of 2024 s. 28.]</w:t>
      </w:r>
    </w:p>
    <w:p>
      <w:pPr>
        <w:pStyle w:val="Heading5"/>
      </w:pPr>
      <w:bookmarkStart w:id="95" w:name="_Toc216772943"/>
      <w:bookmarkStart w:id="96" w:name="_Toc203745074"/>
      <w:r>
        <w:rPr>
          <w:rStyle w:val="CharSectno"/>
        </w:rPr>
        <w:t>30</w:t>
      </w:r>
      <w:r>
        <w:t>.</w:t>
      </w:r>
      <w:r>
        <w:tab/>
        <w:t>Intended absence from Western Australia to be reported</w:t>
      </w:r>
      <w:bookmarkEnd w:id="95"/>
      <w:bookmarkEnd w:id="96"/>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the offender intends to go while out of Western Australia; and</w:t>
      </w:r>
    </w:p>
    <w:p>
      <w:pPr>
        <w:pStyle w:val="Indenta"/>
        <w:spacing w:before="60"/>
      </w:pPr>
      <w:r>
        <w:tab/>
        <w:t>(b)</w:t>
      </w:r>
      <w:r>
        <w:tab/>
        <w:t>the approximate dates of the periods during which the offender intends to be in each of those States, Territories or countries; and</w:t>
      </w:r>
    </w:p>
    <w:p>
      <w:pPr>
        <w:pStyle w:val="Indenta"/>
        <w:spacing w:before="60"/>
      </w:pPr>
      <w:r>
        <w:tab/>
        <w:t>(c)</w:t>
      </w:r>
      <w:r>
        <w:tab/>
        <w:t>each address or location within each State, Territory or country at which the offender intends to reside (to the extent that they are known) and the approximate dates of the periods during which the offender intends to reside at those addresses or locations; and</w:t>
      </w:r>
    </w:p>
    <w:p>
      <w:pPr>
        <w:pStyle w:val="Indenta"/>
      </w:pPr>
      <w:r>
        <w:tab/>
        <w:t>(d)</w:t>
      </w:r>
      <w:r>
        <w:tab/>
        <w:t>if the offender intends to return to Western Australia, the approximate date on which the offender intends to return; and</w:t>
      </w:r>
    </w:p>
    <w:p>
      <w:pPr>
        <w:pStyle w:val="Indenta"/>
      </w:pPr>
      <w:r>
        <w:tab/>
        <w:t>(e)</w:t>
      </w:r>
      <w:r>
        <w:tab/>
        <w:t>if the offender does not intend to return to Western Australia, a statement of that intention.</w:t>
      </w:r>
    </w:p>
    <w:p>
      <w:pPr>
        <w:pStyle w:val="Subsection"/>
      </w:pPr>
      <w:r>
        <w:tab/>
        <w:t>(3)</w:t>
      </w:r>
      <w:r>
        <w:tab/>
        <w:t>If circumstances arise making it impracticable for a reportable offender to make the report at least 7 days before the offender leaves, it is sufficient compliance with subsection (2) if the reportable offender reports the required information to the Commissioner no later than 24 hours after leaving Western Australia.</w:t>
      </w:r>
    </w:p>
    <w:p>
      <w:pPr>
        <w:pStyle w:val="Subsection"/>
        <w:keepNext/>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 No. 31 of 2024 s. 28.]</w:t>
      </w:r>
    </w:p>
    <w:p>
      <w:pPr>
        <w:pStyle w:val="Heading5"/>
        <w:spacing w:before="180"/>
      </w:pPr>
      <w:bookmarkStart w:id="97" w:name="_Toc216772944"/>
      <w:bookmarkStart w:id="98" w:name="_Toc203745075"/>
      <w:r>
        <w:rPr>
          <w:rStyle w:val="CharSectno"/>
        </w:rPr>
        <w:t>31</w:t>
      </w:r>
      <w:r>
        <w:t>.</w:t>
      </w:r>
      <w:r>
        <w:tab/>
        <w:t>Change of travel plans while out of Western Australia to be reported</w:t>
      </w:r>
      <w:bookmarkEnd w:id="97"/>
      <w:bookmarkEnd w:id="98"/>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the offender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 No. 31 of 2024 s. 28.]</w:t>
      </w:r>
    </w:p>
    <w:p>
      <w:pPr>
        <w:pStyle w:val="Heading5"/>
        <w:keepLines w:val="0"/>
      </w:pPr>
      <w:bookmarkStart w:id="99" w:name="_Toc216772945"/>
      <w:bookmarkStart w:id="100" w:name="_Toc203745076"/>
      <w:r>
        <w:rPr>
          <w:rStyle w:val="CharSectno"/>
        </w:rPr>
        <w:t>32</w:t>
      </w:r>
      <w:r>
        <w:t>.</w:t>
      </w:r>
      <w:r>
        <w:tab/>
        <w:t>Reportable offender to report return to Western Australia or decision not to leave</w:t>
      </w:r>
      <w:bookmarkEnd w:id="99"/>
      <w:bookmarkEnd w:id="100"/>
    </w:p>
    <w:p>
      <w:pPr>
        <w:pStyle w:val="Subsection"/>
      </w:pPr>
      <w:r>
        <w:tab/>
        <w:t>(1)</w:t>
      </w:r>
      <w:r>
        <w:tab/>
        <w:t>This section applies to a reportable offender who was required to report under section 30 that the offender intended to leave Western Australia.</w:t>
      </w:r>
    </w:p>
    <w:p>
      <w:pPr>
        <w:pStyle w:val="Subsection"/>
      </w:pPr>
      <w:r>
        <w:tab/>
        <w:t>(2)</w:t>
      </w:r>
      <w:r>
        <w:tab/>
        <w:t>If the reportable offender left Western Australia, the offender must report the offender’s return to Western Australia to the Commissioner within 7 days after entering Western Australia.</w:t>
      </w:r>
    </w:p>
    <w:p>
      <w:pPr>
        <w:pStyle w:val="Subsection"/>
      </w:pPr>
      <w:r>
        <w:tab/>
        <w:t>(2a)</w:t>
      </w:r>
      <w:r>
        <w:tab/>
        <w:t xml:space="preserve">If the reportable offender left Western Australia to travel out of Australia, the offender must, in addition to reporting under subsection (2), produce to the Commissioner within 7 days after entering Western Australia — </w:t>
      </w:r>
    </w:p>
    <w:p>
      <w:pPr>
        <w:pStyle w:val="Indenta"/>
      </w:pPr>
      <w:r>
        <w:tab/>
        <w:t>(a)</w:t>
      </w:r>
      <w:r>
        <w:tab/>
        <w:t>the offender’s passport; and</w:t>
      </w:r>
    </w:p>
    <w:p>
      <w:pPr>
        <w:pStyle w:val="Indenta"/>
      </w:pPr>
      <w:r>
        <w:tab/>
        <w:t>(b)</w:t>
      </w:r>
      <w:r>
        <w:tab/>
        <w:t>any other document in the offender’s possession that contains information indicating where the offender travelled while out of Australia.</w:t>
      </w:r>
    </w:p>
    <w:p>
      <w:pPr>
        <w:pStyle w:val="Subsection"/>
      </w:pPr>
      <w:r>
        <w:tab/>
        <w:t>(3)</w:t>
      </w:r>
      <w:r>
        <w:tab/>
        <w:t>A person does not commit an offence against section 63 because of a failure to comply with the reporting obligation imposed by subsection (2) or (2a) if the person does not remain in Western Australia for 14 or more consecutive days, not counting any days spent in government custody.</w:t>
      </w:r>
    </w:p>
    <w:p>
      <w:pPr>
        <w:pStyle w:val="Subsection"/>
      </w:pPr>
      <w:r>
        <w:tab/>
        <w:t>(4)</w:t>
      </w:r>
      <w:r>
        <w:tab/>
        <w:t>If the reportable offender decides not to leave Western Australia, the offender must report the offender’s change of intention to the Commissioner within 7 days after deciding not to leave.</w:t>
      </w:r>
    </w:p>
    <w:p>
      <w:pPr>
        <w:pStyle w:val="Footnotesection"/>
      </w:pPr>
      <w:r>
        <w:tab/>
        <w:t>[Section 32 amended: No. 27 of 2008 s. 8; No. 31 of 2024 s. 28.]</w:t>
      </w:r>
    </w:p>
    <w:p>
      <w:pPr>
        <w:pStyle w:val="Heading5"/>
      </w:pPr>
      <w:bookmarkStart w:id="101" w:name="_Toc216772946"/>
      <w:bookmarkStart w:id="102" w:name="_Toc203745077"/>
      <w:r>
        <w:rPr>
          <w:rStyle w:val="CharSectno"/>
        </w:rPr>
        <w:t>33</w:t>
      </w:r>
      <w:r>
        <w:t>.</w:t>
      </w:r>
      <w:r>
        <w:tab/>
        <w:t>Report of other absences from Western Australia</w:t>
      </w:r>
      <w:bookmarkEnd w:id="101"/>
      <w:bookmarkEnd w:id="102"/>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4"/>
      </w:pPr>
      <w:bookmarkStart w:id="103" w:name="_Toc216772947"/>
      <w:bookmarkStart w:id="104" w:name="_Toc180506598"/>
      <w:bookmarkStart w:id="105" w:name="_Toc180506790"/>
      <w:bookmarkStart w:id="106" w:name="_Toc180506982"/>
      <w:bookmarkStart w:id="107" w:name="_Toc203745078"/>
      <w:bookmarkStart w:id="108" w:name="_Toc203658173"/>
      <w:r>
        <w:rPr>
          <w:rStyle w:val="CharSDivNo"/>
        </w:rPr>
        <w:t>Subdivision 2</w:t>
      </w:r>
      <w:r>
        <w:t> —</w:t>
      </w:r>
      <w:r>
        <w:rPr>
          <w:rStyle w:val="CharSDivText"/>
        </w:rPr>
        <w:t> Reportable contact with child</w:t>
      </w:r>
      <w:bookmarkEnd w:id="103"/>
      <w:bookmarkEnd w:id="104"/>
      <w:bookmarkEnd w:id="105"/>
      <w:bookmarkEnd w:id="106"/>
      <w:bookmarkEnd w:id="107"/>
    </w:p>
    <w:p>
      <w:pPr>
        <w:pStyle w:val="Footnoteheading"/>
      </w:pPr>
      <w:bookmarkStart w:id="109" w:name="_Toc180506983"/>
      <w:r>
        <w:tab/>
        <w:t>[Heading inserted: No. 35 of 2024 s. 18.]</w:t>
      </w:r>
    </w:p>
    <w:p>
      <w:pPr>
        <w:pStyle w:val="Heading5"/>
      </w:pPr>
      <w:bookmarkStart w:id="110" w:name="_Toc216772948"/>
      <w:bookmarkStart w:id="111" w:name="_Toc203745079"/>
      <w:r>
        <w:rPr>
          <w:rStyle w:val="CharSectno"/>
        </w:rPr>
        <w:t>33A</w:t>
      </w:r>
      <w:r>
        <w:t>.</w:t>
      </w:r>
      <w:r>
        <w:tab/>
        <w:t>Ongoing reporting of reportable contact with child</w:t>
      </w:r>
      <w:bookmarkEnd w:id="110"/>
      <w:bookmarkEnd w:id="109"/>
      <w:bookmarkEnd w:id="111"/>
      <w:r>
        <w:t xml:space="preserve"> </w:t>
      </w:r>
    </w:p>
    <w:p>
      <w:pPr>
        <w:pStyle w:val="Subsection"/>
      </w:pPr>
      <w:r>
        <w:tab/>
      </w:r>
      <w:r>
        <w:tab/>
        <w:t xml:space="preserve">If a reportable offender has reportable contact with a child, the reportable offender must report to the Commissioner the following details within 24 hours after each reportable contact with the child occurs unless the offender is exempt from reporting reportable contact with the child — </w:t>
      </w:r>
    </w:p>
    <w:p>
      <w:pPr>
        <w:pStyle w:val="Indenta"/>
      </w:pPr>
      <w:r>
        <w:tab/>
        <w:t>(a)</w:t>
      </w:r>
      <w:r>
        <w:tab/>
        <w:t>reportable contact details of the reportable contact;</w:t>
      </w:r>
    </w:p>
    <w:p>
      <w:pPr>
        <w:pStyle w:val="Indenta"/>
      </w:pPr>
      <w:r>
        <w:tab/>
        <w:t>(b)</w:t>
      </w:r>
      <w:r>
        <w:tab/>
        <w:t>reportable contact details of any likely reportable contact with the child within the period of 12 months after the day on which the report is given.</w:t>
      </w:r>
    </w:p>
    <w:p>
      <w:pPr>
        <w:pStyle w:val="Footnotesection"/>
      </w:pPr>
      <w:bookmarkStart w:id="112" w:name="_Toc180506984"/>
      <w:r>
        <w:tab/>
        <w:t>[Section 33A inserted: No. 35 of 2024 s. 18.]</w:t>
      </w:r>
    </w:p>
    <w:p>
      <w:pPr>
        <w:pStyle w:val="Heading5"/>
      </w:pPr>
      <w:bookmarkStart w:id="113" w:name="_Toc216772949"/>
      <w:bookmarkStart w:id="114" w:name="_Toc203745080"/>
      <w:r>
        <w:rPr>
          <w:rStyle w:val="CharSectno"/>
        </w:rPr>
        <w:t>33B</w:t>
      </w:r>
      <w:r>
        <w:t>.</w:t>
      </w:r>
      <w:r>
        <w:tab/>
        <w:t>Exemption from ongoing reporting of reportable contact with child</w:t>
      </w:r>
      <w:bookmarkEnd w:id="113"/>
      <w:bookmarkEnd w:id="112"/>
      <w:bookmarkEnd w:id="114"/>
      <w:r>
        <w:t xml:space="preserve"> </w:t>
      </w:r>
    </w:p>
    <w:p>
      <w:pPr>
        <w:pStyle w:val="Subsection"/>
      </w:pPr>
      <w:r>
        <w:rPr>
          <w:color w:val="000000"/>
        </w:rPr>
        <w:tab/>
        <w:t>(1)</w:t>
      </w:r>
      <w:r>
        <w:rPr>
          <w:color w:val="000000"/>
        </w:rPr>
        <w:tab/>
      </w:r>
      <w:r>
        <w:t xml:space="preserve">The Commissioner may, by written notice, exempt a reportable offender from the requirement to report reportable contact with a child under section 33A if the offender has given reportable contact details in relation to reportable contact and likely reportable contact with the child to the Commissioner. </w:t>
      </w:r>
    </w:p>
    <w:p>
      <w:pPr>
        <w:pStyle w:val="Subsection"/>
      </w:pPr>
      <w:r>
        <w:tab/>
        <w:t>(2)</w:t>
      </w:r>
      <w:r>
        <w:tab/>
        <w:t xml:space="preserve">In deciding whether to grant an exemption, the Commissioner must take into account the following — </w:t>
      </w:r>
    </w:p>
    <w:p>
      <w:pPr>
        <w:pStyle w:val="Indenta"/>
      </w:pPr>
      <w:r>
        <w:tab/>
        <w:t>(a)</w:t>
      </w:r>
      <w:r>
        <w:tab/>
        <w:t>whether the reportable offender normally lives with the child;</w:t>
      </w:r>
    </w:p>
    <w:p>
      <w:pPr>
        <w:pStyle w:val="Indenta"/>
      </w:pPr>
      <w:r>
        <w:tab/>
        <w:t>(b)</w:t>
      </w:r>
      <w:r>
        <w:tab/>
        <w:t>how frequently the reportable offender has reportable contact, or is likely to have reportable contact, with the child;</w:t>
      </w:r>
    </w:p>
    <w:p>
      <w:pPr>
        <w:pStyle w:val="Indenta"/>
      </w:pPr>
      <w:r>
        <w:tab/>
        <w:t>(c)</w:t>
      </w:r>
      <w:r>
        <w:tab/>
        <w:t>the nature of the reportable contact with the child;</w:t>
      </w:r>
    </w:p>
    <w:p>
      <w:pPr>
        <w:pStyle w:val="Indenta"/>
      </w:pPr>
      <w:r>
        <w:tab/>
        <w:t>(d)</w:t>
      </w:r>
      <w:r>
        <w:tab/>
        <w:t>any other matter the Commissioner considers relevant.</w:t>
      </w:r>
    </w:p>
    <w:p>
      <w:pPr>
        <w:pStyle w:val="Subsection"/>
      </w:pPr>
      <w:r>
        <w:tab/>
        <w:t>(3)</w:t>
      </w:r>
      <w:r>
        <w:tab/>
        <w:t>The exemption has effect from the time the notice under subsection (1) is given to the offender or from any later date specified in the notice.</w:t>
      </w:r>
    </w:p>
    <w:p>
      <w:pPr>
        <w:pStyle w:val="Subsection"/>
      </w:pPr>
      <w:r>
        <w:tab/>
        <w:t>(4)</w:t>
      </w:r>
      <w:r>
        <w:tab/>
        <w:t>The Commissioner may revoke a reportable offender’s exemption at any time by giving written notice to the offender.</w:t>
      </w:r>
    </w:p>
    <w:p>
      <w:pPr>
        <w:pStyle w:val="Subsection"/>
      </w:pPr>
      <w:r>
        <w:tab/>
        <w:t>(5)</w:t>
      </w:r>
      <w:r>
        <w:tab/>
        <w:t>The revocation has effect from the time the notice is given to the offender under subsection (4).</w:t>
      </w:r>
    </w:p>
    <w:p>
      <w:pPr>
        <w:pStyle w:val="Subsection"/>
      </w:pPr>
      <w:r>
        <w:tab/>
        <w:t>(6)</w:t>
      </w:r>
      <w:r>
        <w:tab/>
        <w:t>This section is in addition to, and does not limit, any other provision which provides for an exemption or suspension of a reporting obligation.</w:t>
      </w:r>
    </w:p>
    <w:p>
      <w:pPr>
        <w:pStyle w:val="Footnotesection"/>
      </w:pPr>
      <w:bookmarkStart w:id="115" w:name="_Toc180506985"/>
      <w:r>
        <w:tab/>
        <w:t>[Section 33B inserted: No. 35 of 2024 s. 18.]</w:t>
      </w:r>
    </w:p>
    <w:p>
      <w:pPr>
        <w:pStyle w:val="Heading5"/>
      </w:pPr>
      <w:bookmarkStart w:id="116" w:name="_Toc216772950"/>
      <w:bookmarkStart w:id="117" w:name="_Toc203745081"/>
      <w:r>
        <w:rPr>
          <w:rStyle w:val="CharSectno"/>
        </w:rPr>
        <w:t>33C</w:t>
      </w:r>
      <w:r>
        <w:t>.</w:t>
      </w:r>
      <w:r>
        <w:tab/>
        <w:t>When exemptions end</w:t>
      </w:r>
      <w:bookmarkEnd w:id="116"/>
      <w:bookmarkEnd w:id="115"/>
      <w:bookmarkEnd w:id="117"/>
    </w:p>
    <w:p>
      <w:pPr>
        <w:pStyle w:val="Subsection"/>
      </w:pPr>
      <w:r>
        <w:rPr>
          <w:color w:val="000000"/>
        </w:rPr>
        <w:tab/>
        <w:t>(1)</w:t>
      </w:r>
      <w:r>
        <w:rPr>
          <w:color w:val="000000"/>
        </w:rPr>
        <w:tab/>
        <w:t xml:space="preserve">A reportable offender’s exemption under section 33B ceases to have effect when — </w:t>
      </w:r>
    </w:p>
    <w:p>
      <w:pPr>
        <w:pStyle w:val="Indenta"/>
      </w:pPr>
      <w:r>
        <w:tab/>
        <w:t>(a)</w:t>
      </w:r>
      <w:r>
        <w:tab/>
        <w:t xml:space="preserve">at any time after the exemption is granted, the offender — </w:t>
      </w:r>
    </w:p>
    <w:p>
      <w:pPr>
        <w:pStyle w:val="Indenti"/>
      </w:pPr>
      <w:r>
        <w:tab/>
        <w:t>(i)</w:t>
      </w:r>
      <w:r>
        <w:tab/>
        <w:t>is made subject to a reporting order or a protection order; or</w:t>
      </w:r>
    </w:p>
    <w:p>
      <w:pPr>
        <w:pStyle w:val="Indenti"/>
      </w:pPr>
      <w:r>
        <w:tab/>
        <w:t>(ii)</w:t>
      </w:r>
      <w:r>
        <w:tab/>
        <w:t>is found guilty of a reportable offence; or</w:t>
      </w:r>
    </w:p>
    <w:p>
      <w:pPr>
        <w:pStyle w:val="Indenti"/>
      </w:pPr>
      <w:r>
        <w:tab/>
        <w:t>(iii)</w:t>
      </w:r>
      <w:r>
        <w:tab/>
        <w:t>becomes a corresponding reportable offender who must under section 49 continue to comply with the reporting obligations imposed by this Part for any period; or</w:t>
      </w:r>
    </w:p>
    <w:p>
      <w:pPr>
        <w:pStyle w:val="Indenti"/>
      </w:pPr>
      <w:r>
        <w:tab/>
        <w:t>(iv)</w:t>
      </w:r>
      <w:r>
        <w:tab/>
        <w:t>is given a notice under section 33B(4);</w:t>
      </w:r>
    </w:p>
    <w:p>
      <w:pPr>
        <w:pStyle w:val="Indenta"/>
      </w:pPr>
      <w:r>
        <w:tab/>
      </w:r>
      <w:r>
        <w:tab/>
        <w:t>or</w:t>
      </w:r>
    </w:p>
    <w:p>
      <w:pPr>
        <w:pStyle w:val="Indenta"/>
      </w:pPr>
      <w:r>
        <w:tab/>
        <w:t>(b)</w:t>
      </w:r>
      <w:r>
        <w:tab/>
        <w:t>the reportable contact details given by the offender to the Commissioner for the exemption have changed since they were given or are not accurate.</w:t>
      </w:r>
    </w:p>
    <w:p>
      <w:pPr>
        <w:pStyle w:val="Subsection"/>
      </w:pPr>
      <w:r>
        <w:tab/>
        <w:t>(2)</w:t>
      </w:r>
      <w:r>
        <w:tab/>
        <w:t xml:space="preserve">An exemption that ceases to have effect in accordance with subsection (1) is revived if — </w:t>
      </w:r>
    </w:p>
    <w:p>
      <w:pPr>
        <w:pStyle w:val="Indenta"/>
      </w:pPr>
      <w:r>
        <w:tab/>
        <w:t>(a)</w:t>
      </w:r>
      <w:r>
        <w:tab/>
        <w:t>the finding of guilt that caused the approval to cease to have effect is quashed or set aside by a court; or</w:t>
      </w:r>
    </w:p>
    <w:p>
      <w:pPr>
        <w:pStyle w:val="Indenta"/>
      </w:pPr>
      <w:r>
        <w:tab/>
        <w:t>(b)</w:t>
      </w:r>
      <w:r>
        <w:tab/>
        <w:t xml:space="preserve">the approval ceased to have effect in accordance with subsection (1)(a)(i) and — </w:t>
      </w:r>
    </w:p>
    <w:p>
      <w:pPr>
        <w:pStyle w:val="Indenti"/>
      </w:pPr>
      <w:r>
        <w:tab/>
        <w:t>(i)</w:t>
      </w:r>
      <w:r>
        <w:tab/>
        <w:t>the reporting order or protection order is quashed on appeal; or</w:t>
      </w:r>
    </w:p>
    <w:p>
      <w:pPr>
        <w:pStyle w:val="Indenti"/>
      </w:pPr>
      <w:r>
        <w:tab/>
        <w:t>(ii)</w:t>
      </w:r>
      <w:r>
        <w:tab/>
        <w:t>in the case of a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 reporting order or protection order.</w:t>
      </w:r>
    </w:p>
    <w:p>
      <w:pPr>
        <w:pStyle w:val="Footnotesection"/>
      </w:pPr>
      <w:bookmarkStart w:id="118" w:name="_Toc180506986"/>
      <w:r>
        <w:tab/>
        <w:t>[Section 33C inserted: No. 35 of 2024 s. 18.]</w:t>
      </w:r>
    </w:p>
    <w:p>
      <w:pPr>
        <w:pStyle w:val="Heading5"/>
      </w:pPr>
      <w:bookmarkStart w:id="119" w:name="_Toc216772951"/>
      <w:bookmarkStart w:id="120" w:name="_Toc203745082"/>
      <w:r>
        <w:rPr>
          <w:rStyle w:val="CharSectno"/>
        </w:rPr>
        <w:t>33D</w:t>
      </w:r>
      <w:r>
        <w:t>.</w:t>
      </w:r>
      <w:r>
        <w:tab/>
        <w:t>Reporting of reportable contact with child ceasing for 60 days</w:t>
      </w:r>
      <w:bookmarkEnd w:id="119"/>
      <w:bookmarkEnd w:id="118"/>
      <w:bookmarkEnd w:id="120"/>
    </w:p>
    <w:p>
      <w:pPr>
        <w:pStyle w:val="Subsection"/>
      </w:pPr>
      <w:r>
        <w:tab/>
        <w:t>(1)</w:t>
      </w:r>
      <w:r>
        <w:tab/>
        <w:t xml:space="preserve">This section applies if — </w:t>
      </w:r>
    </w:p>
    <w:p>
      <w:pPr>
        <w:pStyle w:val="Indenta"/>
      </w:pPr>
      <w:r>
        <w:tab/>
        <w:t>(a)</w:t>
      </w:r>
      <w:r>
        <w:tab/>
        <w:t>a reportable offender has an exemption under section 33B from reporting reportable contact with a child under section 33A; and</w:t>
      </w:r>
    </w:p>
    <w:p>
      <w:pPr>
        <w:pStyle w:val="Indenta"/>
      </w:pPr>
      <w:r>
        <w:tab/>
        <w:t>(b)</w:t>
      </w:r>
      <w:r>
        <w:tab/>
        <w:t xml:space="preserve">the offender does not have reportable contact with the child for a period (the </w:t>
      </w:r>
      <w:r>
        <w:rPr>
          <w:rStyle w:val="CharDefText"/>
        </w:rPr>
        <w:t>non</w:t>
      </w:r>
      <w:r>
        <w:rPr>
          <w:rStyle w:val="CharDefText"/>
        </w:rPr>
        <w:noBreakHyphen/>
        <w:t>contact period</w:t>
      </w:r>
      <w:r>
        <w:t xml:space="preserve">) of 60 consecutive days beginning on the day after the day on which the offender’s last reportable contact with the child occurred. </w:t>
      </w:r>
    </w:p>
    <w:p>
      <w:pPr>
        <w:pStyle w:val="Subsection"/>
      </w:pPr>
      <w:r>
        <w:rPr>
          <w:color w:val="000000"/>
        </w:rPr>
        <w:tab/>
      </w:r>
      <w:r>
        <w:t>(2)</w:t>
      </w:r>
      <w:r>
        <w:tab/>
        <w:t>The reportable offender must report the following to the Commissioner within 1 day after the end of the non</w:t>
      </w:r>
      <w:r>
        <w:noBreakHyphen/>
        <w:t xml:space="preserve">contact period — </w:t>
      </w:r>
    </w:p>
    <w:p>
      <w:pPr>
        <w:pStyle w:val="Indenta"/>
      </w:pPr>
      <w:r>
        <w:tab/>
        <w:t>(a)</w:t>
      </w:r>
      <w:r>
        <w:tab/>
        <w:t xml:space="preserve">the name of the child; </w:t>
      </w:r>
    </w:p>
    <w:p>
      <w:pPr>
        <w:pStyle w:val="Indenta"/>
        <w:keepNext/>
      </w:pPr>
      <w:r>
        <w:tab/>
        <w:t>(b)</w:t>
      </w:r>
      <w:r>
        <w:tab/>
        <w:t>details about why the reportable contact has stopped for the non</w:t>
      </w:r>
      <w:r>
        <w:noBreakHyphen/>
        <w:t xml:space="preserve">contact period. </w:t>
      </w:r>
    </w:p>
    <w:p>
      <w:pPr>
        <w:pStyle w:val="Footnotesection"/>
      </w:pPr>
      <w:r>
        <w:tab/>
        <w:t>[Section 33D inserted: No. 35 of 2024 s. 18.]</w:t>
      </w:r>
    </w:p>
    <w:p>
      <w:pPr>
        <w:pStyle w:val="Heading3"/>
        <w:spacing w:before="220"/>
      </w:pPr>
      <w:bookmarkStart w:id="121" w:name="_Toc216772952"/>
      <w:bookmarkStart w:id="122" w:name="_Toc203745083"/>
      <w:r>
        <w:rPr>
          <w:rStyle w:val="CharDivNo"/>
        </w:rPr>
        <w:t>Division 3</w:t>
      </w:r>
      <w:r>
        <w:t> — </w:t>
      </w:r>
      <w:r>
        <w:rPr>
          <w:rStyle w:val="CharDivText"/>
        </w:rPr>
        <w:t>Provisions applying to all reporting obligations</w:t>
      </w:r>
      <w:bookmarkEnd w:id="121"/>
      <w:bookmarkEnd w:id="108"/>
      <w:bookmarkEnd w:id="122"/>
    </w:p>
    <w:p>
      <w:pPr>
        <w:pStyle w:val="Heading5"/>
        <w:spacing w:before="200"/>
      </w:pPr>
      <w:bookmarkStart w:id="123" w:name="_Toc216772953"/>
      <w:bookmarkStart w:id="124" w:name="_Toc203745084"/>
      <w:r>
        <w:rPr>
          <w:rStyle w:val="CharSectno"/>
        </w:rPr>
        <w:t>34</w:t>
      </w:r>
      <w:r>
        <w:t>.</w:t>
      </w:r>
      <w:r>
        <w:tab/>
        <w:t>Where reports must be made</w:t>
      </w:r>
      <w:bookmarkEnd w:id="123"/>
      <w:bookmarkEnd w:id="12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or required to be made in a way that is inconsistent with this section.</w:t>
      </w:r>
    </w:p>
    <w:p>
      <w:pPr>
        <w:pStyle w:val="Footnotesection"/>
      </w:pPr>
      <w:r>
        <w:tab/>
        <w:t>[Section 34 amended: No. 35 of 2024 s. 19.]</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25" w:name="_Toc216772954"/>
      <w:bookmarkStart w:id="126" w:name="_Toc203745085"/>
      <w:r>
        <w:rPr>
          <w:rStyle w:val="CharSectno"/>
        </w:rPr>
        <w:t>35</w:t>
      </w:r>
      <w:r>
        <w:t>.</w:t>
      </w:r>
      <w:r>
        <w:tab/>
        <w:t>How reports must be made</w:t>
      </w:r>
      <w:bookmarkEnd w:id="125"/>
      <w:bookmarkEnd w:id="126"/>
    </w:p>
    <w:p>
      <w:pPr>
        <w:pStyle w:val="Ednotesubsection"/>
        <w:keepNext/>
      </w:pPr>
      <w:r>
        <w:tab/>
        <w:t>[(1)</w:t>
      </w:r>
      <w:r>
        <w:tab/>
        <w:t>deleted]</w:t>
      </w:r>
    </w:p>
    <w:p>
      <w:pPr>
        <w:pStyle w:val="Subsection"/>
        <w:keepNext/>
      </w:pPr>
      <w:r>
        <w:tab/>
        <w:t>(2)</w:t>
      </w:r>
      <w:r>
        <w:tab/>
        <w:t xml:space="preserve">A reportable offender must make a report — </w:t>
      </w:r>
    </w:p>
    <w:p>
      <w:pPr>
        <w:pStyle w:val="Indenta"/>
      </w:pPr>
      <w:r>
        <w:tab/>
        <w:t>(a)</w:t>
      </w:r>
      <w:r>
        <w:tab/>
        <w:t>if the report is required under this Part to be made in a certain manner — in the manner required under this Part; or</w:t>
      </w:r>
    </w:p>
    <w:p>
      <w:pPr>
        <w:pStyle w:val="Indenta"/>
      </w:pPr>
      <w:r>
        <w:tab/>
        <w:t>(b)</w:t>
      </w:r>
      <w:r>
        <w:tab/>
        <w:t>if the report is not required under this Part to be made in a certain manner — in any of the following ways —</w:t>
      </w:r>
    </w:p>
    <w:p>
      <w:pPr>
        <w:pStyle w:val="Indenti"/>
      </w:pPr>
      <w:r>
        <w:tab/>
        <w:t>(i)</w:t>
      </w:r>
      <w:r>
        <w:tab/>
        <w:t>in person;</w:t>
      </w:r>
    </w:p>
    <w:p>
      <w:pPr>
        <w:pStyle w:val="Indenti"/>
      </w:pPr>
      <w:r>
        <w:tab/>
        <w:t>(ii)</w:t>
      </w:r>
      <w:r>
        <w:tab/>
        <w:t>in any way prescribed;</w:t>
      </w:r>
    </w:p>
    <w:p>
      <w:pPr>
        <w:pStyle w:val="Indenti"/>
      </w:pPr>
      <w:r>
        <w:tab/>
        <w:t>(iii)</w:t>
      </w:r>
      <w:r>
        <w:tab/>
        <w:t>in any way permitted by the Commissioner in a particular case, for a class of cases or for all cases.</w:t>
      </w:r>
    </w:p>
    <w:p>
      <w:pPr>
        <w:pStyle w:val="Subsection"/>
      </w:pPr>
      <w:r>
        <w:tab/>
        <w:t>(3)</w:t>
      </w:r>
      <w:r>
        <w:tab/>
        <w:t xml:space="preserve">Only an authorised person may receive a report made under this Part unless the report is made electronically — </w:t>
      </w:r>
    </w:p>
    <w:p>
      <w:pPr>
        <w:pStyle w:val="Indenta"/>
      </w:pPr>
      <w:r>
        <w:tab/>
        <w:t>(a)</w:t>
      </w:r>
      <w:r>
        <w:tab/>
        <w:t xml:space="preserve">in accordance with the regulations; or </w:t>
      </w:r>
    </w:p>
    <w:p>
      <w:pPr>
        <w:pStyle w:val="Indenta"/>
      </w:pPr>
      <w:r>
        <w:tab/>
        <w:t>(b)</w:t>
      </w:r>
      <w:r>
        <w:tab/>
        <w:t>in a way permitted by the Commissioner under subsection (2)(b)(iii).</w:t>
      </w:r>
    </w:p>
    <w:p>
      <w:pPr>
        <w:pStyle w:val="Subsection"/>
      </w:pPr>
      <w:r>
        <w:tab/>
        <w:t>(4)</w:t>
      </w:r>
      <w:r>
        <w:tab/>
        <w:t>If a reportable offender attending in person is a child, or has a disability that makes it impossible or impracticable for the offender to make a report, any parent, guardian, carer or other person nominated by the reportable offender who is accompanying the reportable offender may make the report on the reportable offender’s behalf.</w:t>
      </w:r>
    </w:p>
    <w:p>
      <w:pPr>
        <w:pStyle w:val="Subsection"/>
      </w:pPr>
      <w:r>
        <w:tab/>
        <w:t>(5)</w:t>
      </w:r>
      <w:r>
        <w:tab/>
        <w:t xml:space="preserve">If a reportable offender is permitted or required to make a report otherwise than in person in accordance with subsection (2), any of the following may make a report on the offender’s behalf — </w:t>
      </w:r>
    </w:p>
    <w:p>
      <w:pPr>
        <w:pStyle w:val="Indenta"/>
      </w:pPr>
      <w:r>
        <w:tab/>
        <w:t>(a)</w:t>
      </w:r>
      <w:r>
        <w:tab/>
        <w:t xml:space="preserve">if the offender has a disability that makes it impossible or impracticable for them to make the report — a parent, guardian, carer or other person nominated by the offender; </w:t>
      </w:r>
    </w:p>
    <w:p>
      <w:pPr>
        <w:pStyle w:val="Indenta"/>
      </w:pPr>
      <w:r>
        <w:tab/>
        <w:t>(b)</w:t>
      </w:r>
      <w:r>
        <w:tab/>
        <w:t xml:space="preserve">if the offender has a guardian under the </w:t>
      </w:r>
      <w:r>
        <w:rPr>
          <w:i/>
          <w:iCs/>
        </w:rPr>
        <w:t>Guardianship and Administration Act 1990</w:t>
      </w:r>
      <w:r>
        <w:t> — the guardian.</w:t>
      </w:r>
    </w:p>
    <w:p>
      <w:pPr>
        <w:pStyle w:val="Footnotesection"/>
      </w:pPr>
      <w:r>
        <w:tab/>
        <w:t>[Section 35 amended: No. 31 of 2024 s. 28; No</w:t>
      </w:r>
      <w:r>
        <w:rPr>
          <w:sz w:val="28"/>
          <w:szCs w:val="22"/>
        </w:rPr>
        <w:t>.</w:t>
      </w:r>
      <w:r>
        <w:rPr>
          <w:szCs w:val="24"/>
        </w:rPr>
        <w:t> 35 of 2024 s. 20</w:t>
      </w:r>
      <w:r>
        <w:t>.]</w:t>
      </w:r>
    </w:p>
    <w:p>
      <w:pPr>
        <w:pStyle w:val="Heading5"/>
      </w:pPr>
      <w:bookmarkStart w:id="127" w:name="_Toc216772955"/>
      <w:bookmarkStart w:id="128" w:name="_Toc203745086"/>
      <w:r>
        <w:rPr>
          <w:rStyle w:val="CharSectno"/>
        </w:rPr>
        <w:t>36</w:t>
      </w:r>
      <w:r>
        <w:t>.</w:t>
      </w:r>
      <w:r>
        <w:tab/>
        <w:t>Right to privacy and support when reporting</w:t>
      </w:r>
      <w:bookmarkEnd w:id="127"/>
      <w:bookmarkEnd w:id="128"/>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the person’s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Footnotesection"/>
      </w:pPr>
      <w:r>
        <w:tab/>
        <w:t>[Section 36 amended: No. 31 of 2024 s. 28.]</w:t>
      </w:r>
    </w:p>
    <w:p>
      <w:pPr>
        <w:pStyle w:val="Heading5"/>
        <w:keepLines w:val="0"/>
      </w:pPr>
      <w:bookmarkStart w:id="129" w:name="_Toc216772956"/>
      <w:bookmarkStart w:id="130" w:name="_Toc203745087"/>
      <w:r>
        <w:rPr>
          <w:rStyle w:val="CharSectno"/>
        </w:rPr>
        <w:t>37</w:t>
      </w:r>
      <w:r>
        <w:t>.</w:t>
      </w:r>
      <w:r>
        <w:tab/>
        <w:t>Receipt of information to be acknowledged</w:t>
      </w:r>
      <w:bookmarkEnd w:id="129"/>
      <w:bookmarkEnd w:id="130"/>
    </w:p>
    <w:p>
      <w:pPr>
        <w:pStyle w:val="Subsection"/>
      </w:pPr>
      <w:r>
        <w:tab/>
        <w:t>(1)</w:t>
      </w:r>
      <w:r>
        <w:tab/>
        <w:t>Subject to subsection (3C), as soon as is practicable after receiving a report under this Part, an authorised person must acknowledge the making of the report.</w:t>
      </w:r>
    </w:p>
    <w:p>
      <w:pPr>
        <w:pStyle w:val="Subsection"/>
        <w:keepNext/>
      </w:pPr>
      <w:r>
        <w:tab/>
        <w:t>(2)</w:t>
      </w:r>
      <w:r>
        <w:tab/>
        <w:t xml:space="preserve">If a report under this Part is made in person, 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Subject to subsection (3C), if a report under this Part is made otherwise than in person, an authorised person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(3A)</w:t>
      </w:r>
      <w:r>
        <w:tab/>
        <w:t>If a report under this Part is made electronically, any unique reference number or acknowledgment required to be given by this section may be given electronically.</w:t>
      </w:r>
    </w:p>
    <w:p>
      <w:pPr>
        <w:pStyle w:val="Subsection"/>
      </w:pPr>
      <w:r>
        <w:tab/>
        <w:t>(3B)</w:t>
      </w:r>
      <w:r>
        <w:tab/>
        <w:t>The regulations may prescribe the manner in which a unique reference number or acknowledgment may be given electronically under subsection (3A).</w:t>
      </w:r>
    </w:p>
    <w:p>
      <w:pPr>
        <w:pStyle w:val="Subsection"/>
      </w:pPr>
      <w:r>
        <w:tab/>
        <w:t>(3C)</w:t>
      </w:r>
      <w:r>
        <w:tab/>
        <w:t>If a report is made electronically by a person, it may be received by an automated system and an automated system may give an acknowledgement including a unique reference number to the person.</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 No. 35 of 2024 s. 21.]</w:t>
      </w:r>
    </w:p>
    <w:p>
      <w:pPr>
        <w:pStyle w:val="Heading5"/>
      </w:pPr>
      <w:bookmarkStart w:id="131" w:name="_Toc216772957"/>
      <w:bookmarkStart w:id="132" w:name="_Toc203745088"/>
      <w:r>
        <w:rPr>
          <w:rStyle w:val="CharSectno"/>
        </w:rPr>
        <w:t>38</w:t>
      </w:r>
      <w:r>
        <w:t>.</w:t>
      </w:r>
      <w:r>
        <w:tab/>
        <w:t>Additional matters to be provided</w:t>
      </w:r>
      <w:bookmarkEnd w:id="131"/>
      <w:bookmarkEnd w:id="132"/>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the offender’s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the authorised person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 No. 31 of 2024 s. 28.]</w:t>
      </w:r>
    </w:p>
    <w:p>
      <w:pPr>
        <w:pStyle w:val="Heading5"/>
      </w:pPr>
      <w:bookmarkStart w:id="133" w:name="_Toc216772958"/>
      <w:bookmarkStart w:id="134" w:name="_Toc203745089"/>
      <w:r>
        <w:rPr>
          <w:rStyle w:val="CharSectno"/>
        </w:rPr>
        <w:t>39</w:t>
      </w:r>
      <w:r>
        <w:t>.</w:t>
      </w:r>
      <w:r>
        <w:tab/>
        <w:t>Power to take fingerprints</w:t>
      </w:r>
      <w:bookmarkEnd w:id="133"/>
      <w:bookmarkEnd w:id="13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the authorised person by, or on behalf of, the reportable offender.</w:t>
      </w:r>
    </w:p>
    <w:p>
      <w:pPr>
        <w:pStyle w:val="Subsection"/>
      </w:pPr>
      <w:r>
        <w:tab/>
        <w:t>(2)</w:t>
      </w:r>
      <w:r>
        <w:tab/>
        <w:t>The authorised person may take, or may cause to be taken by a person authorised by the authorised person, the fingerprints of the reportable offender.</w:t>
      </w:r>
    </w:p>
    <w:p>
      <w:pPr>
        <w:pStyle w:val="Footnotesection"/>
      </w:pPr>
      <w:r>
        <w:tab/>
        <w:t>[Section 39 amended: No. 31 of 2024 s. 28.]</w:t>
      </w:r>
    </w:p>
    <w:p>
      <w:pPr>
        <w:pStyle w:val="Heading5"/>
      </w:pPr>
      <w:bookmarkStart w:id="135" w:name="_Toc216772959"/>
      <w:bookmarkStart w:id="136" w:name="_Toc203745090"/>
      <w:r>
        <w:rPr>
          <w:rStyle w:val="CharSectno"/>
        </w:rPr>
        <w:t>40</w:t>
      </w:r>
      <w:r>
        <w:t>.</w:t>
      </w:r>
      <w:r>
        <w:tab/>
        <w:t>Power to take photographs</w:t>
      </w:r>
      <w:bookmarkEnd w:id="135"/>
      <w:bookmarkEnd w:id="13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the reportable offender’s body to enable that part of the body to be photographed by the authorised person or a person authorised by the authorised person.</w:t>
      </w:r>
    </w:p>
    <w:p>
      <w:pPr>
        <w:pStyle w:val="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 No. 31 of 2024 s. 26.]</w:t>
      </w:r>
    </w:p>
    <w:p>
      <w:pPr>
        <w:pStyle w:val="Heading5"/>
      </w:pPr>
      <w:bookmarkStart w:id="137" w:name="_Toc216772960"/>
      <w:bookmarkStart w:id="138" w:name="_Toc180506991"/>
      <w:bookmarkStart w:id="139" w:name="_Toc203745091"/>
      <w:r>
        <w:rPr>
          <w:rStyle w:val="CharSectno"/>
        </w:rPr>
        <w:t>40A</w:t>
      </w:r>
      <w:r>
        <w:t>.</w:t>
      </w:r>
      <w:r>
        <w:tab/>
        <w:t>Power to obtain DNA profiles</w:t>
      </w:r>
      <w:bookmarkEnd w:id="137"/>
      <w:bookmarkEnd w:id="138"/>
      <w:bookmarkEnd w:id="139"/>
    </w:p>
    <w:p>
      <w:pPr>
        <w:pStyle w:val="Subsection"/>
      </w:pPr>
      <w:r>
        <w:tab/>
        <w:t>(1)</w:t>
      </w:r>
      <w:r>
        <w:tab/>
        <w:t xml:space="preserve">In this section — </w:t>
      </w:r>
    </w:p>
    <w:p>
      <w:pPr>
        <w:pStyle w:val="Defstart"/>
      </w:pPr>
      <w:r>
        <w:tab/>
      </w:r>
      <w:r>
        <w:rPr>
          <w:rStyle w:val="CharDefText"/>
        </w:rPr>
        <w:t>forensic database</w:t>
      </w:r>
      <w:r>
        <w:t xml:space="preserve"> has the meaning given in the </w:t>
      </w:r>
      <w:r>
        <w:rPr>
          <w:i/>
        </w:rPr>
        <w:t>Criminal Investigation (Identifying People) Act 2002</w:t>
      </w:r>
      <w:r>
        <w:t xml:space="preserve"> section 61.</w:t>
      </w:r>
    </w:p>
    <w:p>
      <w:pPr>
        <w:pStyle w:val="Subsection"/>
      </w:pPr>
      <w:r>
        <w:tab/>
        <w:t>(2)</w:t>
      </w:r>
      <w:r>
        <w:tab/>
        <w:t>This section applies if an authorised person reasonably suspects a reportable offender’s DNA profile is not held, or may not be held, by the WA Police or in a forensic database.</w:t>
      </w:r>
    </w:p>
    <w:p>
      <w:pPr>
        <w:pStyle w:val="Subsection"/>
      </w:pPr>
      <w:r>
        <w:tab/>
        <w:t>(3)</w:t>
      </w:r>
      <w:r>
        <w:tab/>
        <w:t>An authorised person receiving a report made in person under this Part may require the reportable offender to submit to a non</w:t>
      </w:r>
      <w:r>
        <w:noBreakHyphen/>
        <w:t>intimate identifying procedure for the purpose of obtaining the offender’s DNA profile.</w:t>
      </w:r>
    </w:p>
    <w:p>
      <w:pPr>
        <w:pStyle w:val="Subsection"/>
      </w:pPr>
      <w:r>
        <w:tab/>
        <w:t>(4)</w:t>
      </w:r>
      <w:r>
        <w:tab/>
        <w:t>The non</w:t>
      </w:r>
      <w:r>
        <w:noBreakHyphen/>
        <w:t xml:space="preserve">intimate identifying procedure for the purpose of obtaining the reportable offender’s DNA profile must be done in accordance with the </w:t>
      </w:r>
      <w:r>
        <w:rPr>
          <w:i/>
          <w:iCs/>
        </w:rPr>
        <w:t>Criminal Investigation (Identifying People) Act 2002</w:t>
      </w:r>
      <w:r>
        <w:t xml:space="preserve"> Part 8 (other than section 54(1)).</w:t>
      </w:r>
    </w:p>
    <w:p>
      <w:pPr>
        <w:pStyle w:val="Subsection"/>
      </w:pPr>
      <w:r>
        <w:tab/>
        <w:t>(5)</w:t>
      </w:r>
      <w:r>
        <w:tab/>
        <w:t xml:space="preserve">This section applies despite the </w:t>
      </w:r>
      <w:r>
        <w:rPr>
          <w:i/>
          <w:iCs/>
        </w:rPr>
        <w:t>Criminal Investigation (Identifying People) Act 2002</w:t>
      </w:r>
      <w:r>
        <w:t xml:space="preserve"> section 11(3).</w:t>
      </w:r>
    </w:p>
    <w:p>
      <w:pPr>
        <w:pStyle w:val="Footnotesection"/>
      </w:pPr>
      <w:r>
        <w:tab/>
        <w:t>[Section 40A inserted: No. 35 of 2024 s. 22.]</w:t>
      </w:r>
    </w:p>
    <w:p>
      <w:pPr>
        <w:pStyle w:val="Heading5"/>
      </w:pPr>
      <w:bookmarkStart w:id="140" w:name="_Toc216772961"/>
      <w:bookmarkStart w:id="141" w:name="_Toc203745092"/>
      <w:r>
        <w:rPr>
          <w:rStyle w:val="CharSectno"/>
        </w:rPr>
        <w:t>41</w:t>
      </w:r>
      <w:r>
        <w:t>.</w:t>
      </w:r>
      <w:r>
        <w:tab/>
        <w:t>Reasonable force may be used to obtain DNA profiles, fingerprints and photographs</w:t>
      </w:r>
      <w:bookmarkEnd w:id="140"/>
      <w:bookmarkEnd w:id="141"/>
    </w:p>
    <w:p>
      <w:pPr>
        <w:pStyle w:val="Subsection"/>
      </w:pPr>
      <w:r>
        <w:tab/>
        <w:t>(1)</w:t>
      </w:r>
      <w:r>
        <w:tab/>
        <w:t>Before attempting to exercise a power under section 39, 40 or 40A,</w:t>
      </w:r>
      <w:r>
        <w:rPr>
          <w:color w:val="000000"/>
        </w:rPr>
        <w:t xml:space="preserve"> </w:t>
      </w:r>
      <w:r>
        <w:t xml:space="preserve">the authorised person must inform the reportable offender in language likely to be understood by the offender — </w:t>
      </w:r>
    </w:p>
    <w:p>
      <w:pPr>
        <w:pStyle w:val="Indenta"/>
      </w:pPr>
      <w:r>
        <w:tab/>
        <w:t>(a)</w:t>
      </w:r>
      <w:r>
        <w:tab/>
        <w:t xml:space="preserve">of the purpose for which the power is to be exercised and — </w:t>
      </w:r>
    </w:p>
    <w:p>
      <w:pPr>
        <w:pStyle w:val="Indenti"/>
      </w:pPr>
      <w:r>
        <w:tab/>
        <w:t>(i)</w:t>
      </w:r>
      <w:r>
        <w:tab/>
        <w:t>in the case of section 39, why the authorised person is not satisfied as to the identity of the offender; or</w:t>
      </w:r>
    </w:p>
    <w:p>
      <w:pPr>
        <w:pStyle w:val="Indenti"/>
      </w:pPr>
      <w:r>
        <w:tab/>
        <w:t>(ii)</w:t>
      </w:r>
      <w:r>
        <w:tab/>
        <w:t>in the case of section 40A, why the authorised person reasonably suspects the offender’s DNA profile is not held, or may not be held, by the WA Police or in a forensic database;</w:t>
      </w:r>
    </w:p>
    <w:p>
      <w:pPr>
        <w:pStyle w:val="Indenta"/>
      </w:pPr>
      <w:r>
        <w:tab/>
      </w:r>
      <w:r>
        <w:tab/>
        <w:t>and</w:t>
      </w:r>
    </w:p>
    <w:p>
      <w:pPr>
        <w:pStyle w:val="Indenta"/>
        <w:spacing w:before="70"/>
      </w:pPr>
      <w:r>
        <w:tab/>
        <w:t>(b)</w:t>
      </w:r>
      <w:r>
        <w:tab/>
        <w:t>that reasonable force may be used if the reportable offender does not voluntarily give the offender’s fingerprints, expose part of the offender’s body or submit to a non</w:t>
      </w:r>
      <w:r>
        <w:noBreakHyphen/>
        <w:t>intimate identifying procedure being done on the offender (as the case may be); and</w:t>
      </w:r>
    </w:p>
    <w:p>
      <w:pPr>
        <w:pStyle w:val="Indenta"/>
        <w:spacing w:before="70"/>
      </w:pPr>
      <w:r>
        <w:tab/>
        <w:t>(c)</w:t>
      </w:r>
      <w:r>
        <w:tab/>
        <w:t>that the fingerprints or photographs will be retained by the Commissioner or the DNA profile will be retained in accordance with the law.</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senior police officer, a police officer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 or</w:t>
      </w:r>
    </w:p>
    <w:p>
      <w:pPr>
        <w:pStyle w:val="Indenta"/>
      </w:pPr>
      <w:r>
        <w:tab/>
        <w:t>(c)</w:t>
      </w:r>
      <w:r>
        <w:tab/>
        <w:t>to carry out a non</w:t>
      </w:r>
      <w:r>
        <w:noBreakHyphen/>
        <w:t>intimate identifying procedure on the reportable offender for the purpose of obtaining the offender’s DNA profile.</w:t>
      </w:r>
    </w:p>
    <w:p>
      <w:pPr>
        <w:pStyle w:val="Subsection"/>
      </w:pPr>
      <w:r>
        <w:tab/>
        <w:t>(3)</w:t>
      </w:r>
      <w:r>
        <w:tab/>
        <w:t>If reasonable force is to be used in relation to section 39, 40 or 40A, a person of the same sex as the reportable offender must, if practicable, be the person who uses the reasonable force.</w:t>
      </w:r>
    </w:p>
    <w:p>
      <w:pPr>
        <w:pStyle w:val="Subsection"/>
      </w:pPr>
      <w:r>
        <w:tab/>
        <w:t>(4)</w:t>
      </w:r>
      <w:r>
        <w:tab/>
        <w:t xml:space="preserve">This section applies despite the </w:t>
      </w:r>
      <w:r>
        <w:rPr>
          <w:i/>
          <w:iCs/>
        </w:rPr>
        <w:t>Criminal Investigation (Identifying People) Act 2002</w:t>
      </w:r>
      <w:r>
        <w:t xml:space="preserve"> section 11(3).</w:t>
      </w:r>
    </w:p>
    <w:p>
      <w:pPr>
        <w:pStyle w:val="PermNoteHeading"/>
      </w:pPr>
      <w:r>
        <w:tab/>
        <w:t>Note for this section</w:t>
      </w:r>
      <w:r>
        <w:tab/>
      </w:r>
    </w:p>
    <w:p>
      <w:pPr>
        <w:pStyle w:val="PermNoteText"/>
      </w:pPr>
      <w:r>
        <w:tab/>
      </w:r>
      <w:r>
        <w:tab/>
        <w:t>A police officer may authorise as many other persons to assist in the exercise of the police officer’s powers under this Act as are reasonably necessary in the circumstances (see section 109A).</w:t>
      </w:r>
    </w:p>
    <w:p>
      <w:pPr>
        <w:pStyle w:val="Footnotesection"/>
      </w:pPr>
      <w:r>
        <w:tab/>
        <w:t>[Section 41 amended: No. 54 of 2012 s. 18; No. 31 of 2024 s. 28; No. 35 of 2024 s. 23.]</w:t>
      </w:r>
    </w:p>
    <w:p>
      <w:pPr>
        <w:pStyle w:val="Heading5"/>
      </w:pPr>
      <w:bookmarkStart w:id="142" w:name="_Toc216772962"/>
      <w:bookmarkStart w:id="143" w:name="_Toc203745093"/>
      <w:r>
        <w:rPr>
          <w:rStyle w:val="CharSectno"/>
        </w:rPr>
        <w:t>42</w:t>
      </w:r>
      <w:r>
        <w:t>.</w:t>
      </w:r>
      <w:r>
        <w:tab/>
        <w:t>Retention of material for certain purposes</w:t>
      </w:r>
      <w:bookmarkEnd w:id="142"/>
      <w:bookmarkEnd w:id="143"/>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PermNoteHeading"/>
      </w:pPr>
      <w:r>
        <w:tab/>
        <w:t xml:space="preserve">Note for this section: </w:t>
      </w:r>
    </w:p>
    <w:p>
      <w:pPr>
        <w:pStyle w:val="PermNoteText"/>
      </w:pPr>
      <w:r>
        <w:tab/>
      </w:r>
      <w:r>
        <w:tab/>
        <w:t xml:space="preserve">A reportable offender’s DNA profile obtained under this Division may be dealt with under the </w:t>
      </w:r>
      <w:r>
        <w:rPr>
          <w:i/>
          <w:iCs/>
        </w:rPr>
        <w:t>Criminal Investigation (Identifying People) Act 2002</w:t>
      </w:r>
      <w:r>
        <w:t xml:space="preserve"> section 68B.</w:t>
      </w:r>
    </w:p>
    <w:p>
      <w:pPr>
        <w:pStyle w:val="Footnotesection"/>
      </w:pPr>
      <w:r>
        <w:tab/>
        <w:t>[Section 42 amended: No. 35 of 2024 s. 24.]</w:t>
      </w:r>
    </w:p>
    <w:p>
      <w:pPr>
        <w:pStyle w:val="Heading5"/>
      </w:pPr>
      <w:bookmarkStart w:id="144" w:name="_Toc216772963"/>
      <w:bookmarkStart w:id="145" w:name="_Toc203745094"/>
      <w:r>
        <w:rPr>
          <w:rStyle w:val="CharSectno"/>
        </w:rPr>
        <w:t>43</w:t>
      </w:r>
      <w:r>
        <w:t>.</w:t>
      </w:r>
      <w:r>
        <w:tab/>
        <w:t>Reporting by remote offenders</w:t>
      </w:r>
      <w:bookmarkEnd w:id="144"/>
      <w:bookmarkEnd w:id="145"/>
    </w:p>
    <w:p>
      <w:pPr>
        <w:pStyle w:val="Subsection"/>
        <w:spacing w:before="200"/>
      </w:pPr>
      <w:r>
        <w:tab/>
        <w:t>(1)</w:t>
      </w:r>
      <w:r>
        <w:tab/>
        <w:t>This section applies to a reportable offender who resides more than the distance prescribed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keepNext/>
        <w:spacing w:before="200"/>
      </w:pPr>
      <w:r>
        <w:tab/>
        <w:t>(3)</w:t>
      </w:r>
      <w:r>
        <w:tab/>
        <w:t xml:space="preserve">The reportable offender need not comply with a time limit concerning the making of a report in person under this Part if — </w:t>
      </w:r>
    </w:p>
    <w:p>
      <w:pPr>
        <w:pStyle w:val="Indenta"/>
      </w:pPr>
      <w:r>
        <w:tab/>
        <w:t>(a)</w:t>
      </w:r>
      <w:r>
        <w:tab/>
        <w:t>the offender, or a person entitled to make the report on the offender’s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the offender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Footnotesection"/>
      </w:pPr>
      <w:r>
        <w:tab/>
        <w:t>[Section 43 amended: No. 31 of 2024 s. 28; No. 35 of 2024 s. 59.]</w:t>
      </w:r>
    </w:p>
    <w:p>
      <w:pPr>
        <w:pStyle w:val="Heading5"/>
      </w:pPr>
      <w:bookmarkStart w:id="146" w:name="_Toc216772964"/>
      <w:bookmarkStart w:id="147" w:name="_Toc180506995"/>
      <w:bookmarkStart w:id="148" w:name="_Toc203745095"/>
      <w:bookmarkStart w:id="149" w:name="_Toc203658184"/>
      <w:r>
        <w:rPr>
          <w:rStyle w:val="CharSectno"/>
        </w:rPr>
        <w:t>43A</w:t>
      </w:r>
      <w:r>
        <w:t>.</w:t>
      </w:r>
      <w:r>
        <w:tab/>
        <w:t>Time for reporting</w:t>
      </w:r>
      <w:bookmarkEnd w:id="146"/>
      <w:bookmarkEnd w:id="147"/>
      <w:bookmarkEnd w:id="148"/>
      <w:r>
        <w:t xml:space="preserve"> </w:t>
      </w:r>
    </w:p>
    <w:p>
      <w:pPr>
        <w:pStyle w:val="Subsection"/>
      </w:pPr>
      <w:r>
        <w:tab/>
      </w:r>
      <w:r>
        <w:tab/>
        <w:t xml:space="preserve">If a reportable offender is required to report to the Commissioner under this Part, the </w:t>
      </w:r>
      <w:r>
        <w:rPr>
          <w:i/>
          <w:iCs/>
        </w:rPr>
        <w:t>Interpretation Act 1984</w:t>
      </w:r>
      <w:r>
        <w:t xml:space="preserve"> section 61(e) and (h) do not apply to extend the time by which the report must be made.</w:t>
      </w:r>
    </w:p>
    <w:p>
      <w:pPr>
        <w:pStyle w:val="Footnotesection"/>
      </w:pPr>
      <w:bookmarkStart w:id="150" w:name="_Toc180506996"/>
      <w:r>
        <w:tab/>
        <w:t>[Section 43A inserted: No. 35 of 2024 s. 25.]</w:t>
      </w:r>
    </w:p>
    <w:p>
      <w:pPr>
        <w:pStyle w:val="Heading5"/>
      </w:pPr>
      <w:bookmarkStart w:id="151" w:name="_Toc216772965"/>
      <w:bookmarkStart w:id="152" w:name="_Toc203745096"/>
      <w:r>
        <w:rPr>
          <w:rStyle w:val="CharSectno"/>
        </w:rPr>
        <w:t>43B</w:t>
      </w:r>
      <w:r>
        <w:t>.</w:t>
      </w:r>
      <w:r>
        <w:tab/>
        <w:t>Powers additional</w:t>
      </w:r>
      <w:bookmarkEnd w:id="151"/>
      <w:bookmarkEnd w:id="150"/>
      <w:bookmarkEnd w:id="152"/>
      <w:r>
        <w:t xml:space="preserve"> </w:t>
      </w:r>
    </w:p>
    <w:p>
      <w:pPr>
        <w:pStyle w:val="Subsection"/>
      </w:pPr>
      <w:r>
        <w:tab/>
      </w:r>
      <w:r>
        <w:tab/>
        <w:t>The powers that a police officer may exercise under this Division are in addition to, and do not limit, the powers that a police officer has under this Act or any other law.</w:t>
      </w:r>
    </w:p>
    <w:p>
      <w:pPr>
        <w:pStyle w:val="Footnotesection"/>
      </w:pPr>
      <w:r>
        <w:tab/>
        <w:t>[Section 43B inserted: No. 35 of 2024 s. 25.]</w:t>
      </w:r>
    </w:p>
    <w:p>
      <w:pPr>
        <w:pStyle w:val="Heading3"/>
      </w:pPr>
      <w:bookmarkStart w:id="153" w:name="_Toc216772966"/>
      <w:bookmarkStart w:id="154" w:name="_Toc203745097"/>
      <w:r>
        <w:rPr>
          <w:rStyle w:val="CharDivNo"/>
        </w:rPr>
        <w:t>Division 4</w:t>
      </w:r>
      <w:r>
        <w:t> — </w:t>
      </w:r>
      <w:r>
        <w:rPr>
          <w:rStyle w:val="CharDivText"/>
        </w:rPr>
        <w:t>Suspension and extension of reporting obligations</w:t>
      </w:r>
      <w:bookmarkEnd w:id="153"/>
      <w:bookmarkEnd w:id="149"/>
      <w:bookmarkEnd w:id="154"/>
    </w:p>
    <w:p>
      <w:pPr>
        <w:pStyle w:val="Heading5"/>
      </w:pPr>
      <w:bookmarkStart w:id="155" w:name="_Toc216772967"/>
      <w:bookmarkStart w:id="156" w:name="_Toc203745098"/>
      <w:r>
        <w:rPr>
          <w:rStyle w:val="CharSectno"/>
        </w:rPr>
        <w:t>44</w:t>
      </w:r>
      <w:r>
        <w:t>.</w:t>
      </w:r>
      <w:r>
        <w:tab/>
        <w:t>Suspension and extension of reporting obligations</w:t>
      </w:r>
      <w:bookmarkEnd w:id="155"/>
      <w:bookmarkEnd w:id="156"/>
    </w:p>
    <w:p>
      <w:pPr>
        <w:pStyle w:val="Subsection"/>
      </w:pPr>
      <w:r>
        <w:tab/>
        <w:t>(1)</w:t>
      </w:r>
      <w:r>
        <w:tab/>
        <w:t xml:space="preserve">Any obligation imposed on a reportable offender by this Part is suspended for any period during which the offender — </w:t>
      </w:r>
    </w:p>
    <w:p>
      <w:pPr>
        <w:pStyle w:val="Indenta"/>
      </w:pPr>
      <w:r>
        <w:tab/>
        <w:t>(a)</w:t>
      </w:r>
      <w:r>
        <w:tab/>
        <w:t>is in government custody; or</w:t>
      </w:r>
    </w:p>
    <w:p>
      <w:pPr>
        <w:pStyle w:val="Indenta"/>
      </w:pPr>
      <w:r>
        <w:tab/>
        <w:t>(b)</w:t>
      </w:r>
      <w:r>
        <w:tab/>
        <w:t>is outside Western Australia, unless the offender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keepNext/>
      </w:pPr>
      <w:r>
        <w:tab/>
        <w:t>(b)</w:t>
      </w:r>
      <w:r>
        <w:tab/>
        <w:t>the reportable offender must continue to comply with the reporting obligations imposed by this Part until the expiry of the period during which the offender is subject to the order.</w:t>
      </w:r>
    </w:p>
    <w:p>
      <w:pPr>
        <w:pStyle w:val="Footnotesection"/>
      </w:pPr>
      <w:r>
        <w:tab/>
        <w:t>[Section 44 amended: No. 54 of 2012 s. 42(3); No. 31 of 2024 s. 28.]</w:t>
      </w:r>
    </w:p>
    <w:p>
      <w:pPr>
        <w:pStyle w:val="Heading3"/>
      </w:pPr>
      <w:bookmarkStart w:id="157" w:name="_Toc216772968"/>
      <w:bookmarkStart w:id="158" w:name="_Toc203658186"/>
      <w:bookmarkStart w:id="159" w:name="_Toc203745099"/>
      <w:r>
        <w:rPr>
          <w:rStyle w:val="CharDivNo"/>
        </w:rPr>
        <w:t>Division 5</w:t>
      </w:r>
      <w:r>
        <w:t> — </w:t>
      </w:r>
      <w:r>
        <w:rPr>
          <w:rStyle w:val="CharDivText"/>
        </w:rPr>
        <w:t>Reporting period</w:t>
      </w:r>
      <w:bookmarkEnd w:id="157"/>
      <w:bookmarkEnd w:id="158"/>
      <w:bookmarkEnd w:id="159"/>
    </w:p>
    <w:p>
      <w:pPr>
        <w:pStyle w:val="Heading5"/>
      </w:pPr>
      <w:bookmarkStart w:id="160" w:name="_Toc216772969"/>
      <w:bookmarkStart w:id="161" w:name="_Toc203745100"/>
      <w:r>
        <w:rPr>
          <w:rStyle w:val="CharSectno"/>
        </w:rPr>
        <w:t>45</w:t>
      </w:r>
      <w:r>
        <w:t>.</w:t>
      </w:r>
      <w:r>
        <w:tab/>
        <w:t>When reporting obligations begin</w:t>
      </w:r>
      <w:bookmarkEnd w:id="160"/>
      <w:bookmarkEnd w:id="161"/>
    </w:p>
    <w:p>
      <w:pPr>
        <w:pStyle w:val="Subsection"/>
      </w:pPr>
      <w:r>
        <w:tab/>
      </w:r>
      <w:r>
        <w:tab/>
        <w:t>For the purposes of this Division, a reportable offender’s reporting obligations in respect of a reportable offence begin when the latest of the following occurs —</w:t>
      </w:r>
    </w:p>
    <w:p>
      <w:pPr>
        <w:pStyle w:val="Indenta"/>
      </w:pPr>
      <w:r>
        <w:tab/>
        <w:t>(a)</w:t>
      </w:r>
      <w:r>
        <w:tab/>
        <w:t xml:space="preserve">the reportable offender is sentenced for the offence; </w:t>
      </w:r>
    </w:p>
    <w:p>
      <w:pPr>
        <w:pStyle w:val="Indenta"/>
      </w:pPr>
      <w:r>
        <w:tab/>
        <w:t>(b)</w:t>
      </w:r>
      <w:r>
        <w:tab/>
        <w:t>the reportable offender ceases to be in government custody in respect of the offence;</w:t>
      </w:r>
    </w:p>
    <w:p>
      <w:pPr>
        <w:pStyle w:val="Indenta"/>
      </w:pPr>
      <w:r>
        <w:tab/>
        <w:t>(c)</w:t>
      </w:r>
      <w:r>
        <w:tab/>
        <w:t>a reporting order is made in respect of the offence.</w:t>
      </w:r>
    </w:p>
    <w:p>
      <w:pPr>
        <w:pStyle w:val="Footnotesection"/>
      </w:pPr>
      <w:r>
        <w:tab/>
        <w:t>[Section 45 amended: No. 35 of 2024 s. 26.]</w:t>
      </w:r>
    </w:p>
    <w:p>
      <w:pPr>
        <w:pStyle w:val="Heading5"/>
      </w:pPr>
      <w:bookmarkStart w:id="162" w:name="_Toc216772970"/>
      <w:bookmarkStart w:id="163" w:name="_Toc203745101"/>
      <w:r>
        <w:rPr>
          <w:rStyle w:val="CharSectno"/>
        </w:rPr>
        <w:t>46</w:t>
      </w:r>
      <w:r>
        <w:t>.</w:t>
      </w:r>
      <w:r>
        <w:tab/>
        <w:t>Length of reporting period</w:t>
      </w:r>
      <w:bookmarkEnd w:id="162"/>
      <w:bookmarkEnd w:id="163"/>
    </w:p>
    <w:p>
      <w:pPr>
        <w:pStyle w:val="Subsection"/>
      </w:pPr>
      <w:r>
        <w:tab/>
        <w:t>(1)</w:t>
      </w:r>
      <w:r>
        <w:tab/>
        <w:t>A reportable offender must continue to comply with the reporting obligations imposed by this Part for 8 years, if the offender has only ever been found guilty of a single Class 2 offence.</w:t>
      </w:r>
    </w:p>
    <w:p>
      <w:pPr>
        <w:pStyle w:val="Subsection"/>
        <w:keepNext/>
      </w:pPr>
      <w:r>
        <w:tab/>
        <w:t>(2)</w:t>
      </w:r>
      <w:r>
        <w:tab/>
        <w:t xml:space="preserve">A reportable offender must continue to comply with the reporting obligations imposed by this Part for 15 years, if the offender — </w:t>
      </w:r>
    </w:p>
    <w:p>
      <w:pPr>
        <w:pStyle w:val="Indenta"/>
      </w:pPr>
      <w:r>
        <w:tab/>
        <w:t>(a)</w:t>
      </w:r>
      <w:r>
        <w:tab/>
        <w:t>has only ever been found guilty of a single Class 1 offence; or</w:t>
      </w:r>
    </w:p>
    <w:p>
      <w:pPr>
        <w:pStyle w:val="Indenta"/>
      </w:pPr>
      <w:r>
        <w:tab/>
        <w:t>(aa)</w:t>
      </w:r>
      <w:r>
        <w:tab/>
        <w:t>has only ever been found guilty of 2 Class 2 offences;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the offender’s life, if the offender is a reportable offender in respect of — </w:t>
      </w:r>
    </w:p>
    <w:p>
      <w:pPr>
        <w:pStyle w:val="Indenta"/>
      </w:pPr>
      <w:r>
        <w:tab/>
        <w:t>(a)</w:t>
      </w:r>
      <w:r>
        <w:tab/>
        <w:t>a Class 1 offence, and the offender then commits and is found guilty of a Class 1 offence, a Class 2 offence or a Class 3 offence; or</w:t>
      </w:r>
    </w:p>
    <w:p>
      <w:pPr>
        <w:pStyle w:val="Indenta"/>
      </w:pPr>
      <w:r>
        <w:tab/>
        <w:t>(b)</w:t>
      </w:r>
      <w:r>
        <w:tab/>
        <w:t>a Class 2 offence or a Class 3 offence, and the offender then commits and is found guilty of a Class 1 offence; or</w:t>
      </w:r>
    </w:p>
    <w:p>
      <w:pPr>
        <w:pStyle w:val="Indenta"/>
      </w:pPr>
      <w:r>
        <w:tab/>
        <w:t>(c)</w:t>
      </w:r>
      <w:r>
        <w:tab/>
        <w:t xml:space="preserve">a Class 2 offence, and the offender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the offender then commits and is found guilty of a Class 2 offence and has ever been found guilty of 3 or more Class 2 offences; or</w:t>
      </w:r>
    </w:p>
    <w:p>
      <w:pPr>
        <w:pStyle w:val="Indenta"/>
      </w:pPr>
      <w:r>
        <w:tab/>
        <w:t>(e)</w:t>
      </w:r>
      <w:r>
        <w:tab/>
        <w:t>a Class 3 offence, and the offender then commits and is found guilty of a Class 3 offence.</w:t>
      </w:r>
    </w:p>
    <w:p>
      <w:pPr>
        <w:pStyle w:val="Ednotesubsection"/>
      </w:pPr>
      <w:r>
        <w:tab/>
        <w:t>[(4)</w:t>
      </w:r>
      <w:r>
        <w:tab/>
        <w:t>deleted]</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Footnotesection"/>
      </w:pPr>
      <w:r>
        <w:tab/>
        <w:t>[Section 46 amended: No. 31 of 2024 s. 28; No. 35 of 2024 s. 27.]</w:t>
      </w:r>
    </w:p>
    <w:p>
      <w:pPr>
        <w:pStyle w:val="Heading5"/>
      </w:pPr>
      <w:bookmarkStart w:id="164" w:name="_Toc216772971"/>
      <w:bookmarkStart w:id="165" w:name="_Toc203745102"/>
      <w:r>
        <w:rPr>
          <w:rStyle w:val="CharSectno"/>
        </w:rPr>
        <w:t>47</w:t>
      </w:r>
      <w:r>
        <w:t>.</w:t>
      </w:r>
      <w:r>
        <w:tab/>
        <w:t>Reduced period applies for young reportable offenders</w:t>
      </w:r>
      <w:bookmarkEnd w:id="164"/>
      <w:bookmarkEnd w:id="165"/>
    </w:p>
    <w:p>
      <w:pPr>
        <w:pStyle w:val="Subsection"/>
      </w:pPr>
      <w:r>
        <w:tab/>
        <w:t>(1)</w:t>
      </w:r>
      <w:r>
        <w:tab/>
        <w:t>The reporting periods specified in section 46 do not apply to a person who was a child at the time the person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the person .</w:t>
      </w:r>
    </w:p>
    <w:p>
      <w:pPr>
        <w:pStyle w:val="Footnotesection"/>
      </w:pPr>
      <w:r>
        <w:tab/>
        <w:t>[Section 47 amended: No. 31 of 2024 s. 28.]</w:t>
      </w:r>
    </w:p>
    <w:p>
      <w:pPr>
        <w:pStyle w:val="Heading5"/>
      </w:pPr>
      <w:bookmarkStart w:id="166" w:name="_Toc216772972"/>
      <w:bookmarkStart w:id="167" w:name="_Toc203745103"/>
      <w:r>
        <w:rPr>
          <w:rStyle w:val="CharSectno"/>
        </w:rPr>
        <w:t>48</w:t>
      </w:r>
      <w:r>
        <w:t>.</w:t>
      </w:r>
      <w:r>
        <w:tab/>
        <w:t>Extended reporting period if reportable offender still on parole</w:t>
      </w:r>
      <w:bookmarkEnd w:id="166"/>
      <w:bookmarkEnd w:id="167"/>
    </w:p>
    <w:p>
      <w:pPr>
        <w:pStyle w:val="Subsection"/>
        <w:keepNext/>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68" w:name="_Toc216772973"/>
      <w:bookmarkStart w:id="169" w:name="_Toc203745104"/>
      <w:r>
        <w:rPr>
          <w:rStyle w:val="CharSectno"/>
        </w:rPr>
        <w:t>49</w:t>
      </w:r>
      <w:r>
        <w:t>.</w:t>
      </w:r>
      <w:r>
        <w:tab/>
        <w:t>Reporting period for corresponding reportable offenders</w:t>
      </w:r>
      <w:bookmarkEnd w:id="168"/>
      <w:bookmarkEnd w:id="169"/>
    </w:p>
    <w:p>
      <w:pPr>
        <w:pStyle w:val="Subsection"/>
        <w:keepNext/>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the offender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the offender would be required to report to the corresponding registrar of a foreign jurisdiction.</w:t>
      </w:r>
    </w:p>
    <w:p>
      <w:pPr>
        <w:pStyle w:val="Footnotesection"/>
      </w:pPr>
      <w:r>
        <w:tab/>
        <w:t>[Section 49 amended: No. 54 of 2012 s. 19; No. 31 of 2024 s. 28.]</w:t>
      </w:r>
    </w:p>
    <w:p>
      <w:pPr>
        <w:pStyle w:val="Heading5"/>
      </w:pPr>
      <w:bookmarkStart w:id="170" w:name="_Toc216772974"/>
      <w:bookmarkStart w:id="171" w:name="_Toc203745105"/>
      <w:r>
        <w:rPr>
          <w:rStyle w:val="CharSectno"/>
        </w:rPr>
        <w:t>50</w:t>
      </w:r>
      <w:r>
        <w:t>.</w:t>
      </w:r>
      <w:r>
        <w:tab/>
        <w:t>Reporting period for New South Wales reportable offenders</w:t>
      </w:r>
      <w:bookmarkEnd w:id="170"/>
      <w:bookmarkEnd w:id="171"/>
    </w:p>
    <w:p>
      <w:pPr>
        <w:pStyle w:val="Subsection"/>
      </w:pPr>
      <w:r>
        <w:tab/>
        <w:t>(1)</w:t>
      </w:r>
      <w:r>
        <w:tab/>
        <w:t>Subject to subsection (2), a New South Wales reportable offender must continue to comply with the reporting obligations imposed by this Part for the period the offender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keepNext/>
      </w:pPr>
      <w:r>
        <w:tab/>
        <w:t>(b)</w:t>
      </w:r>
      <w:r>
        <w:tab/>
        <w:t>the period that the offender is required to report in accordance with this Division (apart from this section),</w:t>
      </w:r>
    </w:p>
    <w:p>
      <w:pPr>
        <w:pStyle w:val="Subsection"/>
        <w:keepNext/>
      </w:pPr>
      <w:r>
        <w:tab/>
      </w:r>
      <w:r>
        <w:tab/>
        <w:t>whichever is longer.</w:t>
      </w:r>
    </w:p>
    <w:p>
      <w:pPr>
        <w:pStyle w:val="Footnotesection"/>
      </w:pPr>
      <w:r>
        <w:tab/>
        <w:t>[Section 50 amended: No. 31 of 2024 s. 28.]</w:t>
      </w:r>
    </w:p>
    <w:p>
      <w:pPr>
        <w:pStyle w:val="Heading3"/>
      </w:pPr>
      <w:bookmarkStart w:id="172" w:name="_Toc216772975"/>
      <w:bookmarkStart w:id="173" w:name="_Toc203658193"/>
      <w:bookmarkStart w:id="174" w:name="_Toc203745106"/>
      <w:r>
        <w:rPr>
          <w:rStyle w:val="CharDivNo"/>
        </w:rPr>
        <w:t>Division 6</w:t>
      </w:r>
      <w:r>
        <w:t> — </w:t>
      </w:r>
      <w:r>
        <w:rPr>
          <w:rStyle w:val="CharDivText"/>
        </w:rPr>
        <w:t>Exemption from reporting obligations</w:t>
      </w:r>
      <w:bookmarkEnd w:id="172"/>
      <w:bookmarkEnd w:id="173"/>
      <w:bookmarkEnd w:id="174"/>
    </w:p>
    <w:p>
      <w:pPr>
        <w:pStyle w:val="Heading5"/>
      </w:pPr>
      <w:bookmarkStart w:id="175" w:name="_Toc216772976"/>
      <w:bookmarkStart w:id="176" w:name="_Toc203745107"/>
      <w:r>
        <w:rPr>
          <w:rStyle w:val="CharSectno"/>
        </w:rPr>
        <w:t>51</w:t>
      </w:r>
      <w:r>
        <w:t>.</w:t>
      </w:r>
      <w:r>
        <w:tab/>
        <w:t>Application of Division</w:t>
      </w:r>
      <w:bookmarkEnd w:id="175"/>
      <w:bookmarkEnd w:id="176"/>
    </w:p>
    <w:p>
      <w:pPr>
        <w:pStyle w:val="Subsection"/>
      </w:pPr>
      <w:r>
        <w:tab/>
        <w:t>(1)</w:t>
      </w:r>
      <w:r>
        <w:tab/>
        <w:t>Subject to subsection (2), this Division applies to a reportable offender who is required to continue to comply with the reporting obligations imposed by this Part for the remainder of the offender’s life.</w:t>
      </w:r>
    </w:p>
    <w:p>
      <w:pPr>
        <w:pStyle w:val="Subsection"/>
      </w:pPr>
      <w:r>
        <w:tab/>
        <w:t>(2)</w:t>
      </w:r>
      <w:r>
        <w:tab/>
        <w:t xml:space="preserve">This Division does not apply to a reportable offender who is required to comply with those obligations for the remainder of the offender’s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Footnotesection"/>
      </w:pPr>
      <w:r>
        <w:tab/>
        <w:t>[Section 51 amended: No. 31 of 2024 s. 28.]</w:t>
      </w:r>
    </w:p>
    <w:p>
      <w:pPr>
        <w:pStyle w:val="Heading5"/>
      </w:pPr>
      <w:bookmarkStart w:id="177" w:name="_Toc216772977"/>
      <w:bookmarkStart w:id="178" w:name="_Toc203745108"/>
      <w:r>
        <w:rPr>
          <w:rStyle w:val="CharSectno"/>
        </w:rPr>
        <w:t>52</w:t>
      </w:r>
      <w:r>
        <w:t>.</w:t>
      </w:r>
      <w:r>
        <w:tab/>
        <w:t>District Court may exempt certain reportable offenders</w:t>
      </w:r>
      <w:bookmarkEnd w:id="177"/>
      <w:bookmarkEnd w:id="178"/>
    </w:p>
    <w:p>
      <w:pPr>
        <w:pStyle w:val="Subsection"/>
      </w:pPr>
      <w:r>
        <w:tab/>
      </w:r>
      <w:r>
        <w:tab/>
        <w:t xml:space="preserve">If — </w:t>
      </w:r>
    </w:p>
    <w:p>
      <w:pPr>
        <w:pStyle w:val="Indenta"/>
      </w:pPr>
      <w:r>
        <w:tab/>
        <w:t>(a)</w:t>
      </w:r>
      <w:r>
        <w:tab/>
        <w:t>a period of 15 years has passed (ignoring any period during which the reportable offender was in government custody) since the offender was last sentenced or released from government custody in respect of a reportable offence or a corresponding reportable offence, whichever is later; and</w:t>
      </w:r>
    </w:p>
    <w:p>
      <w:pPr>
        <w:pStyle w:val="Indenta"/>
      </w:pPr>
      <w:r>
        <w:tab/>
        <w:t>(b)</w:t>
      </w:r>
      <w:r>
        <w:tab/>
        <w:t>the offender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the offender is not on parole in respect of a reportable offence,</w:t>
      </w:r>
    </w:p>
    <w:p>
      <w:pPr>
        <w:pStyle w:val="Subsection"/>
      </w:pPr>
      <w:r>
        <w:tab/>
      </w:r>
      <w:r>
        <w:tab/>
        <w:t>the reportable offender may apply to the District Court for an order suspending the offender’s reporting obligations.</w:t>
      </w:r>
    </w:p>
    <w:p>
      <w:pPr>
        <w:pStyle w:val="Footnotesection"/>
      </w:pPr>
      <w:r>
        <w:tab/>
        <w:t>[Section 52 amended: No. 31 of 2024 s. 28.]</w:t>
      </w:r>
    </w:p>
    <w:p>
      <w:pPr>
        <w:pStyle w:val="Heading5"/>
      </w:pPr>
      <w:bookmarkStart w:id="179" w:name="_Toc216772978"/>
      <w:bookmarkStart w:id="180" w:name="_Toc203745109"/>
      <w:r>
        <w:rPr>
          <w:rStyle w:val="CharSectno"/>
        </w:rPr>
        <w:t>53</w:t>
      </w:r>
      <w:r>
        <w:t>.</w:t>
      </w:r>
      <w:r>
        <w:tab/>
        <w:t>Order for suspension</w:t>
      </w:r>
      <w:bookmarkEnd w:id="179"/>
      <w:bookmarkEnd w:id="18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keepNext/>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81" w:name="_Toc216772979"/>
      <w:bookmarkStart w:id="182" w:name="_Toc203745110"/>
      <w:r>
        <w:rPr>
          <w:rStyle w:val="CharSectno"/>
        </w:rPr>
        <w:t>54</w:t>
      </w:r>
      <w:r>
        <w:t>.</w:t>
      </w:r>
      <w:r>
        <w:tab/>
        <w:t>Commissioner and certain chief executive officers entitled to be parties to proceedings</w:t>
      </w:r>
      <w:bookmarkEnd w:id="181"/>
      <w:bookmarkEnd w:id="182"/>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83" w:name="_Toc216772980"/>
      <w:bookmarkStart w:id="184" w:name="_Toc203745111"/>
      <w:r>
        <w:rPr>
          <w:rStyle w:val="CharSectno"/>
        </w:rPr>
        <w:t>55</w:t>
      </w:r>
      <w:r>
        <w:t>.</w:t>
      </w:r>
      <w:r>
        <w:tab/>
        <w:t>Commissioner to be notified of order</w:t>
      </w:r>
      <w:bookmarkEnd w:id="183"/>
      <w:bookmarkEnd w:id="184"/>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85" w:name="_Toc216772981"/>
      <w:bookmarkStart w:id="186" w:name="_Toc203745112"/>
      <w:r>
        <w:rPr>
          <w:rStyle w:val="CharSectno"/>
        </w:rPr>
        <w:t>56</w:t>
      </w:r>
      <w:r>
        <w:t>.</w:t>
      </w:r>
      <w:r>
        <w:tab/>
        <w:t>No costs to be awarded</w:t>
      </w:r>
      <w:bookmarkEnd w:id="185"/>
      <w:bookmarkEnd w:id="186"/>
    </w:p>
    <w:p>
      <w:pPr>
        <w:pStyle w:val="Subsection"/>
        <w:spacing w:before="140"/>
      </w:pPr>
      <w:r>
        <w:tab/>
      </w:r>
      <w:r>
        <w:tab/>
        <w:t>The District Court must not award costs in respect of proceedings under this Division.</w:t>
      </w:r>
    </w:p>
    <w:p>
      <w:pPr>
        <w:pStyle w:val="Heading5"/>
      </w:pPr>
      <w:bookmarkStart w:id="187" w:name="_Toc216772982"/>
      <w:bookmarkStart w:id="188" w:name="_Toc203745113"/>
      <w:r>
        <w:rPr>
          <w:rStyle w:val="CharSectno"/>
        </w:rPr>
        <w:t>57</w:t>
      </w:r>
      <w:r>
        <w:t>.</w:t>
      </w:r>
      <w:r>
        <w:tab/>
        <w:t>Applications not to be heard in public on application of party to proceedings</w:t>
      </w:r>
      <w:bookmarkEnd w:id="187"/>
      <w:bookmarkEnd w:id="188"/>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89" w:name="_Toc216772983"/>
      <w:bookmarkStart w:id="190" w:name="_Toc203745114"/>
      <w:r>
        <w:rPr>
          <w:rStyle w:val="CharSectno"/>
        </w:rPr>
        <w:t>58</w:t>
      </w:r>
      <w:r>
        <w:t>.</w:t>
      </w:r>
      <w:r>
        <w:tab/>
        <w:t>Restriction on right of unsuccessful applicant to re</w:t>
      </w:r>
      <w:r>
        <w:noBreakHyphen/>
        <w:t>apply for order</w:t>
      </w:r>
      <w:bookmarkEnd w:id="189"/>
      <w:bookmarkEnd w:id="190"/>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91" w:name="_Toc216772984"/>
      <w:bookmarkStart w:id="192" w:name="_Toc203745115"/>
      <w:r>
        <w:rPr>
          <w:rStyle w:val="CharSectno"/>
        </w:rPr>
        <w:t>59</w:t>
      </w:r>
      <w:r>
        <w:t>.</w:t>
      </w:r>
      <w:r>
        <w:tab/>
        <w:t>Cessation of order</w:t>
      </w:r>
      <w:bookmarkEnd w:id="191"/>
      <w:bookmarkEnd w:id="192"/>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93" w:name="_Toc216772985"/>
      <w:bookmarkStart w:id="194" w:name="_Toc203745116"/>
      <w:r>
        <w:rPr>
          <w:rStyle w:val="CharSectno"/>
        </w:rPr>
        <w:t>60</w:t>
      </w:r>
      <w:r>
        <w:t>.</w:t>
      </w:r>
      <w:r>
        <w:tab/>
        <w:t>Application for new order</w:t>
      </w:r>
      <w:bookmarkEnd w:id="193"/>
      <w:bookmarkEnd w:id="194"/>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the offender last committed a reportable offence or a corresponding reportable offence.</w:t>
      </w:r>
    </w:p>
    <w:p>
      <w:pPr>
        <w:pStyle w:val="Footnotesection"/>
      </w:pPr>
      <w:r>
        <w:tab/>
        <w:t>[Section 60 amended: No. 31 of 2024 s. 28.]</w:t>
      </w:r>
    </w:p>
    <w:p>
      <w:pPr>
        <w:pStyle w:val="Heading3"/>
      </w:pPr>
      <w:bookmarkStart w:id="195" w:name="_Toc216772986"/>
      <w:bookmarkStart w:id="196" w:name="_Toc203658204"/>
      <w:bookmarkStart w:id="197" w:name="_Toc203745117"/>
      <w:r>
        <w:rPr>
          <w:rStyle w:val="CharDivNo"/>
        </w:rPr>
        <w:t>Division 7</w:t>
      </w:r>
      <w:r>
        <w:t> — </w:t>
      </w:r>
      <w:r>
        <w:rPr>
          <w:rStyle w:val="CharDivText"/>
        </w:rPr>
        <w:t>Suspension of reporting obligations of certain reportable offenders</w:t>
      </w:r>
      <w:bookmarkEnd w:id="195"/>
      <w:bookmarkEnd w:id="196"/>
      <w:bookmarkEnd w:id="197"/>
    </w:p>
    <w:p>
      <w:pPr>
        <w:pStyle w:val="Heading5"/>
      </w:pPr>
      <w:bookmarkStart w:id="198" w:name="_Toc216772987"/>
      <w:bookmarkStart w:id="199" w:name="_Toc203745118"/>
      <w:r>
        <w:rPr>
          <w:rStyle w:val="CharSectno"/>
        </w:rPr>
        <w:t>61</w:t>
      </w:r>
      <w:r>
        <w:t>.</w:t>
      </w:r>
      <w:r>
        <w:tab/>
        <w:t>Commissioner may approve suspension of reporting obligations</w:t>
      </w:r>
      <w:bookmarkEnd w:id="198"/>
      <w:bookmarkEnd w:id="199"/>
    </w:p>
    <w:p>
      <w:pPr>
        <w:pStyle w:val="Ednotesubsection"/>
        <w:keepNext/>
      </w:pPr>
      <w:r>
        <w:tab/>
        <w:t>[(1)</w:t>
      </w:r>
      <w:r>
        <w:tab/>
        <w:t>deleted]</w:t>
      </w:r>
    </w:p>
    <w:p>
      <w:pPr>
        <w:pStyle w:val="Subsection"/>
      </w:pPr>
      <w:r>
        <w:tab/>
        <w:t>(2)</w:t>
      </w:r>
      <w:r>
        <w:tab/>
        <w:t>The Commissioner may approve a suspension of a reportable offender’s reporting obligations.</w:t>
      </w:r>
    </w:p>
    <w:p>
      <w:pPr>
        <w:pStyle w:val="Subsection"/>
      </w:pPr>
      <w:r>
        <w:tab/>
        <w:t>(2A)</w:t>
      </w:r>
      <w:r>
        <w:tab/>
        <w:t>The Commissioner may approve the suspension only if the Commissioner is satisfied that the reportable offender does not pose a risk to the lives or the sexual safety of 1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the offender under subsection (4) or from any later date specified in the notice.</w:t>
      </w:r>
    </w:p>
    <w:p>
      <w:pPr>
        <w:pStyle w:val="Footnotesection"/>
      </w:pPr>
      <w:r>
        <w:tab/>
        <w:t>[Section 61 amended: No. 31 of 2024 s. 28; No. 35 of 2024 s. 28.]</w:t>
      </w:r>
    </w:p>
    <w:p>
      <w:pPr>
        <w:pStyle w:val="Heading5"/>
      </w:pPr>
      <w:bookmarkStart w:id="200" w:name="_Toc216772988"/>
      <w:bookmarkStart w:id="201" w:name="_Toc203745119"/>
      <w:r>
        <w:rPr>
          <w:rStyle w:val="CharSectno"/>
        </w:rPr>
        <w:t>62</w:t>
      </w:r>
      <w:r>
        <w:t>.</w:t>
      </w:r>
      <w:r>
        <w:tab/>
        <w:t>Cessation of approval</w:t>
      </w:r>
      <w:bookmarkEnd w:id="200"/>
      <w:bookmarkEnd w:id="20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a reporting order or protection order is quashed on appeal; or</w:t>
      </w:r>
    </w:p>
    <w:p>
      <w:pPr>
        <w:pStyle w:val="Indenti"/>
      </w:pPr>
      <w:r>
        <w:tab/>
        <w:t>(ii)</w:t>
      </w:r>
      <w:r>
        <w:tab/>
        <w:t>in the case of a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 reporting order or </w:t>
      </w:r>
      <w:r>
        <w:rPr>
          <w:color w:val="000000"/>
        </w:rPr>
        <w:t>protection order</w:t>
      </w:r>
      <w:r>
        <w:t>.</w:t>
      </w:r>
    </w:p>
    <w:p>
      <w:pPr>
        <w:pStyle w:val="Footnotesection"/>
      </w:pPr>
      <w:r>
        <w:tab/>
        <w:t>[Section 62 amended: No. 54 of 2012 s. 20 and 42(2); No. 35 of 2024 s. 29.]</w:t>
      </w:r>
    </w:p>
    <w:p>
      <w:pPr>
        <w:pStyle w:val="Heading3"/>
      </w:pPr>
      <w:bookmarkStart w:id="202" w:name="_Toc216772989"/>
      <w:bookmarkStart w:id="203" w:name="_Toc203658207"/>
      <w:bookmarkStart w:id="204" w:name="_Toc203745120"/>
      <w:r>
        <w:rPr>
          <w:rStyle w:val="CharDivNo"/>
        </w:rPr>
        <w:t>Division 8</w:t>
      </w:r>
      <w:r>
        <w:t> — </w:t>
      </w:r>
      <w:r>
        <w:rPr>
          <w:rStyle w:val="CharDivText"/>
        </w:rPr>
        <w:t>Offences</w:t>
      </w:r>
      <w:bookmarkEnd w:id="202"/>
      <w:bookmarkEnd w:id="203"/>
      <w:bookmarkEnd w:id="204"/>
    </w:p>
    <w:p>
      <w:pPr>
        <w:pStyle w:val="Heading5"/>
      </w:pPr>
      <w:bookmarkStart w:id="205" w:name="_Toc216772990"/>
      <w:bookmarkStart w:id="206" w:name="_Toc203745121"/>
      <w:r>
        <w:rPr>
          <w:rStyle w:val="CharSectno"/>
        </w:rPr>
        <w:t>63</w:t>
      </w:r>
      <w:r>
        <w:t>.</w:t>
      </w:r>
      <w:r>
        <w:tab/>
        <w:t>Failure to comply with reporting obligations</w:t>
      </w:r>
      <w:bookmarkEnd w:id="205"/>
      <w:bookmarkEnd w:id="206"/>
    </w:p>
    <w:p>
      <w:pPr>
        <w:pStyle w:val="Subsection"/>
      </w:pPr>
      <w:r>
        <w:tab/>
        <w:t>(1)</w:t>
      </w:r>
      <w:r>
        <w:tab/>
        <w:t xml:space="preserve">A reportable offender who, without reasonable excuse, fails to comply with any of the offender’s reporting obligations commits </w:t>
      </w:r>
      <w:r>
        <w:rPr>
          <w:color w:val="000000"/>
        </w:rPr>
        <w:t>a crime.</w:t>
      </w:r>
    </w:p>
    <w:p>
      <w:pPr>
        <w:pStyle w:val="Penstart"/>
      </w:pPr>
      <w:r>
        <w:tab/>
        <w:t>Penalty for this subsection: imprisonment for 5 years.</w:t>
      </w:r>
    </w:p>
    <w:p>
      <w:pPr>
        <w:pStyle w:val="Penstart"/>
      </w:pPr>
      <w:r>
        <w:tab/>
        <w:t>Summary conviction penalty for this subsection: imprisonment for 2 years and a fine of $24 000.</w:t>
      </w:r>
    </w:p>
    <w:p>
      <w:pPr>
        <w:pStyle w:val="Subsection"/>
      </w:pPr>
      <w:r>
        <w:tab/>
        <w:t>(2)</w:t>
      </w:r>
      <w:r>
        <w:tab/>
        <w:t xml:space="preserve">In determining whether a person had a reasonable excuse for failing to comply with the person’s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person as to the person’s obligations was adequate to inform the person of those obligations, having regard to the person’s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 No. 31 of 2024 s. 27 and 28; No. 35 of 2024 s. 30.]</w:t>
      </w:r>
    </w:p>
    <w:p>
      <w:pPr>
        <w:pStyle w:val="Heading5"/>
      </w:pPr>
      <w:bookmarkStart w:id="207" w:name="_Toc216772991"/>
      <w:bookmarkStart w:id="208" w:name="_Toc203745122"/>
      <w:r>
        <w:rPr>
          <w:rStyle w:val="CharSectno"/>
        </w:rPr>
        <w:t>64</w:t>
      </w:r>
      <w:r>
        <w:t>.</w:t>
      </w:r>
      <w:r>
        <w:tab/>
        <w:t>Providing false or misleading information</w:t>
      </w:r>
      <w:bookmarkEnd w:id="207"/>
      <w:bookmarkEnd w:id="208"/>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 xml:space="preserve">Summary conviction penalty for this subsection: imprisonment for 2 years and a fine of $24 000. </w:t>
      </w:r>
    </w:p>
    <w:p>
      <w:pPr>
        <w:pStyle w:val="Footnotesection"/>
      </w:pPr>
      <w:r>
        <w:tab/>
        <w:t>[Section 64 amended: No. 54 of 2012 s. 22; No. 35 of 2024 s. 31.]</w:t>
      </w:r>
    </w:p>
    <w:p>
      <w:pPr>
        <w:pStyle w:val="Heading5"/>
      </w:pPr>
      <w:bookmarkStart w:id="209" w:name="_Toc216772992"/>
      <w:bookmarkStart w:id="210" w:name="_Toc203745123"/>
      <w:r>
        <w:rPr>
          <w:rStyle w:val="CharSectno"/>
        </w:rPr>
        <w:t>65</w:t>
      </w:r>
      <w:r>
        <w:t>.</w:t>
      </w:r>
      <w:r>
        <w:tab/>
        <w:t>No time limit for prosecutions</w:t>
      </w:r>
      <w:bookmarkEnd w:id="209"/>
      <w:bookmarkEnd w:id="210"/>
    </w:p>
    <w:p>
      <w:pPr>
        <w:pStyle w:val="Subsection"/>
      </w:pPr>
      <w:r>
        <w:tab/>
      </w:r>
      <w:r>
        <w:tab/>
        <w:t>Proceedings for an offence against this Act may be commenced at any time.</w:t>
      </w:r>
    </w:p>
    <w:p>
      <w:pPr>
        <w:pStyle w:val="Heading5"/>
      </w:pPr>
      <w:bookmarkStart w:id="211" w:name="_Toc216772993"/>
      <w:bookmarkStart w:id="212" w:name="_Toc203745124"/>
      <w:r>
        <w:rPr>
          <w:rStyle w:val="CharSectno"/>
        </w:rPr>
        <w:t>66</w:t>
      </w:r>
      <w:r>
        <w:t>.</w:t>
      </w:r>
      <w:r>
        <w:tab/>
        <w:t>Bar to prosecution for failing to report leaving Western Australia</w:t>
      </w:r>
      <w:bookmarkEnd w:id="211"/>
      <w:bookmarkEnd w:id="212"/>
    </w:p>
    <w:p>
      <w:pPr>
        <w:pStyle w:val="Subsection"/>
      </w:pPr>
      <w:r>
        <w:tab/>
        <w:t>(1)</w:t>
      </w:r>
      <w:r>
        <w:tab/>
        <w:t>This section applies if a reportable offender leaves Western Australia and is found guilty of failing to report the offender’s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Footnotesection"/>
      </w:pPr>
      <w:r>
        <w:tab/>
        <w:t>[Section 66 amended: No. 31 of 2024 s. 28.]</w:t>
      </w:r>
    </w:p>
    <w:p>
      <w:pPr>
        <w:pStyle w:val="Heading3"/>
      </w:pPr>
      <w:bookmarkStart w:id="213" w:name="_Toc216772994"/>
      <w:bookmarkStart w:id="214" w:name="_Toc203658212"/>
      <w:bookmarkStart w:id="215" w:name="_Toc203745125"/>
      <w:r>
        <w:rPr>
          <w:rStyle w:val="CharDivNo"/>
        </w:rPr>
        <w:t>Division 9</w:t>
      </w:r>
      <w:r>
        <w:t> — </w:t>
      </w:r>
      <w:r>
        <w:rPr>
          <w:rStyle w:val="CharDivText"/>
        </w:rPr>
        <w:t>Notification of reporting obligations</w:t>
      </w:r>
      <w:bookmarkEnd w:id="213"/>
      <w:bookmarkEnd w:id="214"/>
      <w:bookmarkEnd w:id="215"/>
    </w:p>
    <w:p>
      <w:pPr>
        <w:pStyle w:val="Heading5"/>
      </w:pPr>
      <w:bookmarkStart w:id="216" w:name="_Toc216772995"/>
      <w:bookmarkStart w:id="217" w:name="_Toc203745126"/>
      <w:r>
        <w:rPr>
          <w:rStyle w:val="CharSectno"/>
        </w:rPr>
        <w:t>67</w:t>
      </w:r>
      <w:r>
        <w:t>.</w:t>
      </w:r>
      <w:r>
        <w:tab/>
        <w:t>Notice to be given to reportable offender</w:t>
      </w:r>
      <w:bookmarkEnd w:id="216"/>
      <w:bookmarkEnd w:id="217"/>
    </w:p>
    <w:p>
      <w:pPr>
        <w:pStyle w:val="Subsection"/>
      </w:pPr>
      <w:r>
        <w:tab/>
        <w:t>(1)</w:t>
      </w:r>
      <w:r>
        <w:tab/>
        <w:t xml:space="preserve">A reportable offender must be given written notice of — </w:t>
      </w:r>
    </w:p>
    <w:p>
      <w:pPr>
        <w:pStyle w:val="Indenta"/>
      </w:pPr>
      <w:r>
        <w:tab/>
        <w:t>(a)</w:t>
      </w:r>
      <w:r>
        <w:tab/>
        <w:t>the offender’s reporting obligations; and</w:t>
      </w:r>
    </w:p>
    <w:p>
      <w:pPr>
        <w:pStyle w:val="Indenta"/>
      </w:pPr>
      <w:r>
        <w:tab/>
        <w:t>(b)</w:t>
      </w:r>
      <w:r>
        <w:tab/>
        <w:t>the consequences that may arise if the offender fails to comply with those obligations.</w:t>
      </w:r>
    </w:p>
    <w:p>
      <w:pPr>
        <w:pStyle w:val="Subsection"/>
      </w:pPr>
      <w:r>
        <w:tab/>
        <w:t>(2)</w:t>
      </w:r>
      <w:r>
        <w:tab/>
        <w:t xml:space="preserve">A reportable offender must be given a notice under this section, as the case requires, as soon as is practicable after the offender — </w:t>
      </w:r>
    </w:p>
    <w:p>
      <w:pPr>
        <w:pStyle w:val="Indenta"/>
      </w:pPr>
      <w:r>
        <w:tab/>
        <w:t>(a)</w:t>
      </w:r>
      <w:r>
        <w:tab/>
        <w:t>is sentenced for a reportable offence or is made subject to a reporting order; or</w:t>
      </w:r>
    </w:p>
    <w:p>
      <w:pPr>
        <w:pStyle w:val="Indenta"/>
      </w:pPr>
      <w:r>
        <w:tab/>
        <w:t>(b)</w:t>
      </w:r>
      <w:r>
        <w:tab/>
        <w:t>is released from government custody (whether in government custody for a reportable offence or otherwise); or</w:t>
      </w:r>
    </w:p>
    <w:p>
      <w:pPr>
        <w:pStyle w:val="Indenta"/>
      </w:pPr>
      <w:r>
        <w:tab/>
        <w:t>(c)</w:t>
      </w:r>
      <w:r>
        <w:tab/>
        <w:t>enters Western Australia, if the offender has not previously been given notice of the offender’s reporting obligations in Western Australia; or</w:t>
      </w:r>
    </w:p>
    <w:p>
      <w:pPr>
        <w:pStyle w:val="Indenta"/>
      </w:pPr>
      <w:r>
        <w:tab/>
        <w:t>(d)</w:t>
      </w:r>
      <w:r>
        <w:tab/>
        <w:t>becomes a corresponding reportable offender, if the offender is in Western Australia at that time.</w:t>
      </w:r>
    </w:p>
    <w:p>
      <w:pPr>
        <w:pStyle w:val="Subsection"/>
      </w:pPr>
      <w:r>
        <w:tab/>
        <w:t>(3)</w:t>
      </w:r>
      <w:r>
        <w:tab/>
        <w:t>Subsection (2)(b) is taken to have been complied with if the reportable offender is given the notice within 7 days before the offender’s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the offender’s personal details to the Commissioner.</w:t>
      </w:r>
    </w:p>
    <w:p>
      <w:pPr>
        <w:pStyle w:val="Footnotesection"/>
      </w:pPr>
      <w:r>
        <w:tab/>
        <w:t>[Section 67 amended: No. 31 of 2024 s. 28; No. 35 of 2024 s. 32.]</w:t>
      </w:r>
    </w:p>
    <w:p>
      <w:pPr>
        <w:pStyle w:val="Heading5"/>
      </w:pPr>
      <w:bookmarkStart w:id="218" w:name="_Toc216772996"/>
      <w:bookmarkStart w:id="219" w:name="_Toc203745127"/>
      <w:r>
        <w:rPr>
          <w:rStyle w:val="CharSectno"/>
        </w:rPr>
        <w:t>68</w:t>
      </w:r>
      <w:r>
        <w:t>.</w:t>
      </w:r>
      <w:r>
        <w:tab/>
        <w:t>Courts to provide sentencing information to Commissioner</w:t>
      </w:r>
      <w:bookmarkEnd w:id="218"/>
      <w:bookmarkEnd w:id="219"/>
    </w:p>
    <w:p>
      <w:pPr>
        <w:pStyle w:val="Subsection"/>
        <w:keepNext/>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20" w:name="_Toc216772997"/>
      <w:bookmarkStart w:id="221" w:name="_Toc203745128"/>
      <w:r>
        <w:rPr>
          <w:rStyle w:val="CharSectno"/>
        </w:rPr>
        <w:t>69</w:t>
      </w:r>
      <w:r>
        <w:t>.</w:t>
      </w:r>
      <w:r>
        <w:tab/>
        <w:t>Notice to be given when reporting period changes</w:t>
      </w:r>
      <w:bookmarkEnd w:id="220"/>
      <w:bookmarkEnd w:id="221"/>
    </w:p>
    <w:p>
      <w:pPr>
        <w:pStyle w:val="Subsection"/>
        <w:spacing w:before="150"/>
      </w:pPr>
      <w:r>
        <w:tab/>
        <w:t>(1)</w:t>
      </w:r>
      <w:r>
        <w:tab/>
        <w:t>This section applies to a reportable offender whose reporting period has changed since the offender was last notified of the offender’s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Footnotesection"/>
      </w:pPr>
      <w:r>
        <w:tab/>
        <w:t>[Section 69 amended: No. 31 of 2024 s. 28.]</w:t>
      </w:r>
    </w:p>
    <w:p>
      <w:pPr>
        <w:pStyle w:val="Heading5"/>
      </w:pPr>
      <w:bookmarkStart w:id="222" w:name="_Toc216772998"/>
      <w:bookmarkStart w:id="223" w:name="_Toc203745129"/>
      <w:r>
        <w:rPr>
          <w:rStyle w:val="CharSectno"/>
        </w:rPr>
        <w:t>70</w:t>
      </w:r>
      <w:r>
        <w:t>.</w:t>
      </w:r>
      <w:r>
        <w:tab/>
        <w:t>Supervising authority to notify Commissioner of certain events</w:t>
      </w:r>
      <w:bookmarkEnd w:id="222"/>
      <w:bookmarkEnd w:id="223"/>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 No. 35 of 2024 s. 59.]</w:t>
      </w:r>
    </w:p>
    <w:p>
      <w:pPr>
        <w:pStyle w:val="Heading5"/>
      </w:pPr>
      <w:bookmarkStart w:id="224" w:name="_Toc216772999"/>
      <w:bookmarkStart w:id="225" w:name="_Toc203745130"/>
      <w:r>
        <w:rPr>
          <w:rStyle w:val="CharSectno"/>
        </w:rPr>
        <w:t>71</w:t>
      </w:r>
      <w:r>
        <w:t>.</w:t>
      </w:r>
      <w:r>
        <w:tab/>
        <w:t>Notices may be given by Commissioner</w:t>
      </w:r>
      <w:bookmarkEnd w:id="224"/>
      <w:bookmarkEnd w:id="225"/>
    </w:p>
    <w:p>
      <w:pPr>
        <w:pStyle w:val="Subsection"/>
      </w:pPr>
      <w:r>
        <w:tab/>
      </w:r>
      <w:r>
        <w:tab/>
        <w:t xml:space="preserve">The Commissioner may, at any time, cause written notice to be given to a reportable offender of — </w:t>
      </w:r>
    </w:p>
    <w:p>
      <w:pPr>
        <w:pStyle w:val="Indenta"/>
        <w:spacing w:before="60"/>
      </w:pPr>
      <w:r>
        <w:tab/>
        <w:t>(a)</w:t>
      </w:r>
      <w:r>
        <w:tab/>
        <w:t>the offender’s reporting obligations; and</w:t>
      </w:r>
    </w:p>
    <w:p>
      <w:pPr>
        <w:pStyle w:val="Indenta"/>
        <w:spacing w:before="60"/>
      </w:pPr>
      <w:r>
        <w:tab/>
        <w:t>(b)</w:t>
      </w:r>
      <w:r>
        <w:tab/>
        <w:t>the consequences that may arise if the offender fails to comply with those obligations.</w:t>
      </w:r>
    </w:p>
    <w:p>
      <w:pPr>
        <w:pStyle w:val="Footnotesection"/>
      </w:pPr>
      <w:r>
        <w:tab/>
        <w:t>[Section 71 amended: No. 31 of 2024 s. 28.]</w:t>
      </w:r>
    </w:p>
    <w:p>
      <w:pPr>
        <w:pStyle w:val="Heading5"/>
      </w:pPr>
      <w:bookmarkStart w:id="226" w:name="_Toc216773000"/>
      <w:bookmarkStart w:id="227" w:name="_Toc203745131"/>
      <w:r>
        <w:rPr>
          <w:rStyle w:val="CharSectno"/>
        </w:rPr>
        <w:t>72</w:t>
      </w:r>
      <w:r>
        <w:t>.</w:t>
      </w:r>
      <w:r>
        <w:tab/>
        <w:t>Power of detention to enable notice to be given</w:t>
      </w:r>
      <w:bookmarkEnd w:id="226"/>
      <w:bookmarkEnd w:id="227"/>
    </w:p>
    <w:p>
      <w:pPr>
        <w:pStyle w:val="Subsection"/>
      </w:pPr>
      <w:r>
        <w:tab/>
        <w:t>(1)</w:t>
      </w:r>
      <w:r>
        <w:tab/>
        <w:t>This section applies if there are reasonable grounds to suspect that a person is a reportable offender and that the person has not been given notice, or is otherwise unaware, of the person’s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the person has been given notice, or is aware, of the person’s reporting obligations; and</w:t>
      </w:r>
    </w:p>
    <w:p>
      <w:pPr>
        <w:pStyle w:val="Indenta"/>
        <w:spacing w:before="60"/>
      </w:pPr>
      <w:r>
        <w:tab/>
        <w:t>(b)</w:t>
      </w:r>
      <w:r>
        <w:tab/>
        <w:t>to enable the person to be given notice of those obligations if the person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the person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the person has refused to sign an acknowledgment that the person has been given notice of the person’s reporting obligations; and</w:t>
      </w:r>
    </w:p>
    <w:p>
      <w:pPr>
        <w:pStyle w:val="Indenta"/>
        <w:spacing w:before="60"/>
      </w:pPr>
      <w:r>
        <w:tab/>
        <w:t>(c)</w:t>
      </w:r>
      <w:r>
        <w:tab/>
        <w:t>must be released immediately after the purpose of the detention is fulfilled.</w:t>
      </w:r>
    </w:p>
    <w:p>
      <w:pPr>
        <w:pStyle w:val="Footnotesection"/>
      </w:pPr>
      <w:r>
        <w:tab/>
        <w:t>[Section 72 amended: No. 31 of 2024 s. 28.]</w:t>
      </w:r>
    </w:p>
    <w:p>
      <w:pPr>
        <w:pStyle w:val="Heading5"/>
        <w:keepLines w:val="0"/>
      </w:pPr>
      <w:bookmarkStart w:id="228" w:name="_Toc216773001"/>
      <w:bookmarkStart w:id="229" w:name="_Toc203745132"/>
      <w:r>
        <w:rPr>
          <w:rStyle w:val="CharSectno"/>
        </w:rPr>
        <w:t>73</w:t>
      </w:r>
      <w:r>
        <w:t>.</w:t>
      </w:r>
      <w:r>
        <w:tab/>
        <w:t>Failure to comply with procedural requirements does not affect reportable offender’s obligations</w:t>
      </w:r>
      <w:bookmarkEnd w:id="228"/>
      <w:bookmarkEnd w:id="229"/>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30" w:name="_Toc216773002"/>
      <w:bookmarkStart w:id="231" w:name="_Toc203658220"/>
      <w:bookmarkStart w:id="232" w:name="_Toc203745133"/>
      <w:r>
        <w:rPr>
          <w:rStyle w:val="CharDivNo"/>
        </w:rPr>
        <w:t>Division 10</w:t>
      </w:r>
      <w:r>
        <w:t> — </w:t>
      </w:r>
      <w:r>
        <w:rPr>
          <w:rStyle w:val="CharDivText"/>
        </w:rPr>
        <w:t>Modified reporting procedures for participants in witness protection programs</w:t>
      </w:r>
      <w:bookmarkEnd w:id="230"/>
      <w:bookmarkEnd w:id="231"/>
      <w:bookmarkEnd w:id="232"/>
    </w:p>
    <w:p>
      <w:pPr>
        <w:pStyle w:val="Heading5"/>
      </w:pPr>
      <w:bookmarkStart w:id="233" w:name="_Toc216773003"/>
      <w:bookmarkStart w:id="234" w:name="_Toc203745134"/>
      <w:r>
        <w:rPr>
          <w:rStyle w:val="CharSectno"/>
        </w:rPr>
        <w:t>74</w:t>
      </w:r>
      <w:r>
        <w:t>.</w:t>
      </w:r>
      <w:r>
        <w:tab/>
        <w:t>Term used: witness protection program</w:t>
      </w:r>
      <w:bookmarkEnd w:id="233"/>
      <w:bookmarkEnd w:id="234"/>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35" w:name="_Toc216773004"/>
      <w:bookmarkStart w:id="236" w:name="_Toc203745135"/>
      <w:r>
        <w:rPr>
          <w:rStyle w:val="CharSectno"/>
        </w:rPr>
        <w:t>75</w:t>
      </w:r>
      <w:r>
        <w:t>.</w:t>
      </w:r>
      <w:r>
        <w:tab/>
        <w:t>Application of this Division</w:t>
      </w:r>
      <w:bookmarkEnd w:id="235"/>
      <w:bookmarkEnd w:id="236"/>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the offender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Footnotesection"/>
      </w:pPr>
      <w:r>
        <w:tab/>
        <w:t>[Section 75 amended: No. 31 of 2024 s. 28.]</w:t>
      </w:r>
    </w:p>
    <w:p>
      <w:pPr>
        <w:pStyle w:val="Heading5"/>
      </w:pPr>
      <w:bookmarkStart w:id="237" w:name="_Toc216773005"/>
      <w:bookmarkStart w:id="238" w:name="_Toc203745136"/>
      <w:r>
        <w:rPr>
          <w:rStyle w:val="CharSectno"/>
        </w:rPr>
        <w:t>76</w:t>
      </w:r>
      <w:r>
        <w:t>.</w:t>
      </w:r>
      <w:r>
        <w:tab/>
        <w:t>Report need not be made in person</w:t>
      </w:r>
      <w:bookmarkEnd w:id="237"/>
      <w:bookmarkEnd w:id="238"/>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the person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Footnotesection"/>
      </w:pPr>
      <w:r>
        <w:tab/>
        <w:t>[Section 76 amended: No. 31 of 2024 s. 28.]</w:t>
      </w:r>
    </w:p>
    <w:p>
      <w:pPr>
        <w:pStyle w:val="Heading5"/>
      </w:pPr>
      <w:bookmarkStart w:id="239" w:name="_Toc216773006"/>
      <w:bookmarkStart w:id="240" w:name="_Toc203745137"/>
      <w:r>
        <w:rPr>
          <w:rStyle w:val="CharSectno"/>
        </w:rPr>
        <w:t>77</w:t>
      </w:r>
      <w:r>
        <w:t>.</w:t>
      </w:r>
      <w:r>
        <w:tab/>
        <w:t>Determination as to whether this Division applies</w:t>
      </w:r>
      <w:bookmarkEnd w:id="239"/>
      <w:bookmarkEnd w:id="24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the applicant’s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Footnotesection"/>
      </w:pPr>
      <w:r>
        <w:tab/>
        <w:t>[Section 77 amended: No. 31 of 2024 s. 28.]</w:t>
      </w:r>
    </w:p>
    <w:p>
      <w:pPr>
        <w:pStyle w:val="Heading5"/>
      </w:pPr>
      <w:bookmarkStart w:id="241" w:name="_Toc216773007"/>
      <w:bookmarkStart w:id="242" w:name="_Toc203745138"/>
      <w:r>
        <w:rPr>
          <w:rStyle w:val="CharSectno"/>
        </w:rPr>
        <w:t>78</w:t>
      </w:r>
      <w:r>
        <w:t>.</w:t>
      </w:r>
      <w:r>
        <w:tab/>
        <w:t>When determination takes effect</w:t>
      </w:r>
      <w:bookmarkEnd w:id="241"/>
      <w:bookmarkEnd w:id="24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43" w:name="_Toc216773008"/>
      <w:bookmarkStart w:id="244" w:name="_Toc203745139"/>
      <w:r>
        <w:rPr>
          <w:rStyle w:val="CharSectno"/>
        </w:rPr>
        <w:t>79</w:t>
      </w:r>
      <w:r>
        <w:t>.</w:t>
      </w:r>
      <w:r>
        <w:tab/>
        <w:t>Modification of reporting obligations</w:t>
      </w:r>
      <w:bookmarkEnd w:id="243"/>
      <w:bookmarkEnd w:id="244"/>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45" w:name="_Toc216773009"/>
      <w:bookmarkStart w:id="246" w:name="_Toc203658227"/>
      <w:bookmarkStart w:id="247" w:name="_Toc203745140"/>
      <w:r>
        <w:rPr>
          <w:rStyle w:val="CharPartNo"/>
        </w:rPr>
        <w:t>Part 4A</w:t>
      </w:r>
      <w:r>
        <w:rPr>
          <w:rStyle w:val="CharDivNo"/>
        </w:rPr>
        <w:t> </w:t>
      </w:r>
      <w:r>
        <w:rPr>
          <w:color w:val="000000"/>
        </w:rPr>
        <w:t>—</w:t>
      </w:r>
      <w:r>
        <w:rPr>
          <w:rStyle w:val="CharDivText"/>
        </w:rPr>
        <w:t> </w:t>
      </w:r>
      <w:r>
        <w:rPr>
          <w:rStyle w:val="CharPartText"/>
        </w:rPr>
        <w:t>Change of name</w:t>
      </w:r>
      <w:bookmarkEnd w:id="245"/>
      <w:bookmarkEnd w:id="246"/>
      <w:bookmarkEnd w:id="247"/>
    </w:p>
    <w:p>
      <w:pPr>
        <w:pStyle w:val="Footnoteheading"/>
      </w:pPr>
      <w:r>
        <w:tab/>
        <w:t>[Heading inserted: No. 54 of 2012 s. 23.]</w:t>
      </w:r>
    </w:p>
    <w:p>
      <w:pPr>
        <w:pStyle w:val="Heading5"/>
        <w:spacing w:before="260"/>
      </w:pPr>
      <w:bookmarkStart w:id="248" w:name="_Toc216773010"/>
      <w:bookmarkStart w:id="249" w:name="_Toc203745141"/>
      <w:r>
        <w:rPr>
          <w:rStyle w:val="CharSectno"/>
        </w:rPr>
        <w:t>80A</w:t>
      </w:r>
      <w:r>
        <w:t>.</w:t>
      </w:r>
      <w:r>
        <w:tab/>
        <w:t>Terms used</w:t>
      </w:r>
      <w:bookmarkEnd w:id="248"/>
      <w:bookmarkEnd w:id="249"/>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50" w:name="_Toc216773011"/>
      <w:bookmarkStart w:id="251" w:name="_Toc203745142"/>
      <w:r>
        <w:rPr>
          <w:rStyle w:val="CharSectno"/>
        </w:rPr>
        <w:t>80B</w:t>
      </w:r>
      <w:r>
        <w:t>.</w:t>
      </w:r>
      <w:r>
        <w:tab/>
        <w:t>Application</w:t>
      </w:r>
      <w:bookmarkEnd w:id="250"/>
      <w:bookmarkEnd w:id="251"/>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52" w:name="_Toc216773012"/>
      <w:bookmarkStart w:id="253" w:name="_Toc203745143"/>
      <w:r>
        <w:rPr>
          <w:rStyle w:val="CharSectno"/>
        </w:rPr>
        <w:t>80C</w:t>
      </w:r>
      <w:r>
        <w:t>.</w:t>
      </w:r>
      <w:r>
        <w:tab/>
        <w:t>Application for change of name by or in respect of reportable offender</w:t>
      </w:r>
      <w:bookmarkEnd w:id="252"/>
      <w:bookmarkEnd w:id="253"/>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the offender’s name under the Registration Act; or</w:t>
      </w:r>
    </w:p>
    <w:p>
      <w:pPr>
        <w:pStyle w:val="Indenta"/>
        <w:keepNext/>
      </w:pPr>
      <w:r>
        <w:tab/>
        <w:t>(b)</w:t>
      </w:r>
      <w:r>
        <w:tab/>
        <w:t>apply to an interstate Registrar to register a change of the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for this subsection: imprisonment for 2 years and a fine of $24 000.</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for this subsection: imprisonment for 2 years and a fine of $24 000.</w:t>
      </w:r>
    </w:p>
    <w:p>
      <w:pPr>
        <w:pStyle w:val="Footnotesection"/>
      </w:pPr>
      <w:r>
        <w:tab/>
        <w:t>[Section 80C inserted: No. 54 of 2012 s. 23; amended: No. 31 of 2024 s. 28; No. 35 of 2024 s. 33.]</w:t>
      </w:r>
    </w:p>
    <w:p>
      <w:pPr>
        <w:pStyle w:val="Heading5"/>
      </w:pPr>
      <w:bookmarkStart w:id="254" w:name="_Toc216773013"/>
      <w:bookmarkStart w:id="255" w:name="_Toc203745144"/>
      <w:r>
        <w:rPr>
          <w:rStyle w:val="CharSectno"/>
        </w:rPr>
        <w:t>80D</w:t>
      </w:r>
      <w:r>
        <w:t>.</w:t>
      </w:r>
      <w:r>
        <w:tab/>
        <w:t>Approval by Commissioner</w:t>
      </w:r>
      <w:bookmarkEnd w:id="254"/>
      <w:bookmarkEnd w:id="255"/>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56" w:name="_Toc216773014"/>
      <w:bookmarkStart w:id="257" w:name="_Toc203745145"/>
      <w:r>
        <w:rPr>
          <w:rStyle w:val="CharSectno"/>
        </w:rPr>
        <w:t>80E</w:t>
      </w:r>
      <w:r>
        <w:t>.</w:t>
      </w:r>
      <w:r>
        <w:tab/>
        <w:t>Registration of change of name</w:t>
      </w:r>
      <w:bookmarkEnd w:id="256"/>
      <w:bookmarkEnd w:id="257"/>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58" w:name="_Toc216773015"/>
      <w:bookmarkStart w:id="259" w:name="_Toc203745146"/>
      <w:r>
        <w:rPr>
          <w:rStyle w:val="CharSectno"/>
        </w:rPr>
        <w:t>80F</w:t>
      </w:r>
      <w:r>
        <w:t>.</w:t>
      </w:r>
      <w:r>
        <w:tab/>
        <w:t>WA Registrar to correct Registration Act Register</w:t>
      </w:r>
      <w:bookmarkEnd w:id="258"/>
      <w:bookmarkEnd w:id="259"/>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60" w:name="_Toc216773016"/>
      <w:bookmarkStart w:id="261" w:name="_Toc203745147"/>
      <w:r>
        <w:rPr>
          <w:rStyle w:val="CharSectno"/>
        </w:rPr>
        <w:t>80G</w:t>
      </w:r>
      <w:r>
        <w:t>.</w:t>
      </w:r>
      <w:r>
        <w:tab/>
        <w:t>Exchange of information between Commissioner and WA Registrar</w:t>
      </w:r>
      <w:bookmarkEnd w:id="260"/>
      <w:bookmarkEnd w:id="261"/>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62" w:name="_Toc216773017"/>
      <w:bookmarkStart w:id="263" w:name="_Toc203658235"/>
      <w:bookmarkStart w:id="264" w:name="_Toc203745148"/>
      <w:r>
        <w:rPr>
          <w:rStyle w:val="CharPartNo"/>
        </w:rPr>
        <w:t>Part 4</w:t>
      </w:r>
      <w:r>
        <w:rPr>
          <w:rStyle w:val="CharDivNo"/>
        </w:rPr>
        <w:t> </w:t>
      </w:r>
      <w:r>
        <w:t>—</w:t>
      </w:r>
      <w:r>
        <w:rPr>
          <w:rStyle w:val="CharDivText"/>
        </w:rPr>
        <w:t> </w:t>
      </w:r>
      <w:r>
        <w:rPr>
          <w:rStyle w:val="CharPartText"/>
        </w:rPr>
        <w:t>Community Protection Offender Register</w:t>
      </w:r>
      <w:bookmarkEnd w:id="262"/>
      <w:bookmarkEnd w:id="263"/>
      <w:bookmarkEnd w:id="264"/>
    </w:p>
    <w:p>
      <w:pPr>
        <w:pStyle w:val="Heading5"/>
      </w:pPr>
      <w:bookmarkStart w:id="265" w:name="_Toc216773018"/>
      <w:bookmarkStart w:id="266" w:name="_Toc203745149"/>
      <w:r>
        <w:rPr>
          <w:rStyle w:val="CharSectno"/>
        </w:rPr>
        <w:t>80</w:t>
      </w:r>
      <w:r>
        <w:t>.</w:t>
      </w:r>
      <w:r>
        <w:tab/>
        <w:t>Requirement to establish and maintain Community Protection Offender Register</w:t>
      </w:r>
      <w:bookmarkEnd w:id="265"/>
      <w:bookmarkEnd w:id="266"/>
    </w:p>
    <w:p>
      <w:pPr>
        <w:pStyle w:val="Subsection"/>
      </w:pPr>
      <w:r>
        <w:tab/>
        <w:t>(1)</w:t>
      </w:r>
      <w:r>
        <w:tab/>
        <w:t>The Commissioner must establish and maintain a Community Protection Offender Register or arrange with another person for the establishment and maintenance of a Community Protection Offender Register on the Commissioner’s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the offender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the offender’s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 No. 31 of 2024 s. 28.]</w:t>
      </w:r>
    </w:p>
    <w:p>
      <w:pPr>
        <w:pStyle w:val="Heading5"/>
      </w:pPr>
      <w:bookmarkStart w:id="267" w:name="_Toc216773019"/>
      <w:bookmarkStart w:id="268" w:name="_Toc203745150"/>
      <w:r>
        <w:rPr>
          <w:rStyle w:val="CharSectno"/>
        </w:rPr>
        <w:t>81</w:t>
      </w:r>
      <w:r>
        <w:t>.</w:t>
      </w:r>
      <w:r>
        <w:tab/>
        <w:t>Access to Register to be restricted</w:t>
      </w:r>
      <w:bookmarkEnd w:id="267"/>
      <w:bookmarkEnd w:id="268"/>
    </w:p>
    <w:p>
      <w:pPr>
        <w:pStyle w:val="Subsection"/>
      </w:pPr>
      <w:r>
        <w:tab/>
        <w:t>(1)</w:t>
      </w:r>
      <w:r>
        <w:tab/>
        <w:t xml:space="preserve">The Commissioner may authorise a person or class of persons to access the Register, or any part of the Register, for the administration of this Act. </w:t>
      </w:r>
    </w:p>
    <w:p>
      <w:pPr>
        <w:pStyle w:val="Subsection"/>
      </w:pPr>
      <w:r>
        <w:tab/>
        <w:t>(2)</w:t>
      </w:r>
      <w:r>
        <w:tab/>
        <w:t xml:space="preserve">The Commissioner must ensure that the Register, or any part of the Register, is only accessed by a person who is authorised to access the Register under — </w:t>
      </w:r>
    </w:p>
    <w:p>
      <w:pPr>
        <w:pStyle w:val="Indenta"/>
      </w:pPr>
      <w:r>
        <w:tab/>
        <w:t>(a)</w:t>
      </w:r>
      <w:r>
        <w:tab/>
        <w:t>subsection (1); or</w:t>
      </w:r>
    </w:p>
    <w:p>
      <w:pPr>
        <w:pStyle w:val="Indenta"/>
      </w:pPr>
      <w:r>
        <w:tab/>
        <w:t>(b)</w:t>
      </w:r>
      <w:r>
        <w:tab/>
        <w:t>another enactment.</w:t>
      </w:r>
    </w:p>
    <w:p>
      <w:pPr>
        <w:pStyle w:val="Ednotesubsection"/>
        <w:keepNext/>
      </w:pPr>
      <w:r>
        <w:tab/>
        <w:t>[(3), (4)</w:t>
      </w:r>
      <w:r>
        <w:tab/>
        <w:t>deleted]</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Ednotesubsection"/>
        <w:keepNext/>
      </w:pPr>
      <w:r>
        <w:tab/>
        <w:t>[(6)</w:t>
      </w:r>
      <w:r>
        <w:tab/>
        <w:t>deleted]</w:t>
      </w:r>
    </w:p>
    <w:p>
      <w:pPr>
        <w:pStyle w:val="Footnotesection"/>
      </w:pPr>
      <w:r>
        <w:tab/>
        <w:t>[Section 81 amended: No. 35 of 2024 s. 34.]</w:t>
      </w:r>
    </w:p>
    <w:p>
      <w:pPr>
        <w:pStyle w:val="Heading5"/>
      </w:pPr>
      <w:bookmarkStart w:id="269" w:name="_Toc216773020"/>
      <w:bookmarkStart w:id="270" w:name="_Toc203745151"/>
      <w:r>
        <w:rPr>
          <w:rStyle w:val="CharSectno"/>
        </w:rPr>
        <w:t>82</w:t>
      </w:r>
      <w:r>
        <w:t>.</w:t>
      </w:r>
      <w:r>
        <w:tab/>
        <w:t>Confidentiality</w:t>
      </w:r>
      <w:bookmarkEnd w:id="269"/>
      <w:bookmarkEnd w:id="270"/>
    </w:p>
    <w:p>
      <w:pPr>
        <w:pStyle w:val="Subsection"/>
      </w:pPr>
      <w:r>
        <w:t>(1A)</w:t>
      </w:r>
      <w:r>
        <w:tab/>
      </w:r>
      <w:r>
        <w:tab/>
        <w:t xml:space="preserve">In this section — </w:t>
      </w:r>
    </w:p>
    <w:p>
      <w:pPr>
        <w:pStyle w:val="Defstart"/>
      </w:pPr>
      <w:r>
        <w:tab/>
      </w:r>
      <w:r>
        <w:rPr>
          <w:rStyle w:val="CharDefText"/>
        </w:rPr>
        <w:t>agency official</w:t>
      </w:r>
      <w:r>
        <w:t xml:space="preserve"> means any of the following — </w:t>
      </w:r>
    </w:p>
    <w:p>
      <w:pPr>
        <w:pStyle w:val="Defpara"/>
      </w:pPr>
      <w:r>
        <w:tab/>
        <w:t>(a)</w:t>
      </w:r>
      <w:r>
        <w:tab/>
        <w:t>a person appointed or employed under a written law or a law of the Commonwealth, another State or a Territory;</w:t>
      </w:r>
    </w:p>
    <w:p>
      <w:pPr>
        <w:pStyle w:val="Defpara"/>
      </w:pPr>
      <w:r>
        <w:tab/>
        <w:t>(b)</w:t>
      </w:r>
      <w:r>
        <w:tab/>
        <w:t xml:space="preserve">the chief executive officer of an agency, as defined in the </w:t>
      </w:r>
      <w:r>
        <w:rPr>
          <w:i/>
          <w:iCs/>
        </w:rPr>
        <w:t>Public Sector Management Act 1994</w:t>
      </w:r>
      <w:r>
        <w:t xml:space="preserve"> section 3(1), or a person employed in that agency;</w:t>
      </w:r>
    </w:p>
    <w:p>
      <w:pPr>
        <w:pStyle w:val="Defpara"/>
      </w:pPr>
      <w:r>
        <w:tab/>
        <w:t>(c)</w:t>
      </w:r>
      <w:r>
        <w:tab/>
        <w:t xml:space="preserve">an Agency Head, as defined in the </w:t>
      </w:r>
      <w:r>
        <w:rPr>
          <w:i/>
          <w:iCs/>
        </w:rPr>
        <w:t>Public Service Act 1999</w:t>
      </w:r>
      <w:r>
        <w:t xml:space="preserve"> (Commonwealth) section 7, or an APS employee of the Agency Head’s Agency as defined in that section of that Act;</w:t>
      </w:r>
    </w:p>
    <w:p>
      <w:pPr>
        <w:pStyle w:val="Defpara"/>
      </w:pPr>
      <w:r>
        <w:tab/>
        <w:t>(d)</w:t>
      </w:r>
      <w:r>
        <w:tab/>
        <w:t>the chief executive officer, however designated, of a department of a Territory or another State or a person employed in that department;</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Subsection"/>
      </w:pPr>
      <w:r>
        <w:tab/>
        <w:t>(1)</w:t>
      </w:r>
      <w:r>
        <w:tab/>
        <w:t>A person commits a crime if the person discloses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an investigation or proceedings for an offence under this Act or another written law; or</w:t>
      </w:r>
    </w:p>
    <w:p>
      <w:pPr>
        <w:pStyle w:val="Indenta"/>
      </w:pPr>
      <w:r>
        <w:tab/>
        <w:t>(ca)</w:t>
      </w:r>
      <w:r>
        <w:tab/>
        <w:t>in making a disclosure to a police officer for law enforcement purposes; or</w:t>
      </w:r>
    </w:p>
    <w:p>
      <w:pPr>
        <w:pStyle w:val="Indenta"/>
      </w:pPr>
      <w:r>
        <w:tab/>
        <w:t>(cb)</w:t>
      </w:r>
      <w:r>
        <w:tab/>
        <w:t xml:space="preserve">in making a disclosure to a prescribed agency official or class of agency official for any of the following purposes — </w:t>
      </w:r>
    </w:p>
    <w:p>
      <w:pPr>
        <w:pStyle w:val="Indenti"/>
      </w:pPr>
      <w:r>
        <w:tab/>
        <w:t>(i)</w:t>
      </w:r>
      <w:r>
        <w:tab/>
        <w:t>law enforcement;</w:t>
      </w:r>
    </w:p>
    <w:p>
      <w:pPr>
        <w:pStyle w:val="Indenti"/>
      </w:pPr>
      <w:r>
        <w:tab/>
        <w:t>(ii)</w:t>
      </w:r>
      <w:r>
        <w:tab/>
        <w:t>the protection and welfare of children;</w:t>
      </w:r>
    </w:p>
    <w:p>
      <w:pPr>
        <w:pStyle w:val="Indenti"/>
      </w:pPr>
      <w:r>
        <w:tab/>
        <w:t>(iii)</w:t>
      </w:r>
      <w:r>
        <w:tab/>
        <w:t>the assessment and management of reportable offenders;</w:t>
      </w:r>
    </w:p>
    <w:p>
      <w:pPr>
        <w:pStyle w:val="Indenta"/>
      </w:pPr>
      <w:r>
        <w:tab/>
      </w:r>
      <w:r>
        <w:tab/>
        <w:t>or</w:t>
      </w:r>
    </w:p>
    <w:p>
      <w:pPr>
        <w:pStyle w:val="Indenta"/>
      </w:pPr>
      <w:r>
        <w:tab/>
        <w:t>(cd)</w:t>
      </w:r>
      <w:r>
        <w:tab/>
        <w:t>if the disclosure is by the Commissioner and the Commissioner considers the disclosure is in the public interest; or</w:t>
      </w:r>
    </w:p>
    <w:p>
      <w:pPr>
        <w:pStyle w:val="Indenta"/>
      </w:pPr>
      <w:r>
        <w:tab/>
        <w:t>(da)</w:t>
      </w:r>
      <w:r>
        <w:tab/>
        <w:t>for the purpose of proceedings on an application for, or for the variation or revocation of, a protection order or reporting order; or</w:t>
      </w:r>
    </w:p>
    <w:p>
      <w:pPr>
        <w:pStyle w:val="Indenta"/>
      </w:pPr>
      <w:r>
        <w:tab/>
        <w:t>(d)</w:t>
      </w:r>
      <w:r>
        <w:tab/>
        <w:t>with the written authority of the Minister or the person to whom the information relates; or</w:t>
      </w:r>
    </w:p>
    <w:p>
      <w:pPr>
        <w:pStyle w:val="Indenta"/>
      </w:pPr>
      <w:r>
        <w:tab/>
        <w:t>(e)</w:t>
      </w:r>
      <w:r>
        <w:tab/>
        <w:t>in other circumstances prescribed.</w:t>
      </w:r>
    </w:p>
    <w:p>
      <w:pPr>
        <w:pStyle w:val="Penstart"/>
      </w:pPr>
      <w:r>
        <w:tab/>
        <w:t>Penalty for this subsection:</w:t>
      </w:r>
    </w:p>
    <w:p>
      <w:pPr>
        <w:pStyle w:val="Penpara"/>
      </w:pPr>
      <w:r>
        <w:tab/>
        <w:t>(a)</w:t>
      </w:r>
      <w:r>
        <w:tab/>
        <w:t>in the case where the person disclosing the information gained a benefit from the disclosure of the information, and the value of the benefit was more than $10 000 — imprisonment for 10 years and a fine of $120 000;</w:t>
      </w:r>
    </w:p>
    <w:p>
      <w:pPr>
        <w:pStyle w:val="Penpara"/>
      </w:pPr>
      <w:r>
        <w:tab/>
        <w:t>(b)</w:t>
      </w:r>
      <w:r>
        <w:tab/>
        <w:t>in the case where the person disclosing the information gained or intended to gain a benefit from the disclosure of the information, and paragraph (a) does not apply — imprisonment for 5 years and a fine of $60 000;</w:t>
      </w:r>
    </w:p>
    <w:p>
      <w:pPr>
        <w:pStyle w:val="Penpara"/>
      </w:pPr>
      <w:r>
        <w:tab/>
        <w:t>(c)</w:t>
      </w:r>
      <w:r>
        <w:tab/>
        <w:t xml:space="preserve">in any other case — </w:t>
      </w:r>
    </w:p>
    <w:p>
      <w:pPr>
        <w:pStyle w:val="Pensubpara"/>
      </w:pPr>
      <w:r>
        <w:tab/>
        <w:t>(i)</w:t>
      </w:r>
      <w:r>
        <w:tab/>
        <w:t>for a summary conviction — imprisonment for 2 years and a fine of $24 000;</w:t>
      </w:r>
    </w:p>
    <w:p>
      <w:pPr>
        <w:pStyle w:val="Pensubpara"/>
      </w:pPr>
      <w:r>
        <w:tab/>
        <w:t>(ii)</w:t>
      </w:r>
      <w:r>
        <w:tab/>
        <w:t>otherwise — imprisonment for 3 years and a fine of $36 000.</w:t>
      </w:r>
    </w:p>
    <w:p>
      <w:pPr>
        <w:pStyle w:val="Ednotesubsection"/>
        <w:keepNext/>
      </w:pPr>
      <w:r>
        <w:tab/>
        <w:t>[(2)</w:t>
      </w:r>
      <w:r>
        <w:tab/>
        <w:t>deleted]</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 No. 35 of 2024 s. 35 and 59.]</w:t>
      </w:r>
    </w:p>
    <w:p>
      <w:pPr>
        <w:pStyle w:val="Heading5"/>
      </w:pPr>
      <w:bookmarkStart w:id="271" w:name="_Toc216773021"/>
      <w:bookmarkStart w:id="272" w:name="_Toc180507008"/>
      <w:bookmarkStart w:id="273" w:name="_Toc203745152"/>
      <w:r>
        <w:rPr>
          <w:rStyle w:val="CharSectno"/>
        </w:rPr>
        <w:t>82A</w:t>
      </w:r>
      <w:r>
        <w:t>.</w:t>
      </w:r>
      <w:r>
        <w:tab/>
        <w:t>Delegation by Commissioner</w:t>
      </w:r>
      <w:bookmarkEnd w:id="271"/>
      <w:bookmarkEnd w:id="272"/>
      <w:bookmarkEnd w:id="273"/>
    </w:p>
    <w:p>
      <w:pPr>
        <w:pStyle w:val="Subsection"/>
      </w:pPr>
      <w:r>
        <w:tab/>
      </w:r>
      <w:r>
        <w:tab/>
        <w:t xml:space="preserve">The Commissioner may delegate under section 110 a power of the Commissioner under section 82(1)(cd) only to — </w:t>
      </w:r>
    </w:p>
    <w:p>
      <w:pPr>
        <w:pStyle w:val="Indenta"/>
      </w:pPr>
      <w:r>
        <w:tab/>
        <w:t>(a)</w:t>
      </w:r>
      <w:r>
        <w:tab/>
      </w:r>
      <w:r>
        <w:rPr>
          <w:color w:val="000000"/>
        </w:rPr>
        <w:t xml:space="preserve">a police officer </w:t>
      </w:r>
      <w:r>
        <w:t>of, or acting in, the rank of inspector or a higher rank; or</w:t>
      </w:r>
    </w:p>
    <w:p>
      <w:pPr>
        <w:pStyle w:val="Indenta"/>
      </w:pPr>
      <w:r>
        <w:tab/>
        <w:t>(b)</w:t>
      </w:r>
      <w:r>
        <w:tab/>
        <w:t>a person employed in a prescribed position in the department of the Public Service principally assisting the Minister in the administration of this Act.</w:t>
      </w:r>
    </w:p>
    <w:p>
      <w:pPr>
        <w:pStyle w:val="Footnotesection"/>
      </w:pPr>
      <w:r>
        <w:tab/>
        <w:t>[Section 82A inserted: No. 35 of 2024 s. 36.]</w:t>
      </w:r>
    </w:p>
    <w:p>
      <w:pPr>
        <w:pStyle w:val="Heading5"/>
        <w:keepLines w:val="0"/>
      </w:pPr>
      <w:bookmarkStart w:id="274" w:name="_Toc216773022"/>
      <w:bookmarkStart w:id="275" w:name="_Toc203745153"/>
      <w:r>
        <w:rPr>
          <w:rStyle w:val="CharSectno"/>
        </w:rPr>
        <w:t>83</w:t>
      </w:r>
      <w:r>
        <w:t>.</w:t>
      </w:r>
      <w:r>
        <w:tab/>
        <w:t>Restriction on who may access personal information on protected witnesses</w:t>
      </w:r>
      <w:bookmarkEnd w:id="274"/>
      <w:bookmarkEnd w:id="27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6" w:name="_Toc216773023"/>
      <w:bookmarkStart w:id="277" w:name="_Toc203745154"/>
      <w:r>
        <w:rPr>
          <w:rStyle w:val="CharSectno"/>
        </w:rPr>
        <w:t>84</w:t>
      </w:r>
      <w:r>
        <w:t>.</w:t>
      </w:r>
      <w:r>
        <w:tab/>
        <w:t>Reportable offender’s rights in relation to Register</w:t>
      </w:r>
      <w:bookmarkEnd w:id="276"/>
      <w:bookmarkEnd w:id="277"/>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78" w:name="_Toc216773024"/>
      <w:bookmarkStart w:id="279" w:name="_Toc203658241"/>
      <w:bookmarkStart w:id="280" w:name="_Toc203745155"/>
      <w:r>
        <w:rPr>
          <w:rStyle w:val="CharPartNo"/>
        </w:rPr>
        <w:t>Part 5A</w:t>
      </w:r>
      <w:r>
        <w:rPr>
          <w:b w:val="0"/>
        </w:rPr>
        <w:t> </w:t>
      </w:r>
      <w:r>
        <w:rPr>
          <w:color w:val="000000"/>
        </w:rPr>
        <w:t>—</w:t>
      </w:r>
      <w:r>
        <w:rPr>
          <w:b w:val="0"/>
        </w:rPr>
        <w:t> </w:t>
      </w:r>
      <w:r>
        <w:rPr>
          <w:rStyle w:val="CharPartText"/>
        </w:rPr>
        <w:t>Publication of information about offenders</w:t>
      </w:r>
      <w:bookmarkEnd w:id="278"/>
      <w:bookmarkEnd w:id="279"/>
      <w:bookmarkEnd w:id="280"/>
    </w:p>
    <w:p>
      <w:pPr>
        <w:pStyle w:val="Footnoteheading"/>
      </w:pPr>
      <w:r>
        <w:tab/>
        <w:t>[Heading inserted: No. 1 of 2012 s. 5.]</w:t>
      </w:r>
    </w:p>
    <w:p>
      <w:pPr>
        <w:pStyle w:val="Heading3"/>
      </w:pPr>
      <w:bookmarkStart w:id="281" w:name="_Toc216773025"/>
      <w:bookmarkStart w:id="282" w:name="_Toc203658242"/>
      <w:bookmarkStart w:id="283" w:name="_Toc203745156"/>
      <w:r>
        <w:rPr>
          <w:rStyle w:val="CharDivNo"/>
        </w:rPr>
        <w:t>Division 1</w:t>
      </w:r>
      <w:r>
        <w:t> — </w:t>
      </w:r>
      <w:r>
        <w:rPr>
          <w:rStyle w:val="CharDivText"/>
        </w:rPr>
        <w:t>Preliminary</w:t>
      </w:r>
      <w:bookmarkEnd w:id="281"/>
      <w:bookmarkEnd w:id="282"/>
      <w:bookmarkEnd w:id="283"/>
    </w:p>
    <w:p>
      <w:pPr>
        <w:pStyle w:val="Footnoteheading"/>
      </w:pPr>
      <w:r>
        <w:tab/>
        <w:t>[Heading inserted: No. 1 of 2012 s. 5.]</w:t>
      </w:r>
    </w:p>
    <w:p>
      <w:pPr>
        <w:pStyle w:val="Heading5"/>
      </w:pPr>
      <w:bookmarkStart w:id="284" w:name="_Toc216773026"/>
      <w:bookmarkStart w:id="285" w:name="_Toc203745157"/>
      <w:r>
        <w:rPr>
          <w:rStyle w:val="CharSectno"/>
        </w:rPr>
        <w:t>85A</w:t>
      </w:r>
      <w:r>
        <w:t>.</w:t>
      </w:r>
      <w:r>
        <w:tab/>
        <w:t>Terms used</w:t>
      </w:r>
      <w:bookmarkEnd w:id="284"/>
      <w:bookmarkEnd w:id="285"/>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rPr>
        <w:t>photograph</w:t>
      </w:r>
      <w:r>
        <w:t xml:space="preserve"> includes a digital image;</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 No. 35 of 2024 s. 37.]</w:t>
      </w:r>
    </w:p>
    <w:p>
      <w:pPr>
        <w:pStyle w:val="Heading5"/>
      </w:pPr>
      <w:bookmarkStart w:id="286" w:name="_Toc216773027"/>
      <w:bookmarkStart w:id="287" w:name="_Toc203745158"/>
      <w:r>
        <w:rPr>
          <w:rStyle w:val="CharSectno"/>
        </w:rPr>
        <w:t>85B</w:t>
      </w:r>
      <w:r>
        <w:t>.</w:t>
      </w:r>
      <w:r>
        <w:tab/>
        <w:t>Delegation by Commissioner</w:t>
      </w:r>
      <w:bookmarkEnd w:id="286"/>
      <w:bookmarkEnd w:id="287"/>
    </w:p>
    <w:p>
      <w:pPr>
        <w:pStyle w:val="Subsection"/>
      </w:pPr>
      <w:r>
        <w:rPr>
          <w:color w:val="000000"/>
        </w:rPr>
        <w:tab/>
      </w:r>
      <w:r>
        <w:rPr>
          <w:color w:val="000000"/>
        </w:rPr>
        <w:tab/>
        <w:t xml:space="preserve">The Commissioner may delegate under section 110 a power of the </w:t>
      </w:r>
      <w:r>
        <w:t xml:space="preserve">Commissioner — </w:t>
      </w:r>
    </w:p>
    <w:p>
      <w:pPr>
        <w:pStyle w:val="Indenta"/>
      </w:pPr>
      <w:r>
        <w:tab/>
        <w:t>(a)</w:t>
      </w:r>
      <w:r>
        <w:tab/>
        <w:t>under section 85J only to a police officer of, or acting in, the rank of inspector or a higher rank; or</w:t>
      </w:r>
    </w:p>
    <w:p>
      <w:pPr>
        <w:pStyle w:val="Indenta"/>
      </w:pPr>
      <w:r>
        <w:tab/>
        <w:t>(b)</w:t>
      </w:r>
      <w:r>
        <w:tab/>
        <w:t>under Division 2 (other than section 85J) only to a police officer who holds or is acting in the office of Deputy Commissioner or Assistant Commissioner.</w:t>
      </w:r>
    </w:p>
    <w:p>
      <w:pPr>
        <w:pStyle w:val="Footnotesection"/>
      </w:pPr>
      <w:r>
        <w:tab/>
        <w:t>[Section 85B inserted: No. 1 of 2012 s. 5; amended: No. 35 of 2024 s. 38.]</w:t>
      </w:r>
    </w:p>
    <w:p>
      <w:pPr>
        <w:pStyle w:val="Heading5"/>
      </w:pPr>
      <w:bookmarkStart w:id="288" w:name="_Toc216773028"/>
      <w:bookmarkStart w:id="289" w:name="_Toc203745159"/>
      <w:r>
        <w:rPr>
          <w:rStyle w:val="CharSectno"/>
        </w:rPr>
        <w:t>85C</w:t>
      </w:r>
      <w:r>
        <w:t>.</w:t>
      </w:r>
      <w:r>
        <w:tab/>
        <w:t>Commissioner not required to publish or provide information</w:t>
      </w:r>
      <w:bookmarkEnd w:id="288"/>
      <w:bookmarkEnd w:id="289"/>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290" w:name="_Toc216773029"/>
      <w:bookmarkStart w:id="291" w:name="_Toc203745160"/>
      <w:r>
        <w:rPr>
          <w:rStyle w:val="CharSectno"/>
        </w:rPr>
        <w:t>85D</w:t>
      </w:r>
      <w:r>
        <w:t>.</w:t>
      </w:r>
      <w:r>
        <w:tab/>
        <w:t>Restriction on information about protected witnesses</w:t>
      </w:r>
      <w:bookmarkEnd w:id="290"/>
      <w:bookmarkEnd w:id="291"/>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292" w:name="_Toc216773030"/>
      <w:bookmarkStart w:id="293" w:name="_Toc203658247"/>
      <w:bookmarkStart w:id="294" w:name="_Toc203745161"/>
      <w:r>
        <w:rPr>
          <w:rStyle w:val="CharDivNo"/>
        </w:rPr>
        <w:t>Division 2</w:t>
      </w:r>
      <w:r>
        <w:t> — </w:t>
      </w:r>
      <w:r>
        <w:rPr>
          <w:rStyle w:val="CharDivText"/>
        </w:rPr>
        <w:t>Commissioner may publish information</w:t>
      </w:r>
      <w:bookmarkEnd w:id="292"/>
      <w:bookmarkEnd w:id="293"/>
      <w:bookmarkEnd w:id="294"/>
    </w:p>
    <w:p>
      <w:pPr>
        <w:pStyle w:val="Footnoteheading"/>
      </w:pPr>
      <w:r>
        <w:tab/>
        <w:t>[Heading inserted: No. 1 of 2012 s. 5.]</w:t>
      </w:r>
    </w:p>
    <w:p>
      <w:pPr>
        <w:pStyle w:val="Heading5"/>
      </w:pPr>
      <w:bookmarkStart w:id="295" w:name="_Toc216773031"/>
      <w:bookmarkStart w:id="296" w:name="_Toc203745162"/>
      <w:r>
        <w:rPr>
          <w:rStyle w:val="CharSectno"/>
        </w:rPr>
        <w:t>85E</w:t>
      </w:r>
      <w:r>
        <w:t>.</w:t>
      </w:r>
      <w:r>
        <w:tab/>
        <w:t>Application</w:t>
      </w:r>
      <w:bookmarkEnd w:id="295"/>
      <w:bookmarkEnd w:id="296"/>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297" w:name="_Toc216773032"/>
      <w:bookmarkStart w:id="298" w:name="_Toc203745163"/>
      <w:r>
        <w:rPr>
          <w:rStyle w:val="CharSectno"/>
        </w:rPr>
        <w:t>85F</w:t>
      </w:r>
      <w:r>
        <w:t>.</w:t>
      </w:r>
      <w:r>
        <w:tab/>
        <w:t>Commissioner may publish personal details of certain reportable offenders</w:t>
      </w:r>
      <w:bookmarkEnd w:id="297"/>
      <w:bookmarkEnd w:id="29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the offender’s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the offender’s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 amended: No. 31 of 2024 s. 28.]</w:t>
      </w:r>
    </w:p>
    <w:p>
      <w:pPr>
        <w:pStyle w:val="Heading5"/>
      </w:pPr>
      <w:bookmarkStart w:id="299" w:name="_Toc216773033"/>
      <w:bookmarkStart w:id="300" w:name="_Toc203745164"/>
      <w:r>
        <w:rPr>
          <w:rStyle w:val="CharSectno"/>
        </w:rPr>
        <w:t>85G</w:t>
      </w:r>
      <w:r>
        <w:t>.</w:t>
      </w:r>
      <w:r>
        <w:tab/>
        <w:t>Commissioner may publish photograph and locality of certain persons</w:t>
      </w:r>
      <w:bookmarkEnd w:id="299"/>
      <w:bookmarkEnd w:id="300"/>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keepNext/>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the publication is authorised by the Minister under section 85GB.</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the person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Ednotesubsection"/>
      </w:pPr>
      <w:r>
        <w:t>[(5)-(8)</w:t>
      </w:r>
      <w:r>
        <w:tab/>
        <w:t>deleted]</w:t>
      </w:r>
    </w:p>
    <w:p>
      <w:pPr>
        <w:pStyle w:val="Footnotesection"/>
      </w:pPr>
      <w:r>
        <w:tab/>
        <w:t>[Section 85G inserted: No. 1 of 2012 s. 5; amended: No. 29 of 2020 s. 94; No. 31 of 2024 s. 28; No. 35 of 2024 s. 39.]</w:t>
      </w:r>
    </w:p>
    <w:p>
      <w:pPr>
        <w:pStyle w:val="Heading5"/>
      </w:pPr>
      <w:bookmarkStart w:id="301" w:name="_Toc216773034"/>
      <w:bookmarkStart w:id="302" w:name="_Toc180507013"/>
      <w:bookmarkStart w:id="303" w:name="_Toc203745165"/>
      <w:r>
        <w:rPr>
          <w:rStyle w:val="CharSectno"/>
        </w:rPr>
        <w:t>85GA</w:t>
      </w:r>
      <w:r>
        <w:t>.</w:t>
      </w:r>
      <w:r>
        <w:tab/>
        <w:t>Notice to give address and photograph to Commissioner</w:t>
      </w:r>
      <w:bookmarkEnd w:id="301"/>
      <w:bookmarkEnd w:id="302"/>
      <w:bookmarkEnd w:id="303"/>
    </w:p>
    <w:p>
      <w:pPr>
        <w:pStyle w:val="Subsection"/>
        <w:keepNext/>
      </w:pPr>
      <w:r>
        <w:tab/>
        <w:t>(1)</w:t>
      </w:r>
      <w:r>
        <w:tab/>
        <w:t xml:space="preserve">This section applies if — </w:t>
      </w:r>
    </w:p>
    <w:p>
      <w:pPr>
        <w:pStyle w:val="Indenta"/>
      </w:pPr>
      <w:r>
        <w:tab/>
        <w:t>(a)</w:t>
      </w:r>
      <w:r>
        <w:tab/>
        <w:t>the Commissioner proposes to publish the photograph and locality of a person under section 85G(2) and the person is not a reportable offender; or</w:t>
      </w:r>
    </w:p>
    <w:p>
      <w:pPr>
        <w:pStyle w:val="Indenta"/>
      </w:pPr>
      <w:r>
        <w:tab/>
        <w:t>(b)</w:t>
      </w:r>
      <w:r>
        <w:tab/>
        <w:t xml:space="preserve">the Commissioner — </w:t>
      </w:r>
    </w:p>
    <w:p>
      <w:pPr>
        <w:pStyle w:val="Indenti"/>
      </w:pPr>
      <w:r>
        <w:tab/>
        <w:t>(i)</w:t>
      </w:r>
      <w:r>
        <w:tab/>
        <w:t>has published the photograph and locality of a person under section 85G(2) and the person is not a reportable offender; and</w:t>
      </w:r>
    </w:p>
    <w:p>
      <w:pPr>
        <w:pStyle w:val="Indenti"/>
      </w:pPr>
      <w:r>
        <w:tab/>
        <w:t>(ii)</w:t>
      </w:r>
      <w:r>
        <w:tab/>
        <w:t>reasonably believes the person’s appearance or address has changed since their photograph or address was last given to the Commissioner.</w:t>
      </w:r>
    </w:p>
    <w:p>
      <w:pPr>
        <w:pStyle w:val="Subsection"/>
      </w:pPr>
      <w:r>
        <w:tab/>
        <w:t>(2)</w:t>
      </w:r>
      <w:r>
        <w:tab/>
        <w:t xml:space="preserve">The Commissioner may, by written notice, require the person to give any of the following (the </w:t>
      </w:r>
      <w:r>
        <w:rPr>
          <w:rStyle w:val="CharDefText"/>
        </w:rPr>
        <w:t>information</w:t>
      </w:r>
      <w:r>
        <w:t xml:space="preserve">) to the Commissioner in accordance with the notice — </w:t>
      </w:r>
    </w:p>
    <w:p>
      <w:pPr>
        <w:pStyle w:val="Indenta"/>
      </w:pPr>
      <w:r>
        <w:tab/>
        <w:t>(a)</w:t>
      </w:r>
      <w:r>
        <w:tab/>
        <w:t xml:space="preserve">the address of each of the premises at which the person generally resides; </w:t>
      </w:r>
    </w:p>
    <w:p>
      <w:pPr>
        <w:pStyle w:val="Indenta"/>
      </w:pPr>
      <w:r>
        <w:tab/>
        <w:t>(b)</w:t>
      </w:r>
      <w:r>
        <w:tab/>
        <w:t>if a person does not generally reside at any particular premises, the name of each of the localities in which the person can generally be found;</w:t>
      </w:r>
    </w:p>
    <w:p>
      <w:pPr>
        <w:pStyle w:val="Indenta"/>
      </w:pPr>
      <w:r>
        <w:tab/>
        <w:t>(c)</w:t>
      </w:r>
      <w:r>
        <w:tab/>
        <w:t>a current photograph of the person’s head and face of a type suitable for use in an Australian passport.</w:t>
      </w:r>
    </w:p>
    <w:p>
      <w:pPr>
        <w:pStyle w:val="Subsection"/>
      </w:pPr>
      <w:r>
        <w:tab/>
        <w:t>(3)</w:t>
      </w:r>
      <w:r>
        <w:tab/>
        <w:t xml:space="preserve">A notice under subsection (2) may require a person to do 1 or more of the following — </w:t>
      </w:r>
    </w:p>
    <w:p>
      <w:pPr>
        <w:pStyle w:val="Indenta"/>
      </w:pPr>
      <w:r>
        <w:tab/>
        <w:t>(a)</w:t>
      </w:r>
      <w:r>
        <w:tab/>
        <w:t>to give their address and photograph by post, email or by other electronic means;</w:t>
      </w:r>
    </w:p>
    <w:p>
      <w:pPr>
        <w:pStyle w:val="Indenta"/>
      </w:pPr>
      <w:r>
        <w:tab/>
        <w:t>(b)</w:t>
      </w:r>
      <w:r>
        <w:tab/>
        <w:t>to attend in person at a certain time and place to give their address to, and have their photograph taken by, an authorised person.</w:t>
      </w:r>
    </w:p>
    <w:p>
      <w:pPr>
        <w:pStyle w:val="Subsection"/>
      </w:pPr>
      <w:r>
        <w:tab/>
        <w:t>(4)</w:t>
      </w:r>
      <w:r>
        <w:tab/>
        <w:t xml:space="preserve">A person given written notice under subsection (2) must comply with the requirement to give the information in accordance with the notice. </w:t>
      </w:r>
    </w:p>
    <w:p>
      <w:pPr>
        <w:pStyle w:val="Penstart"/>
      </w:pPr>
      <w:r>
        <w:tab/>
        <w:t>Penalty for this subsection: imprisonment for 2 years and a fine of $24 000.</w:t>
      </w:r>
    </w:p>
    <w:p>
      <w:pPr>
        <w:pStyle w:val="Footnotesection"/>
      </w:pPr>
      <w:bookmarkStart w:id="304" w:name="_Toc180507014"/>
      <w:r>
        <w:tab/>
        <w:t>[Section 85GA inserted: No. 35 of 2024 s. 40.]</w:t>
      </w:r>
    </w:p>
    <w:p>
      <w:pPr>
        <w:pStyle w:val="Heading5"/>
      </w:pPr>
      <w:bookmarkStart w:id="305" w:name="_Toc216773035"/>
      <w:bookmarkStart w:id="306" w:name="_Toc203745166"/>
      <w:r>
        <w:rPr>
          <w:rStyle w:val="CharSectno"/>
        </w:rPr>
        <w:t>85GB</w:t>
      </w:r>
      <w:r>
        <w:t>.</w:t>
      </w:r>
      <w:r>
        <w:tab/>
        <w:t>Authorisation by Minister to publish photograph and locality in relation to certain offences</w:t>
      </w:r>
      <w:bookmarkEnd w:id="305"/>
      <w:bookmarkEnd w:id="304"/>
      <w:bookmarkEnd w:id="306"/>
    </w:p>
    <w:p>
      <w:pPr>
        <w:pStyle w:val="Subsection"/>
      </w:pPr>
      <w:r>
        <w:tab/>
        <w:t>(1)</w:t>
      </w:r>
      <w:r>
        <w:tab/>
        <w:t>On application from the Commissioner, the Minister may authorise the publication under section 85G(2)(c)(ii) of a photograph and locality of a person referred to in section 85G(2)(c)(i) if satisfied that the person poses a risk to the lives or the sexual safety of 1 or more persons, or persons generally.</w:t>
      </w:r>
    </w:p>
    <w:p>
      <w:pPr>
        <w:pStyle w:val="Subsection"/>
      </w:pPr>
      <w:r>
        <w:tab/>
        <w:t>(2)</w:t>
      </w:r>
      <w:r>
        <w:tab/>
        <w:t>An authorisation cannot be for a period greater than 5 years.</w:t>
      </w:r>
    </w:p>
    <w:p>
      <w:pPr>
        <w:pStyle w:val="Subsection"/>
      </w:pPr>
      <w:r>
        <w:tab/>
        <w:t>(3)</w:t>
      </w:r>
      <w:r>
        <w:tab/>
        <w:t>For the purposes of subsection (1), it is not necessary that the Minister is able to identify a risk to a particular person or particular persons or a particular class of persons.</w:t>
      </w:r>
    </w:p>
    <w:p>
      <w:pPr>
        <w:pStyle w:val="Subsection"/>
      </w:pPr>
      <w:r>
        <w:tab/>
        <w:t>(4)</w:t>
      </w:r>
      <w:r>
        <w:tab/>
        <w:t xml:space="preserve">In determining whether to authorise publication under subsection (1),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as defined in section 85G(1),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the person’s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(5)</w:t>
      </w:r>
      <w:r>
        <w:rPr>
          <w:color w:val="000000"/>
        </w:rPr>
        <w:tab/>
        <w:t xml:space="preserve">The Commissioner must provide with an application under </w:t>
      </w:r>
      <w:r>
        <w:t>subsection (1) any information available to the Commissioner that is relevant to the Minister’s determination whether to authorise publication.</w:t>
      </w:r>
    </w:p>
    <w:p>
      <w:pPr>
        <w:pStyle w:val="Subsection"/>
      </w:pPr>
      <w:r>
        <w:tab/>
        <w:t>(6)</w:t>
      </w:r>
      <w:r>
        <w:tab/>
        <w:t>The fact that an offence in respect of which a person has been found guilty becomes spent does not affect the consideration of the offence as part of the person’s total criminal record for the purposes of subsection (4)(d).</w:t>
      </w:r>
    </w:p>
    <w:p>
      <w:pPr>
        <w:pStyle w:val="Subsection"/>
      </w:pPr>
      <w:r>
        <w:tab/>
        <w:t>(7)</w:t>
      </w:r>
      <w:r>
        <w:tab/>
        <w:t xml:space="preserve">The Minister may — </w:t>
      </w:r>
    </w:p>
    <w:p>
      <w:pPr>
        <w:pStyle w:val="Indenta"/>
      </w:pPr>
      <w:r>
        <w:tab/>
        <w:t>(a)</w:t>
      </w:r>
      <w:r>
        <w:tab/>
        <w:t>revoke an authorisation; or</w:t>
      </w:r>
    </w:p>
    <w:p>
      <w:pPr>
        <w:pStyle w:val="Indenta"/>
      </w:pPr>
      <w:r>
        <w:tab/>
        <w:t>(b)</w:t>
      </w:r>
      <w:r>
        <w:tab/>
        <w:t>make further authorisations, each of no more than 5 years in duration, in respect of a person for whom an authorisation has previously been made.</w:t>
      </w:r>
    </w:p>
    <w:p>
      <w:pPr>
        <w:pStyle w:val="Footnotesection"/>
      </w:pPr>
      <w:r>
        <w:tab/>
        <w:t>[Section 85GB inserted: No. 35 of 2024 s. 40.]</w:t>
      </w:r>
    </w:p>
    <w:p>
      <w:pPr>
        <w:pStyle w:val="Heading5"/>
      </w:pPr>
      <w:bookmarkStart w:id="307" w:name="_Toc216773036"/>
      <w:bookmarkStart w:id="308" w:name="_Toc203745167"/>
      <w:r>
        <w:rPr>
          <w:rStyle w:val="CharSectno"/>
        </w:rPr>
        <w:t>85H</w:t>
      </w:r>
      <w:r>
        <w:t>.</w:t>
      </w:r>
      <w:r>
        <w:tab/>
        <w:t>Removal of photograph and locality from website</w:t>
      </w:r>
      <w:bookmarkEnd w:id="307"/>
      <w:bookmarkEnd w:id="308"/>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Subsection"/>
      </w:pPr>
      <w:r>
        <w:tab/>
        <w:t>(4)</w:t>
      </w:r>
      <w:r>
        <w:tab/>
        <w:t xml:space="preserve">The Commissioner must, as soon as is practicable, remove a photograph and locality of a person from the website on which they are published if — </w:t>
      </w:r>
    </w:p>
    <w:p>
      <w:pPr>
        <w:pStyle w:val="Indenta"/>
      </w:pPr>
      <w:r>
        <w:tab/>
        <w:t>(a)</w:t>
      </w:r>
      <w:r>
        <w:tab/>
        <w:t>the Commissioner has published the photograph and the locality of the person under section 85G(2)(c); and</w:t>
      </w:r>
    </w:p>
    <w:p>
      <w:pPr>
        <w:pStyle w:val="Indenta"/>
        <w:rPr>
          <w:color w:val="000000"/>
        </w:rPr>
      </w:pPr>
      <w:r>
        <w:tab/>
        <w:t>(b)</w:t>
      </w:r>
      <w:r>
        <w:tab/>
        <w:t>the authorisation in relation to the person is revoked under section 85GB(7)(a) or expires.</w:t>
      </w:r>
    </w:p>
    <w:p>
      <w:pPr>
        <w:pStyle w:val="Footnotesection"/>
      </w:pPr>
      <w:r>
        <w:tab/>
        <w:t>[Section 85H inserted: No. 1 of 2012 s. 5; amended: No. 29 of 2020 s. 95; No. 35 of 2024 s. 41.]</w:t>
      </w:r>
    </w:p>
    <w:p>
      <w:pPr>
        <w:pStyle w:val="Heading5"/>
      </w:pPr>
      <w:bookmarkStart w:id="309" w:name="_Toc216773037"/>
      <w:bookmarkStart w:id="310" w:name="_Toc203745168"/>
      <w:r>
        <w:rPr>
          <w:rStyle w:val="CharSectno"/>
        </w:rPr>
        <w:t>85I</w:t>
      </w:r>
      <w:r>
        <w:t>.</w:t>
      </w:r>
      <w:r>
        <w:tab/>
        <w:t>Commissioner may take into account certain matters</w:t>
      </w:r>
      <w:bookmarkEnd w:id="309"/>
      <w:bookmarkEnd w:id="310"/>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keepNext/>
      </w:pPr>
      <w:r>
        <w:tab/>
        <w:t>(2)</w:t>
      </w:r>
      <w:r>
        <w:tab/>
        <w:t xml:space="preserve">This section applies to these matters — </w:t>
      </w:r>
    </w:p>
    <w:p>
      <w:pPr>
        <w:pStyle w:val="Indenta"/>
        <w:keepNext/>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11" w:name="_Toc216773038"/>
      <w:bookmarkStart w:id="312" w:name="_Toc203745169"/>
      <w:r>
        <w:rPr>
          <w:rStyle w:val="CharSectno"/>
        </w:rPr>
        <w:t>85J</w:t>
      </w:r>
      <w:r>
        <w:t>.</w:t>
      </w:r>
      <w:r>
        <w:tab/>
        <w:t>Commissioner may inform child’s parent or guardian whether specified person is reportable offender</w:t>
      </w:r>
      <w:bookmarkEnd w:id="311"/>
      <w:bookmarkEnd w:id="312"/>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had reportable contact with a child of whom the applicant is a parent or guardian in the period of 12 months before the day on which the application is made.</w:t>
      </w:r>
    </w:p>
    <w:p>
      <w:pPr>
        <w:pStyle w:val="Ednotesubsection"/>
      </w:pPr>
      <w:r>
        <w:tab/>
        <w:t>[(4)</w:t>
      </w:r>
      <w:r>
        <w:tab/>
      </w:r>
      <w:r>
        <w:tab/>
        <w:t>deleted]</w:t>
      </w:r>
    </w:p>
    <w:p>
      <w:pPr>
        <w:pStyle w:val="Subsection"/>
      </w:pPr>
      <w:r>
        <w:tab/>
        <w:t>(5)</w:t>
      </w:r>
      <w:r>
        <w:tab/>
        <w:t>If the Commissioner is satisfied that the specified person has had reportable contact with a child of whom the applicant is a parent or guardian in the period of 12 months before the day on which the application is made, the Commissioner may inform the applicant whether or not the specified person is a reportable offender.</w:t>
      </w:r>
    </w:p>
    <w:p>
      <w:pPr>
        <w:pStyle w:val="Footnotesection"/>
      </w:pPr>
      <w:r>
        <w:tab/>
        <w:t>[Section 85J inserted: No. 1 of 2012 s. 5; amended: No. 31 of 2024 s. 28; No. 35 of 2024 s. 42.]</w:t>
      </w:r>
    </w:p>
    <w:p>
      <w:pPr>
        <w:pStyle w:val="Heading5"/>
      </w:pPr>
      <w:bookmarkStart w:id="313" w:name="_Toc216773039"/>
      <w:bookmarkStart w:id="314" w:name="_Toc203745170"/>
      <w:r>
        <w:rPr>
          <w:rStyle w:val="CharSectno"/>
        </w:rPr>
        <w:t>85K</w:t>
      </w:r>
      <w:r>
        <w:t>.</w:t>
      </w:r>
      <w:r>
        <w:tab/>
        <w:t>Protection as to publication and other provision of information</w:t>
      </w:r>
      <w:bookmarkEnd w:id="313"/>
      <w:bookmarkEnd w:id="314"/>
    </w:p>
    <w:p>
      <w:pPr>
        <w:pStyle w:val="Subsection"/>
        <w:keepNext/>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w:t>
      </w:r>
      <w:r>
        <w:t>the Commissioner or a delegate under section 85B determines</w:t>
      </w:r>
      <w:r>
        <w:rPr>
          <w:color w:val="000000"/>
        </w:rPr>
        <w:t xml:space="preserve">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 xml:space="preserve">no civil or criminal </w:t>
      </w:r>
      <w:r>
        <w:t>liability attaches to the Commissioner, a delegate under section 85B, the Minister</w:t>
      </w:r>
      <w:r>
        <w:rPr>
          <w:color w:val="000000"/>
        </w:rPr>
        <w:t xml:space="preserve"> or the State by reason of publishing or providing that information or omitting to publish or provide that information.</w:t>
      </w:r>
    </w:p>
    <w:p>
      <w:pPr>
        <w:pStyle w:val="Subsection"/>
      </w:pPr>
      <w:r>
        <w:tab/>
        <w:t>(3)</w:t>
      </w:r>
      <w:r>
        <w:tab/>
        <w:t xml:space="preserve">If information is published or provided by the Commissioner or a delegate under section 85B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 amended: No. 35 of 2024 s. 43.]</w:t>
      </w:r>
    </w:p>
    <w:p>
      <w:pPr>
        <w:pStyle w:val="Heading3"/>
      </w:pPr>
      <w:bookmarkStart w:id="315" w:name="_Toc216773040"/>
      <w:bookmarkStart w:id="316" w:name="_Toc203658255"/>
      <w:bookmarkStart w:id="317" w:name="_Toc203745171"/>
      <w:r>
        <w:rPr>
          <w:rStyle w:val="CharDivNo"/>
        </w:rPr>
        <w:t>Division 3</w:t>
      </w:r>
      <w:r>
        <w:t> — </w:t>
      </w:r>
      <w:r>
        <w:rPr>
          <w:rStyle w:val="CharDivText"/>
        </w:rPr>
        <w:t>Offences</w:t>
      </w:r>
      <w:bookmarkEnd w:id="315"/>
      <w:bookmarkEnd w:id="316"/>
      <w:bookmarkEnd w:id="317"/>
    </w:p>
    <w:p>
      <w:pPr>
        <w:pStyle w:val="Footnoteheading"/>
        <w:keepNext/>
      </w:pPr>
      <w:r>
        <w:tab/>
        <w:t>[Heading inserted: No. 1 of 2012 s. 5.]</w:t>
      </w:r>
    </w:p>
    <w:p>
      <w:pPr>
        <w:pStyle w:val="Heading5"/>
      </w:pPr>
      <w:bookmarkStart w:id="318" w:name="_Toc216773041"/>
      <w:bookmarkStart w:id="319" w:name="_Toc203745172"/>
      <w:r>
        <w:rPr>
          <w:rStyle w:val="CharSectno"/>
        </w:rPr>
        <w:t>85L</w:t>
      </w:r>
      <w:r>
        <w:t>.</w:t>
      </w:r>
      <w:r>
        <w:tab/>
        <w:t>Conduct intended to incite animosity towards or harassment of identified offenders</w:t>
      </w:r>
      <w:bookmarkEnd w:id="318"/>
      <w:bookmarkEnd w:id="319"/>
    </w:p>
    <w:p>
      <w:pPr>
        <w:pStyle w:val="Subsection"/>
        <w:keepNext/>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keepNext/>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for this subsection: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for this subsection: imprisonment for 2 years.</w:t>
      </w:r>
    </w:p>
    <w:p>
      <w:pPr>
        <w:pStyle w:val="Footnotesection"/>
      </w:pPr>
      <w:r>
        <w:tab/>
        <w:t>[Section 85L inserted: No. 1 of 2012 s. 5; amended: No. 35 of 2024 s. 44.]</w:t>
      </w:r>
    </w:p>
    <w:p>
      <w:pPr>
        <w:pStyle w:val="Heading5"/>
      </w:pPr>
      <w:bookmarkStart w:id="320" w:name="_Toc216773042"/>
      <w:bookmarkStart w:id="321" w:name="_Toc203745173"/>
      <w:r>
        <w:rPr>
          <w:rStyle w:val="CharSectno"/>
        </w:rPr>
        <w:t>85M</w:t>
      </w:r>
      <w:r>
        <w:t>.</w:t>
      </w:r>
      <w:r>
        <w:tab/>
        <w:t>Publication, display and distribution of identifying information</w:t>
      </w:r>
      <w:bookmarkEnd w:id="320"/>
      <w:bookmarkEnd w:id="32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for this subsection: imprisonment for 2 years.</w:t>
      </w:r>
    </w:p>
    <w:p>
      <w:pPr>
        <w:pStyle w:val="Footnotesection"/>
      </w:pPr>
      <w:r>
        <w:tab/>
        <w:t>[Section 85M inserted: No. 1 of 2012 s. 5; amended: No. 35 of 2024 s. 45.]</w:t>
      </w:r>
    </w:p>
    <w:p>
      <w:pPr>
        <w:pStyle w:val="Heading2"/>
      </w:pPr>
      <w:bookmarkStart w:id="322" w:name="_Toc216773043"/>
      <w:bookmarkStart w:id="323" w:name="_Toc203658258"/>
      <w:bookmarkStart w:id="324" w:name="_Toc203745174"/>
      <w:r>
        <w:rPr>
          <w:rStyle w:val="CharPartNo"/>
        </w:rPr>
        <w:t>Part 5</w:t>
      </w:r>
      <w:r>
        <w:t> — </w:t>
      </w:r>
      <w:r>
        <w:rPr>
          <w:rStyle w:val="CharPartText"/>
        </w:rPr>
        <w:t>Protection orders</w:t>
      </w:r>
      <w:bookmarkEnd w:id="322"/>
      <w:bookmarkEnd w:id="323"/>
      <w:bookmarkEnd w:id="324"/>
    </w:p>
    <w:p>
      <w:pPr>
        <w:pStyle w:val="Footnoteheading"/>
      </w:pPr>
      <w:r>
        <w:tab/>
        <w:t>[Heading amended: No. 54 of 2012 s. 40.]</w:t>
      </w:r>
    </w:p>
    <w:p>
      <w:pPr>
        <w:pStyle w:val="Heading3"/>
      </w:pPr>
      <w:bookmarkStart w:id="325" w:name="_Toc216773044"/>
      <w:bookmarkStart w:id="326" w:name="_Toc203658259"/>
      <w:bookmarkStart w:id="327" w:name="_Toc203745175"/>
      <w:r>
        <w:rPr>
          <w:rStyle w:val="CharDivNo"/>
        </w:rPr>
        <w:t>Division 1</w:t>
      </w:r>
      <w:r>
        <w:t> — </w:t>
      </w:r>
      <w:r>
        <w:rPr>
          <w:rStyle w:val="CharDivText"/>
        </w:rPr>
        <w:t>Preliminary</w:t>
      </w:r>
      <w:bookmarkEnd w:id="325"/>
      <w:bookmarkEnd w:id="326"/>
      <w:bookmarkEnd w:id="327"/>
    </w:p>
    <w:p>
      <w:pPr>
        <w:pStyle w:val="Heading5"/>
      </w:pPr>
      <w:bookmarkStart w:id="328" w:name="_Toc216773045"/>
      <w:bookmarkStart w:id="329" w:name="_Toc203745176"/>
      <w:r>
        <w:rPr>
          <w:rStyle w:val="CharSectno"/>
        </w:rPr>
        <w:t>85</w:t>
      </w:r>
      <w:r>
        <w:t>.</w:t>
      </w:r>
      <w:r>
        <w:tab/>
        <w:t>Terms used</w:t>
      </w:r>
      <w:bookmarkEnd w:id="328"/>
      <w:bookmarkEnd w:id="329"/>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keepNext/>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 No. 35 of 2024 s. 59.]</w:t>
      </w:r>
    </w:p>
    <w:p>
      <w:pPr>
        <w:pStyle w:val="Heading5"/>
      </w:pPr>
      <w:bookmarkStart w:id="330" w:name="_Toc216773046"/>
      <w:bookmarkStart w:id="331" w:name="_Toc203745177"/>
      <w:r>
        <w:rPr>
          <w:rStyle w:val="CharSectno"/>
        </w:rPr>
        <w:t>86</w:t>
      </w:r>
      <w:r>
        <w:t>.</w:t>
      </w:r>
      <w:r>
        <w:tab/>
        <w:t>Evidence</w:t>
      </w:r>
      <w:bookmarkEnd w:id="330"/>
      <w:bookmarkEnd w:id="331"/>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332" w:name="_Toc216773047"/>
      <w:bookmarkStart w:id="333" w:name="_Toc203658262"/>
      <w:bookmarkStart w:id="334" w:name="_Toc203745178"/>
      <w:r>
        <w:rPr>
          <w:rStyle w:val="CharDivNo"/>
        </w:rPr>
        <w:t>Division 2</w:t>
      </w:r>
      <w:r>
        <w:t> — </w:t>
      </w:r>
      <w:r>
        <w:rPr>
          <w:rStyle w:val="CharDivText"/>
        </w:rPr>
        <w:t>Orders</w:t>
      </w:r>
      <w:bookmarkEnd w:id="332"/>
      <w:bookmarkEnd w:id="333"/>
      <w:bookmarkEnd w:id="334"/>
    </w:p>
    <w:p>
      <w:pPr>
        <w:pStyle w:val="Heading5"/>
      </w:pPr>
      <w:bookmarkStart w:id="335" w:name="_Toc216773048"/>
      <w:bookmarkStart w:id="336" w:name="_Toc203745179"/>
      <w:r>
        <w:rPr>
          <w:rStyle w:val="CharSectno"/>
        </w:rPr>
        <w:t>87</w:t>
      </w:r>
      <w:r>
        <w:t>.</w:t>
      </w:r>
      <w:r>
        <w:tab/>
        <w:t>Commissioner may apply for orders</w:t>
      </w:r>
      <w:bookmarkEnd w:id="335"/>
      <w:bookmarkEnd w:id="336"/>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337" w:name="_Toc216773049"/>
      <w:bookmarkStart w:id="338" w:name="_Toc203745180"/>
      <w:r>
        <w:rPr>
          <w:rStyle w:val="CharSectno"/>
        </w:rPr>
        <w:t>88</w:t>
      </w:r>
      <w:r>
        <w:t>.</w:t>
      </w:r>
      <w:r>
        <w:tab/>
        <w:t>Fixing a hearing</w:t>
      </w:r>
      <w:bookmarkEnd w:id="337"/>
      <w:bookmarkEnd w:id="338"/>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339" w:name="_Toc216773050"/>
      <w:bookmarkStart w:id="340" w:name="_Toc203745181"/>
      <w:r>
        <w:rPr>
          <w:rStyle w:val="CharSectno"/>
        </w:rPr>
        <w:t>89</w:t>
      </w:r>
      <w:r>
        <w:t>.</w:t>
      </w:r>
      <w:r>
        <w:tab/>
        <w:t>How application to be disposed of</w:t>
      </w:r>
      <w:bookmarkEnd w:id="339"/>
      <w:bookmarkEnd w:id="340"/>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341" w:name="_Toc216773051"/>
      <w:bookmarkStart w:id="342" w:name="_Toc203745182"/>
      <w:r>
        <w:rPr>
          <w:rStyle w:val="CharSectno"/>
        </w:rPr>
        <w:t>90</w:t>
      </w:r>
      <w:r>
        <w:t>.</w:t>
      </w:r>
      <w:r>
        <w:tab/>
        <w:t>Court may make child protection orders</w:t>
      </w:r>
      <w:bookmarkEnd w:id="341"/>
      <w:bookmarkEnd w:id="342"/>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343" w:name="_Toc216773052"/>
      <w:bookmarkStart w:id="344" w:name="_Toc203745183"/>
      <w:r>
        <w:rPr>
          <w:rStyle w:val="CharSectno"/>
        </w:rPr>
        <w:t>91</w:t>
      </w:r>
      <w:r>
        <w:t>.</w:t>
      </w:r>
      <w:r>
        <w:tab/>
        <w:t>Term of child protection orders</w:t>
      </w:r>
      <w:bookmarkEnd w:id="343"/>
      <w:bookmarkEnd w:id="344"/>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345" w:name="_Toc216773053"/>
      <w:bookmarkStart w:id="346" w:name="_Toc203745184"/>
      <w:r>
        <w:rPr>
          <w:rStyle w:val="CharSectno"/>
        </w:rPr>
        <w:t>92</w:t>
      </w:r>
      <w:r>
        <w:t>.</w:t>
      </w:r>
      <w:r>
        <w:tab/>
        <w:t>Interim child protection orders</w:t>
      </w:r>
      <w:bookmarkEnd w:id="345"/>
      <w:bookmarkEnd w:id="346"/>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347" w:name="_Toc216773054"/>
      <w:bookmarkStart w:id="348" w:name="_Toc203745185"/>
      <w:r>
        <w:rPr>
          <w:rStyle w:val="CharSectno"/>
        </w:rPr>
        <w:t>93</w:t>
      </w:r>
      <w:r>
        <w:t>.</w:t>
      </w:r>
      <w:r>
        <w:tab/>
        <w:t>Conduct that may be subject of orders</w:t>
      </w:r>
      <w:bookmarkEnd w:id="347"/>
      <w:bookmarkEnd w:id="348"/>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the person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the person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from a place specified in the order — </w:t>
      </w:r>
    </w:p>
    <w:p>
      <w:pPr>
        <w:pStyle w:val="Indenta"/>
      </w:pPr>
      <w:r>
        <w:tab/>
        <w:t>(a)</w:t>
      </w:r>
      <w:r>
        <w:tab/>
        <w:t>in the manner set out in the order; or</w:t>
      </w:r>
    </w:p>
    <w:p>
      <w:pPr>
        <w:pStyle w:val="Indenta"/>
      </w:pPr>
      <w:r>
        <w:tab/>
        <w:t>(b)</w:t>
      </w:r>
      <w:r>
        <w:tab/>
        <w:t>in accordance with procedures prescribed.</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 No. 31 of 2024 s. 28; No. 35 of 2024 s. 59.]</w:t>
      </w:r>
    </w:p>
    <w:p>
      <w:pPr>
        <w:pStyle w:val="Heading5"/>
      </w:pPr>
      <w:bookmarkStart w:id="349" w:name="_Toc216773055"/>
      <w:bookmarkStart w:id="350" w:name="_Toc203745186"/>
      <w:r>
        <w:rPr>
          <w:rStyle w:val="CharSectno"/>
        </w:rPr>
        <w:t>94A</w:t>
      </w:r>
      <w:r>
        <w:t>.</w:t>
      </w:r>
      <w:r>
        <w:tab/>
        <w:t>Reportable offenders may be required to undergo assessment and treatment</w:t>
      </w:r>
      <w:bookmarkEnd w:id="349"/>
      <w:bookmarkEnd w:id="35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keepNext/>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351" w:name="_Toc216773056"/>
      <w:bookmarkStart w:id="352" w:name="_Toc203745187"/>
      <w:r>
        <w:rPr>
          <w:rStyle w:val="CharSectno"/>
        </w:rPr>
        <w:t>94B</w:t>
      </w:r>
      <w:r>
        <w:t>.</w:t>
      </w:r>
      <w:r>
        <w:tab/>
        <w:t>Reportable offenders may be required to submit to tests or give samples for analysis</w:t>
      </w:r>
      <w:bookmarkEnd w:id="351"/>
      <w:bookmarkEnd w:id="352"/>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for this subsection: imprisonment for 2 years and a fine of $24 000.</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for this subsection: imprisonment for 12 months.</w:t>
      </w:r>
    </w:p>
    <w:p>
      <w:pPr>
        <w:pStyle w:val="Subsection"/>
        <w:keepNext/>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the person’s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 amended: No. 31 of 2024 s. 28; No. 35 of 2024 s. 46.]</w:t>
      </w:r>
    </w:p>
    <w:p>
      <w:pPr>
        <w:pStyle w:val="Heading5"/>
      </w:pPr>
      <w:bookmarkStart w:id="353" w:name="_Toc216773057"/>
      <w:bookmarkStart w:id="354" w:name="_Toc203745188"/>
      <w:r>
        <w:rPr>
          <w:rStyle w:val="CharSectno"/>
        </w:rPr>
        <w:t>94C</w:t>
      </w:r>
      <w:r>
        <w:t>.</w:t>
      </w:r>
      <w:r>
        <w:tab/>
        <w:t>Authorised police officers may enter premises to inspect electronic devices</w:t>
      </w:r>
      <w:bookmarkEnd w:id="353"/>
      <w:bookmarkEnd w:id="354"/>
    </w:p>
    <w:p>
      <w:pPr>
        <w:pStyle w:val="Subsection"/>
        <w:keepNext/>
      </w:pPr>
      <w:r>
        <w:tab/>
        <w:t>(1)</w:t>
      </w:r>
      <w:r>
        <w:tab/>
        <w:t xml:space="preserve">In this section — </w:t>
      </w:r>
    </w:p>
    <w:p>
      <w:pPr>
        <w:pStyle w:val="Defstart"/>
      </w:pPr>
      <w:r>
        <w:tab/>
      </w:r>
      <w:r>
        <w:rPr>
          <w:rStyle w:val="CharDefText"/>
        </w:rPr>
        <w:t>generally resides</w:t>
      </w:r>
      <w:r>
        <w:t xml:space="preserve"> has the meaning given to that term in section 29A(1).</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electronic device that is at the premises; or</w:t>
      </w:r>
    </w:p>
    <w:p>
      <w:pPr>
        <w:pStyle w:val="Indenta"/>
      </w:pPr>
      <w:r>
        <w:tab/>
        <w:t>(b)</w:t>
      </w:r>
      <w:r>
        <w:tab/>
        <w:t>seize any electronic device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an electronic device; or</w:t>
      </w:r>
    </w:p>
    <w:p>
      <w:pPr>
        <w:pStyle w:val="Indenta"/>
        <w:spacing w:before="60"/>
      </w:pPr>
      <w:r>
        <w:tab/>
        <w:t>(b)</w:t>
      </w:r>
      <w:r>
        <w:tab/>
        <w:t>otherwise assist the officer to gain access to the electronic data stored in a or accessed through an electronic device.</w:t>
      </w:r>
    </w:p>
    <w:p>
      <w:pPr>
        <w:pStyle w:val="Penstart"/>
      </w:pPr>
      <w:r>
        <w:tab/>
        <w:t>Penalty for this subsection: imprisonment for 2 years and a fine of $24 000.</w:t>
      </w:r>
    </w:p>
    <w:p>
      <w:pPr>
        <w:pStyle w:val="Subsection"/>
      </w:pPr>
      <w:r>
        <w:tab/>
        <w:t>(5)</w:t>
      </w:r>
      <w:r>
        <w:tab/>
        <w:t xml:space="preserve">If a person is found guilty of an offence in relation to an electronic device under 1 or more of the following provisions, the electronic device is forfeited to the State — </w:t>
      </w:r>
    </w:p>
    <w:p>
      <w:pPr>
        <w:pStyle w:val="Indenta"/>
      </w:pPr>
      <w:r>
        <w:tab/>
        <w:t>(a)</w:t>
      </w:r>
      <w:r>
        <w:tab/>
        <w:t xml:space="preserve">under section 101(1) in relation to conduct of the kind referred to in subsection (2) of this section; </w:t>
      </w:r>
    </w:p>
    <w:p>
      <w:pPr>
        <w:pStyle w:val="Indenta"/>
      </w:pPr>
      <w:r>
        <w:tab/>
        <w:t>(b)</w:t>
      </w:r>
      <w:r>
        <w:tab/>
        <w:t>under subsection (4).</w:t>
      </w:r>
    </w:p>
    <w:p>
      <w:pPr>
        <w:pStyle w:val="Subsection"/>
        <w:spacing w:before="120"/>
      </w:pPr>
      <w:r>
        <w:tab/>
        <w:t>(6)</w:t>
      </w:r>
      <w:r>
        <w:tab/>
        <w:t xml:space="preserve">The </w:t>
      </w:r>
      <w:r>
        <w:rPr>
          <w:i/>
        </w:rPr>
        <w:t>Criminal and Found Property Disposal Act 2006</w:t>
      </w:r>
      <w:r>
        <w:t xml:space="preserve"> applies to and in relation to an electronic device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 amended: No. 35 of 2024 s. 47.]</w:t>
      </w:r>
    </w:p>
    <w:p>
      <w:pPr>
        <w:pStyle w:val="Heading5"/>
        <w:spacing w:before="200"/>
      </w:pPr>
      <w:bookmarkStart w:id="355" w:name="_Toc216773058"/>
      <w:bookmarkStart w:id="356" w:name="_Toc203745189"/>
      <w:r>
        <w:rPr>
          <w:rStyle w:val="CharSectno"/>
        </w:rPr>
        <w:t>94</w:t>
      </w:r>
      <w:r>
        <w:t>.</w:t>
      </w:r>
      <w:r>
        <w:tab/>
        <w:t>Explanation of orders</w:t>
      </w:r>
      <w:bookmarkEnd w:id="355"/>
      <w:bookmarkEnd w:id="356"/>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the offender — </w:t>
      </w:r>
    </w:p>
    <w:p>
      <w:pPr>
        <w:pStyle w:val="Indenta"/>
        <w:spacing w:before="60"/>
      </w:pPr>
      <w:r>
        <w:tab/>
        <w:t>(a)</w:t>
      </w:r>
      <w:r>
        <w:tab/>
        <w:t>the offender’s obligations under the order; and</w:t>
      </w:r>
    </w:p>
    <w:p>
      <w:pPr>
        <w:pStyle w:val="Indenta"/>
      </w:pPr>
      <w:r>
        <w:tab/>
        <w:t>(b)</w:t>
      </w:r>
      <w:r>
        <w:tab/>
        <w:t>the consequences that may arise if the offender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 No. 31 of 2024 s. 28.]</w:t>
      </w:r>
    </w:p>
    <w:p>
      <w:pPr>
        <w:pStyle w:val="Heading5"/>
      </w:pPr>
      <w:bookmarkStart w:id="357" w:name="_Toc216773059"/>
      <w:bookmarkStart w:id="358" w:name="_Toc203745190"/>
      <w:r>
        <w:rPr>
          <w:rStyle w:val="CharSectno"/>
        </w:rPr>
        <w:t>95</w:t>
      </w:r>
      <w:r>
        <w:t>.</w:t>
      </w:r>
      <w:r>
        <w:tab/>
        <w:t>Consent orders</w:t>
      </w:r>
      <w:bookmarkEnd w:id="357"/>
      <w:bookmarkEnd w:id="358"/>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359" w:name="_Toc216773060"/>
      <w:bookmarkStart w:id="360" w:name="_Toc203658275"/>
      <w:bookmarkStart w:id="361" w:name="_Toc203745191"/>
      <w:r>
        <w:rPr>
          <w:rStyle w:val="CharDivNo"/>
        </w:rPr>
        <w:t>Division 3</w:t>
      </w:r>
      <w:r>
        <w:t> — </w:t>
      </w:r>
      <w:r>
        <w:rPr>
          <w:rStyle w:val="CharDivText"/>
        </w:rPr>
        <w:t>Variation or revocation</w:t>
      </w:r>
      <w:bookmarkEnd w:id="359"/>
      <w:bookmarkEnd w:id="360"/>
      <w:bookmarkEnd w:id="361"/>
    </w:p>
    <w:p>
      <w:pPr>
        <w:pStyle w:val="Heading5"/>
      </w:pPr>
      <w:bookmarkStart w:id="362" w:name="_Toc216773061"/>
      <w:bookmarkStart w:id="363" w:name="_Toc203745192"/>
      <w:r>
        <w:rPr>
          <w:rStyle w:val="CharSectno"/>
        </w:rPr>
        <w:t>96</w:t>
      </w:r>
      <w:r>
        <w:t>.</w:t>
      </w:r>
      <w:r>
        <w:tab/>
        <w:t>Variation or revocation of child protection orders</w:t>
      </w:r>
      <w:bookmarkEnd w:id="362"/>
      <w:bookmarkEnd w:id="36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364" w:name="_Toc216773062"/>
      <w:bookmarkStart w:id="365" w:name="_Toc203745193"/>
      <w:r>
        <w:rPr>
          <w:rStyle w:val="CharSectno"/>
        </w:rPr>
        <w:t>97</w:t>
      </w:r>
      <w:r>
        <w:t>.</w:t>
      </w:r>
      <w:r>
        <w:tab/>
        <w:t>Fixing a hearing</w:t>
      </w:r>
      <w:bookmarkEnd w:id="364"/>
      <w:bookmarkEnd w:id="365"/>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366" w:name="_Toc216773063"/>
      <w:bookmarkStart w:id="367" w:name="_Toc203745194"/>
      <w:r>
        <w:rPr>
          <w:rStyle w:val="CharSectno"/>
        </w:rPr>
        <w:t>98</w:t>
      </w:r>
      <w:r>
        <w:t>.</w:t>
      </w:r>
      <w:r>
        <w:tab/>
        <w:t>How application to be disposed of</w:t>
      </w:r>
      <w:bookmarkEnd w:id="366"/>
      <w:bookmarkEnd w:id="367"/>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368" w:name="_Toc216773064"/>
      <w:bookmarkStart w:id="369" w:name="_Toc203658279"/>
      <w:bookmarkStart w:id="370" w:name="_Toc203745195"/>
      <w:r>
        <w:rPr>
          <w:rStyle w:val="CharDivNo"/>
        </w:rPr>
        <w:t>Division 4</w:t>
      </w:r>
      <w:r>
        <w:t> — </w:t>
      </w:r>
      <w:r>
        <w:rPr>
          <w:rStyle w:val="CharDivText"/>
        </w:rPr>
        <w:t>Attendance at hearings</w:t>
      </w:r>
      <w:bookmarkEnd w:id="368"/>
      <w:bookmarkEnd w:id="369"/>
      <w:bookmarkEnd w:id="370"/>
    </w:p>
    <w:p>
      <w:pPr>
        <w:pStyle w:val="Heading5"/>
      </w:pPr>
      <w:bookmarkStart w:id="371" w:name="_Toc216773065"/>
      <w:bookmarkStart w:id="372" w:name="_Toc203745196"/>
      <w:r>
        <w:rPr>
          <w:rStyle w:val="CharSectno"/>
        </w:rPr>
        <w:t>99</w:t>
      </w:r>
      <w:r>
        <w:t>.</w:t>
      </w:r>
      <w:r>
        <w:tab/>
        <w:t>Attendance at hearings</w:t>
      </w:r>
      <w:bookmarkEnd w:id="371"/>
      <w:bookmarkEnd w:id="372"/>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73" w:name="_Toc216773066"/>
      <w:bookmarkStart w:id="374" w:name="_Toc203745197"/>
      <w:r>
        <w:rPr>
          <w:rStyle w:val="CharSectno"/>
        </w:rPr>
        <w:t>100</w:t>
      </w:r>
      <w:r>
        <w:t>.</w:t>
      </w:r>
      <w:r>
        <w:tab/>
        <w:t>Notification of orders made in absence of respondent</w:t>
      </w:r>
      <w:bookmarkEnd w:id="373"/>
      <w:bookmarkEnd w:id="374"/>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375" w:name="_Toc216773067"/>
      <w:bookmarkStart w:id="376" w:name="_Toc203658282"/>
      <w:bookmarkStart w:id="377" w:name="_Toc203745198"/>
      <w:r>
        <w:rPr>
          <w:rStyle w:val="CharDivNo"/>
        </w:rPr>
        <w:t>Division 5</w:t>
      </w:r>
      <w:r>
        <w:t> — </w:t>
      </w:r>
      <w:r>
        <w:rPr>
          <w:rStyle w:val="CharDivText"/>
        </w:rPr>
        <w:t>Offence</w:t>
      </w:r>
      <w:bookmarkEnd w:id="375"/>
      <w:bookmarkEnd w:id="376"/>
      <w:bookmarkEnd w:id="377"/>
    </w:p>
    <w:p>
      <w:pPr>
        <w:pStyle w:val="Heading5"/>
      </w:pPr>
      <w:bookmarkStart w:id="378" w:name="_Toc216773068"/>
      <w:bookmarkStart w:id="379" w:name="_Toc203745199"/>
      <w:r>
        <w:rPr>
          <w:rStyle w:val="CharSectno"/>
        </w:rPr>
        <w:t>101</w:t>
      </w:r>
      <w:r>
        <w:t>.</w:t>
      </w:r>
      <w:r>
        <w:tab/>
        <w:t>Failure to comply with orders</w:t>
      </w:r>
      <w:bookmarkEnd w:id="378"/>
      <w:bookmarkEnd w:id="37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for this subsection: imprisonment for 5 years.</w:t>
      </w:r>
    </w:p>
    <w:p>
      <w:pPr>
        <w:pStyle w:val="Penstart"/>
      </w:pPr>
      <w:r>
        <w:tab/>
        <w:t>Summary conviction penalty for this subsection: imprisonment for 2 years and a fine of $24 000.</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 No. 35 of 2024 s. 48.]</w:t>
      </w:r>
    </w:p>
    <w:p>
      <w:pPr>
        <w:pStyle w:val="Heading3"/>
      </w:pPr>
      <w:bookmarkStart w:id="380" w:name="_Toc216773069"/>
      <w:bookmarkStart w:id="381" w:name="_Toc203658284"/>
      <w:bookmarkStart w:id="382" w:name="_Toc203745200"/>
      <w:r>
        <w:rPr>
          <w:rStyle w:val="CharDivNo"/>
        </w:rPr>
        <w:t>Division 6</w:t>
      </w:r>
      <w:r>
        <w:t> — </w:t>
      </w:r>
      <w:r>
        <w:rPr>
          <w:rStyle w:val="CharDivText"/>
        </w:rPr>
        <w:t>Appeals</w:t>
      </w:r>
      <w:bookmarkEnd w:id="380"/>
      <w:bookmarkEnd w:id="381"/>
      <w:bookmarkEnd w:id="382"/>
    </w:p>
    <w:p>
      <w:pPr>
        <w:pStyle w:val="Heading5"/>
      </w:pPr>
      <w:bookmarkStart w:id="383" w:name="_Toc216773070"/>
      <w:bookmarkStart w:id="384" w:name="_Toc203745201"/>
      <w:r>
        <w:rPr>
          <w:rStyle w:val="CharSectno"/>
        </w:rPr>
        <w:t>102</w:t>
      </w:r>
      <w:r>
        <w:t>.</w:t>
      </w:r>
      <w:r>
        <w:tab/>
        <w:t>Appeals</w:t>
      </w:r>
      <w:bookmarkEnd w:id="383"/>
      <w:bookmarkEnd w:id="384"/>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keepLines/>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385" w:name="_Toc216773071"/>
      <w:bookmarkStart w:id="386" w:name="_Toc203745202"/>
      <w:r>
        <w:rPr>
          <w:rStyle w:val="CharSectno"/>
        </w:rPr>
        <w:t>103</w:t>
      </w:r>
      <w:r>
        <w:t>.</w:t>
      </w:r>
      <w:r>
        <w:tab/>
        <w:t>Appeal does not stay order</w:t>
      </w:r>
      <w:bookmarkEnd w:id="385"/>
      <w:bookmarkEnd w:id="386"/>
    </w:p>
    <w:p>
      <w:pPr>
        <w:pStyle w:val="Subsection"/>
      </w:pPr>
      <w:r>
        <w:tab/>
      </w:r>
      <w:r>
        <w:tab/>
        <w:t>An appeal against an order made under this Part does not operate to stay the operation of the order unless the court to which the appeal is made so orders.</w:t>
      </w:r>
    </w:p>
    <w:p>
      <w:pPr>
        <w:pStyle w:val="Heading3"/>
      </w:pPr>
      <w:bookmarkStart w:id="387" w:name="_Toc216773072"/>
      <w:bookmarkStart w:id="388" w:name="_Toc203658287"/>
      <w:bookmarkStart w:id="389" w:name="_Toc203745203"/>
      <w:r>
        <w:rPr>
          <w:rStyle w:val="CharDivNo"/>
        </w:rPr>
        <w:t>Division 7 </w:t>
      </w:r>
      <w:r>
        <w:t>—</w:t>
      </w:r>
      <w:r>
        <w:rPr>
          <w:rStyle w:val="CharDivText"/>
        </w:rPr>
        <w:t> Miscellaneous</w:t>
      </w:r>
      <w:bookmarkEnd w:id="387"/>
      <w:bookmarkEnd w:id="388"/>
      <w:bookmarkEnd w:id="389"/>
    </w:p>
    <w:p>
      <w:pPr>
        <w:pStyle w:val="Heading5"/>
      </w:pPr>
      <w:bookmarkStart w:id="390" w:name="_Toc216773073"/>
      <w:bookmarkStart w:id="391" w:name="_Toc203745204"/>
      <w:r>
        <w:rPr>
          <w:rStyle w:val="CharSectno"/>
        </w:rPr>
        <w:t>104</w:t>
      </w:r>
      <w:r>
        <w:t>.</w:t>
      </w:r>
      <w:r>
        <w:tab/>
        <w:t>Applications not to be heard in public</w:t>
      </w:r>
      <w:bookmarkEnd w:id="390"/>
      <w:bookmarkEnd w:id="391"/>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392" w:name="_Toc216773074"/>
      <w:bookmarkStart w:id="393" w:name="_Toc203745205"/>
      <w:r>
        <w:rPr>
          <w:rStyle w:val="CharSectno"/>
        </w:rPr>
        <w:t>106</w:t>
      </w:r>
      <w:r>
        <w:t>.</w:t>
      </w:r>
      <w:r>
        <w:tab/>
        <w:t>Restriction on publication of identity of reportable offenders and victims</w:t>
      </w:r>
      <w:bookmarkEnd w:id="392"/>
      <w:bookmarkEnd w:id="393"/>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for this subsection: imprisonment for 2 years and a fine of $24 000.</w:t>
      </w:r>
    </w:p>
    <w:p>
      <w:pPr>
        <w:pStyle w:val="Subsection"/>
      </w:pPr>
      <w:r>
        <w:tab/>
        <w:t>(2)</w:t>
      </w:r>
      <w:r>
        <w:tab/>
        <w:t>Subsection (1) does not apply in relation to the publication of any matter with the authority of the court to which the application was made or any publication by a person of the person’s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 No. 31 of 2024 s. 28; No. 35 of 2024 s. 49.]</w:t>
      </w:r>
    </w:p>
    <w:p>
      <w:pPr>
        <w:pStyle w:val="Heading5"/>
      </w:pPr>
      <w:bookmarkStart w:id="394" w:name="_Toc216773075"/>
      <w:bookmarkStart w:id="395" w:name="_Toc203745206"/>
      <w:r>
        <w:rPr>
          <w:rStyle w:val="CharSectno"/>
        </w:rPr>
        <w:t>107</w:t>
      </w:r>
      <w:r>
        <w:t>.</w:t>
      </w:r>
      <w:r>
        <w:tab/>
        <w:t>Protection orders have no effect to extent of inconsistency with certain other orders</w:t>
      </w:r>
      <w:bookmarkEnd w:id="394"/>
      <w:bookmarkEnd w:id="395"/>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396" w:name="_Toc216773076"/>
      <w:bookmarkStart w:id="397" w:name="_Toc203745207"/>
      <w:r>
        <w:rPr>
          <w:rStyle w:val="CharSectno"/>
        </w:rPr>
        <w:t>108</w:t>
      </w:r>
      <w:r>
        <w:t>.</w:t>
      </w:r>
      <w:r>
        <w:tab/>
        <w:t>Recognition of protection orders made in other jurisdictions</w:t>
      </w:r>
      <w:bookmarkEnd w:id="396"/>
      <w:bookmarkEnd w:id="397"/>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398" w:name="_Toc216773077"/>
      <w:bookmarkStart w:id="399" w:name="_Toc180506641"/>
      <w:bookmarkStart w:id="400" w:name="_Toc180506833"/>
      <w:bookmarkStart w:id="401" w:name="_Toc180507025"/>
      <w:bookmarkStart w:id="402" w:name="_Toc203745208"/>
      <w:bookmarkStart w:id="403" w:name="_Toc203658292"/>
      <w:r>
        <w:rPr>
          <w:rStyle w:val="CharPartNo"/>
        </w:rPr>
        <w:t>Part 5B</w:t>
      </w:r>
      <w:r>
        <w:rPr>
          <w:rStyle w:val="CharDivNo"/>
        </w:rPr>
        <w:t> </w:t>
      </w:r>
      <w:r>
        <w:t>—</w:t>
      </w:r>
      <w:r>
        <w:rPr>
          <w:rStyle w:val="CharDivText"/>
        </w:rPr>
        <w:t> </w:t>
      </w:r>
      <w:r>
        <w:rPr>
          <w:rStyle w:val="CharPartText"/>
        </w:rPr>
        <w:t>Power to enter and search premises and vehicles in relation to serious reportable offenders</w:t>
      </w:r>
      <w:bookmarkEnd w:id="398"/>
      <w:bookmarkEnd w:id="399"/>
      <w:bookmarkEnd w:id="400"/>
      <w:bookmarkEnd w:id="401"/>
      <w:bookmarkEnd w:id="402"/>
    </w:p>
    <w:p>
      <w:pPr>
        <w:pStyle w:val="Footnoteheading"/>
      </w:pPr>
      <w:bookmarkStart w:id="404" w:name="_Toc180507026"/>
      <w:r>
        <w:tab/>
        <w:t>[Heading inserted: No. 35 of 2024 s. 50.]</w:t>
      </w:r>
    </w:p>
    <w:p>
      <w:pPr>
        <w:pStyle w:val="Heading5"/>
      </w:pPr>
      <w:bookmarkStart w:id="405" w:name="_Toc216773078"/>
      <w:bookmarkStart w:id="406" w:name="_Toc203745209"/>
      <w:r>
        <w:rPr>
          <w:rStyle w:val="CharSectno"/>
        </w:rPr>
        <w:t>108A</w:t>
      </w:r>
      <w:r>
        <w:t>.</w:t>
      </w:r>
      <w:r>
        <w:tab/>
        <w:t>Serious reportable offenders</w:t>
      </w:r>
      <w:bookmarkEnd w:id="405"/>
      <w:bookmarkEnd w:id="404"/>
      <w:bookmarkEnd w:id="406"/>
    </w:p>
    <w:p>
      <w:pPr>
        <w:pStyle w:val="Subsection"/>
      </w:pPr>
      <w:r>
        <w:tab/>
        <w:t>(1)</w:t>
      </w:r>
      <w:r>
        <w:tab/>
        <w:t xml:space="preserve">For the purposes of this Part, a reportable offender is a </w:t>
      </w:r>
      <w:r>
        <w:rPr>
          <w:rStyle w:val="CharDefText"/>
        </w:rPr>
        <w:t>serious reportable offender</w:t>
      </w:r>
      <w:r>
        <w:t xml:space="preserve"> if —</w:t>
      </w:r>
    </w:p>
    <w:p>
      <w:pPr>
        <w:pStyle w:val="Indenta"/>
      </w:pPr>
      <w:r>
        <w:tab/>
        <w:t>(a)</w:t>
      </w:r>
      <w:r>
        <w:tab/>
        <w:t>the offender’s reporting period has not ended; and</w:t>
      </w:r>
    </w:p>
    <w:p>
      <w:pPr>
        <w:pStyle w:val="Indenta"/>
      </w:pPr>
      <w:r>
        <w:tab/>
        <w:t>(b)</w:t>
      </w:r>
      <w:r>
        <w:tab/>
        <w:t xml:space="preserve">the offender’s reporting obligations are not suspended under section 44, 53 or 61; and </w:t>
      </w:r>
    </w:p>
    <w:p>
      <w:pPr>
        <w:pStyle w:val="Indenta"/>
      </w:pPr>
      <w:r>
        <w:tab/>
        <w:t>(c)</w:t>
      </w:r>
      <w:r>
        <w:tab/>
        <w:t xml:space="preserve">the offender has been sentenced for any of the following — </w:t>
      </w:r>
    </w:p>
    <w:p>
      <w:pPr>
        <w:pStyle w:val="Indenti"/>
      </w:pPr>
      <w:r>
        <w:tab/>
        <w:t>(i)</w:t>
      </w:r>
      <w:r>
        <w:tab/>
        <w:t>a single Class 1 offence;</w:t>
      </w:r>
    </w:p>
    <w:p>
      <w:pPr>
        <w:pStyle w:val="Indenti"/>
        <w:rPr>
          <w:bCs/>
          <w:iCs/>
        </w:rPr>
      </w:pPr>
      <w:r>
        <w:tab/>
        <w:t>(ii)</w:t>
      </w:r>
      <w:r>
        <w:tab/>
        <w:t xml:space="preserve">a single Class 2 offence against </w:t>
      </w:r>
      <w:r>
        <w:rPr>
          <w:i/>
          <w:iCs/>
        </w:rPr>
        <w:t>The Criminal Code</w:t>
      </w:r>
      <w:r>
        <w:t xml:space="preserve"> section 204A, 204B(2), 204B(3), 217, 218, 219, 220, 320(6), 321(6) or 322(6);</w:t>
      </w:r>
      <w:r>
        <w:rPr>
          <w:bCs/>
          <w:iCs/>
        </w:rPr>
        <w:t xml:space="preserve"> </w:t>
      </w:r>
    </w:p>
    <w:p>
      <w:pPr>
        <w:pStyle w:val="Indenti"/>
      </w:pPr>
      <w:r>
        <w:tab/>
        <w:t>(iii)</w:t>
      </w:r>
      <w:r>
        <w:tab/>
        <w:t xml:space="preserve">a single offence under a law of a foreign jurisdiction, the elements of which, if they had occurred in Western Australia, would have constituted an offence of a kind referred to in subparagraph (ii); </w:t>
      </w:r>
    </w:p>
    <w:p>
      <w:pPr>
        <w:pStyle w:val="Indenti"/>
      </w:pPr>
      <w:r>
        <w:tab/>
        <w:t>(iv)</w:t>
      </w:r>
      <w:r>
        <w:tab/>
        <w:t>a single prescribed offence under a law of a foreign jurisdiction, the elements of which are similar to an offence of a kind referred to in subparagraph (ii);</w:t>
      </w:r>
    </w:p>
    <w:p>
      <w:pPr>
        <w:pStyle w:val="Indenti"/>
      </w:pPr>
      <w:r>
        <w:tab/>
        <w:t>(v)</w:t>
      </w:r>
      <w:r>
        <w:tab/>
        <w:t>2 or more reportable offences.</w:t>
      </w:r>
    </w:p>
    <w:p>
      <w:pPr>
        <w:pStyle w:val="Subsection"/>
      </w:pPr>
      <w:r>
        <w:tab/>
        <w:t>(2)</w:t>
      </w:r>
      <w:r>
        <w:tab/>
        <w:t>For the purposes of subsection (1)(c)(v), 2 or more offences arising from the same incident are to be treated as a single offence.</w:t>
      </w:r>
    </w:p>
    <w:p>
      <w:pPr>
        <w:pStyle w:val="Footnotesection"/>
      </w:pPr>
      <w:bookmarkStart w:id="407" w:name="_Toc180507027"/>
      <w:r>
        <w:tab/>
        <w:t>[Section 108A inserted: No. 35 of 2024 s. 50.]</w:t>
      </w:r>
    </w:p>
    <w:p>
      <w:pPr>
        <w:pStyle w:val="Heading5"/>
      </w:pPr>
      <w:bookmarkStart w:id="408" w:name="_Toc216773079"/>
      <w:bookmarkStart w:id="409" w:name="_Toc203745210"/>
      <w:r>
        <w:rPr>
          <w:rStyle w:val="CharSectno"/>
        </w:rPr>
        <w:t>108B</w:t>
      </w:r>
      <w:r>
        <w:t>.</w:t>
      </w:r>
      <w:r>
        <w:tab/>
        <w:t>Restriction on exercise of powers under Part</w:t>
      </w:r>
      <w:bookmarkEnd w:id="408"/>
      <w:bookmarkEnd w:id="407"/>
      <w:bookmarkEnd w:id="409"/>
    </w:p>
    <w:p>
      <w:pPr>
        <w:pStyle w:val="Subsection"/>
      </w:pPr>
      <w:r>
        <w:tab/>
      </w:r>
      <w:r>
        <w:tab/>
        <w:t xml:space="preserve">A power under this Part must not be exercised unless it is exercised — </w:t>
      </w:r>
    </w:p>
    <w:p>
      <w:pPr>
        <w:pStyle w:val="Indenta"/>
      </w:pPr>
      <w:r>
        <w:tab/>
        <w:t>(a)</w:t>
      </w:r>
      <w:r>
        <w:tab/>
        <w:t xml:space="preserve">for the purpose of monitoring a serious reportable offender’s compliance with this Act; and </w:t>
      </w:r>
    </w:p>
    <w:p>
      <w:pPr>
        <w:pStyle w:val="Indenta"/>
      </w:pPr>
      <w:r>
        <w:tab/>
        <w:t>(b)</w:t>
      </w:r>
      <w:r>
        <w:tab/>
        <w:t xml:space="preserve">with the written approval of a police officer of, or acting in, the rank of an inspector or a higher rank. </w:t>
      </w:r>
    </w:p>
    <w:p>
      <w:pPr>
        <w:pStyle w:val="Footnotesection"/>
      </w:pPr>
      <w:bookmarkStart w:id="410" w:name="_Toc180507028"/>
      <w:r>
        <w:tab/>
        <w:t>[Section 108B inserted: No. 35 of 2024 s. 50.]</w:t>
      </w:r>
    </w:p>
    <w:p>
      <w:pPr>
        <w:pStyle w:val="Heading5"/>
      </w:pPr>
      <w:bookmarkStart w:id="411" w:name="_Toc216773080"/>
      <w:bookmarkStart w:id="412" w:name="_Toc203745211"/>
      <w:r>
        <w:rPr>
          <w:rStyle w:val="CharSectno"/>
        </w:rPr>
        <w:t>108C</w:t>
      </w:r>
      <w:r>
        <w:t>.</w:t>
      </w:r>
      <w:r>
        <w:tab/>
        <w:t>Additional police powers in relation to serious reportable offenders may be exercised without warrant</w:t>
      </w:r>
      <w:bookmarkEnd w:id="411"/>
      <w:bookmarkEnd w:id="410"/>
      <w:bookmarkEnd w:id="412"/>
    </w:p>
    <w:p>
      <w:pPr>
        <w:pStyle w:val="Subsection"/>
      </w:pPr>
      <w:r>
        <w:tab/>
      </w:r>
      <w:r>
        <w:tab/>
        <w:t xml:space="preserve">The powers that a police officer may exercise under this Part — </w:t>
      </w:r>
    </w:p>
    <w:p>
      <w:pPr>
        <w:pStyle w:val="Indenta"/>
      </w:pPr>
      <w:r>
        <w:tab/>
        <w:t>(a)</w:t>
      </w:r>
      <w:r>
        <w:tab/>
        <w:t>are in addition to, and do not limit, the powers that a police officer has under this Act or any other law; and</w:t>
      </w:r>
    </w:p>
    <w:p>
      <w:pPr>
        <w:pStyle w:val="Indenta"/>
      </w:pPr>
      <w:r>
        <w:tab/>
        <w:t>(b)</w:t>
      </w:r>
      <w:r>
        <w:tab/>
        <w:t>may be exercised by a police officer without a warrant.</w:t>
      </w:r>
    </w:p>
    <w:p>
      <w:pPr>
        <w:pStyle w:val="Footnotesection"/>
      </w:pPr>
      <w:bookmarkStart w:id="413" w:name="_Toc180507029"/>
      <w:r>
        <w:tab/>
        <w:t>[Section 108C inserted: No. 35 of 2024 s. 50.]</w:t>
      </w:r>
    </w:p>
    <w:p>
      <w:pPr>
        <w:pStyle w:val="Heading5"/>
      </w:pPr>
      <w:bookmarkStart w:id="414" w:name="_Toc216773081"/>
      <w:bookmarkStart w:id="415" w:name="_Toc203745212"/>
      <w:r>
        <w:rPr>
          <w:rStyle w:val="CharSectno"/>
        </w:rPr>
        <w:t>108D</w:t>
      </w:r>
      <w:r>
        <w:t>.</w:t>
      </w:r>
      <w:r>
        <w:tab/>
        <w:t>Use of force when exercising powers under this Part</w:t>
      </w:r>
      <w:bookmarkEnd w:id="414"/>
      <w:bookmarkEnd w:id="413"/>
      <w:bookmarkEnd w:id="415"/>
    </w:p>
    <w:p>
      <w:pPr>
        <w:pStyle w:val="Subsection"/>
      </w:pPr>
      <w:r>
        <w:tab/>
        <w:t>(1)</w:t>
      </w:r>
      <w:r>
        <w:tab/>
        <w:t xml:space="preserve">When exercising a power under this Part, a police officer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police officer uses force, the force may be of a kind that causes damage to the property of another person.</w:t>
      </w:r>
    </w:p>
    <w:p>
      <w:pPr>
        <w:pStyle w:val="Subsection"/>
      </w:pPr>
      <w:r>
        <w:tab/>
        <w:t>(3)</w:t>
      </w:r>
      <w:r>
        <w:tab/>
        <w:t xml:space="preserve">Any use of force under subsection (1) against a person is subject to </w:t>
      </w:r>
      <w:r>
        <w:rPr>
          <w:i/>
          <w:iCs/>
        </w:rPr>
        <w:t xml:space="preserve">The Criminal Code </w:t>
      </w:r>
      <w:r>
        <w:t>Chapter XXVI.</w:t>
      </w:r>
    </w:p>
    <w:p>
      <w:pPr>
        <w:pStyle w:val="Footnotesection"/>
      </w:pPr>
      <w:bookmarkStart w:id="416" w:name="_Toc180507030"/>
      <w:r>
        <w:tab/>
        <w:t>[Section 108D inserted: No. 35 of 2024 s. 50.]</w:t>
      </w:r>
    </w:p>
    <w:p>
      <w:pPr>
        <w:pStyle w:val="Heading5"/>
      </w:pPr>
      <w:bookmarkStart w:id="417" w:name="_Toc216773082"/>
      <w:bookmarkStart w:id="418" w:name="_Toc203745213"/>
      <w:r>
        <w:rPr>
          <w:rStyle w:val="CharSectno"/>
        </w:rPr>
        <w:t>108E</w:t>
      </w:r>
      <w:r>
        <w:t>.</w:t>
      </w:r>
      <w:r>
        <w:tab/>
        <w:t>Entry to and search of premises and vehicles in relation to serious reportable offenders</w:t>
      </w:r>
      <w:bookmarkEnd w:id="417"/>
      <w:bookmarkEnd w:id="416"/>
      <w:bookmarkEnd w:id="418"/>
      <w:r>
        <w:t xml:space="preserve"> </w:t>
      </w:r>
    </w:p>
    <w:p>
      <w:pPr>
        <w:pStyle w:val="Subsection"/>
      </w:pPr>
      <w:r>
        <w:tab/>
        <w:t>(1)</w:t>
      </w:r>
      <w:r>
        <w:tab/>
        <w:t xml:space="preserve">A police officer may exercise 1 or more of the following powers if the officer reasonably suspects premises are occupied by, or under the management or control of, a serious reportable offender — </w:t>
      </w:r>
    </w:p>
    <w:p>
      <w:pPr>
        <w:pStyle w:val="Indenta"/>
      </w:pPr>
      <w:r>
        <w:tab/>
        <w:t>(a)</w:t>
      </w:r>
      <w:r>
        <w:tab/>
        <w:t>enter and search the premises, including entering and searching a vehicle at the premises;</w:t>
      </w:r>
    </w:p>
    <w:p>
      <w:pPr>
        <w:pStyle w:val="Indenta"/>
      </w:pPr>
      <w:r>
        <w:tab/>
        <w:t>(b)</w:t>
      </w:r>
      <w:r>
        <w:tab/>
        <w:t>enter and search a vehicle occupied by, or under the management or control of, a serious reportable offender if the vehicle is parked in the neighbourhood where the premises are located.</w:t>
      </w:r>
    </w:p>
    <w:p>
      <w:pPr>
        <w:pStyle w:val="Subsection"/>
      </w:pPr>
      <w:r>
        <w:tab/>
        <w:t>(2)</w:t>
      </w:r>
      <w:r>
        <w:tab/>
        <w:t xml:space="preserve">A police officer who enters or searches the premises or the vehicle may do 1 or more of the following — </w:t>
      </w:r>
    </w:p>
    <w:p>
      <w:pPr>
        <w:pStyle w:val="Indenta"/>
      </w:pPr>
      <w:r>
        <w:tab/>
        <w:t>(a)</w:t>
      </w:r>
      <w:r>
        <w:tab/>
        <w:t xml:space="preserve">inspect any electronic device that is at the premises or in the vehicle; </w:t>
      </w:r>
    </w:p>
    <w:p>
      <w:pPr>
        <w:pStyle w:val="Indenta"/>
      </w:pPr>
      <w:r>
        <w:tab/>
        <w:t>(b)</w:t>
      </w:r>
      <w:r>
        <w:tab/>
        <w:t>seize any electronic device at the premises or in the vehicle and remove it from the premises or vehicle for the purpose of inspecting it;</w:t>
      </w:r>
    </w:p>
    <w:p>
      <w:pPr>
        <w:pStyle w:val="Indenta"/>
      </w:pPr>
      <w:r>
        <w:tab/>
        <w:t>(c)</w:t>
      </w:r>
      <w:r>
        <w:tab/>
        <w:t>require that the serious reportable offender must remain at the premises or near the vehicle for the duration of the entry and search of the premises or vehicle.</w:t>
      </w:r>
    </w:p>
    <w:p>
      <w:pPr>
        <w:pStyle w:val="Subsection"/>
      </w:pPr>
      <w:r>
        <w:tab/>
        <w:t>(3)</w:t>
      </w:r>
      <w:r>
        <w:tab/>
        <w:t>If a requirement is made under subsection (2)(c) to a serious reportable offender, the offender must remain at the premises or near the vehicle for the duration of the entry and search of the premises or vehicle.</w:t>
      </w:r>
    </w:p>
    <w:p>
      <w:pPr>
        <w:pStyle w:val="Penstart"/>
      </w:pPr>
      <w:r>
        <w:tab/>
        <w:t>Penalty for this subsection: imprisonment for 2 years and a fine of $24 000.</w:t>
      </w:r>
    </w:p>
    <w:p>
      <w:pPr>
        <w:pStyle w:val="Subsection"/>
        <w:keepNext/>
      </w:pPr>
      <w:r>
        <w:tab/>
        <w:t>(4)</w:t>
      </w:r>
      <w:r>
        <w:tab/>
        <w:t xml:space="preserve">The power given to search premises or a vehicle includes the power to break open — </w:t>
      </w:r>
    </w:p>
    <w:p>
      <w:pPr>
        <w:pStyle w:val="Indenta"/>
      </w:pPr>
      <w:r>
        <w:tab/>
        <w:t>(a)</w:t>
      </w:r>
      <w:r>
        <w:tab/>
        <w:t xml:space="preserve">any part of the premises or vehicle; or </w:t>
      </w:r>
    </w:p>
    <w:p>
      <w:pPr>
        <w:pStyle w:val="Indenta"/>
      </w:pPr>
      <w:r>
        <w:tab/>
        <w:t>(b)</w:t>
      </w:r>
      <w:r>
        <w:tab/>
        <w:t>any thing at the premises or in the vehicle.</w:t>
      </w:r>
    </w:p>
    <w:p>
      <w:pPr>
        <w:pStyle w:val="Subsection"/>
      </w:pPr>
      <w:r>
        <w:tab/>
        <w:t>(5)</w:t>
      </w:r>
      <w:r>
        <w:tab/>
        <w:t xml:space="preserve">If required by a police officer inspecting or seizing an electronic device under subsection (2), a serious reportable offender must do 1 or more of the following as required by the police officer — </w:t>
      </w:r>
    </w:p>
    <w:p>
      <w:pPr>
        <w:pStyle w:val="Indenta"/>
      </w:pPr>
      <w:r>
        <w:tab/>
        <w:t>(a)</w:t>
      </w:r>
      <w:r>
        <w:tab/>
        <w:t xml:space="preserve">provide the officer with any user name, code, password or other information known to the offender that is needed to gain access to the electronic data — </w:t>
      </w:r>
    </w:p>
    <w:p>
      <w:pPr>
        <w:pStyle w:val="Indenti"/>
      </w:pPr>
      <w:r>
        <w:tab/>
        <w:t>(i)</w:t>
      </w:r>
      <w:r>
        <w:tab/>
        <w:t xml:space="preserve">that is stored in the electronic device; or </w:t>
      </w:r>
    </w:p>
    <w:p>
      <w:pPr>
        <w:pStyle w:val="Indenti"/>
      </w:pPr>
      <w:r>
        <w:tab/>
        <w:t>(ii)</w:t>
      </w:r>
      <w:r>
        <w:tab/>
        <w:t xml:space="preserve">that is accessed through the electronic device; </w:t>
      </w:r>
    </w:p>
    <w:p>
      <w:pPr>
        <w:pStyle w:val="Indenta"/>
      </w:pPr>
      <w:r>
        <w:tab/>
        <w:t>(b)</w:t>
      </w:r>
      <w:r>
        <w:tab/>
        <w:t>otherwise assist the officer to gain access to the electronic data referred to in paragraph (a).</w:t>
      </w:r>
    </w:p>
    <w:p>
      <w:pPr>
        <w:pStyle w:val="Penstart"/>
      </w:pPr>
      <w:r>
        <w:tab/>
        <w:t>Penalty for this subsection: imprisonment for 2 years and a fine of $24 000.</w:t>
      </w:r>
    </w:p>
    <w:p>
      <w:pPr>
        <w:pStyle w:val="PermNoteHeading"/>
      </w:pPr>
      <w:r>
        <w:tab/>
        <w:t>Example for this subsection:</w:t>
      </w:r>
    </w:p>
    <w:p>
      <w:pPr>
        <w:pStyle w:val="PermNoteText"/>
      </w:pPr>
      <w:r>
        <w:tab/>
      </w:r>
      <w:r>
        <w:tab/>
        <w:t>For the purposes of paragraph (a)(ii) — electronic data stored on cloud storage.</w:t>
      </w:r>
    </w:p>
    <w:p>
      <w:pPr>
        <w:pStyle w:val="Subsection"/>
      </w:pPr>
      <w:r>
        <w:tab/>
        <w:t>(6)</w:t>
      </w:r>
      <w:r>
        <w:tab/>
        <w:t>A police officer is authorised to use for the purposes of this Part any user name, code, password or other information provided under subsection (5) or reported under Part 3 by a serious reportable offender.</w:t>
      </w:r>
    </w:p>
    <w:p>
      <w:pPr>
        <w:pStyle w:val="Subsection"/>
      </w:pPr>
      <w:r>
        <w:tab/>
        <w:t>(7)</w:t>
      </w:r>
      <w:r>
        <w:tab/>
        <w:t>If a person is found guilty of an offence under subsection (5) in relation to an electronic device, the electronic device is forfeited to the State.</w:t>
      </w:r>
    </w:p>
    <w:p>
      <w:pPr>
        <w:pStyle w:val="Footnotesection"/>
      </w:pPr>
      <w:bookmarkStart w:id="419" w:name="_Toc180507031"/>
      <w:r>
        <w:tab/>
        <w:t>[Section 108E inserted: No. 35 of 2024 s. 50.]</w:t>
      </w:r>
    </w:p>
    <w:p>
      <w:pPr>
        <w:pStyle w:val="Heading5"/>
      </w:pPr>
      <w:bookmarkStart w:id="420" w:name="_Toc216773083"/>
      <w:bookmarkStart w:id="421" w:name="_Toc203745214"/>
      <w:r>
        <w:rPr>
          <w:rStyle w:val="CharSectno"/>
        </w:rPr>
        <w:t>108F</w:t>
      </w:r>
      <w:r>
        <w:t>.</w:t>
      </w:r>
      <w:r>
        <w:tab/>
        <w:t>Power to seize things relevant to offences</w:t>
      </w:r>
      <w:bookmarkEnd w:id="420"/>
      <w:bookmarkEnd w:id="419"/>
      <w:bookmarkEnd w:id="421"/>
    </w:p>
    <w:p>
      <w:pPr>
        <w:pStyle w:val="Subsection"/>
        <w:keepNext/>
      </w:pPr>
      <w:r>
        <w:tab/>
        <w:t>(1)</w:t>
      </w:r>
      <w:r>
        <w:tab/>
        <w:t xml:space="preserve">In this section — </w:t>
      </w:r>
    </w:p>
    <w:p>
      <w:pPr>
        <w:pStyle w:val="Defstart"/>
      </w:pPr>
      <w:r>
        <w:tab/>
      </w:r>
      <w:r>
        <w:rPr>
          <w:rStyle w:val="CharDefText"/>
        </w:rPr>
        <w:t>thing relevant to an offence</w:t>
      </w:r>
      <w:r>
        <w:t xml:space="preserve"> has the meaning given in the </w:t>
      </w:r>
      <w:r>
        <w:rPr>
          <w:i/>
          <w:iCs/>
        </w:rPr>
        <w:t>Criminal Investigation Act 2006</w:t>
      </w:r>
      <w:r>
        <w:t> section 5.</w:t>
      </w:r>
    </w:p>
    <w:p>
      <w:pPr>
        <w:pStyle w:val="Subsection"/>
      </w:pPr>
      <w:r>
        <w:tab/>
        <w:t>(2)</w:t>
      </w:r>
      <w:r>
        <w:tab/>
        <w:t xml:space="preserve">If a police officer doing a search under this Part finds a thing relevant to an offence, the police officer may seize it if the police officer has 1 or more of the reasonable suspicions set out in the </w:t>
      </w:r>
      <w:r>
        <w:rPr>
          <w:i/>
          <w:iCs/>
        </w:rPr>
        <w:t>Criminal Investigation Act 2006</w:t>
      </w:r>
      <w:r>
        <w:t xml:space="preserve"> section 146. </w:t>
      </w:r>
    </w:p>
    <w:p>
      <w:pPr>
        <w:pStyle w:val="Subsection"/>
      </w:pPr>
      <w:r>
        <w:tab/>
        <w:t>(3)</w:t>
      </w:r>
      <w:r>
        <w:tab/>
        <w:t>The </w:t>
      </w:r>
      <w:r>
        <w:rPr>
          <w:i/>
          <w:iCs/>
        </w:rPr>
        <w:t>Criminal Investigation Act 2006</w:t>
      </w:r>
      <w:r>
        <w:t> sections 147 to 152 apply to and in respect of the seizing of a thing under this Part as if it were the seizing under that Act of a thing relevant to an offence.</w:t>
      </w:r>
    </w:p>
    <w:p>
      <w:pPr>
        <w:pStyle w:val="Footnotesection"/>
      </w:pPr>
      <w:r>
        <w:tab/>
        <w:t>[Section 108F inserted: No. 35 of 2024 s. 50.]</w:t>
      </w:r>
    </w:p>
    <w:p>
      <w:pPr>
        <w:pStyle w:val="Heading2"/>
      </w:pPr>
      <w:bookmarkStart w:id="422" w:name="_Toc216773084"/>
      <w:bookmarkStart w:id="423" w:name="_Toc203745215"/>
      <w:r>
        <w:rPr>
          <w:rStyle w:val="CharPartNo"/>
        </w:rPr>
        <w:t>Part 6</w:t>
      </w:r>
      <w:r>
        <w:rPr>
          <w:rStyle w:val="CharDivNo"/>
        </w:rPr>
        <w:t> </w:t>
      </w:r>
      <w:r>
        <w:t>—</w:t>
      </w:r>
      <w:r>
        <w:rPr>
          <w:rStyle w:val="CharDivText"/>
        </w:rPr>
        <w:t> </w:t>
      </w:r>
      <w:r>
        <w:rPr>
          <w:rStyle w:val="CharPartText"/>
        </w:rPr>
        <w:t>Other matters</w:t>
      </w:r>
      <w:bookmarkEnd w:id="422"/>
      <w:bookmarkEnd w:id="403"/>
      <w:bookmarkEnd w:id="423"/>
    </w:p>
    <w:p>
      <w:pPr>
        <w:pStyle w:val="Heading5"/>
        <w:spacing w:before="260"/>
      </w:pPr>
      <w:bookmarkStart w:id="424" w:name="_Toc216773085"/>
      <w:bookmarkStart w:id="425" w:name="_Toc203745216"/>
      <w:r>
        <w:rPr>
          <w:rStyle w:val="CharSectno"/>
        </w:rPr>
        <w:t>109</w:t>
      </w:r>
      <w:r>
        <w:t>.</w:t>
      </w:r>
      <w:r>
        <w:tab/>
        <w:t>Protection from liability</w:t>
      </w:r>
      <w:bookmarkEnd w:id="424"/>
      <w:bookmarkEnd w:id="42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426" w:name="_Toc216773086"/>
      <w:bookmarkStart w:id="427" w:name="_Toc180507033"/>
      <w:bookmarkStart w:id="428" w:name="_Toc203745217"/>
      <w:r>
        <w:rPr>
          <w:rStyle w:val="CharSectno"/>
        </w:rPr>
        <w:t>109A</w:t>
      </w:r>
      <w:r>
        <w:t>.</w:t>
      </w:r>
      <w:r>
        <w:tab/>
        <w:t>Assistance when exercising powers</w:t>
      </w:r>
      <w:bookmarkEnd w:id="426"/>
      <w:bookmarkEnd w:id="427"/>
      <w:bookmarkEnd w:id="428"/>
    </w:p>
    <w:p>
      <w:pPr>
        <w:pStyle w:val="Subsection"/>
      </w:pPr>
      <w:r>
        <w:tab/>
        <w:t>(1)</w:t>
      </w:r>
      <w:r>
        <w:tab/>
        <w:t>A police officer or authorised person may authorise as many other persons to assist in the exercise of their powers under this Act as are reasonably necessary in the circumstances.</w:t>
      </w:r>
    </w:p>
    <w:p>
      <w:pPr>
        <w:pStyle w:val="Subsection"/>
      </w:pPr>
      <w:r>
        <w:tab/>
        <w:t>(2)</w:t>
      </w:r>
      <w:r>
        <w:tab/>
        <w:t>A person authorised under subsection (1) may assist the police officer or the authorised person, as the case requires, to exercise the powers.</w:t>
      </w:r>
    </w:p>
    <w:p>
      <w:pPr>
        <w:pStyle w:val="Footnotesection"/>
      </w:pPr>
      <w:r>
        <w:tab/>
        <w:t>[Section 109A inserted: No. 35 of 2024 s. 51.]</w:t>
      </w:r>
    </w:p>
    <w:p>
      <w:pPr>
        <w:pStyle w:val="Heading5"/>
        <w:spacing w:before="260"/>
      </w:pPr>
      <w:bookmarkStart w:id="429" w:name="_Toc216773087"/>
      <w:bookmarkStart w:id="430" w:name="_Toc203745218"/>
      <w:r>
        <w:rPr>
          <w:rStyle w:val="CharSectno"/>
        </w:rPr>
        <w:t>110A</w:t>
      </w:r>
      <w:r>
        <w:t>.</w:t>
      </w:r>
      <w:r>
        <w:tab/>
        <w:t>Public authorities to provide Commissioner with certain information</w:t>
      </w:r>
      <w:bookmarkEnd w:id="429"/>
      <w:bookmarkEnd w:id="430"/>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431" w:name="_Toc216773088"/>
      <w:bookmarkStart w:id="432" w:name="_Toc203745219"/>
      <w:r>
        <w:rPr>
          <w:rStyle w:val="CharSectno"/>
        </w:rPr>
        <w:t>110</w:t>
      </w:r>
      <w:r>
        <w:t>.</w:t>
      </w:r>
      <w:r>
        <w:tab/>
        <w:t>Delegation by Commissioner</w:t>
      </w:r>
      <w:bookmarkEnd w:id="431"/>
      <w:bookmarkEnd w:id="432"/>
    </w:p>
    <w:p>
      <w:pPr>
        <w:pStyle w:val="Subsection"/>
      </w:pPr>
      <w:r>
        <w:tab/>
        <w:t>(1)</w:t>
      </w:r>
      <w:r>
        <w:tab/>
        <w:t xml:space="preserve">The Commissioner may delegate any power or duty of the Commissioner under another provision of this Act to — </w:t>
      </w:r>
    </w:p>
    <w:p>
      <w:pPr>
        <w:pStyle w:val="Indenta"/>
      </w:pPr>
      <w:r>
        <w:tab/>
        <w:t>(a)</w:t>
      </w:r>
      <w:r>
        <w:tab/>
        <w:t>in relation to a power or duty under section 82(1)(cd) — a person as set out in section 82A; or</w:t>
      </w:r>
    </w:p>
    <w:p>
      <w:pPr>
        <w:pStyle w:val="Indenta"/>
      </w:pPr>
      <w:r>
        <w:tab/>
        <w:t>(b)</w:t>
      </w:r>
      <w:r>
        <w:tab/>
        <w:t>in relation to a power or duty under Part 5A Division 2 — a person as set out in section 85B; or</w:t>
      </w:r>
    </w:p>
    <w:p>
      <w:pPr>
        <w:pStyle w:val="Indenta"/>
        <w:keepNext/>
      </w:pPr>
      <w:r>
        <w:tab/>
        <w:t>(c)</w:t>
      </w:r>
      <w:r>
        <w:tab/>
        <w:t xml:space="preserve">in any other case — </w:t>
      </w:r>
    </w:p>
    <w:p>
      <w:pPr>
        <w:pStyle w:val="Indenti"/>
      </w:pPr>
      <w:r>
        <w:tab/>
        <w:t>(i)</w:t>
      </w:r>
      <w:r>
        <w:tab/>
        <w:t>a police officer who is specified, or of a class specified, in the delegation; or</w:t>
      </w:r>
    </w:p>
    <w:p>
      <w:pPr>
        <w:pStyle w:val="Indenti"/>
      </w:pPr>
      <w:r>
        <w:tab/>
        <w:t>(ii)</w:t>
      </w:r>
      <w:r>
        <w:tab/>
        <w:t xml:space="preserve">a person employed under the </w:t>
      </w:r>
      <w:r>
        <w:rPr>
          <w:i/>
          <w:iCs/>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Footnotesection"/>
      </w:pPr>
      <w:r>
        <w:tab/>
        <w:t>[Section 110 inserted: No. 35 of 2024 s. 52.]</w:t>
      </w:r>
    </w:p>
    <w:p>
      <w:pPr>
        <w:pStyle w:val="Heading5"/>
      </w:pPr>
      <w:bookmarkStart w:id="433" w:name="_Toc216773089"/>
      <w:bookmarkStart w:id="434" w:name="_Toc203745220"/>
      <w:r>
        <w:rPr>
          <w:rStyle w:val="CharSectno"/>
        </w:rPr>
        <w:t>111</w:t>
      </w:r>
      <w:r>
        <w:t>.</w:t>
      </w:r>
      <w:r>
        <w:tab/>
        <w:t>Effect of spent convictions</w:t>
      </w:r>
      <w:bookmarkEnd w:id="433"/>
      <w:bookmarkEnd w:id="434"/>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the offender was convicted or found guilty of the offence.</w:t>
      </w:r>
    </w:p>
    <w:p>
      <w:pPr>
        <w:pStyle w:val="Footnotesection"/>
      </w:pPr>
      <w:r>
        <w:tab/>
        <w:t>[Section 111 amended: No. 54 of 2012 s. 42(2); No. 31 of 2024 s. 28.]</w:t>
      </w:r>
    </w:p>
    <w:p>
      <w:pPr>
        <w:pStyle w:val="Heading5"/>
      </w:pPr>
      <w:bookmarkStart w:id="435" w:name="_Toc216773090"/>
      <w:bookmarkStart w:id="436" w:name="_Toc203745221"/>
      <w:r>
        <w:rPr>
          <w:rStyle w:val="CharSectno"/>
        </w:rPr>
        <w:t>112</w:t>
      </w:r>
      <w:r>
        <w:t>.</w:t>
      </w:r>
      <w:r>
        <w:tab/>
        <w:t>Civil standard of proof</w:t>
      </w:r>
      <w:bookmarkEnd w:id="435"/>
      <w:bookmarkEnd w:id="43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37" w:name="_Toc216773091"/>
      <w:bookmarkStart w:id="438" w:name="_Toc203745222"/>
      <w:r>
        <w:rPr>
          <w:rStyle w:val="CharSectno"/>
        </w:rPr>
        <w:t>113</w:t>
      </w:r>
      <w:r>
        <w:t>.</w:t>
      </w:r>
      <w:r>
        <w:tab/>
        <w:t>Certificate concerning evidence</w:t>
      </w:r>
      <w:bookmarkEnd w:id="437"/>
      <w:bookmarkEnd w:id="43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or another written law,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Footnotesection"/>
      </w:pPr>
      <w:r>
        <w:tab/>
        <w:t>[Section 113 amended: No. 35 of 2024 s. 53.]</w:t>
      </w:r>
    </w:p>
    <w:p>
      <w:pPr>
        <w:pStyle w:val="Heading5"/>
      </w:pPr>
      <w:bookmarkStart w:id="439" w:name="_Toc216773092"/>
      <w:bookmarkStart w:id="440" w:name="_Toc203745223"/>
      <w:r>
        <w:rPr>
          <w:rStyle w:val="CharSectno"/>
        </w:rPr>
        <w:t>114</w:t>
      </w:r>
      <w:r>
        <w:t>.</w:t>
      </w:r>
      <w:r>
        <w:tab/>
        <w:t>Regulations</w:t>
      </w:r>
      <w:bookmarkEnd w:id="439"/>
      <w:bookmarkEnd w:id="44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the offender’s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Footnotesection"/>
      </w:pPr>
      <w:r>
        <w:tab/>
        <w:t>[Section 114 amended: No. 31 of 2024 s. 28.]</w:t>
      </w:r>
    </w:p>
    <w:p>
      <w:pPr>
        <w:pStyle w:val="Heading5"/>
      </w:pPr>
      <w:bookmarkStart w:id="441" w:name="_Toc216773093"/>
      <w:bookmarkStart w:id="442" w:name="_Toc203745224"/>
      <w:r>
        <w:rPr>
          <w:rStyle w:val="CharSectno"/>
        </w:rPr>
        <w:t>115</w:t>
      </w:r>
      <w:r>
        <w:t>.</w:t>
      </w:r>
      <w:r>
        <w:tab/>
        <w:t>Minister to review and report on Act</w:t>
      </w:r>
      <w:bookmarkEnd w:id="441"/>
      <w:bookmarkEnd w:id="44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2"/>
      </w:pPr>
      <w:bookmarkStart w:id="443" w:name="_Toc216773094"/>
      <w:bookmarkStart w:id="444" w:name="_Toc180506653"/>
      <w:bookmarkStart w:id="445" w:name="_Toc180506845"/>
      <w:bookmarkStart w:id="446" w:name="_Toc180507037"/>
      <w:bookmarkStart w:id="447" w:name="_Toc203745225"/>
      <w:r>
        <w:rPr>
          <w:rStyle w:val="CharPartNo"/>
        </w:rPr>
        <w:t>Part 7</w:t>
      </w:r>
      <w:r>
        <w:t> —</w:t>
      </w:r>
      <w:r>
        <w:rPr>
          <w:rStyle w:val="CharPartText"/>
        </w:rPr>
        <w:t> Transitional matters and consequential amendment</w:t>
      </w:r>
      <w:bookmarkEnd w:id="443"/>
      <w:bookmarkEnd w:id="444"/>
      <w:bookmarkEnd w:id="445"/>
      <w:bookmarkEnd w:id="446"/>
      <w:bookmarkEnd w:id="447"/>
    </w:p>
    <w:p>
      <w:pPr>
        <w:pStyle w:val="Footnoteheading"/>
      </w:pPr>
      <w:bookmarkStart w:id="448" w:name="_Toc180506654"/>
      <w:bookmarkStart w:id="449" w:name="_Toc180506846"/>
      <w:bookmarkStart w:id="450" w:name="_Toc180507038"/>
      <w:r>
        <w:tab/>
        <w:t>[Heading inserted: No. 35 of 2024 s. 54.]</w:t>
      </w:r>
    </w:p>
    <w:p>
      <w:pPr>
        <w:pStyle w:val="Heading3"/>
      </w:pPr>
      <w:bookmarkStart w:id="451" w:name="_Toc216773095"/>
      <w:bookmarkStart w:id="452" w:name="_Toc203745226"/>
      <w:r>
        <w:rPr>
          <w:rStyle w:val="CharDivNo"/>
        </w:rPr>
        <w:t>Division 1</w:t>
      </w:r>
      <w:r>
        <w:t> —</w:t>
      </w:r>
      <w:r>
        <w:rPr>
          <w:rStyle w:val="CharDivText"/>
        </w:rPr>
        <w:t xml:space="preserve"> Transitional matters relating to </w:t>
      </w:r>
      <w:r>
        <w:rPr>
          <w:rStyle w:val="CharDivText"/>
          <w:i/>
          <w:iCs/>
        </w:rPr>
        <w:t>Community Protection (Offender Reporting) Amendment Act 2008</w:t>
      </w:r>
      <w:bookmarkEnd w:id="451"/>
      <w:bookmarkEnd w:id="448"/>
      <w:bookmarkEnd w:id="449"/>
      <w:bookmarkEnd w:id="450"/>
      <w:bookmarkEnd w:id="452"/>
    </w:p>
    <w:p>
      <w:pPr>
        <w:pStyle w:val="Footnoteheading"/>
      </w:pPr>
      <w:r>
        <w:tab/>
        <w:t>[Heading inserted: No. 35 of 2024 s. 54.]</w:t>
      </w:r>
    </w:p>
    <w:p>
      <w:pPr>
        <w:pStyle w:val="Heading5"/>
      </w:pPr>
      <w:bookmarkStart w:id="453" w:name="_Toc216773096"/>
      <w:bookmarkStart w:id="454" w:name="_Toc203745227"/>
      <w:r>
        <w:rPr>
          <w:rStyle w:val="CharSectno"/>
        </w:rPr>
        <w:t>115A</w:t>
      </w:r>
      <w:r>
        <w:t>.</w:t>
      </w:r>
      <w:r>
        <w:tab/>
        <w:t>Transitional arrangements for certain offenders</w:t>
      </w:r>
      <w:bookmarkEnd w:id="453"/>
      <w:bookmarkEnd w:id="454"/>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3"/>
      </w:pPr>
      <w:bookmarkStart w:id="455" w:name="_Toc216773097"/>
      <w:bookmarkStart w:id="456" w:name="_Toc180506656"/>
      <w:bookmarkStart w:id="457" w:name="_Toc180506848"/>
      <w:bookmarkStart w:id="458" w:name="_Toc180507040"/>
      <w:bookmarkStart w:id="459" w:name="_Toc203745228"/>
      <w:r>
        <w:rPr>
          <w:rStyle w:val="CharDivNo"/>
        </w:rPr>
        <w:t>Division 2</w:t>
      </w:r>
      <w:r>
        <w:t> —</w:t>
      </w:r>
      <w:r>
        <w:rPr>
          <w:rStyle w:val="CharDivText"/>
        </w:rPr>
        <w:t xml:space="preserve"> Transitional matters relating to </w:t>
      </w:r>
      <w:r>
        <w:rPr>
          <w:rStyle w:val="CharDivText"/>
          <w:i/>
          <w:iCs/>
        </w:rPr>
        <w:t>Community Protection (Offender Reporting) Amendment Act (No. 2) 2012</w:t>
      </w:r>
      <w:r>
        <w:rPr>
          <w:rStyle w:val="CharDivText"/>
        </w:rPr>
        <w:t xml:space="preserve"> and consequential amendment</w:t>
      </w:r>
      <w:bookmarkEnd w:id="455"/>
      <w:bookmarkEnd w:id="456"/>
      <w:bookmarkEnd w:id="457"/>
      <w:bookmarkEnd w:id="458"/>
      <w:bookmarkEnd w:id="459"/>
    </w:p>
    <w:p>
      <w:pPr>
        <w:pStyle w:val="Footnoteheading"/>
        <w:keepNext/>
      </w:pPr>
      <w:r>
        <w:tab/>
        <w:t>[Heading inserted: No. 35 of 2024 s. 55.]</w:t>
      </w:r>
    </w:p>
    <w:p>
      <w:pPr>
        <w:pStyle w:val="Heading5"/>
      </w:pPr>
      <w:bookmarkStart w:id="460" w:name="_Toc216773098"/>
      <w:bookmarkStart w:id="461" w:name="_Toc203745229"/>
      <w:r>
        <w:rPr>
          <w:rStyle w:val="CharSectno"/>
        </w:rPr>
        <w:t>115B</w:t>
      </w:r>
      <w:r>
        <w:t>.</w:t>
      </w:r>
      <w:r>
        <w:tab/>
        <w:t>Further transitional arrangements for certain offenders sentenced for Class 2 offences</w:t>
      </w:r>
      <w:bookmarkEnd w:id="460"/>
      <w:bookmarkEnd w:id="461"/>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Heading3"/>
      </w:pPr>
      <w:bookmarkStart w:id="462" w:name="_Toc216773099"/>
      <w:bookmarkStart w:id="463" w:name="_Toc180506658"/>
      <w:bookmarkStart w:id="464" w:name="_Toc180506850"/>
      <w:bookmarkStart w:id="465" w:name="_Toc180507042"/>
      <w:bookmarkStart w:id="466" w:name="_Toc203745230"/>
      <w:r>
        <w:rPr>
          <w:rStyle w:val="CharDivNo"/>
        </w:rPr>
        <w:t>Division 3</w:t>
      </w:r>
      <w:r>
        <w:t> —</w:t>
      </w:r>
      <w:r>
        <w:rPr>
          <w:rStyle w:val="CharDivText"/>
        </w:rPr>
        <w:t xml:space="preserve"> Transitional matters relating to </w:t>
      </w:r>
      <w:r>
        <w:rPr>
          <w:rStyle w:val="CharDivText"/>
          <w:i/>
          <w:iCs/>
        </w:rPr>
        <w:t>Community Protection (Offender Reporting) Amendment Act 2024</w:t>
      </w:r>
      <w:bookmarkEnd w:id="462"/>
      <w:bookmarkEnd w:id="463"/>
      <w:bookmarkEnd w:id="464"/>
      <w:bookmarkEnd w:id="465"/>
      <w:bookmarkEnd w:id="466"/>
    </w:p>
    <w:p>
      <w:pPr>
        <w:pStyle w:val="Footnoteheading"/>
      </w:pPr>
      <w:bookmarkStart w:id="467" w:name="_Toc180506659"/>
      <w:bookmarkStart w:id="468" w:name="_Toc180506851"/>
      <w:bookmarkStart w:id="469" w:name="_Toc180507043"/>
      <w:r>
        <w:tab/>
        <w:t>[Heading inserted: No. 35 of 2024 s. 56.]</w:t>
      </w:r>
    </w:p>
    <w:p>
      <w:pPr>
        <w:pStyle w:val="Heading4"/>
      </w:pPr>
      <w:bookmarkStart w:id="470" w:name="_Toc216773100"/>
      <w:bookmarkStart w:id="471" w:name="_Toc203745231"/>
      <w:r>
        <w:rPr>
          <w:rStyle w:val="CharSDivNo"/>
        </w:rPr>
        <w:t>Subdivision 1</w:t>
      </w:r>
      <w:r>
        <w:t> —</w:t>
      </w:r>
      <w:r>
        <w:rPr>
          <w:rStyle w:val="CharSDivText"/>
        </w:rPr>
        <w:t> General</w:t>
      </w:r>
      <w:bookmarkEnd w:id="470"/>
      <w:bookmarkEnd w:id="467"/>
      <w:bookmarkEnd w:id="468"/>
      <w:bookmarkEnd w:id="469"/>
      <w:bookmarkEnd w:id="471"/>
    </w:p>
    <w:p>
      <w:pPr>
        <w:pStyle w:val="Footnoteheading"/>
      </w:pPr>
      <w:bookmarkStart w:id="472" w:name="_Toc180507044"/>
      <w:r>
        <w:tab/>
        <w:t>[Heading inserted: No. 35 of 2024 s. 56.]</w:t>
      </w:r>
    </w:p>
    <w:p>
      <w:pPr>
        <w:pStyle w:val="Heading5"/>
      </w:pPr>
      <w:bookmarkStart w:id="473" w:name="_Toc216773101"/>
      <w:bookmarkStart w:id="474" w:name="_Toc203745232"/>
      <w:r>
        <w:rPr>
          <w:rStyle w:val="CharSectno"/>
        </w:rPr>
        <w:t>117</w:t>
      </w:r>
      <w:r>
        <w:t>.</w:t>
      </w:r>
      <w:r>
        <w:tab/>
      </w:r>
      <w:r>
        <w:rPr>
          <w:i/>
        </w:rPr>
        <w:t>Interpretation Act 1984</w:t>
      </w:r>
      <w:r>
        <w:t xml:space="preserve"> not affected</w:t>
      </w:r>
      <w:bookmarkEnd w:id="473"/>
      <w:bookmarkEnd w:id="472"/>
      <w:bookmarkEnd w:id="474"/>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Footnoteheading"/>
      </w:pPr>
      <w:bookmarkStart w:id="475" w:name="_Toc180507045"/>
      <w:r>
        <w:tab/>
        <w:t>[Section 117 inserted: No. 35 of 2024 s. 56.]</w:t>
      </w:r>
    </w:p>
    <w:p>
      <w:pPr>
        <w:pStyle w:val="Heading5"/>
      </w:pPr>
      <w:bookmarkStart w:id="476" w:name="_Toc216773102"/>
      <w:bookmarkStart w:id="477" w:name="_Toc203745233"/>
      <w:r>
        <w:rPr>
          <w:rStyle w:val="CharSectno"/>
        </w:rPr>
        <w:t>118</w:t>
      </w:r>
      <w:r>
        <w:t>.</w:t>
      </w:r>
      <w:r>
        <w:tab/>
        <w:t>Transitional regulations</w:t>
      </w:r>
      <w:bookmarkEnd w:id="476"/>
      <w:bookmarkEnd w:id="475"/>
      <w:bookmarkEnd w:id="477"/>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required because of the enactment of the </w:t>
      </w:r>
      <w:r>
        <w:rPr>
          <w:i/>
        </w:rPr>
        <w:t>Community Protection (Offender Reporting) Amendment Act 2024</w:t>
      </w:r>
      <w:r>
        <w:t>; and</w:t>
      </w:r>
    </w:p>
    <w:p>
      <w:pPr>
        <w:pStyle w:val="Defpara"/>
      </w:pPr>
      <w:r>
        <w:tab/>
        <w:t>(b)</w:t>
      </w:r>
      <w:r>
        <w:tab/>
        <w:t>includes a saving or application matter.</w:t>
      </w:r>
    </w:p>
    <w:p>
      <w:pPr>
        <w:pStyle w:val="Subsection"/>
      </w:pPr>
      <w:r>
        <w:tab/>
        <w:t>(2)</w:t>
      </w:r>
      <w:r>
        <w:tab/>
        <w:t>If there is no sufficient provision in this Division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the </w:t>
      </w:r>
      <w:r>
        <w:rPr>
          <w:i/>
        </w:rPr>
        <w:t>Community Protection (Offender Reporting) Amendment Act 2024 </w:t>
      </w:r>
      <w:r>
        <w:t>—</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 xml:space="preserve">If regulations made under subsection (2) provide that a specified state of affairs is taken to have existed, or not to have existed, on and after a day that is earlier than publication day for those regulations but not earlier than the day on which the relevant provision of </w:t>
      </w:r>
      <w:r>
        <w:rPr>
          <w:i/>
        </w:rPr>
        <w:t xml:space="preserve">Community Protection (Offender Reporting) Amendment Act 2024 </w:t>
      </w:r>
      <w:r>
        <w:t>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Footnoteheading"/>
      </w:pPr>
      <w:bookmarkStart w:id="478" w:name="_Toc180506662"/>
      <w:bookmarkStart w:id="479" w:name="_Toc180506854"/>
      <w:bookmarkStart w:id="480" w:name="_Toc180507046"/>
      <w:r>
        <w:tab/>
        <w:t>[Section 118 inserted: No. 35 of 2024 s. 56.]</w:t>
      </w:r>
    </w:p>
    <w:p>
      <w:pPr>
        <w:pStyle w:val="Heading4"/>
      </w:pPr>
      <w:bookmarkStart w:id="481" w:name="_Toc216773103"/>
      <w:bookmarkStart w:id="482" w:name="_Toc203745234"/>
      <w:r>
        <w:rPr>
          <w:rStyle w:val="CharSDivNo"/>
        </w:rPr>
        <w:t>Subdivision 2 </w:t>
      </w:r>
      <w:r>
        <w:t>—</w:t>
      </w:r>
      <w:r>
        <w:rPr>
          <w:rStyle w:val="CharSDivText"/>
        </w:rPr>
        <w:t> Stage 1 transitional provisions</w:t>
      </w:r>
      <w:bookmarkEnd w:id="481"/>
      <w:bookmarkEnd w:id="478"/>
      <w:bookmarkEnd w:id="479"/>
      <w:bookmarkEnd w:id="480"/>
      <w:bookmarkEnd w:id="482"/>
    </w:p>
    <w:p>
      <w:pPr>
        <w:pStyle w:val="Footnoteheading"/>
      </w:pPr>
      <w:bookmarkStart w:id="483" w:name="_Toc180507047"/>
      <w:r>
        <w:tab/>
        <w:t>[Heading inserted: No. 35 of 2024 s. 56.]</w:t>
      </w:r>
    </w:p>
    <w:p>
      <w:pPr>
        <w:pStyle w:val="Heading5"/>
      </w:pPr>
      <w:bookmarkStart w:id="484" w:name="_Toc216773104"/>
      <w:bookmarkStart w:id="485" w:name="_Toc203745235"/>
      <w:r>
        <w:rPr>
          <w:rStyle w:val="CharSectno"/>
        </w:rPr>
        <w:t>119</w:t>
      </w:r>
      <w:r>
        <w:t>.</w:t>
      </w:r>
      <w:r>
        <w:tab/>
        <w:t>Term used: commencement day</w:t>
      </w:r>
      <w:bookmarkEnd w:id="484"/>
      <w:bookmarkEnd w:id="483"/>
      <w:bookmarkEnd w:id="485"/>
    </w:p>
    <w:p>
      <w:pPr>
        <w:pStyle w:val="Subsection"/>
      </w:pPr>
      <w:r>
        <w:tab/>
      </w:r>
      <w:r>
        <w:tab/>
        <w:t xml:space="preserve">In this Subdivision — </w:t>
      </w:r>
    </w:p>
    <w:p>
      <w:pPr>
        <w:pStyle w:val="Defstart"/>
      </w:pPr>
      <w:r>
        <w:tab/>
      </w:r>
      <w:r>
        <w:rPr>
          <w:rStyle w:val="CharDefText"/>
        </w:rPr>
        <w:t>commencement day</w:t>
      </w:r>
      <w:r>
        <w:t xml:space="preserve"> means the day on which the </w:t>
      </w:r>
      <w:r>
        <w:rPr>
          <w:i/>
        </w:rPr>
        <w:t xml:space="preserve">Community Protection (Offender Reporting) Amendment Act 2024 </w:t>
      </w:r>
      <w:r>
        <w:rPr>
          <w:iCs/>
        </w:rPr>
        <w:t>section 3 comes into operation.</w:t>
      </w:r>
    </w:p>
    <w:p>
      <w:pPr>
        <w:pStyle w:val="Footnoteheading"/>
      </w:pPr>
      <w:bookmarkStart w:id="486" w:name="_Toc180507048"/>
      <w:r>
        <w:tab/>
        <w:t>[Section 119 inserted: No. 35 of 2024 s. 56.]</w:t>
      </w:r>
    </w:p>
    <w:p>
      <w:pPr>
        <w:pStyle w:val="Heading5"/>
      </w:pPr>
      <w:bookmarkStart w:id="487" w:name="_Toc216773105"/>
      <w:bookmarkStart w:id="488" w:name="_Toc203745236"/>
      <w:r>
        <w:rPr>
          <w:rStyle w:val="CharSectno"/>
        </w:rPr>
        <w:t>120</w:t>
      </w:r>
      <w:r>
        <w:t>.</w:t>
      </w:r>
      <w:r>
        <w:tab/>
        <w:t>Notifying reporting obligations and reporting periods before commencement day</w:t>
      </w:r>
      <w:bookmarkEnd w:id="487"/>
      <w:bookmarkEnd w:id="486"/>
      <w:bookmarkEnd w:id="488"/>
      <w:r>
        <w:t xml:space="preserve"> </w:t>
      </w:r>
    </w:p>
    <w:p>
      <w:pPr>
        <w:pStyle w:val="Subsection"/>
      </w:pPr>
      <w:r>
        <w:tab/>
        <w:t>(1)</w:t>
      </w:r>
      <w:r>
        <w:tab/>
        <w:t xml:space="preserve">Section 67 does not apply in relation to a reportable offender if the Commissioner gives the offender written notice of the following before commencement day — </w:t>
      </w:r>
    </w:p>
    <w:p>
      <w:pPr>
        <w:pStyle w:val="Indenta"/>
      </w:pPr>
      <w:r>
        <w:tab/>
        <w:t>(a)</w:t>
      </w:r>
      <w:r>
        <w:tab/>
        <w:t>the reporting obligations the offender will have under this Act as in force on commencement day; and</w:t>
      </w:r>
    </w:p>
    <w:p>
      <w:pPr>
        <w:pStyle w:val="Indenta"/>
      </w:pPr>
      <w:r>
        <w:tab/>
        <w:t>(b)</w:t>
      </w:r>
      <w:r>
        <w:tab/>
        <w:t>the reporting period the offender will have under this Act as in force on commencement day; and</w:t>
      </w:r>
    </w:p>
    <w:p>
      <w:pPr>
        <w:pStyle w:val="Indenta"/>
      </w:pPr>
      <w:r>
        <w:tab/>
        <w:t>(c)</w:t>
      </w:r>
      <w:r>
        <w:tab/>
        <w:t>the consequences that may arise if the offender fails to comply with those obligations under this Act as in force on commencement day.</w:t>
      </w:r>
    </w:p>
    <w:p>
      <w:pPr>
        <w:pStyle w:val="Subsection"/>
      </w:pPr>
      <w:r>
        <w:tab/>
        <w:t>(2)</w:t>
      </w:r>
      <w:r>
        <w:tab/>
        <w:t xml:space="preserve">However, section 67 applies in relation to a reportable offender who has been given notice under subsection (1) if any of the following occurs on or after commencement day — </w:t>
      </w:r>
    </w:p>
    <w:p>
      <w:pPr>
        <w:pStyle w:val="Indenta"/>
      </w:pPr>
      <w:r>
        <w:tab/>
        <w:t>(a)</w:t>
      </w:r>
      <w:r>
        <w:tab/>
        <w:t xml:space="preserve">the offender is sentenced for a reportable offence or is made subject to a reporting order; </w:t>
      </w:r>
    </w:p>
    <w:p>
      <w:pPr>
        <w:pStyle w:val="Indenta"/>
      </w:pPr>
      <w:r>
        <w:tab/>
        <w:t>(b)</w:t>
      </w:r>
      <w:r>
        <w:tab/>
        <w:t xml:space="preserve">the offender is released from government custody (whether or not the offender was in government custody for a reportable offence); </w:t>
      </w:r>
    </w:p>
    <w:p>
      <w:pPr>
        <w:pStyle w:val="Indenta"/>
      </w:pPr>
      <w:r>
        <w:tab/>
        <w:t>(c)</w:t>
      </w:r>
      <w:r>
        <w:tab/>
        <w:t xml:space="preserve">the offender enters Western Australia, if the offender has not previously been given notice of the offender’s reporting obligations in Western Australia; </w:t>
      </w:r>
    </w:p>
    <w:p>
      <w:pPr>
        <w:pStyle w:val="Indenta"/>
      </w:pPr>
      <w:r>
        <w:tab/>
        <w:t>(d)</w:t>
      </w:r>
      <w:r>
        <w:tab/>
        <w:t>the offender becomes a corresponding reportable offender, if the offender is in Western Australia at that time.</w:t>
      </w:r>
    </w:p>
    <w:p>
      <w:pPr>
        <w:pStyle w:val="Subsection"/>
      </w:pPr>
      <w:r>
        <w:tab/>
        <w:t>(3)</w:t>
      </w:r>
      <w:r>
        <w:tab/>
        <w:t>Section 69 does not apply in relation to changes to a reportable offender’s reporting period on commencement day if the Commissioner gives the offender written notice before commencement day of the changed reporting period that the offender will have under this Act as in force on commencement day.</w:t>
      </w:r>
    </w:p>
    <w:p>
      <w:pPr>
        <w:pStyle w:val="Footnoteheading"/>
      </w:pPr>
      <w:bookmarkStart w:id="489" w:name="_Toc180507049"/>
      <w:r>
        <w:tab/>
        <w:t>[Section 120 inserted: No. 35 of 2024 s. 56.]</w:t>
      </w:r>
    </w:p>
    <w:p>
      <w:pPr>
        <w:pStyle w:val="Heading5"/>
      </w:pPr>
      <w:bookmarkStart w:id="490" w:name="_Toc216773106"/>
      <w:bookmarkStart w:id="491" w:name="_Toc203745237"/>
      <w:r>
        <w:rPr>
          <w:rStyle w:val="CharSectno"/>
        </w:rPr>
        <w:t>121</w:t>
      </w:r>
      <w:r>
        <w:t>.</w:t>
      </w:r>
      <w:r>
        <w:tab/>
        <w:t>Reporting period and reporting obligations in relation to person who was reportable offender or committed offence before commencement day</w:t>
      </w:r>
      <w:bookmarkEnd w:id="490"/>
      <w:bookmarkEnd w:id="489"/>
      <w:bookmarkEnd w:id="491"/>
    </w:p>
    <w:p>
      <w:pPr>
        <w:pStyle w:val="Subsection"/>
      </w:pPr>
      <w:r>
        <w:tab/>
        <w:t>(1)</w:t>
      </w:r>
      <w:r>
        <w:tab/>
        <w:t>A reporting period under this Act applies in relation to a person who is a reportable offender even if the person was a reportable offender before commencement day.</w:t>
      </w:r>
    </w:p>
    <w:p>
      <w:pPr>
        <w:pStyle w:val="Subsection"/>
      </w:pPr>
      <w:r>
        <w:tab/>
        <w:t>(2)</w:t>
      </w:r>
      <w:r>
        <w:tab/>
        <w:t xml:space="preserve">A reference in section 46 to an offence includes a reference to an offence committed before commencement day. </w:t>
      </w:r>
    </w:p>
    <w:p>
      <w:pPr>
        <w:pStyle w:val="Subsection"/>
      </w:pPr>
      <w:r>
        <w:tab/>
        <w:t>(3)</w:t>
      </w:r>
      <w:r>
        <w:tab/>
        <w:t xml:space="preserve">A reporting obligation under this Act applies in relation to a person who is a reportable offender for the remainder of the person’s reporting period even if the person was a reportable offender before commencement day. </w:t>
      </w:r>
    </w:p>
    <w:p>
      <w:pPr>
        <w:pStyle w:val="Subsection"/>
      </w:pPr>
      <w:r>
        <w:tab/>
        <w:t>(4)</w:t>
      </w:r>
      <w:r>
        <w:tab/>
        <w:t xml:space="preserve">Section 29 (including any references in that section to section 26) of this Act as in force immediately before commencement day continues to apply to a reportable offender until the offender makes a report (an </w:t>
      </w:r>
      <w:r>
        <w:rPr>
          <w:rStyle w:val="CharDefText"/>
        </w:rPr>
        <w:t>updated report</w:t>
      </w:r>
      <w:r>
        <w:t>) under any of the following provisions of the details listed in section 26(1) as in force on commencement day —</w:t>
      </w:r>
    </w:p>
    <w:p>
      <w:pPr>
        <w:pStyle w:val="Indenta"/>
      </w:pPr>
      <w:r>
        <w:tab/>
        <w:t>(a)</w:t>
      </w:r>
      <w:r>
        <w:tab/>
        <w:t>section 24;</w:t>
      </w:r>
    </w:p>
    <w:p>
      <w:pPr>
        <w:pStyle w:val="Indenta"/>
      </w:pPr>
      <w:r>
        <w:tab/>
        <w:t>(b)</w:t>
      </w:r>
      <w:r>
        <w:tab/>
        <w:t>section 25;</w:t>
      </w:r>
    </w:p>
    <w:p>
      <w:pPr>
        <w:pStyle w:val="Indenta"/>
      </w:pPr>
      <w:r>
        <w:tab/>
        <w:t>(c)</w:t>
      </w:r>
      <w:r>
        <w:tab/>
        <w:t>section 28.</w:t>
      </w:r>
    </w:p>
    <w:p>
      <w:pPr>
        <w:pStyle w:val="Subsection"/>
      </w:pPr>
      <w:r>
        <w:tab/>
        <w:t>(5)</w:t>
      </w:r>
      <w:r>
        <w:tab/>
        <w:t>Reporting obligations under sections 29 and 33A do not apply to a reportable offender until the offender makes an updated report.</w:t>
      </w:r>
    </w:p>
    <w:p>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w:t>
      </w:r>
    </w:p>
    <w:p>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w:t>
      </w:r>
    </w:p>
    <w:p>
      <w:pPr>
        <w:pStyle w:val="Footnoteheading"/>
      </w:pPr>
      <w:bookmarkStart w:id="492" w:name="_Toc180507050"/>
      <w:r>
        <w:tab/>
        <w:t>[Section 121 inserted: No. 35 of 2024 s. 56.]</w:t>
      </w:r>
    </w:p>
    <w:p>
      <w:pPr>
        <w:pStyle w:val="Heading5"/>
      </w:pPr>
      <w:bookmarkStart w:id="493" w:name="_Toc216773107"/>
      <w:bookmarkStart w:id="494" w:name="_Toc203745238"/>
      <w:r>
        <w:rPr>
          <w:rStyle w:val="CharSectno"/>
        </w:rPr>
        <w:t>122</w:t>
      </w:r>
      <w:r>
        <w:t>.</w:t>
      </w:r>
      <w:r>
        <w:tab/>
        <w:t>Reporting period in relation to reportable offender in immigration detention before commencement day</w:t>
      </w:r>
      <w:bookmarkEnd w:id="493"/>
      <w:bookmarkEnd w:id="492"/>
      <w:bookmarkEnd w:id="494"/>
    </w:p>
    <w:p>
      <w:pPr>
        <w:pStyle w:val="Subsection"/>
      </w:pPr>
      <w:r>
        <w:tab/>
        <w:t>(1)</w:t>
      </w:r>
      <w:r>
        <w:tab/>
        <w:t>This section applies to a reportable offender who was in immigration detention for a period beginning before commencement day.</w:t>
      </w:r>
    </w:p>
    <w:p>
      <w:pPr>
        <w:pStyle w:val="Subsection"/>
      </w:pPr>
      <w:r>
        <w:tab/>
        <w:t>(2)</w:t>
      </w:r>
      <w:r>
        <w:tab/>
        <w:t xml:space="preserve">Any period for which the offender was in immigration detention before commencement day while they were a reportable offender must not be taken to extend the offender’s reporting period under section 44(2) as if that period of immigration detention were a period in which the offender was in government custody. </w:t>
      </w:r>
    </w:p>
    <w:p>
      <w:pPr>
        <w:pStyle w:val="Subsection"/>
      </w:pPr>
      <w:r>
        <w:tab/>
        <w:t>(3)</w:t>
      </w:r>
      <w:r>
        <w:tab/>
        <w:t>Part 3 Division 1 does not apply to the offender in relation to the offender ceasing to be in that immigration detention on or after commencement day if the offender has made an initial report under Part 3 Division 1 before commencement day.</w:t>
      </w:r>
    </w:p>
    <w:p>
      <w:pPr>
        <w:pStyle w:val="Subsection"/>
      </w:pPr>
      <w:r>
        <w:tab/>
        <w:t>(4)</w:t>
      </w:r>
      <w:r>
        <w:tab/>
        <w:t>Section 45(b) does not apply to the offender if the offender is released from the immigration detention on or after commencement day.</w:t>
      </w:r>
    </w:p>
    <w:p>
      <w:pPr>
        <w:pStyle w:val="Subsection"/>
      </w:pPr>
      <w:r>
        <w:tab/>
        <w:t>(5)</w:t>
      </w:r>
      <w:r>
        <w:tab/>
        <w:t>A reference to government custody in Part 3 Division 6 in relation to the offender is taken to include a reference to any period for which the offender was in immigration detention before commencement day while they were a reportable offender.</w:t>
      </w:r>
    </w:p>
    <w:p>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during a period while the person was in the immigration detention before commencement day.</w:t>
      </w:r>
    </w:p>
    <w:p>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during a period while the person was in the immigration detention before commencement day.</w:t>
      </w:r>
    </w:p>
    <w:p>
      <w:pPr>
        <w:pStyle w:val="Footnoteheading"/>
      </w:pPr>
      <w:bookmarkStart w:id="495" w:name="_Toc180507051"/>
      <w:r>
        <w:tab/>
        <w:t>[Section 122 inserted: No. 35 of 2024 s. 56.]</w:t>
      </w:r>
    </w:p>
    <w:p>
      <w:pPr>
        <w:pStyle w:val="Heading5"/>
      </w:pPr>
      <w:bookmarkStart w:id="496" w:name="_Toc216773108"/>
      <w:bookmarkStart w:id="497" w:name="_Toc203745239"/>
      <w:r>
        <w:rPr>
          <w:rStyle w:val="CharSectno"/>
        </w:rPr>
        <w:t>123</w:t>
      </w:r>
      <w:r>
        <w:t>.</w:t>
      </w:r>
      <w:r>
        <w:tab/>
        <w:t>References to personal details of reportable offenders before commencement day</w:t>
      </w:r>
      <w:bookmarkEnd w:id="496"/>
      <w:bookmarkEnd w:id="495"/>
      <w:bookmarkEnd w:id="497"/>
    </w:p>
    <w:p>
      <w:pPr>
        <w:pStyle w:val="Subsection"/>
      </w:pPr>
      <w:r>
        <w:tab/>
        <w:t>(1)</w:t>
      </w:r>
      <w:r>
        <w:tab/>
        <w:t>In section 85F a reference to section 26(1) or 26(1)(e) is taken to include a reference to that provision under this Act as in force immediately before commencement day in relation to a person who was a reportable offender before commencement day.</w:t>
      </w:r>
    </w:p>
    <w:p>
      <w:pPr>
        <w:pStyle w:val="Subsection"/>
      </w:pPr>
      <w:r>
        <w:tab/>
        <w:t>(2)</w:t>
      </w:r>
      <w:r>
        <w:tab/>
        <w:t>In sections 85F, 85I, 85L and 85M a reference to personal details is taken to include a reference to personal details under this Act as in force immediately before commencement day in relation to a person who was a reportable offender before commencement day.</w:t>
      </w:r>
    </w:p>
    <w:p>
      <w:pPr>
        <w:pStyle w:val="Footnoteheading"/>
      </w:pPr>
      <w:bookmarkStart w:id="498" w:name="_Toc180507052"/>
      <w:r>
        <w:tab/>
        <w:t>[Section 123 inserted: No. 35 of 2024 s. 56.]</w:t>
      </w:r>
    </w:p>
    <w:p>
      <w:pPr>
        <w:pStyle w:val="Heading5"/>
      </w:pPr>
      <w:bookmarkStart w:id="499" w:name="_Toc216773109"/>
      <w:bookmarkStart w:id="500" w:name="_Toc203745240"/>
      <w:r>
        <w:rPr>
          <w:rStyle w:val="CharSectno"/>
        </w:rPr>
        <w:t>124</w:t>
      </w:r>
      <w:r>
        <w:t>.</w:t>
      </w:r>
      <w:r>
        <w:tab/>
        <w:t>Application to person not sentenced before commencement day</w:t>
      </w:r>
      <w:bookmarkEnd w:id="499"/>
      <w:bookmarkEnd w:id="498"/>
      <w:bookmarkEnd w:id="500"/>
      <w:r>
        <w:t xml:space="preserve"> </w:t>
      </w:r>
    </w:p>
    <w:p>
      <w:pPr>
        <w:pStyle w:val="Subsection"/>
      </w:pPr>
      <w:r>
        <w:tab/>
      </w:r>
      <w:r>
        <w:tab/>
        <w:t>This Act applies to an offender including in relation to an offender sentenced on or after commencement day even if the offender committed or was found guilty of an offence before commencement day.</w:t>
      </w:r>
    </w:p>
    <w:p>
      <w:pPr>
        <w:pStyle w:val="Footnoteheading"/>
      </w:pPr>
      <w:bookmarkStart w:id="501" w:name="_Toc180507053"/>
      <w:r>
        <w:tab/>
        <w:t>[Section 124 inserted: No. 35 of 2024 s. 56.]</w:t>
      </w:r>
    </w:p>
    <w:p>
      <w:pPr>
        <w:pStyle w:val="Heading5"/>
      </w:pPr>
      <w:bookmarkStart w:id="502" w:name="_Toc216773110"/>
      <w:bookmarkStart w:id="503" w:name="_Toc203745241"/>
      <w:r>
        <w:rPr>
          <w:rStyle w:val="CharSectno"/>
        </w:rPr>
        <w:t>125</w:t>
      </w:r>
      <w:r>
        <w:t>.</w:t>
      </w:r>
      <w:r>
        <w:tab/>
        <w:t>Application of powers in relation to person who was reportable offender, or in relation to offence committed, before commencement day</w:t>
      </w:r>
      <w:bookmarkEnd w:id="502"/>
      <w:bookmarkEnd w:id="501"/>
      <w:bookmarkEnd w:id="503"/>
    </w:p>
    <w:p>
      <w:pPr>
        <w:pStyle w:val="Subsection"/>
      </w:pPr>
      <w:r>
        <w:tab/>
        <w:t>(1)</w:t>
      </w:r>
      <w:r>
        <w:tab/>
        <w:t>A power under this Act that may be exercised in relation to a reportable offender may be exercised in relation to that offender even if they were a reportable offender before commencement day.</w:t>
      </w:r>
    </w:p>
    <w:p>
      <w:pPr>
        <w:pStyle w:val="Subsection"/>
      </w:pPr>
      <w:r>
        <w:tab/>
        <w:t>(2)</w:t>
      </w:r>
      <w:r>
        <w:tab/>
        <w:t xml:space="preserve">A reference in Part 5A and 5B to an offence includes a reference to an offence committed before commencement day. </w:t>
      </w:r>
    </w:p>
    <w:p>
      <w:pPr>
        <w:pStyle w:val="Footnoteheading"/>
      </w:pPr>
      <w:bookmarkStart w:id="504" w:name="_Toc180507054"/>
      <w:r>
        <w:tab/>
        <w:t>[Section 125 inserted: No. 35 of 2024 s. 56.]</w:t>
      </w:r>
    </w:p>
    <w:p>
      <w:pPr>
        <w:pStyle w:val="Heading5"/>
      </w:pPr>
      <w:bookmarkStart w:id="505" w:name="_Toc216773111"/>
      <w:bookmarkStart w:id="506" w:name="_Toc203745242"/>
      <w:r>
        <w:rPr>
          <w:rStyle w:val="CharSectno"/>
        </w:rPr>
        <w:t>126</w:t>
      </w:r>
      <w:r>
        <w:t>.</w:t>
      </w:r>
      <w:r>
        <w:tab/>
        <w:t>Minister may revoke authorisations to publish photograph and locality given before commencement day</w:t>
      </w:r>
      <w:bookmarkEnd w:id="505"/>
      <w:bookmarkEnd w:id="504"/>
      <w:bookmarkEnd w:id="506"/>
      <w:r>
        <w:t xml:space="preserve"> </w:t>
      </w:r>
    </w:p>
    <w:p>
      <w:pPr>
        <w:pStyle w:val="Subsection"/>
      </w:pPr>
      <w:r>
        <w:tab/>
        <w:t>(1)</w:t>
      </w:r>
      <w:r>
        <w:tab/>
        <w:t>This section applies if the Minister authorised the publication of a photograph and locality of a person under section 85G(2)(c) of this Act as in force immediately before commencement day.</w:t>
      </w:r>
    </w:p>
    <w:p>
      <w:pPr>
        <w:pStyle w:val="Subsection"/>
      </w:pPr>
      <w:r>
        <w:tab/>
        <w:t>(2)</w:t>
      </w:r>
      <w:r>
        <w:tab/>
        <w:t>Subject to subsection (3), the authorisation continues in force on and after commencement day.</w:t>
      </w:r>
    </w:p>
    <w:p>
      <w:pPr>
        <w:pStyle w:val="Subsection"/>
      </w:pPr>
      <w:r>
        <w:tab/>
        <w:t>(3)</w:t>
      </w:r>
      <w:r>
        <w:tab/>
        <w:t>The Minister may revoke the authorisation.</w:t>
      </w:r>
    </w:p>
    <w:p>
      <w:pPr>
        <w:pStyle w:val="Subsection"/>
      </w:pPr>
      <w:r>
        <w:tab/>
        <w:t>(4)</w:t>
      </w:r>
      <w:r>
        <w:tab/>
        <w:t>A revocation under subsection (3) is taken to be a revocation under section 85GB(7)(a).</w:t>
      </w:r>
    </w:p>
    <w:p>
      <w:pPr>
        <w:pStyle w:val="Footnoteheading"/>
      </w:pPr>
      <w:r>
        <w:tab/>
        <w:t>[Section 126 inserted: No. 35 of 2024 s. 56.]</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07" w:name="_Toc216773112"/>
      <w:bookmarkStart w:id="508" w:name="_Toc203658303"/>
      <w:bookmarkStart w:id="509" w:name="_Toc203745243"/>
      <w:r>
        <w:rPr>
          <w:rStyle w:val="CharSchNo"/>
        </w:rPr>
        <w:t>Schedule 1</w:t>
      </w:r>
      <w:r>
        <w:rPr>
          <w:rStyle w:val="CharSDivNo"/>
        </w:rPr>
        <w:t> </w:t>
      </w:r>
      <w:r>
        <w:t>—</w:t>
      </w:r>
      <w:r>
        <w:rPr>
          <w:rStyle w:val="CharSDivText"/>
        </w:rPr>
        <w:t> </w:t>
      </w:r>
      <w:r>
        <w:rPr>
          <w:rStyle w:val="CharSchText"/>
        </w:rPr>
        <w:t>Class 1 offences</w:t>
      </w:r>
      <w:bookmarkEnd w:id="507"/>
      <w:bookmarkEnd w:id="508"/>
      <w:bookmarkEnd w:id="509"/>
    </w:p>
    <w:p>
      <w:pPr>
        <w:pStyle w:val="yShoulderClause"/>
        <w:spacing w:after="60"/>
      </w:pPr>
      <w:r>
        <w:t>[s. 10]</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NAm"/>
              <w:rPr>
                <w:b/>
                <w:bCs/>
              </w:rPr>
            </w:pPr>
            <w:r>
              <w:rPr>
                <w:b/>
                <w:bCs/>
              </w:rPr>
              <w:t>Enactment</w:t>
            </w:r>
          </w:p>
        </w:tc>
        <w:tc>
          <w:tcPr>
            <w:tcW w:w="4394"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4" w:type="dxa"/>
            <w:tcBorders>
              <w:top w:val="nil"/>
            </w:tcBorders>
          </w:tcPr>
          <w:p>
            <w:pPr>
              <w:pStyle w:val="yTableNAm"/>
            </w:pPr>
            <w:r>
              <w:rPr>
                <w:i/>
              </w:rPr>
              <w:t>The Criminal Code</w:t>
            </w:r>
          </w:p>
        </w:tc>
        <w:tc>
          <w:tcPr>
            <w:tcW w:w="4394" w:type="dxa"/>
            <w:tcBorders>
              <w:top w:val="nil"/>
            </w:tcBorders>
          </w:tcPr>
          <w:p>
            <w:pPr>
              <w:pStyle w:val="yTableNAm"/>
            </w:pPr>
          </w:p>
        </w:tc>
      </w:tr>
      <w:tr>
        <w:tblPrEx>
          <w:tblBorders>
            <w:top w:val="none" w:sz="0" w:space="0" w:color="auto"/>
            <w:bottom w:val="none" w:sz="0" w:space="0" w:color="auto"/>
          </w:tblBorders>
        </w:tblPrEx>
        <w:trPr>
          <w:trHeight w:val="360"/>
        </w:trPr>
        <w:tc>
          <w:tcPr>
            <w:tcW w:w="2694" w:type="dxa"/>
          </w:tcPr>
          <w:p>
            <w:pPr>
              <w:pStyle w:val="yTableNAm"/>
            </w:pPr>
            <w:r>
              <w:t>s. 187</w:t>
            </w:r>
          </w:p>
        </w:tc>
        <w:tc>
          <w:tcPr>
            <w:tcW w:w="4394" w:type="dxa"/>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NAm"/>
            </w:pPr>
            <w:r>
              <w:t>s. 279</w:t>
            </w:r>
          </w:p>
        </w:tc>
        <w:tc>
          <w:tcPr>
            <w:tcW w:w="4394" w:type="dxa"/>
          </w:tcPr>
          <w:p>
            <w:pPr>
              <w:pStyle w:val="yTableNAm"/>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320 (except s. 320(6))</w:t>
            </w:r>
          </w:p>
        </w:tc>
        <w:tc>
          <w:tcPr>
            <w:tcW w:w="4394" w:type="dxa"/>
          </w:tcPr>
          <w:p>
            <w:pPr>
              <w:pStyle w:val="yTableNAm"/>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NAm"/>
            </w:pPr>
            <w:r>
              <w:t>s. 321 (except s. 321(6))</w:t>
            </w:r>
          </w:p>
        </w:tc>
        <w:tc>
          <w:tcPr>
            <w:tcW w:w="4394" w:type="dxa"/>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NAm"/>
            </w:pPr>
            <w:r>
              <w:t>s. 321A</w:t>
            </w:r>
          </w:p>
        </w:tc>
        <w:tc>
          <w:tcPr>
            <w:tcW w:w="4394" w:type="dxa"/>
          </w:tcPr>
          <w:p>
            <w:pPr>
              <w:pStyle w:val="yTableNAm"/>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NAm"/>
            </w:pPr>
            <w:r>
              <w:t>s. 322 (except s. 322(6))</w:t>
            </w:r>
          </w:p>
        </w:tc>
        <w:tc>
          <w:tcPr>
            <w:tcW w:w="4394" w:type="dxa"/>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NAm"/>
            </w:pPr>
            <w:r>
              <w:t>s. 325</w:t>
            </w:r>
          </w:p>
        </w:tc>
        <w:tc>
          <w:tcPr>
            <w:tcW w:w="4394" w:type="dxa"/>
          </w:tcPr>
          <w:p>
            <w:pPr>
              <w:pStyle w:val="yTableNAm"/>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326</w:t>
            </w:r>
          </w:p>
        </w:tc>
        <w:tc>
          <w:tcPr>
            <w:tcW w:w="4394" w:type="dxa"/>
          </w:tcPr>
          <w:p>
            <w:pPr>
              <w:pStyle w:val="yTableNAm"/>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327</w:t>
            </w:r>
          </w:p>
        </w:tc>
        <w:tc>
          <w:tcPr>
            <w:tcW w:w="4394" w:type="dxa"/>
          </w:tcPr>
          <w:p>
            <w:pPr>
              <w:pStyle w:val="yTableNAm"/>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328</w:t>
            </w:r>
          </w:p>
        </w:tc>
        <w:tc>
          <w:tcPr>
            <w:tcW w:w="4394" w:type="dxa"/>
          </w:tcPr>
          <w:p>
            <w:pPr>
              <w:pStyle w:val="yTableNAm"/>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329 (except s. 329(8))</w:t>
            </w:r>
          </w:p>
        </w:tc>
        <w:tc>
          <w:tcPr>
            <w:tcW w:w="4394" w:type="dxa"/>
          </w:tcPr>
          <w:p>
            <w:pPr>
              <w:pStyle w:val="yTableNAm"/>
            </w:pPr>
            <w:r>
              <w:t>Sexual offences by relatives and the like</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NAm"/>
            </w:pPr>
            <w:r>
              <w:t>s. 330</w:t>
            </w:r>
          </w:p>
        </w:tc>
        <w:tc>
          <w:tcPr>
            <w:tcW w:w="4394" w:type="dxa"/>
            <w:tcBorders>
              <w:bottom w:val="single" w:sz="4" w:space="0" w:color="auto"/>
            </w:tcBorders>
          </w:tcPr>
          <w:p>
            <w:pPr>
              <w:pStyle w:val="yTableNAm"/>
            </w:pPr>
            <w:r>
              <w:t>Sexual offences against incapable person</w:t>
            </w:r>
          </w:p>
        </w:tc>
      </w:tr>
    </w:tbl>
    <w:p>
      <w:pPr>
        <w:pStyle w:val="yFootnotesection"/>
      </w:pPr>
      <w:r>
        <w:tab/>
        <w:t>[Schedule 1 amended: No. 2 of 2008 s. 58; No. 27 of 2008 s. 11; No. 29 of 2008 s. 25(2) and (3); No. 35 of 2024 s. 57.]</w:t>
      </w:r>
    </w:p>
    <w:p>
      <w:pPr>
        <w:pStyle w:val="yScheduleHeading"/>
      </w:pPr>
      <w:bookmarkStart w:id="510" w:name="_Toc216773113"/>
      <w:bookmarkStart w:id="511" w:name="_Toc203658304"/>
      <w:bookmarkStart w:id="512" w:name="_Toc203745244"/>
      <w:r>
        <w:rPr>
          <w:rStyle w:val="CharSchNo"/>
        </w:rPr>
        <w:t>Schedule 2</w:t>
      </w:r>
      <w:r>
        <w:t> — </w:t>
      </w:r>
      <w:r>
        <w:rPr>
          <w:rStyle w:val="CharSchText"/>
        </w:rPr>
        <w:t>Class 2 offences</w:t>
      </w:r>
      <w:bookmarkEnd w:id="510"/>
      <w:bookmarkEnd w:id="511"/>
      <w:bookmarkEnd w:id="512"/>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192</w:t>
            </w:r>
          </w:p>
        </w:tc>
        <w:tc>
          <w:tcPr>
            <w:tcW w:w="4245" w:type="dxa"/>
            <w:tcBorders>
              <w:bottom w:val="single" w:sz="4" w:space="0" w:color="auto"/>
            </w:tcBorders>
          </w:tcPr>
          <w:p>
            <w:pPr>
              <w:pStyle w:val="yTableNAm"/>
            </w:pPr>
            <w:r>
              <w:t>Employment of child to perform in indecent manner</w:t>
            </w:r>
          </w:p>
        </w:tc>
      </w:tr>
    </w:tbl>
    <w:p>
      <w:pPr>
        <w:pStyle w:val="yFootnotesection"/>
      </w:pPr>
      <w:r>
        <w:tab/>
        <w:t>[Schedule 2 amended: No. 27 of 2008 s. 12; No. 21 of 2010 s. 13; No. 54 of 2012 s. 38; No. 25 of 2021 s. 64; No. 35 of 2024 s. 58.]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14" w:name="_Toc216773114"/>
      <w:bookmarkStart w:id="515" w:name="_Toc203658305"/>
      <w:bookmarkStart w:id="516" w:name="_Toc203745245"/>
      <w:r>
        <w:t>Notes</w:t>
      </w:r>
      <w:bookmarkEnd w:id="514"/>
      <w:bookmarkEnd w:id="515"/>
      <w:bookmarkEnd w:id="516"/>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17" w:name="_Toc216773115"/>
      <w:bookmarkStart w:id="518" w:name="_Toc203745246"/>
      <w:r>
        <w:t>Compilation table</w:t>
      </w:r>
      <w:bookmarkEnd w:id="517"/>
      <w:bookmarkEnd w:id="51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pPr>
              <w:pStyle w:val="nTable"/>
              <w:spacing w:after="40"/>
            </w:pPr>
            <w:r>
              <w:t>31 of 2023</w:t>
            </w:r>
          </w:p>
        </w:tc>
        <w:tc>
          <w:tcPr>
            <w:tcW w:w="1134" w:type="dxa"/>
            <w:shd w:val="clear" w:color="auto" w:fill="auto"/>
          </w:tcPr>
          <w:p>
            <w:pPr>
              <w:pStyle w:val="nTable"/>
              <w:spacing w:after="40"/>
            </w:pPr>
            <w:r>
              <w:t>11 Dec 2023</w:t>
            </w:r>
          </w:p>
        </w:tc>
        <w:tc>
          <w:tcPr>
            <w:tcW w:w="2552" w:type="dxa"/>
            <w:shd w:val="clear" w:color="auto" w:fill="auto"/>
          </w:tcPr>
          <w:p>
            <w:pPr>
              <w:pStyle w:val="nTable"/>
              <w:spacing w:after="40"/>
            </w:pPr>
            <w:r>
              <w:t>21 Dec 2023 (see s. 2(c) and SL 2023/202 cl. 2(a))</w:t>
            </w:r>
          </w:p>
        </w:tc>
      </w:tr>
      <w:tr>
        <w:trPr>
          <w:cantSplit/>
        </w:trPr>
        <w:tc>
          <w:tcPr>
            <w:tcW w:w="2268" w:type="dxa"/>
            <w:shd w:val="clear" w:color="auto" w:fill="auto"/>
          </w:tcPr>
          <w:p>
            <w:pPr>
              <w:pStyle w:val="nTable"/>
              <w:spacing w:after="40"/>
              <w:rPr>
                <w:i/>
                <w:snapToGrid w:val="0"/>
              </w:rPr>
            </w:pPr>
            <w:r>
              <w:rPr>
                <w:i/>
                <w:snapToGrid w:val="0"/>
              </w:rPr>
              <w:t xml:space="preserve">Births, Deaths and Marriages Registration Amendment (Sex or Gender Changes) Act 2024 </w:t>
            </w:r>
            <w:r>
              <w:rPr>
                <w:iCs/>
                <w:snapToGrid w:val="0"/>
              </w:rPr>
              <w:t>Pt. 4 Div. 2</w:t>
            </w:r>
          </w:p>
        </w:tc>
        <w:tc>
          <w:tcPr>
            <w:tcW w:w="1134" w:type="dxa"/>
            <w:shd w:val="clear" w:color="auto" w:fill="auto"/>
          </w:tcPr>
          <w:p>
            <w:pPr>
              <w:pStyle w:val="nTable"/>
              <w:spacing w:after="40"/>
            </w:pPr>
            <w:r>
              <w:t>31 of 2024</w:t>
            </w:r>
          </w:p>
        </w:tc>
        <w:tc>
          <w:tcPr>
            <w:tcW w:w="1134" w:type="dxa"/>
            <w:shd w:val="clear" w:color="auto" w:fill="auto"/>
          </w:tcPr>
          <w:p>
            <w:pPr>
              <w:pStyle w:val="nTable"/>
              <w:spacing w:after="40"/>
            </w:pPr>
            <w:r>
              <w:t>26 Sep 2024</w:t>
            </w:r>
          </w:p>
        </w:tc>
        <w:tc>
          <w:tcPr>
            <w:tcW w:w="2552" w:type="dxa"/>
            <w:shd w:val="clear" w:color="auto" w:fill="auto"/>
          </w:tcPr>
          <w:p>
            <w:pPr>
              <w:pStyle w:val="nTable"/>
              <w:spacing w:after="40"/>
            </w:pPr>
            <w:r>
              <w:rPr>
                <w:snapToGrid w:val="0"/>
              </w:rPr>
              <w:t>30 May 2025 (see s. 2(b) and SL 2025/80 cl. 2)</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Community Protection (Offender Reporting) Amendment Act 2024</w:t>
            </w:r>
            <w:r>
              <w:rPr>
                <w:iCs/>
                <w:snapToGrid w:val="0"/>
              </w:rPr>
              <w:t xml:space="preserve"> Pt. 2 Div. 1</w:t>
            </w:r>
          </w:p>
        </w:tc>
        <w:tc>
          <w:tcPr>
            <w:tcW w:w="1134" w:type="dxa"/>
            <w:tcBorders>
              <w:bottom w:val="single" w:sz="4" w:space="0" w:color="auto"/>
            </w:tcBorders>
            <w:shd w:val="clear" w:color="auto" w:fill="auto"/>
          </w:tcPr>
          <w:p>
            <w:pPr>
              <w:pStyle w:val="nTable"/>
              <w:spacing w:after="40"/>
            </w:pPr>
            <w:r>
              <w:t>35 of 2024</w:t>
            </w:r>
          </w:p>
        </w:tc>
        <w:tc>
          <w:tcPr>
            <w:tcW w:w="1134" w:type="dxa"/>
            <w:tcBorders>
              <w:bottom w:val="single" w:sz="4" w:space="0" w:color="auto"/>
            </w:tcBorders>
            <w:shd w:val="clear" w:color="auto" w:fill="auto"/>
          </w:tcPr>
          <w:p>
            <w:pPr>
              <w:pStyle w:val="nTable"/>
              <w:spacing w:after="40"/>
            </w:pPr>
            <w:r>
              <w:t>22 Oct 2024</w:t>
            </w:r>
          </w:p>
        </w:tc>
        <w:tc>
          <w:tcPr>
            <w:tcW w:w="2552" w:type="dxa"/>
            <w:tcBorders>
              <w:bottom w:val="single" w:sz="4" w:space="0" w:color="auto"/>
            </w:tcBorders>
            <w:shd w:val="clear" w:color="auto" w:fill="auto"/>
          </w:tcPr>
          <w:p>
            <w:pPr>
              <w:pStyle w:val="nTable"/>
              <w:spacing w:after="40"/>
              <w:rPr>
                <w:snapToGrid w:val="0"/>
              </w:rPr>
            </w:pPr>
            <w:r>
              <w:rPr>
                <w:snapToGrid w:val="0"/>
              </w:rPr>
              <w:t>28 Jul 2025 (see s. 2(b) and SL 2025/137 cl. 2)</w:t>
            </w:r>
          </w:p>
        </w:tc>
      </w:tr>
    </w:tbl>
    <w:p>
      <w:pPr>
        <w:pStyle w:val="nHeading3"/>
      </w:pPr>
      <w:bookmarkStart w:id="519" w:name="_Toc216773116"/>
      <w:bookmarkStart w:id="520" w:name="_Toc203745247"/>
      <w:r>
        <w:t>Uncommenced provisions table</w:t>
      </w:r>
      <w:bookmarkEnd w:id="519"/>
      <w:bookmarkEnd w:id="520"/>
    </w:p>
    <w:p>
      <w:pPr>
        <w:pStyle w:val="nStatement"/>
        <w:keepNext/>
        <w:spacing w:after="240"/>
      </w:pPr>
      <w:r>
        <w:t xml:space="preserve">To view the text of the uncommenced provisions see </w:t>
      </w:r>
      <w:r>
        <w:rPr>
          <w:i/>
        </w:rPr>
        <w:t>Acts as passed</w:t>
      </w:r>
      <w:r>
        <w:t xml:space="preserve"> on the WA </w:t>
      </w:r>
      <w:del w:id="521" w:author="Master Repository Process" w:date="2025-12-16T14:54:00Z">
        <w:r>
          <w:delText>Legislation</w:delText>
        </w:r>
      </w:del>
      <w:ins w:id="522" w:author="Master Repository Process" w:date="2025-12-16T14:54:00Z">
        <w:r>
          <w:t>legislation</w:t>
        </w:r>
      </w:ins>
      <w:r>
        <w:t xml:space="preserve">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nil"/>
            </w:tcBorders>
            <w:shd w:val="clear" w:color="auto" w:fill="auto"/>
          </w:tcPr>
          <w:p>
            <w:pPr>
              <w:pStyle w:val="nTable"/>
              <w:spacing w:after="40"/>
              <w:rPr>
                <w:iCs/>
                <w:snapToGrid w:val="0"/>
              </w:rPr>
            </w:pPr>
            <w:r>
              <w:rPr>
                <w:i/>
                <w:snapToGrid w:val="0"/>
              </w:rPr>
              <w:t>Community Protection (Offender Reporting) Amendment Act 2024</w:t>
            </w:r>
            <w:r>
              <w:rPr>
                <w:iCs/>
                <w:snapToGrid w:val="0"/>
              </w:rPr>
              <w:t xml:space="preserve"> Pt. 3 Div. 1 and Pt. 4</w:t>
            </w:r>
          </w:p>
        </w:tc>
        <w:tc>
          <w:tcPr>
            <w:tcW w:w="1133" w:type="dxa"/>
            <w:tcBorders>
              <w:top w:val="nil"/>
              <w:bottom w:val="nil"/>
            </w:tcBorders>
            <w:shd w:val="clear" w:color="auto" w:fill="auto"/>
          </w:tcPr>
          <w:p>
            <w:pPr>
              <w:pStyle w:val="nTable"/>
              <w:spacing w:after="40"/>
            </w:pPr>
            <w:r>
              <w:t>35 of 2024</w:t>
            </w:r>
          </w:p>
        </w:tc>
        <w:tc>
          <w:tcPr>
            <w:tcW w:w="1133" w:type="dxa"/>
            <w:tcBorders>
              <w:top w:val="nil"/>
              <w:bottom w:val="nil"/>
            </w:tcBorders>
            <w:shd w:val="clear" w:color="auto" w:fill="auto"/>
          </w:tcPr>
          <w:p>
            <w:pPr>
              <w:pStyle w:val="nTable"/>
              <w:spacing w:after="40"/>
            </w:pPr>
            <w:r>
              <w:t>22 Oct 2024</w:t>
            </w:r>
          </w:p>
        </w:tc>
        <w:tc>
          <w:tcPr>
            <w:tcW w:w="2550" w:type="dxa"/>
            <w:tcBorders>
              <w:top w:val="nil"/>
              <w:bottom w:val="nil"/>
            </w:tcBorders>
            <w:shd w:val="clear" w:color="auto" w:fill="auto"/>
          </w:tcPr>
          <w:p>
            <w:pPr>
              <w:pStyle w:val="nTable"/>
              <w:spacing w:after="40"/>
              <w:rPr>
                <w:snapToGrid w:val="0"/>
              </w:rPr>
            </w:pPr>
            <w:del w:id="523" w:author="Master Repository Process" w:date="2025-12-16T14:54:00Z">
              <w:r>
                <w:rPr>
                  <w:snapToGrid w:val="0"/>
                </w:rPr>
                <w:delText>To</w:delText>
              </w:r>
            </w:del>
            <w:ins w:id="524" w:author="Master Repository Process" w:date="2025-12-16T14:54:00Z">
              <w:r>
                <w:rPr>
                  <w:snapToGrid w:val="0"/>
                </w:rPr>
                <w:t>Pt. 3 Div. 1: 31 Dec 2025 (see s. 2(b)</w:t>
              </w:r>
              <w:r>
                <w:t xml:space="preserve"> and SL 2025/201 cl. 2</w:t>
              </w:r>
              <w:r>
                <w:rPr>
                  <w:snapToGrid w:val="0"/>
                </w:rPr>
                <w:t>);</w:t>
              </w:r>
              <w:r>
                <w:rPr>
                  <w:snapToGrid w:val="0"/>
                </w:rPr>
                <w:br/>
                <w:t>Pt. 4: to</w:t>
              </w:r>
            </w:ins>
            <w:r>
              <w:rPr>
                <w:snapToGrid w:val="0"/>
              </w:rPr>
              <w:t xml:space="preserve"> be proclaimed (see</w:t>
            </w:r>
            <w:del w:id="525" w:author="Master Repository Process" w:date="2025-12-16T14:54:00Z">
              <w:r>
                <w:rPr>
                  <w:snapToGrid w:val="0"/>
                </w:rPr>
                <w:delText xml:space="preserve"> </w:delText>
              </w:r>
            </w:del>
            <w:ins w:id="526" w:author="Master Repository Process" w:date="2025-12-16T14:54:00Z">
              <w:r>
                <w:rPr>
                  <w:snapToGrid w:val="0"/>
                </w:rPr>
                <w:t> </w:t>
              </w:r>
            </w:ins>
            <w:r>
              <w:rPr>
                <w:snapToGrid w:val="0"/>
              </w:rPr>
              <w:t>s. 2(b))</w:t>
            </w:r>
          </w:p>
        </w:tc>
      </w:tr>
      <w:tr>
        <w:trPr>
          <w:cantSplit/>
          <w:ins w:id="527" w:author="Master Repository Process" w:date="2025-12-16T14:54:00Z"/>
        </w:trPr>
        <w:tc>
          <w:tcPr>
            <w:tcW w:w="2266" w:type="dxa"/>
            <w:tcBorders>
              <w:top w:val="nil"/>
              <w:bottom w:val="single" w:sz="4" w:space="0" w:color="auto"/>
            </w:tcBorders>
            <w:shd w:val="clear" w:color="auto" w:fill="auto"/>
          </w:tcPr>
          <w:p>
            <w:pPr>
              <w:pStyle w:val="nTable"/>
              <w:spacing w:after="40"/>
              <w:rPr>
                <w:ins w:id="528" w:author="Master Repository Process" w:date="2025-12-16T14:54:00Z"/>
                <w:i/>
                <w:snapToGrid w:val="0"/>
              </w:rPr>
            </w:pPr>
            <w:ins w:id="529" w:author="Master Repository Process" w:date="2025-12-16T14:54:00Z">
              <w:r>
                <w:rPr>
                  <w:i/>
                  <w:snapToGrid w:val="0"/>
                </w:rPr>
                <w:t xml:space="preserve">Evidence Act 2025 </w:t>
              </w:r>
              <w:r>
                <w:rPr>
                  <w:iCs/>
                  <w:snapToGrid w:val="0"/>
                </w:rPr>
                <w:t>s. 492(2)</w:t>
              </w:r>
            </w:ins>
          </w:p>
        </w:tc>
        <w:tc>
          <w:tcPr>
            <w:tcW w:w="1133" w:type="dxa"/>
            <w:tcBorders>
              <w:top w:val="nil"/>
              <w:bottom w:val="single" w:sz="4" w:space="0" w:color="auto"/>
            </w:tcBorders>
            <w:shd w:val="clear" w:color="auto" w:fill="auto"/>
          </w:tcPr>
          <w:p>
            <w:pPr>
              <w:pStyle w:val="nTable"/>
              <w:spacing w:after="40"/>
              <w:rPr>
                <w:ins w:id="530" w:author="Master Repository Process" w:date="2025-12-16T14:54:00Z"/>
              </w:rPr>
            </w:pPr>
            <w:ins w:id="531" w:author="Master Repository Process" w:date="2025-12-16T14:54:00Z">
              <w:r>
                <w:t>15 of 2025</w:t>
              </w:r>
            </w:ins>
          </w:p>
        </w:tc>
        <w:tc>
          <w:tcPr>
            <w:tcW w:w="1133" w:type="dxa"/>
            <w:tcBorders>
              <w:top w:val="nil"/>
              <w:bottom w:val="single" w:sz="4" w:space="0" w:color="auto"/>
            </w:tcBorders>
            <w:shd w:val="clear" w:color="auto" w:fill="auto"/>
          </w:tcPr>
          <w:p>
            <w:pPr>
              <w:pStyle w:val="nTable"/>
              <w:spacing w:after="40"/>
              <w:rPr>
                <w:ins w:id="532" w:author="Master Repository Process" w:date="2025-12-16T14:54:00Z"/>
              </w:rPr>
            </w:pPr>
            <w:ins w:id="533" w:author="Master Repository Process" w:date="2025-12-16T14:54:00Z">
              <w:r>
                <w:t>25 Sep 2025</w:t>
              </w:r>
            </w:ins>
          </w:p>
        </w:tc>
        <w:tc>
          <w:tcPr>
            <w:tcW w:w="2550" w:type="dxa"/>
            <w:tcBorders>
              <w:top w:val="nil"/>
              <w:bottom w:val="single" w:sz="4" w:space="0" w:color="auto"/>
            </w:tcBorders>
            <w:shd w:val="clear" w:color="auto" w:fill="auto"/>
          </w:tcPr>
          <w:p>
            <w:pPr>
              <w:pStyle w:val="nTable"/>
              <w:spacing w:after="40"/>
              <w:rPr>
                <w:ins w:id="534" w:author="Master Repository Process" w:date="2025-12-16T14:54:00Z"/>
                <w:snapToGrid w:val="0"/>
              </w:rPr>
            </w:pPr>
            <w:ins w:id="535" w:author="Master Repository Process" w:date="2025-12-16T14:54:00Z">
              <w:r>
                <w:rPr>
                  <w:snapToGrid w:val="0"/>
                </w:rPr>
                <w:t>To be proclaimed (see s. 2(e))</w:t>
              </w:r>
            </w:ins>
          </w:p>
        </w:tc>
      </w:tr>
    </w:tbl>
    <w:p>
      <w:pPr>
        <w:pStyle w:val="nHeading3"/>
      </w:pPr>
      <w:bookmarkStart w:id="536" w:name="_Toc216773117"/>
      <w:bookmarkStart w:id="537" w:name="_Toc203745248"/>
      <w:r>
        <w:t>Other notes</w:t>
      </w:r>
      <w:bookmarkEnd w:id="536"/>
      <w:bookmarkEnd w:id="537"/>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Stage 1 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Stage 1 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3" w:name="Schedule"/>
    <w:bookmarkEnd w:id="5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9" w:name="Coversheet"/>
    <w:bookmarkEnd w:id="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517"/>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 w:name="WAFER_2025071715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52039_GUID" w:val="c174e6e3-580d-4a42-be34-ea678dbfcfac"/>
    <w:docVar w:name="WAFER_20251215130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17_GUID" w:val="2b690a87-90f2-4765-80b3-4f41ec11a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35987</Words>
  <Characters>175260</Characters>
  <Application>Microsoft Office Word</Application>
  <DocSecurity>0</DocSecurity>
  <Lines>4736</Lines>
  <Paragraphs>2576</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208671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02-q0-00 - 02-r0-01</dc:title>
  <dc:subject/>
  <dc:creator/>
  <cp:keywords/>
  <dc:description/>
  <cp:lastModifiedBy>Master Repository Process</cp:lastModifiedBy>
  <cp:revision>2</cp:revision>
  <cp:lastPrinted>2021-12-21T08:49:00Z</cp:lastPrinted>
  <dcterms:created xsi:type="dcterms:W3CDTF">2025-12-16T06:54:00Z</dcterms:created>
  <dcterms:modified xsi:type="dcterms:W3CDTF">2025-12-16T06:54:00Z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02-q0-00</vt:lpwstr>
  </property>
  <property fmtid="{D5CDD505-2E9C-101B-9397-08002B2CF9AE}" pid="12" name="FromAsAtDate">
    <vt:lpwstr>28 Jul 2025</vt:lpwstr>
  </property>
  <property fmtid="{D5CDD505-2E9C-101B-9397-08002B2CF9AE}" pid="13" name="ToSuffix">
    <vt:lpwstr>02-r0-01</vt:lpwstr>
  </property>
  <property fmtid="{D5CDD505-2E9C-101B-9397-08002B2CF9AE}" pid="14" name="ToAsAtDate">
    <vt:lpwstr>25 Sep 2025</vt:lpwstr>
  </property>
</Properties>
</file>