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213341443"/>
      <w:bookmarkStart w:id="2" w:name="_Toc18584578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13341444"/>
      <w:bookmarkStart w:id="4" w:name="_Toc18584578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213341445"/>
      <w:bookmarkStart w:id="6" w:name="_Toc185845786"/>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213341446"/>
      <w:bookmarkStart w:id="8" w:name="_Toc185845787"/>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$175</w:t>
      </w:r>
      <w:r>
        <w:rPr>
          <w:snapToGrid w:val="0"/>
        </w:rPr>
        <w:t>; and</w:t>
      </w:r>
    </w:p>
    <w:p>
      <w:pPr>
        <w:pStyle w:val="Indenta"/>
        <w:rPr>
          <w:snapToGrid w:val="0"/>
        </w:rPr>
      </w:pPr>
      <w:r>
        <w:rPr>
          <w:snapToGrid w:val="0"/>
        </w:rPr>
        <w:tab/>
        <w:t>(b)</w:t>
      </w:r>
      <w:r>
        <w:rPr>
          <w:snapToGrid w:val="0"/>
        </w:rPr>
        <w:tab/>
        <w:t xml:space="preserve">for all other appeals, </w:t>
      </w:r>
      <w:r>
        <w:t>$437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$277.50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$55</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 SL 2024/213 r. 18.]</w:t>
      </w:r>
    </w:p>
    <w:p>
      <w:pPr>
        <w:pStyle w:val="Heading5"/>
        <w:rPr>
          <w:snapToGrid w:val="0"/>
        </w:rPr>
      </w:pPr>
      <w:bookmarkStart w:id="9" w:name="_Toc213341447"/>
      <w:bookmarkStart w:id="10" w:name="_Toc185845788"/>
      <w:r>
        <w:rPr>
          <w:rStyle w:val="CharSectno"/>
        </w:rPr>
        <w:t>5</w:t>
      </w:r>
      <w:r>
        <w:rPr>
          <w:snapToGrid w:val="0"/>
        </w:rPr>
        <w:t>.</w:t>
      </w:r>
      <w:r>
        <w:rPr>
          <w:snapToGrid w:val="0"/>
        </w:rPr>
        <w:tab/>
        <w:t>Notice of representation</w:t>
      </w:r>
      <w:bookmarkEnd w:id="9"/>
      <w:bookmarkEnd w:id="1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11" w:name="_Toc213341448"/>
      <w:bookmarkStart w:id="12" w:name="_Toc185845789"/>
      <w:r>
        <w:rPr>
          <w:rStyle w:val="CharSectno"/>
        </w:rPr>
        <w:t>6</w:t>
      </w:r>
      <w:r>
        <w:rPr>
          <w:snapToGrid w:val="0"/>
        </w:rPr>
        <w:t>.</w:t>
      </w:r>
      <w:r>
        <w:rPr>
          <w:snapToGrid w:val="0"/>
        </w:rPr>
        <w:tab/>
        <w:t xml:space="preserve">Hearing of evidence </w:t>
      </w:r>
      <w:r>
        <w:rPr>
          <w:i/>
          <w:snapToGrid w:val="0"/>
        </w:rPr>
        <w:t>in camera</w:t>
      </w:r>
      <w:bookmarkEnd w:id="11"/>
      <w:bookmarkEnd w:id="1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3" w:name="_Toc213341449"/>
      <w:bookmarkStart w:id="14" w:name="_Toc185845790"/>
      <w:r>
        <w:rPr>
          <w:rStyle w:val="CharSectno"/>
        </w:rPr>
        <w:lastRenderedPageBreak/>
        <w:t>7</w:t>
      </w:r>
      <w:r>
        <w:rPr>
          <w:snapToGrid w:val="0"/>
        </w:rPr>
        <w:t>.</w:t>
      </w:r>
      <w:r>
        <w:rPr>
          <w:snapToGrid w:val="0"/>
        </w:rPr>
        <w:tab/>
        <w:t>Fee for transcripts</w:t>
      </w:r>
      <w:bookmarkEnd w:id="13"/>
      <w:bookmarkEnd w:id="14"/>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5" w:name="_Toc213341450"/>
      <w:bookmarkStart w:id="16" w:name="_Toc185845791"/>
      <w:r>
        <w:rPr>
          <w:rStyle w:val="CharSectno"/>
        </w:rPr>
        <w:t>8</w:t>
      </w:r>
      <w:r>
        <w:rPr>
          <w:snapToGrid w:val="0"/>
        </w:rPr>
        <w:t>.</w:t>
      </w:r>
      <w:r>
        <w:rPr>
          <w:snapToGrid w:val="0"/>
        </w:rPr>
        <w:tab/>
        <w:t>Duties of Registrar</w:t>
      </w:r>
      <w:bookmarkEnd w:id="15"/>
      <w:bookmarkEnd w:id="1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7" w:name="_Toc213341451"/>
      <w:bookmarkStart w:id="18" w:name="_Toc185845792"/>
      <w:r>
        <w:rPr>
          <w:rStyle w:val="CharSectno"/>
        </w:rPr>
        <w:t>9</w:t>
      </w:r>
      <w:r>
        <w:rPr>
          <w:snapToGrid w:val="0"/>
        </w:rPr>
        <w:t>.</w:t>
      </w:r>
      <w:r>
        <w:rPr>
          <w:snapToGrid w:val="0"/>
        </w:rPr>
        <w:tab/>
        <w:t>Matters in which Chairperson or member alone may act</w:t>
      </w:r>
      <w:bookmarkEnd w:id="17"/>
      <w:bookmarkEnd w:id="18"/>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 w:name="_Toc213334104"/>
      <w:bookmarkStart w:id="20" w:name="_Toc213334912"/>
      <w:bookmarkStart w:id="21" w:name="_Toc213341386"/>
      <w:bookmarkStart w:id="22" w:name="_Toc213341452"/>
      <w:bookmarkStart w:id="23" w:name="_Toc185840995"/>
      <w:bookmarkStart w:id="24" w:name="_Toc185841203"/>
      <w:bookmarkStart w:id="25" w:name="_Toc185845793"/>
      <w:r>
        <w:rPr>
          <w:rStyle w:val="CharSchNo"/>
        </w:rPr>
        <w:t>Schedule 1</w:t>
      </w:r>
      <w:bookmarkEnd w:id="19"/>
      <w:bookmarkEnd w:id="20"/>
      <w:bookmarkEnd w:id="21"/>
      <w:bookmarkEnd w:id="22"/>
      <w:bookmarkEnd w:id="23"/>
      <w:bookmarkEnd w:id="24"/>
      <w:bookmarkEnd w:id="2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27" w:name="_Toc213334105"/>
      <w:bookmarkStart w:id="28" w:name="_Toc213334913"/>
      <w:bookmarkStart w:id="29" w:name="_Toc213341387"/>
      <w:bookmarkStart w:id="30" w:name="_Toc213341453"/>
      <w:bookmarkStart w:id="31" w:name="_Toc185840996"/>
      <w:bookmarkStart w:id="32" w:name="_Toc185841204"/>
      <w:bookmarkStart w:id="33" w:name="_Toc185845794"/>
      <w:r>
        <w:t>Notes</w:t>
      </w:r>
      <w:bookmarkEnd w:id="27"/>
      <w:bookmarkEnd w:id="28"/>
      <w:bookmarkEnd w:id="29"/>
      <w:bookmarkEnd w:id="30"/>
      <w:bookmarkEnd w:id="31"/>
      <w:bookmarkEnd w:id="32"/>
      <w:bookmarkEnd w:id="33"/>
    </w:p>
    <w:p>
      <w:pPr>
        <w:pStyle w:val="nStatement"/>
      </w:pPr>
      <w:r>
        <w:t xml:space="preserve">This is a compilation of the </w:t>
      </w:r>
      <w:r>
        <w:rPr>
          <w:i/>
          <w:noProof/>
        </w:rPr>
        <w:t>Racing Penalties (Appeals) Regulations</w:t>
      </w:r>
      <w:del w:id="34" w:author="Master Repository Process" w:date="2025-11-11T11:59:00Z">
        <w:r>
          <w:rPr>
            <w:i/>
            <w:noProof/>
          </w:rPr>
          <w:delText xml:space="preserve"> </w:delText>
        </w:r>
      </w:del>
      <w:ins w:id="35" w:author="Master Repository Process" w:date="2025-11-11T11:59:00Z">
        <w:r>
          <w:rPr>
            <w:i/>
            <w:noProof/>
          </w:rPr>
          <w:t> </w:t>
        </w:r>
      </w:ins>
      <w:r>
        <w:rPr>
          <w:i/>
          <w:noProof/>
        </w:rPr>
        <w:t>1991</w:t>
      </w:r>
      <w:r>
        <w:t xml:space="preserve"> and includes amendments made by other written laws. For provisions that have come into operation, and for information about any reprints, see the compilation table. </w:t>
      </w:r>
      <w:ins w:id="36" w:author="Master Repository Process" w:date="2025-11-11T11:59:00Z">
        <w:r>
          <w:t>For provisions that have not yet come into operation see the uncommenced provisions table.</w:t>
        </w:r>
      </w:ins>
    </w:p>
    <w:p>
      <w:pPr>
        <w:pStyle w:val="nHeading3"/>
      </w:pPr>
      <w:bookmarkStart w:id="37" w:name="_Toc213341454"/>
      <w:bookmarkStart w:id="38" w:name="_Toc185845795"/>
      <w:r>
        <w:t>Compilation table</w:t>
      </w:r>
      <w:bookmarkEnd w:id="37"/>
      <w:bookmarkEnd w:id="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rPr>
          <w:del w:id="39" w:author="Master Repository Process" w:date="2025-11-11T11:59:00Z"/>
        </w:rPr>
      </w:pPr>
      <w:bookmarkStart w:id="40" w:name="_Toc213341455"/>
    </w:p>
    <w:p>
      <w:pPr>
        <w:rPr>
          <w:del w:id="41" w:author="Master Repository Process" w:date="2025-11-11T11:59: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3"/>
        <w:rPr>
          <w:ins w:id="42" w:author="Master Repository Process" w:date="2025-11-11T11:59:00Z"/>
        </w:rPr>
      </w:pPr>
      <w:ins w:id="43" w:author="Master Repository Process" w:date="2025-11-11T11:59:00Z">
        <w:r>
          <w:t>Uncommenced provisions table</w:t>
        </w:r>
        <w:bookmarkEnd w:id="40"/>
      </w:ins>
    </w:p>
    <w:p>
      <w:pPr>
        <w:pStyle w:val="nStatement"/>
        <w:keepNext/>
        <w:spacing w:after="240"/>
        <w:rPr>
          <w:ins w:id="44" w:author="Master Repository Process" w:date="2025-11-11T11:59:00Z"/>
        </w:rPr>
      </w:pPr>
      <w:ins w:id="45" w:author="Master Repository Process" w:date="2025-11-11T11:5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 w:author="Master Repository Process" w:date="2025-11-11T11:59:00Z"/>
        </w:trPr>
        <w:tc>
          <w:tcPr>
            <w:tcW w:w="3118" w:type="dxa"/>
          </w:tcPr>
          <w:p>
            <w:pPr>
              <w:pStyle w:val="nTable"/>
              <w:spacing w:after="40"/>
              <w:rPr>
                <w:ins w:id="47" w:author="Master Repository Process" w:date="2025-11-11T11:59:00Z"/>
                <w:b/>
              </w:rPr>
            </w:pPr>
            <w:ins w:id="48" w:author="Master Repository Process" w:date="2025-11-11T11:59:00Z">
              <w:r>
                <w:rPr>
                  <w:b/>
                </w:rPr>
                <w:t>Citation</w:t>
              </w:r>
            </w:ins>
          </w:p>
        </w:tc>
        <w:tc>
          <w:tcPr>
            <w:tcW w:w="1276" w:type="dxa"/>
          </w:tcPr>
          <w:p>
            <w:pPr>
              <w:pStyle w:val="nTable"/>
              <w:spacing w:after="40"/>
              <w:rPr>
                <w:ins w:id="49" w:author="Master Repository Process" w:date="2025-11-11T11:59:00Z"/>
                <w:b/>
              </w:rPr>
            </w:pPr>
            <w:ins w:id="50" w:author="Master Repository Process" w:date="2025-11-11T11:59:00Z">
              <w:r>
                <w:rPr>
                  <w:b/>
                </w:rPr>
                <w:t>Published</w:t>
              </w:r>
            </w:ins>
          </w:p>
        </w:tc>
        <w:tc>
          <w:tcPr>
            <w:tcW w:w="2693" w:type="dxa"/>
          </w:tcPr>
          <w:p>
            <w:pPr>
              <w:pStyle w:val="nTable"/>
              <w:spacing w:after="40"/>
              <w:rPr>
                <w:ins w:id="51" w:author="Master Repository Process" w:date="2025-11-11T11:59:00Z"/>
                <w:b/>
              </w:rPr>
            </w:pPr>
            <w:ins w:id="52" w:author="Master Repository Process" w:date="2025-11-11T11:59:00Z">
              <w:r>
                <w:rPr>
                  <w:b/>
                </w:rPr>
                <w:t>Commencement</w:t>
              </w:r>
            </w:ins>
          </w:p>
        </w:tc>
      </w:tr>
      <w:tr>
        <w:trPr>
          <w:ins w:id="53" w:author="Master Repository Process" w:date="2025-11-11T11:59:00Z"/>
        </w:trPr>
        <w:tc>
          <w:tcPr>
            <w:tcW w:w="3118" w:type="dxa"/>
          </w:tcPr>
          <w:p>
            <w:pPr>
              <w:pStyle w:val="nTable"/>
              <w:spacing w:after="40"/>
              <w:rPr>
                <w:ins w:id="54" w:author="Master Repository Process" w:date="2025-11-11T11:59:00Z"/>
              </w:rPr>
            </w:pPr>
            <w:ins w:id="55" w:author="Master Repository Process" w:date="2025-11-11T11:59:00Z">
              <w:r>
                <w:rPr>
                  <w:i/>
                </w:rPr>
                <w:t>Racing and Gaming Regulations Amendment (Fees and Charges) Regulations 2025</w:t>
              </w:r>
              <w:r>
                <w:rPr>
                  <w:iCs/>
                </w:rPr>
                <w:t xml:space="preserve"> Pt. 8</w:t>
              </w:r>
            </w:ins>
          </w:p>
        </w:tc>
        <w:tc>
          <w:tcPr>
            <w:tcW w:w="1276" w:type="dxa"/>
          </w:tcPr>
          <w:p>
            <w:pPr>
              <w:pStyle w:val="nTable"/>
              <w:spacing w:after="40"/>
              <w:rPr>
                <w:ins w:id="56" w:author="Master Repository Process" w:date="2025-11-11T11:59:00Z"/>
              </w:rPr>
            </w:pPr>
            <w:ins w:id="57" w:author="Master Repository Process" w:date="2025-11-11T11:59:00Z">
              <w:r>
                <w:t>SL 2025/187 12 Nov 2025</w:t>
              </w:r>
            </w:ins>
          </w:p>
        </w:tc>
        <w:tc>
          <w:tcPr>
            <w:tcW w:w="2693" w:type="dxa"/>
          </w:tcPr>
          <w:p>
            <w:pPr>
              <w:pStyle w:val="nTable"/>
              <w:spacing w:after="40"/>
              <w:rPr>
                <w:ins w:id="58" w:author="Master Repository Process" w:date="2025-11-11T11:59:00Z"/>
              </w:rPr>
            </w:pPr>
            <w:ins w:id="59" w:author="Master Repository Process" w:date="2025-11-11T11:59:00Z">
              <w:r>
                <w:t>1 Jan 2026 (see r. 2(b))</w:t>
              </w:r>
            </w:ins>
          </w:p>
        </w:tc>
      </w:tr>
    </w:tbl>
    <w:p>
      <w:pPr>
        <w:rPr>
          <w:ins w:id="60" w:author="Master Repository Process" w:date="2025-11-11T11:59:00Z"/>
        </w:r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0654"/>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 w:name="WAFER_2025110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0654_GUID" w:val="0496553a-c495-4cae-b18b-bf7ae33825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1680</Words>
  <Characters>7664</Characters>
  <Application>Microsoft Office Word</Application>
  <DocSecurity>0</DocSecurity>
  <Lines>306</Lines>
  <Paragraphs>179</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03-t0-00 - 03-u0-00</dc:title>
  <dc:subject/>
  <dc:creator/>
  <cp:keywords/>
  <dc:description/>
  <cp:lastModifiedBy>Master Repository Process</cp:lastModifiedBy>
  <cp:revision>2</cp:revision>
  <cp:lastPrinted>2019-12-05T03:43:00Z</cp:lastPrinted>
  <dcterms:created xsi:type="dcterms:W3CDTF">2025-11-11T03:58:00Z</dcterms:created>
  <dcterms:modified xsi:type="dcterms:W3CDTF">2025-11-11T03:59:00Z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03-t0-00</vt:lpwstr>
  </property>
  <property fmtid="{D5CDD505-2E9C-101B-9397-08002B2CF9AE}" pid="12" name="FromAsAtDate">
    <vt:lpwstr>01 Jan 2025</vt:lpwstr>
  </property>
  <property fmtid="{D5CDD505-2E9C-101B-9397-08002B2CF9AE}" pid="13" name="ToSuffix">
    <vt:lpwstr>03-u0-00</vt:lpwstr>
  </property>
  <property fmtid="{D5CDD505-2E9C-101B-9397-08002B2CF9AE}" pid="14" name="ToAsAtDate">
    <vt:lpwstr>12 Nov 2025</vt:lpwstr>
  </property>
</Properties>
</file>