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10 Dec 2025</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215750815"/>
      <w:bookmarkStart w:id="2" w:name="_Toc215751582"/>
      <w:bookmarkStart w:id="3" w:name="_Toc215751801"/>
      <w:bookmarkStart w:id="4" w:name="_Toc201576689"/>
      <w:bookmarkStart w:id="5" w:name="_Toc201581629"/>
      <w:bookmarkStart w:id="6" w:name="_Toc201669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15751802"/>
      <w:bookmarkStart w:id="8" w:name="_Toc20166966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9" w:name="_Toc215751803"/>
      <w:bookmarkStart w:id="10" w:name="_Toc20166966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1 September 2005.</w:t>
      </w:r>
    </w:p>
    <w:p>
      <w:pPr>
        <w:pStyle w:val="Heading5"/>
      </w:pPr>
      <w:bookmarkStart w:id="11" w:name="_Toc215751804"/>
      <w:bookmarkStart w:id="12" w:name="_Toc201669664"/>
      <w:r>
        <w:rPr>
          <w:rStyle w:val="CharSectno"/>
        </w:rPr>
        <w:t>3</w:t>
      </w:r>
      <w:r>
        <w:t>.</w:t>
      </w:r>
      <w:r>
        <w:tab/>
        <w:t>Terms used in these regulations</w:t>
      </w:r>
      <w:bookmarkEnd w:id="11"/>
      <w:bookmarkEnd w:id="12"/>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agency resolution period</w:t>
      </w:r>
      <w:r>
        <w:t>, in relation to a claim, means the period for a public sector body to resolve the claim with the claimant under regulation 10;</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lastRenderedPageBreak/>
        <w:tab/>
        <w:t>(b)</w:t>
      </w:r>
      <w:r>
        <w:tab/>
        <w:t>a shared appointment pool;</w:t>
      </w:r>
    </w:p>
    <w:p>
      <w:pPr>
        <w:pStyle w:val="Defstart"/>
      </w:pPr>
      <w:r>
        <w:tab/>
      </w:r>
      <w:r>
        <w:rPr>
          <w:rStyle w:val="CharDefText"/>
        </w:rPr>
        <w:t>business day</w:t>
      </w:r>
      <w:r>
        <w:t xml:space="preserve"> means any day other than a Saturday, Sunday or public holiday;</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lastRenderedPageBreak/>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specified public sector standard</w:t>
      </w:r>
      <w:r>
        <w:t xml:space="preserve"> has the meaning given in the </w:t>
      </w:r>
      <w:r>
        <w:rPr>
          <w:i/>
        </w:rPr>
        <w:t>Industrial Relations Act 1979</w:t>
      </w:r>
      <w:r>
        <w:t xml:space="preserve"> section 36AI;</w:t>
      </w:r>
    </w:p>
    <w:p>
      <w:pPr>
        <w:pStyle w:val="Defstart"/>
      </w:pPr>
      <w:r>
        <w:tab/>
      </w:r>
      <w:r>
        <w:rPr>
          <w:rStyle w:val="CharDefText"/>
        </w:rPr>
        <w:t>transfer</w:t>
      </w:r>
      <w:r>
        <w:t xml:space="preserve"> — </w:t>
      </w:r>
    </w:p>
    <w:p>
      <w:pPr>
        <w:pStyle w:val="Defpara"/>
      </w:pPr>
      <w:r>
        <w:tab/>
        <w:t>(a)</w:t>
      </w:r>
      <w:r>
        <w:tab/>
        <w:t>means the permanent movement of an employee from an office, post or position in a public sector body to another office, post or position with the same level of classification in a public sector body</w:t>
      </w:r>
      <w:r>
        <w:rPr>
          <w:iCs/>
        </w:rPr>
        <w:t>; but</w:t>
      </w:r>
    </w:p>
    <w:p>
      <w:pPr>
        <w:pStyle w:val="Defpara"/>
      </w:pPr>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p>
    <w:p>
      <w:pPr>
        <w:pStyle w:val="Defstart"/>
      </w:pPr>
      <w:r>
        <w:rPr>
          <w:b/>
        </w:rPr>
        <w:tab/>
      </w:r>
      <w:r>
        <w:rPr>
          <w:rStyle w:val="CharDefText"/>
        </w:rPr>
        <w:t>vacancy</w:t>
      </w:r>
      <w:r>
        <w:t xml:space="preserve"> means a vacant office, post or position;</w:t>
      </w:r>
    </w:p>
    <w:p>
      <w:pPr>
        <w:pStyle w:val="Defstart"/>
        <w:rPr>
          <w:iCs/>
        </w:rPr>
      </w:pPr>
      <w:r>
        <w:tab/>
      </w:r>
      <w:r>
        <w:rPr>
          <w:rStyle w:val="CharDefText"/>
        </w:rPr>
        <w:t>WAIRC</w:t>
      </w:r>
      <w:r>
        <w:t xml:space="preserve"> means the Commission as defined in the </w:t>
      </w:r>
      <w:r>
        <w:rPr>
          <w:i/>
        </w:rPr>
        <w:t>Industrial Relations Act 1979</w:t>
      </w:r>
      <w:r>
        <w:rPr>
          <w:iCs/>
        </w:rPr>
        <w:t xml:space="preserve"> section 7(1).</w:t>
      </w:r>
    </w:p>
    <w:p>
      <w:pPr>
        <w:pStyle w:val="Ednotesubsection"/>
      </w:pPr>
      <w:r>
        <w:tab/>
        <w:t>[(2)</w:t>
      </w:r>
      <w:r>
        <w:tab/>
        <w:t>deleted]</w:t>
      </w:r>
    </w:p>
    <w:p>
      <w:pPr>
        <w:pStyle w:val="Footnotesection"/>
      </w:pPr>
      <w:r>
        <w:tab/>
        <w:t>[Regulation 3 amended: Gazette 11 Feb 2011 p. 493-6; SL 2025/122 r. 4.]</w:t>
      </w:r>
    </w:p>
    <w:p>
      <w:pPr>
        <w:pStyle w:val="Heading5"/>
      </w:pPr>
      <w:bookmarkStart w:id="13" w:name="_Toc215751805"/>
      <w:bookmarkStart w:id="14" w:name="_Toc201669665"/>
      <w:r>
        <w:rPr>
          <w:rStyle w:val="CharSectno"/>
        </w:rPr>
        <w:t>4</w:t>
      </w:r>
      <w:r>
        <w:t>.</w:t>
      </w:r>
      <w:r>
        <w:tab/>
        <w:t>Guidelines</w:t>
      </w:r>
      <w:bookmarkEnd w:id="13"/>
      <w:bookmarkEnd w:id="14"/>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15" w:name="_Toc215751806"/>
      <w:bookmarkStart w:id="16" w:name="_Toc201669666"/>
      <w:r>
        <w:rPr>
          <w:rStyle w:val="CharSectno"/>
        </w:rPr>
        <w:t>5A</w:t>
      </w:r>
      <w:r>
        <w:t>.</w:t>
      </w:r>
      <w:r>
        <w:tab/>
        <w:t>Shared appointment pools</w:t>
      </w:r>
      <w:bookmarkEnd w:id="15"/>
      <w:bookmarkEnd w:id="16"/>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Gazette 11 Feb 2011 p. 495.]</w:t>
      </w:r>
    </w:p>
    <w:p>
      <w:pPr>
        <w:pStyle w:val="Heading2"/>
      </w:pPr>
      <w:bookmarkStart w:id="17" w:name="_Toc215750821"/>
      <w:bookmarkStart w:id="18" w:name="_Toc215751588"/>
      <w:bookmarkStart w:id="19" w:name="_Toc215751807"/>
      <w:bookmarkStart w:id="20" w:name="_Toc201576695"/>
      <w:bookmarkStart w:id="21" w:name="_Toc201581635"/>
      <w:bookmarkStart w:id="22" w:name="_Toc201669667"/>
      <w:r>
        <w:rPr>
          <w:rStyle w:val="CharPartNo"/>
        </w:rPr>
        <w:t>Part 2</w:t>
      </w:r>
      <w:r>
        <w:rPr>
          <w:rStyle w:val="CharDivNo"/>
        </w:rPr>
        <w:t> </w:t>
      </w:r>
      <w:r>
        <w:t>—</w:t>
      </w:r>
      <w:r>
        <w:rPr>
          <w:rStyle w:val="CharDivText"/>
        </w:rPr>
        <w:t> </w:t>
      </w:r>
      <w:r>
        <w:rPr>
          <w:rStyle w:val="CharPartText"/>
        </w:rPr>
        <w:t>Claims for relief for breaches of public sector standards</w:t>
      </w:r>
      <w:bookmarkEnd w:id="17"/>
      <w:bookmarkEnd w:id="18"/>
      <w:bookmarkEnd w:id="19"/>
      <w:bookmarkEnd w:id="20"/>
      <w:bookmarkEnd w:id="21"/>
      <w:bookmarkEnd w:id="22"/>
    </w:p>
    <w:p>
      <w:pPr>
        <w:pStyle w:val="Heading5"/>
      </w:pPr>
      <w:bookmarkStart w:id="23" w:name="_Toc215751808"/>
      <w:bookmarkStart w:id="24" w:name="_Toc201669668"/>
      <w:r>
        <w:rPr>
          <w:rStyle w:val="CharSectno"/>
        </w:rPr>
        <w:t>5</w:t>
      </w:r>
      <w:r>
        <w:t>.</w:t>
      </w:r>
      <w:r>
        <w:tab/>
        <w:t>Public sector bodies to give notice of certain reviewable decisions</w:t>
      </w:r>
      <w:bookmarkEnd w:id="23"/>
      <w:bookmarkEnd w:id="24"/>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Gazette 11 Feb 2011 p. 495-6.]</w:t>
      </w:r>
    </w:p>
    <w:p>
      <w:pPr>
        <w:pStyle w:val="Heading5"/>
      </w:pPr>
      <w:bookmarkStart w:id="25" w:name="_Toc215751809"/>
      <w:bookmarkStart w:id="26" w:name="_Toc201669669"/>
      <w:r>
        <w:rPr>
          <w:rStyle w:val="CharSectno"/>
        </w:rPr>
        <w:t>6</w:t>
      </w:r>
      <w:r>
        <w:t>.</w:t>
      </w:r>
      <w:r>
        <w:tab/>
        <w:t>Making claims for relief for breaches of public sector standards</w:t>
      </w:r>
      <w:bookmarkEnd w:id="25"/>
      <w:bookmarkEnd w:id="26"/>
    </w:p>
    <w:p>
      <w:pPr>
        <w:pStyle w:val="Subsection"/>
      </w:pPr>
      <w:r>
        <w:tab/>
        <w:t>(1A)</w:t>
      </w:r>
      <w:r>
        <w:tab/>
        <w:t xml:space="preserve">In this regulation — </w:t>
      </w:r>
    </w:p>
    <w:p>
      <w:pPr>
        <w:pStyle w:val="Defstart"/>
      </w:pPr>
      <w:r>
        <w:tab/>
      </w:r>
      <w:r>
        <w:rPr>
          <w:rStyle w:val="CharDefText"/>
        </w:rPr>
        <w:t>minimum period</w:t>
      </w:r>
      <w:r>
        <w:t xml:space="preserve">, in relation to an appointment to fill a vacancy, means — </w:t>
      </w:r>
    </w:p>
    <w:p>
      <w:pPr>
        <w:pStyle w:val="Defpara"/>
      </w:pPr>
      <w:r>
        <w:tab/>
        <w:t>(a)</w:t>
      </w:r>
      <w:r>
        <w:tab/>
        <w:t>a period of more than 6 months; or</w:t>
      </w:r>
    </w:p>
    <w:p>
      <w:pPr>
        <w:pStyle w:val="Defpara"/>
      </w:pPr>
      <w:r>
        <w:tab/>
        <w:t>(b)</w:t>
      </w:r>
      <w:r>
        <w:tab/>
        <w:t>a period of 6 months or less if the vacancy was advertised on the basis that the period of the appointment could later be extended to more than 6 months or the person appointed could later become a permanent officer.</w:t>
      </w:r>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Subject to subregulations (3A), (3B) and (3C), only the following persons may make a claim in respect of a breach of a public sector employment standard — </w:t>
      </w:r>
    </w:p>
    <w:p>
      <w:pPr>
        <w:pStyle w:val="Indenta"/>
      </w:pPr>
      <w:r>
        <w:tab/>
        <w:t>(a)</w:t>
      </w:r>
      <w:r>
        <w:tab/>
        <w:t xml:space="preserve">a person who — </w:t>
      </w:r>
    </w:p>
    <w:p>
      <w:pPr>
        <w:pStyle w:val="Indenti"/>
      </w:pPr>
      <w:r>
        <w:tab/>
        <w:t>(i)</w:t>
      </w:r>
      <w:r>
        <w:tab/>
        <w:t>applied unsuccessfully to be appointed to fill a vacancy for the minimum period, other than filling the vacancy by appointment from an appointment pool or by way of acting movement or transfer; and</w:t>
      </w:r>
    </w:p>
    <w:p>
      <w:pPr>
        <w:pStyle w:val="Indenti"/>
      </w:pPr>
      <w:r>
        <w:tab/>
        <w:t>(ii)</w:t>
      </w:r>
      <w:r>
        <w:tab/>
        <w:t>claims there was a breach of the standard to the extent it applies to the process for the appointment mentioned in subparagraph (i);</w:t>
      </w:r>
    </w:p>
    <w:p>
      <w:pPr>
        <w:pStyle w:val="Indenta"/>
      </w:pPr>
      <w:r>
        <w:tab/>
        <w:t>(b)</w:t>
      </w:r>
      <w:r>
        <w:tab/>
        <w:t xml:space="preserve">a person who — </w:t>
      </w:r>
    </w:p>
    <w:p>
      <w:pPr>
        <w:pStyle w:val="Indenti"/>
      </w:pPr>
      <w:r>
        <w:tab/>
        <w:t>(i)</w:t>
      </w:r>
      <w:r>
        <w:tab/>
        <w:t>applied unsuccessfully to be appointed to fill a temporary vacancy for the minimum period by way of acting movement; and</w:t>
      </w:r>
    </w:p>
    <w:p>
      <w:pPr>
        <w:pStyle w:val="Indenti"/>
      </w:pPr>
      <w:r>
        <w:tab/>
        <w:t>(ii)</w:t>
      </w:r>
      <w:r>
        <w:tab/>
        <w:t>claims there was a breach of the standard to the extent it applies to the process for the appointment mentioned in subparagraph (i);</w:t>
      </w:r>
    </w:p>
    <w:p>
      <w:pPr>
        <w:pStyle w:val="Indenta"/>
      </w:pPr>
      <w:r>
        <w:tab/>
        <w:t>(c)</w:t>
      </w:r>
      <w:r>
        <w:tab/>
        <w:t xml:space="preserve">a person who — </w:t>
      </w:r>
    </w:p>
    <w:p>
      <w:pPr>
        <w:pStyle w:val="Indenti"/>
      </w:pPr>
      <w:r>
        <w:tab/>
        <w:t>(i)</w:t>
      </w:r>
      <w:r>
        <w:tab/>
        <w:t>applied unsuccessfully to be selected to form part of an appointment pool; and</w:t>
      </w:r>
    </w:p>
    <w:p>
      <w:pPr>
        <w:pStyle w:val="Indenti"/>
      </w:pPr>
      <w:r>
        <w:tab/>
        <w:t>(ii)</w:t>
      </w:r>
      <w:r>
        <w:tab/>
        <w:t>claims there was a breach of the standard to the extent it applies to the process for the selection mentioned in subparagraph (i);</w:t>
      </w:r>
    </w:p>
    <w:p>
      <w:pPr>
        <w:pStyle w:val="Indenta"/>
      </w:pPr>
      <w:r>
        <w:tab/>
        <w:t>(d)</w:t>
      </w:r>
      <w:r>
        <w:tab/>
        <w:t xml:space="preserve">a person who — </w:t>
      </w:r>
    </w:p>
    <w:p>
      <w:pPr>
        <w:pStyle w:val="Indenti"/>
      </w:pPr>
      <w:r>
        <w:tab/>
        <w:t>(i)</w:t>
      </w:r>
      <w:r>
        <w:tab/>
        <w:t>applied unsuccessfully to fill a vacancy by way of transfer; and</w:t>
      </w:r>
    </w:p>
    <w:p>
      <w:pPr>
        <w:pStyle w:val="Indenti"/>
      </w:pPr>
      <w:r>
        <w:tab/>
        <w:t>(ii)</w:t>
      </w:r>
      <w:r>
        <w:tab/>
        <w:t>claims there was a breach of the standard to the extent it applies to the process for the transfer mentioned in subparagraph (i);</w:t>
      </w:r>
    </w:p>
    <w:p>
      <w:pPr>
        <w:pStyle w:val="Indenta"/>
      </w:pPr>
      <w:r>
        <w:tab/>
        <w:t>(e)</w:t>
      </w:r>
      <w:r>
        <w:tab/>
        <w:t xml:space="preserve">a person who — </w:t>
      </w:r>
    </w:p>
    <w:p>
      <w:pPr>
        <w:pStyle w:val="Indenti"/>
      </w:pPr>
      <w:r>
        <w:tab/>
        <w:t>(i)</w:t>
      </w:r>
      <w:r>
        <w:tab/>
        <w:t>is being transferred; and</w:t>
      </w:r>
    </w:p>
    <w:p>
      <w:pPr>
        <w:pStyle w:val="Indenti"/>
      </w:pPr>
      <w:r>
        <w:tab/>
        <w:t>(ii)</w:t>
      </w:r>
      <w:r>
        <w:tab/>
        <w:t>claims there was a breach of the standard to the extent it applies to the process for the transfer mentioned in subparagraph (i).</w:t>
      </w:r>
    </w:p>
    <w:p>
      <w:pPr>
        <w:pStyle w:val="Subsection"/>
      </w:pPr>
      <w:r>
        <w:tab/>
        <w:t>(3A)</w:t>
      </w:r>
      <w:r>
        <w:tab/>
        <w:t>Subregulation (3)(d) does not apply to a person if, when the person applied to fill a vacancy by way of transfer, the person could have applied to fill the vacancy other than by way of transfer.</w:t>
      </w:r>
    </w:p>
    <w:p>
      <w:pPr>
        <w:pStyle w:val="Subsection"/>
      </w:pPr>
      <w:r>
        <w:tab/>
        <w:t>(3B)</w:t>
      </w:r>
      <w:r>
        <w:tab/>
        <w:t xml:space="preserve">Subregulation (3)(d) and (e)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Subsection"/>
      </w:pPr>
      <w:r>
        <w:tab/>
        <w:t>(3C)</w:t>
      </w:r>
      <w:r>
        <w:tab/>
        <w:t xml:space="preserve">For the purpose of applying subregulation (3), unless a person applied to fill a vacancy by way of transfer — </w:t>
      </w:r>
    </w:p>
    <w:p>
      <w:pPr>
        <w:pStyle w:val="Indenta"/>
      </w:pPr>
      <w:r>
        <w:tab/>
        <w:t>(a)</w:t>
      </w:r>
      <w:r>
        <w:tab/>
        <w:t>it is irrelevant that the person could have filled the vacancy by way of transfer; and</w:t>
      </w:r>
    </w:p>
    <w:p>
      <w:pPr>
        <w:pStyle w:val="Indenta"/>
      </w:pPr>
      <w:r>
        <w:tab/>
        <w:t>(b)</w:t>
      </w:r>
      <w:r>
        <w:tab/>
        <w:t xml:space="preserve">a public sector employment standard, to the extent it applies to the process of transfer, is not relevant; and </w:t>
      </w:r>
    </w:p>
    <w:p>
      <w:pPr>
        <w:pStyle w:val="Indenta"/>
      </w:pPr>
      <w:r>
        <w:tab/>
        <w:t>(c)</w:t>
      </w:r>
      <w:r>
        <w:tab/>
        <w:t>any reference to a transfer in a document, prepared for the purpose of the person being appointed to, or being considered for being appointed to, fill the vacancy, is irrelevant.</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Gazette 11 Feb 2011 p. 496-7; SL 2025/122 r. 5.]</w:t>
      </w:r>
    </w:p>
    <w:p>
      <w:pPr>
        <w:pStyle w:val="Heading5"/>
      </w:pPr>
      <w:bookmarkStart w:id="27" w:name="_Toc215751810"/>
      <w:bookmarkStart w:id="28" w:name="_Toc201669670"/>
      <w:r>
        <w:rPr>
          <w:rStyle w:val="CharSectno"/>
        </w:rPr>
        <w:t>7</w:t>
      </w:r>
      <w:r>
        <w:t>.</w:t>
      </w:r>
      <w:r>
        <w:tab/>
        <w:t>Lodging claims with public sector bodies</w:t>
      </w:r>
      <w:bookmarkEnd w:id="27"/>
      <w:bookmarkEnd w:id="28"/>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keepNext/>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business days after the claimant was given notice under regulation 5(2) or (3A), as is specified in the notice;</w:t>
      </w:r>
    </w:p>
    <w:p>
      <w:pPr>
        <w:pStyle w:val="Defpara"/>
      </w:pPr>
      <w:r>
        <w:tab/>
        <w:t>(b)</w:t>
      </w:r>
      <w:r>
        <w:tab/>
        <w:t>for a reviewable decision referred to in regulation 5(1) — 10 business days after the claimant was given notice under that subregulation;</w:t>
      </w:r>
    </w:p>
    <w:p>
      <w:pPr>
        <w:pStyle w:val="Defpara"/>
      </w:pPr>
      <w:r>
        <w:tab/>
        <w:t>(c)</w:t>
      </w:r>
      <w:r>
        <w:tab/>
        <w:t>for any other reviewable decision — 10 business days after the claimant first became aware of the reviewable decision or 30 business days after the reviewable decision was made, which period expires first.</w:t>
      </w:r>
    </w:p>
    <w:p>
      <w:pPr>
        <w:pStyle w:val="Footnotesection"/>
      </w:pPr>
      <w:r>
        <w:tab/>
        <w:t>[Regulation 7 amended: Gazette 28 Oct 2008 p. 4727</w:t>
      </w:r>
      <w:r>
        <w:noBreakHyphen/>
        <w:t>8; 11 Feb 2011 p. 497; SL 2025/122 r. 6.]</w:t>
      </w:r>
    </w:p>
    <w:p>
      <w:pPr>
        <w:pStyle w:val="Ednotesection"/>
      </w:pPr>
      <w:r>
        <w:t>[</w:t>
      </w:r>
      <w:r>
        <w:rPr>
          <w:b/>
        </w:rPr>
        <w:t>8A.</w:t>
      </w:r>
      <w:r>
        <w:tab/>
        <w:t>Deleted: Gazette 11 Feb 2011 p. 497.]</w:t>
      </w:r>
    </w:p>
    <w:p>
      <w:pPr>
        <w:pStyle w:val="Heading5"/>
      </w:pPr>
      <w:bookmarkStart w:id="29" w:name="_Toc215751811"/>
      <w:bookmarkStart w:id="30" w:name="_Toc201669671"/>
      <w:r>
        <w:rPr>
          <w:rStyle w:val="CharSectno"/>
        </w:rPr>
        <w:t>8</w:t>
      </w:r>
      <w:r>
        <w:t>.</w:t>
      </w:r>
      <w:r>
        <w:tab/>
        <w:t>Effect of making claims on proposed appointments and transfers</w:t>
      </w:r>
      <w:bookmarkEnd w:id="29"/>
      <w:bookmarkEnd w:id="30"/>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w:t>
      </w:r>
    </w:p>
    <w:p>
      <w:pPr>
        <w:pStyle w:val="Subsection"/>
      </w:pPr>
      <w:r>
        <w:tab/>
        <w:t>(2)</w:t>
      </w:r>
      <w:r>
        <w:tab/>
        <w:t>For any claim other than a claim that there was a breach of a specified public sector standard, subregulation (1) ceases to prevent the employing authority from making the appointment or transfer if —</w:t>
      </w:r>
    </w:p>
    <w:p>
      <w:pPr>
        <w:pStyle w:val="Indenta"/>
      </w:pPr>
      <w:r>
        <w:tab/>
        <w:t>(a)</w:t>
      </w:r>
      <w:r>
        <w:tab/>
        <w:t>the claim is resolved between the public sector body and the claimant during the agency resolution period for the claim; or</w:t>
      </w:r>
    </w:p>
    <w:p>
      <w:pPr>
        <w:pStyle w:val="Indenta"/>
      </w:pPr>
      <w:r>
        <w:tab/>
        <w:t>(b)</w:t>
      </w:r>
      <w:r>
        <w:tab/>
        <w:t>the claim is settled by agreement through the conciliation process; or</w:t>
      </w:r>
    </w:p>
    <w:p>
      <w:pPr>
        <w:pStyle w:val="Indenta"/>
      </w:pPr>
      <w:r>
        <w:tab/>
        <w:t>(c)</w:t>
      </w:r>
      <w:r>
        <w:tab/>
        <w:t>the claim is the subject of notice given by the Commissioner under regulation 21; or</w:t>
      </w:r>
    </w:p>
    <w:p>
      <w:pPr>
        <w:pStyle w:val="Indenta"/>
      </w:pPr>
      <w:r>
        <w:tab/>
        <w:t>(d)</w:t>
      </w:r>
      <w:r>
        <w:tab/>
        <w:t>the claim is withdrawn under regulation 23(1); or</w:t>
      </w:r>
    </w:p>
    <w:p>
      <w:pPr>
        <w:pStyle w:val="Indenta"/>
      </w:pPr>
      <w:r>
        <w:tab/>
        <w:t>(e)</w:t>
      </w:r>
      <w:r>
        <w:tab/>
        <w:t>the claim lapses under regulation 24(3).</w:t>
      </w:r>
    </w:p>
    <w:p>
      <w:pPr>
        <w:pStyle w:val="Subsection"/>
      </w:pPr>
      <w:r>
        <w:tab/>
        <w:t>(2A)</w:t>
      </w:r>
      <w:r>
        <w:tab/>
        <w:t xml:space="preserve">For a claim that there was a breach of a specified public sector standard, subregulation (1) ceases to prevent the employing authority from making the appointment or transfer if — </w:t>
      </w:r>
    </w:p>
    <w:p>
      <w:pPr>
        <w:pStyle w:val="Indenta"/>
      </w:pPr>
      <w:r>
        <w:tab/>
        <w:t>(a)</w:t>
      </w:r>
      <w:r>
        <w:tab/>
        <w:t>the claim is resolved between the public sector body and the claimant during the agency resolution period for the claim; or</w:t>
      </w:r>
    </w:p>
    <w:p>
      <w:pPr>
        <w:pStyle w:val="Indenta"/>
      </w:pPr>
      <w:r>
        <w:tab/>
        <w:t>(b)</w:t>
      </w:r>
      <w:r>
        <w:tab/>
        <w:t xml:space="preserve">the claim is referred to the WAIRC under the </w:t>
      </w:r>
      <w:r>
        <w:rPr>
          <w:i/>
        </w:rPr>
        <w:t>Industrial Relations Act 1979</w:t>
      </w:r>
      <w:r>
        <w:t xml:space="preserve"> section 29(1)(l); or</w:t>
      </w:r>
    </w:p>
    <w:p>
      <w:pPr>
        <w:pStyle w:val="Indenta"/>
      </w:pPr>
      <w:r>
        <w:tab/>
        <w:t>(c)</w:t>
      </w:r>
      <w:r>
        <w:tab/>
        <w:t xml:space="preserve">the claim is not referred to the WAIRC under the </w:t>
      </w:r>
      <w:r>
        <w:rPr>
          <w:i/>
        </w:rPr>
        <w:t>Industrial Relations Act 1979</w:t>
      </w:r>
      <w:r>
        <w:t xml:space="preserve"> section 29(1)(l) within 28 days after the end of the agency resolution period for the claim; or</w:t>
      </w:r>
    </w:p>
    <w:p>
      <w:pPr>
        <w:pStyle w:val="Indenta"/>
      </w:pPr>
      <w:r>
        <w:tab/>
        <w:t>(d)</w:t>
      </w:r>
      <w:r>
        <w:tab/>
        <w:t>the claim is withdrawn under regulation 23(4).</w:t>
      </w:r>
    </w:p>
    <w:p>
      <w:pPr>
        <w:pStyle w:val="Subsection"/>
      </w:pPr>
      <w:r>
        <w:tab/>
        <w:t>(3)</w:t>
      </w:r>
      <w:r>
        <w:tab/>
        <w:t xml:space="preserve">Subregulation (1) ceases to prevent the employing authority from making the appointment or transfer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tab/>
        <w:t>(b)</w:t>
      </w:r>
      <w:r>
        <w:tab/>
        <w:t>the Commissioner gives the employing authority written approval to make the appointment or give effect to the transfer.</w:t>
      </w:r>
    </w:p>
    <w:p>
      <w:pPr>
        <w:pStyle w:val="Subsection"/>
      </w:pPr>
      <w:r>
        <w:tab/>
        <w:t>(4)</w:t>
      </w:r>
      <w:r>
        <w:tab/>
        <w:t xml:space="preserve">This regulation does not apply to any of the following — </w:t>
      </w:r>
    </w:p>
    <w:p>
      <w:pPr>
        <w:pStyle w:val="Indenta"/>
      </w:pPr>
      <w:r>
        <w:tab/>
        <w:t>(a)</w:t>
      </w:r>
      <w:r>
        <w:tab/>
        <w:t xml:space="preserve">the transfer of an employee under the </w:t>
      </w:r>
      <w:r>
        <w:rPr>
          <w:i/>
          <w:iCs/>
        </w:rPr>
        <w:t>Public Sector Management (Redeployment and Redundancy) Regulations 2014</w:t>
      </w:r>
      <w:r>
        <w:t xml:space="preserve"> regulation 10(1);</w:t>
      </w:r>
    </w:p>
    <w:p>
      <w:pPr>
        <w:pStyle w:val="Indenta"/>
        <w:rPr>
          <w:rStyle w:val="DraftersNotes"/>
          <w:b w:val="0"/>
          <w:i w:val="0"/>
        </w:rPr>
      </w:pPr>
      <w:r>
        <w:tab/>
        <w:t>(b)</w:t>
      </w:r>
      <w:r>
        <w:tab/>
        <w:t>the disposition of an employee by the Commissioner under section 22B of the Act;</w:t>
      </w:r>
    </w:p>
    <w:p>
      <w:pPr>
        <w:pStyle w:val="Indenta"/>
      </w:pPr>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p>
    <w:p>
      <w:pPr>
        <w:pStyle w:val="Indenta"/>
      </w:pPr>
      <w:r>
        <w:tab/>
        <w:t>(d)</w:t>
      </w:r>
      <w:r>
        <w:tab/>
        <w:t>the transfer of an employee occurring as the outcome of a process to address substandard performance;</w:t>
      </w:r>
    </w:p>
    <w:p>
      <w:pPr>
        <w:pStyle w:val="Indenta"/>
      </w:pPr>
      <w:r>
        <w:tab/>
        <w:t>(e)</w:t>
      </w:r>
      <w:r>
        <w:tab/>
        <w:t>the transfer of an employee made as a consequence of disciplinary action taken because of a breach of discipline to which the public sector standard for discipline applies.</w:t>
      </w:r>
    </w:p>
    <w:p>
      <w:pPr>
        <w:pStyle w:val="Footnotesection"/>
      </w:pPr>
      <w:r>
        <w:tab/>
        <w:t>[Regulation 8 amended: Gazette 11 Feb 2011 p. 497-8; SL 2025/122 r. 7.]</w:t>
      </w:r>
    </w:p>
    <w:p>
      <w:pPr>
        <w:pStyle w:val="Heading5"/>
      </w:pPr>
      <w:bookmarkStart w:id="31" w:name="_Toc215751812"/>
      <w:bookmarkStart w:id="32" w:name="_Toc201669672"/>
      <w:r>
        <w:rPr>
          <w:rStyle w:val="CharSectno"/>
        </w:rPr>
        <w:t>9</w:t>
      </w:r>
      <w:r>
        <w:t>.</w:t>
      </w:r>
      <w:r>
        <w:tab/>
        <w:t>Effect of making claims on proposed selections to appointment pools</w:t>
      </w:r>
      <w:bookmarkEnd w:id="31"/>
      <w:bookmarkEnd w:id="32"/>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Gazette 11 Feb 2011 p. 498.]</w:t>
      </w:r>
    </w:p>
    <w:p>
      <w:pPr>
        <w:pStyle w:val="Heading2"/>
      </w:pPr>
      <w:bookmarkStart w:id="33" w:name="_Toc215750827"/>
      <w:bookmarkStart w:id="34" w:name="_Toc215751594"/>
      <w:bookmarkStart w:id="35" w:name="_Toc215751813"/>
      <w:bookmarkStart w:id="36" w:name="_Toc201576701"/>
      <w:bookmarkStart w:id="37" w:name="_Toc201581641"/>
      <w:bookmarkStart w:id="38" w:name="_Toc201669673"/>
      <w:r>
        <w:rPr>
          <w:rStyle w:val="CharPartNo"/>
        </w:rPr>
        <w:t>Part 3</w:t>
      </w:r>
      <w:r>
        <w:t> — </w:t>
      </w:r>
      <w:r>
        <w:rPr>
          <w:rStyle w:val="CharPartText"/>
        </w:rPr>
        <w:t>Procedures for dealing with claims for relief</w:t>
      </w:r>
      <w:bookmarkEnd w:id="33"/>
      <w:bookmarkEnd w:id="34"/>
      <w:bookmarkEnd w:id="35"/>
      <w:bookmarkEnd w:id="36"/>
      <w:bookmarkEnd w:id="37"/>
      <w:bookmarkEnd w:id="38"/>
    </w:p>
    <w:p>
      <w:pPr>
        <w:pStyle w:val="Heading3"/>
      </w:pPr>
      <w:bookmarkStart w:id="39" w:name="_Toc215750828"/>
      <w:bookmarkStart w:id="40" w:name="_Toc215751595"/>
      <w:bookmarkStart w:id="41" w:name="_Toc215751814"/>
      <w:bookmarkStart w:id="42" w:name="_Toc201576702"/>
      <w:bookmarkStart w:id="43" w:name="_Toc201581642"/>
      <w:bookmarkStart w:id="44" w:name="_Toc201669674"/>
      <w:r>
        <w:rPr>
          <w:rStyle w:val="CharDivNo"/>
        </w:rPr>
        <w:t>Division 1</w:t>
      </w:r>
      <w:r>
        <w:t> — </w:t>
      </w:r>
      <w:r>
        <w:rPr>
          <w:rStyle w:val="CharDivText"/>
        </w:rPr>
        <w:t>General</w:t>
      </w:r>
      <w:bookmarkEnd w:id="39"/>
      <w:bookmarkEnd w:id="40"/>
      <w:bookmarkEnd w:id="41"/>
      <w:bookmarkEnd w:id="42"/>
      <w:bookmarkEnd w:id="43"/>
      <w:bookmarkEnd w:id="44"/>
    </w:p>
    <w:p>
      <w:pPr>
        <w:pStyle w:val="Heading5"/>
      </w:pPr>
      <w:bookmarkStart w:id="45" w:name="_Toc215751815"/>
      <w:bookmarkStart w:id="46" w:name="_Toc201573312"/>
      <w:bookmarkStart w:id="47" w:name="_Toc201576859"/>
      <w:bookmarkStart w:id="48" w:name="_Toc201669675"/>
      <w:r>
        <w:rPr>
          <w:rStyle w:val="CharSectno"/>
        </w:rPr>
        <w:t>10</w:t>
      </w:r>
      <w:r>
        <w:t>.</w:t>
      </w:r>
      <w:r>
        <w:tab/>
        <w:t>Public sector bodies must attempt to resolve claim</w:t>
      </w:r>
      <w:bookmarkEnd w:id="45"/>
      <w:bookmarkEnd w:id="46"/>
      <w:bookmarkEnd w:id="47"/>
      <w:bookmarkEnd w:id="48"/>
    </w:p>
    <w:p>
      <w:pPr>
        <w:pStyle w:val="Subsection"/>
      </w:pPr>
      <w:r>
        <w:tab/>
        <w:t>(1)</w:t>
      </w:r>
      <w:r>
        <w:tab/>
        <w:t>If a claim is lodged with a public sector body, the public sector body must make reasonable attempts to resolve the claim with the claimant within the period  of 21 days starting on the day after the day on which the claim was lodged.</w:t>
      </w:r>
    </w:p>
    <w:p>
      <w:pPr>
        <w:pStyle w:val="Subsection"/>
      </w:pPr>
      <w:r>
        <w:tab/>
        <w:t>(2)</w:t>
      </w:r>
      <w:r>
        <w:tab/>
        <w:t xml:space="preserve">Without limiting subregulation (1), the public sector body must make all reasonable efforts to do the following within the 21 days mentioned in subregulation (1) — </w:t>
      </w:r>
    </w:p>
    <w:p>
      <w:pPr>
        <w:pStyle w:val="Indenta"/>
      </w:pPr>
      <w:r>
        <w:tab/>
        <w:t>(a)</w:t>
      </w:r>
      <w:r>
        <w:tab/>
        <w:t>allocate a person to deal with the claim who was not involved in the original process or decision;</w:t>
      </w:r>
    </w:p>
    <w:p>
      <w:pPr>
        <w:pStyle w:val="Indenta"/>
      </w:pPr>
      <w:r>
        <w:tab/>
        <w:t>(b)</w:t>
      </w:r>
      <w:r>
        <w:tab/>
        <w:t>discuss the claim with the claimant;</w:t>
      </w:r>
    </w:p>
    <w:p>
      <w:pPr>
        <w:pStyle w:val="Indenta"/>
      </w:pPr>
      <w:r>
        <w:tab/>
        <w:t>(c)</w:t>
      </w:r>
      <w:r>
        <w:tab/>
        <w:t>give the claimant all information required to understand the claim resolution process and potential options for resolution of the claim;</w:t>
      </w:r>
    </w:p>
    <w:p>
      <w:pPr>
        <w:pStyle w:val="Indenta"/>
      </w:pPr>
      <w:r>
        <w:tab/>
        <w:t>(d)</w:t>
      </w:r>
      <w:r>
        <w:tab/>
        <w:t>assess the claim;</w:t>
      </w:r>
    </w:p>
    <w:p>
      <w:pPr>
        <w:pStyle w:val="Indenta"/>
      </w:pPr>
      <w:r>
        <w:tab/>
        <w:t>(e)</w:t>
      </w:r>
      <w:r>
        <w:tab/>
        <w:t>discuss the public sector body’s assessment of the claim with the claimant as soon as practicable after completing the assessment;</w:t>
      </w:r>
    </w:p>
    <w:p>
      <w:pPr>
        <w:pStyle w:val="Indenta"/>
      </w:pPr>
      <w:r>
        <w:tab/>
        <w:t>(f)</w:t>
      </w:r>
      <w:r>
        <w:tab/>
        <w:t>if the claim is not resolved, notify the claimant of the process for referring the claim to either the Commissioner or the WAIRC.</w:t>
      </w:r>
    </w:p>
    <w:p>
      <w:pPr>
        <w:pStyle w:val="Subsection"/>
      </w:pPr>
      <w:r>
        <w:tab/>
        <w:t>(3)</w:t>
      </w:r>
      <w:r>
        <w:tab/>
        <w:t>The public sector body must keep records of its compliance with subregulations (1) and (2) and, if relevant, the reasons it was unable to comply with any requirements of subregulation (2).</w:t>
      </w:r>
    </w:p>
    <w:p>
      <w:pPr>
        <w:pStyle w:val="Footnotesection"/>
      </w:pPr>
      <w:bookmarkStart w:id="49" w:name="_Toc201573313"/>
      <w:bookmarkStart w:id="50" w:name="_Toc201576860"/>
      <w:r>
        <w:tab/>
        <w:t>[Regulation 10 inserted: SL 2025/122 r. 8.]</w:t>
      </w:r>
    </w:p>
    <w:p>
      <w:pPr>
        <w:pStyle w:val="Heading5"/>
      </w:pPr>
      <w:bookmarkStart w:id="51" w:name="_Toc215751816"/>
      <w:bookmarkStart w:id="52" w:name="_Toc201669676"/>
      <w:r>
        <w:rPr>
          <w:rStyle w:val="CharSectno"/>
        </w:rPr>
        <w:t>10A</w:t>
      </w:r>
      <w:r>
        <w:t>.</w:t>
      </w:r>
      <w:r>
        <w:tab/>
        <w:t>Public sector bodies must send certain unresolved claims to Commissioner</w:t>
      </w:r>
      <w:bookmarkEnd w:id="51"/>
      <w:bookmarkEnd w:id="49"/>
      <w:bookmarkEnd w:id="50"/>
      <w:bookmarkEnd w:id="52"/>
    </w:p>
    <w:p>
      <w:pPr>
        <w:pStyle w:val="Subsection"/>
      </w:pPr>
      <w:r>
        <w:tab/>
        <w:t>(1)</w:t>
      </w:r>
      <w:r>
        <w:tab/>
        <w:t xml:space="preserve">This regulation applies if — </w:t>
      </w:r>
    </w:p>
    <w:p>
      <w:pPr>
        <w:pStyle w:val="Indenta"/>
      </w:pPr>
      <w:r>
        <w:tab/>
        <w:t>(a)</w:t>
      </w:r>
      <w:r>
        <w:tab/>
        <w:t>a claim is lodged with a public sector body, other than a claim that there was a breach of a specified public sector standard; and</w:t>
      </w:r>
    </w:p>
    <w:p>
      <w:pPr>
        <w:pStyle w:val="Indenta"/>
      </w:pPr>
      <w:r>
        <w:tab/>
        <w:t>(b)</w:t>
      </w:r>
      <w:r>
        <w:tab/>
        <w:t>the claim is not resolved with the claimant or withdrawn within the agency resolution period for the claim.</w:t>
      </w:r>
    </w:p>
    <w:p>
      <w:pPr>
        <w:pStyle w:val="Subsection"/>
      </w:pPr>
      <w:r>
        <w:tab/>
        <w:t>(2)</w:t>
      </w:r>
      <w:r>
        <w:tab/>
        <w:t xml:space="preserve">The public sector body must — </w:t>
      </w:r>
    </w:p>
    <w:p>
      <w:pPr>
        <w:pStyle w:val="Indenta"/>
      </w:pPr>
      <w:r>
        <w:tab/>
        <w:t>(a)</w:t>
      </w:r>
      <w:r>
        <w:tab/>
        <w:t xml:space="preserve">send the following to the Commissioner — </w:t>
      </w:r>
    </w:p>
    <w:p>
      <w:pPr>
        <w:pStyle w:val="Indenti"/>
      </w:pPr>
      <w:r>
        <w:tab/>
        <w:t>(i)</w:t>
      </w:r>
      <w:r>
        <w:tab/>
        <w:t>the claim;</w:t>
      </w:r>
    </w:p>
    <w:p>
      <w:pPr>
        <w:pStyle w:val="Indenti"/>
      </w:pPr>
      <w:r>
        <w:tab/>
        <w:t>(ii)</w:t>
      </w:r>
      <w:r>
        <w:tab/>
        <w:t>the name and the telephone number or other contact details of the claimant and the nominated officer;</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give to the claimant written notice that the claim has been sent to the Commissioner.</w:t>
      </w:r>
    </w:p>
    <w:p>
      <w:pPr>
        <w:pStyle w:val="Footnotesection"/>
      </w:pPr>
      <w:bookmarkStart w:id="53" w:name="_Toc201573314"/>
      <w:bookmarkStart w:id="54" w:name="_Toc201576861"/>
      <w:r>
        <w:tab/>
        <w:t>[Regulation 10A inserted: SL 2025/122 r. 8.]</w:t>
      </w:r>
    </w:p>
    <w:p>
      <w:pPr>
        <w:pStyle w:val="Heading5"/>
      </w:pPr>
      <w:bookmarkStart w:id="55" w:name="_Toc215751817"/>
      <w:bookmarkStart w:id="56" w:name="_Toc201669677"/>
      <w:r>
        <w:rPr>
          <w:rStyle w:val="CharSectno"/>
        </w:rPr>
        <w:t>10B</w:t>
      </w:r>
      <w:r>
        <w:t>.</w:t>
      </w:r>
      <w:r>
        <w:tab/>
        <w:t>Public sector body must advise claimants that certain unresolved claims may be referred to WAIRC</w:t>
      </w:r>
      <w:bookmarkEnd w:id="55"/>
      <w:bookmarkEnd w:id="53"/>
      <w:bookmarkEnd w:id="54"/>
      <w:bookmarkEnd w:id="56"/>
    </w:p>
    <w:p>
      <w:pPr>
        <w:pStyle w:val="Subsection"/>
      </w:pPr>
      <w:r>
        <w:tab/>
        <w:t>(1)</w:t>
      </w:r>
      <w:r>
        <w:tab/>
        <w:t xml:space="preserve">In this regulation — </w:t>
      </w:r>
    </w:p>
    <w:p>
      <w:pPr>
        <w:pStyle w:val="Defstart"/>
      </w:pPr>
      <w:r>
        <w:tab/>
      </w:r>
      <w:r>
        <w:rPr>
          <w:rStyle w:val="CharDefText"/>
        </w:rPr>
        <w:t>association</w:t>
      </w:r>
      <w:r>
        <w:t xml:space="preserve"> means an association registered under the </w:t>
      </w:r>
      <w:r>
        <w:rPr>
          <w:i/>
        </w:rPr>
        <w:t>Industrial Relations Act 1979</w:t>
      </w:r>
      <w:r>
        <w:t xml:space="preserve"> Part II Division 4;</w:t>
      </w:r>
    </w:p>
    <w:p>
      <w:pPr>
        <w:pStyle w:val="Defstart"/>
      </w:pPr>
      <w:r>
        <w:tab/>
      </w:r>
      <w:r>
        <w:rPr>
          <w:rStyle w:val="CharDefText"/>
        </w:rPr>
        <w:t>organisation</w:t>
      </w:r>
      <w:r>
        <w:t xml:space="preserve"> means an organisation registered under the </w:t>
      </w:r>
      <w:r>
        <w:rPr>
          <w:i/>
        </w:rPr>
        <w:t>Industrial Relations Act 1979</w:t>
      </w:r>
      <w:r>
        <w:t xml:space="preserve"> Part II Division 4.</w:t>
      </w:r>
    </w:p>
    <w:p>
      <w:pPr>
        <w:pStyle w:val="Subsection"/>
        <w:keepNext/>
      </w:pPr>
      <w:r>
        <w:tab/>
        <w:t>(2)</w:t>
      </w:r>
      <w:r>
        <w:tab/>
        <w:t xml:space="preserve">This regulation applies if — </w:t>
      </w:r>
    </w:p>
    <w:p>
      <w:pPr>
        <w:pStyle w:val="Indenta"/>
      </w:pPr>
      <w:r>
        <w:tab/>
        <w:t>(a)</w:t>
      </w:r>
      <w:r>
        <w:tab/>
        <w:t>a claim that there was a breach of a specified public sector standard is lodged with a public sector body; and</w:t>
      </w:r>
    </w:p>
    <w:p>
      <w:pPr>
        <w:pStyle w:val="Indenta"/>
      </w:pPr>
      <w:r>
        <w:tab/>
        <w:t>(b)</w:t>
      </w:r>
      <w:r>
        <w:tab/>
        <w:t>the claim is not resolved with the claimant or withdrawn within the agency resolution period for the claim.</w:t>
      </w:r>
    </w:p>
    <w:p>
      <w:pPr>
        <w:pStyle w:val="Subsection"/>
      </w:pPr>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p>
    <w:p>
      <w:pPr>
        <w:pStyle w:val="Indenta"/>
      </w:pPr>
      <w:r>
        <w:tab/>
        <w:t>(a)</w:t>
      </w:r>
      <w:r>
        <w:tab/>
        <w:t>the claimant;</w:t>
      </w:r>
    </w:p>
    <w:p>
      <w:pPr>
        <w:pStyle w:val="Indenta"/>
      </w:pPr>
      <w:r>
        <w:tab/>
        <w:t>(b)</w:t>
      </w:r>
      <w:r>
        <w:tab/>
        <w:t>an organisation for which the claimant is eligible to be enrolled as a member;</w:t>
      </w:r>
    </w:p>
    <w:p>
      <w:pPr>
        <w:pStyle w:val="Indenta"/>
      </w:pPr>
      <w:r>
        <w:tab/>
        <w:t>(c)</w:t>
      </w:r>
      <w:r>
        <w:tab/>
        <w:t>an association that represents an organisation for which the claimant is eligible to be enrolled as a member.</w:t>
      </w:r>
    </w:p>
    <w:p>
      <w:pPr>
        <w:pStyle w:val="Footnotesection"/>
      </w:pPr>
      <w:r>
        <w:tab/>
        <w:t>[Regulation 10B inserted: SL 2025/122 r. 8.]</w:t>
      </w:r>
    </w:p>
    <w:p>
      <w:pPr>
        <w:pStyle w:val="Heading5"/>
      </w:pPr>
      <w:bookmarkStart w:id="57" w:name="_Toc215751818"/>
      <w:bookmarkStart w:id="58" w:name="_Toc201669678"/>
      <w:r>
        <w:rPr>
          <w:rStyle w:val="CharSectno"/>
        </w:rPr>
        <w:t>11A</w:t>
      </w:r>
      <w:r>
        <w:t>.</w:t>
      </w:r>
      <w:r>
        <w:tab/>
        <w:t>Commissioner may decide not to deal with a claim</w:t>
      </w:r>
      <w:bookmarkEnd w:id="57"/>
      <w:bookmarkEnd w:id="58"/>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tab/>
        <w:t>(1A)</w:t>
      </w:r>
      <w:r>
        <w:tab/>
        <w:t>The Commissioner must not deal with a claim that there was a breach of a specified public sector standard.</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Subsection"/>
      </w:pPr>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p>
    <w:p>
      <w:pPr>
        <w:pStyle w:val="Subsection"/>
      </w:pPr>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p>
    <w:p>
      <w:pPr>
        <w:pStyle w:val="Footnotesection"/>
      </w:pPr>
      <w:r>
        <w:tab/>
        <w:t>[Regulation 11A inserted: Gazette 11 Feb 2011 p. 499; amended: SL 2025/122 r. 9.]</w:t>
      </w:r>
    </w:p>
    <w:p>
      <w:pPr>
        <w:pStyle w:val="Heading5"/>
      </w:pPr>
      <w:bookmarkStart w:id="59" w:name="_Toc215751819"/>
      <w:bookmarkStart w:id="60" w:name="_Toc201669679"/>
      <w:r>
        <w:rPr>
          <w:rStyle w:val="CharSectno"/>
        </w:rPr>
        <w:t>11</w:t>
      </w:r>
      <w:r>
        <w:t>.</w:t>
      </w:r>
      <w:r>
        <w:tab/>
        <w:t>Assignment of claims for relief to conciliation and review officers</w:t>
      </w:r>
      <w:bookmarkEnd w:id="59"/>
      <w:bookmarkEnd w:id="60"/>
    </w:p>
    <w:p>
      <w:pPr>
        <w:pStyle w:val="Subsection"/>
      </w:pPr>
      <w:r>
        <w:tab/>
        <w:t>(1)</w:t>
      </w:r>
      <w:r>
        <w:tab/>
        <w:t>When a claim is sent to the Commissioner under regulation 10A(2),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Subsection"/>
      </w:pPr>
      <w:r>
        <w:tab/>
        <w:t>(5)</w:t>
      </w:r>
      <w:r>
        <w:tab/>
        <w:t>This regulation does not apply to a claim that there was a breach of a specified public sector standard.</w:t>
      </w:r>
    </w:p>
    <w:p>
      <w:pPr>
        <w:pStyle w:val="Footnotesection"/>
      </w:pPr>
      <w:r>
        <w:tab/>
        <w:t>[Regulation 11 amended: SL 2025/122 r. 10.]</w:t>
      </w:r>
    </w:p>
    <w:p>
      <w:pPr>
        <w:pStyle w:val="Heading5"/>
      </w:pPr>
      <w:bookmarkStart w:id="61" w:name="_Toc215751820"/>
      <w:bookmarkStart w:id="62" w:name="_Toc201669680"/>
      <w:r>
        <w:rPr>
          <w:rStyle w:val="CharSectno"/>
        </w:rPr>
        <w:t>12</w:t>
      </w:r>
      <w:r>
        <w:t>.</w:t>
      </w:r>
      <w:r>
        <w:tab/>
        <w:t>Conciliation and review officers may seek information and documents</w:t>
      </w:r>
      <w:bookmarkEnd w:id="61"/>
      <w:bookmarkEnd w:id="62"/>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Gazette 11 Feb 2011 p. 499-500.]</w:t>
      </w:r>
    </w:p>
    <w:p>
      <w:pPr>
        <w:pStyle w:val="Heading5"/>
      </w:pPr>
      <w:bookmarkStart w:id="63" w:name="_Toc215751821"/>
      <w:bookmarkStart w:id="64" w:name="_Toc201669681"/>
      <w:r>
        <w:rPr>
          <w:rStyle w:val="CharSectno"/>
        </w:rPr>
        <w:t>13</w:t>
      </w:r>
      <w:r>
        <w:t>.</w:t>
      </w:r>
      <w:r>
        <w:tab/>
        <w:t>Commissioner may perform functions of conciliation and review officer</w:t>
      </w:r>
      <w:bookmarkEnd w:id="63"/>
      <w:bookmarkEnd w:id="64"/>
    </w:p>
    <w:p>
      <w:pPr>
        <w:pStyle w:val="Subsection"/>
      </w:pPr>
      <w:r>
        <w:tab/>
      </w:r>
      <w:r>
        <w:tab/>
        <w:t>The Commissioner may perform all or any of the functions of a conciliation and review officer under these regulations in respect of a claim, other than a claim that there was a breach of a specified public sector standard.</w:t>
      </w:r>
    </w:p>
    <w:p>
      <w:pPr>
        <w:pStyle w:val="Footnotesection"/>
      </w:pPr>
      <w:r>
        <w:tab/>
        <w:t>[Regulation 13 amended: SL 2025/122 r. 11.]</w:t>
      </w:r>
    </w:p>
    <w:p>
      <w:pPr>
        <w:pStyle w:val="Heading3"/>
      </w:pPr>
      <w:bookmarkStart w:id="65" w:name="_Toc215750836"/>
      <w:bookmarkStart w:id="66" w:name="_Toc215751603"/>
      <w:bookmarkStart w:id="67" w:name="_Toc215751822"/>
      <w:bookmarkStart w:id="68" w:name="_Toc201576708"/>
      <w:bookmarkStart w:id="69" w:name="_Toc201581650"/>
      <w:bookmarkStart w:id="70" w:name="_Toc201669682"/>
      <w:r>
        <w:rPr>
          <w:rStyle w:val="CharDivNo"/>
        </w:rPr>
        <w:t>Division 2</w:t>
      </w:r>
      <w:r>
        <w:t> — </w:t>
      </w:r>
      <w:r>
        <w:rPr>
          <w:rStyle w:val="CharDivText"/>
        </w:rPr>
        <w:t>Conciliation</w:t>
      </w:r>
      <w:bookmarkEnd w:id="65"/>
      <w:bookmarkEnd w:id="66"/>
      <w:bookmarkEnd w:id="67"/>
      <w:bookmarkEnd w:id="68"/>
      <w:bookmarkEnd w:id="69"/>
      <w:bookmarkEnd w:id="70"/>
    </w:p>
    <w:p>
      <w:pPr>
        <w:pStyle w:val="Heading5"/>
      </w:pPr>
      <w:bookmarkStart w:id="71" w:name="_Toc215751823"/>
      <w:bookmarkStart w:id="72" w:name="_Toc201669683"/>
      <w:r>
        <w:rPr>
          <w:rStyle w:val="CharSectno"/>
        </w:rPr>
        <w:t>14</w:t>
      </w:r>
      <w:r>
        <w:t>.</w:t>
      </w:r>
      <w:r>
        <w:tab/>
        <w:t>Conciliation of claims</w:t>
      </w:r>
      <w:bookmarkEnd w:id="71"/>
      <w:bookmarkEnd w:id="72"/>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Gazette 11 Feb 2011 p. 500.]</w:t>
      </w:r>
    </w:p>
    <w:p>
      <w:pPr>
        <w:pStyle w:val="Heading5"/>
      </w:pPr>
      <w:bookmarkStart w:id="73" w:name="_Toc215751824"/>
      <w:bookmarkStart w:id="74" w:name="_Toc201669684"/>
      <w:r>
        <w:rPr>
          <w:rStyle w:val="CharSectno"/>
        </w:rPr>
        <w:t>15</w:t>
      </w:r>
      <w:r>
        <w:t>.</w:t>
      </w:r>
      <w:r>
        <w:tab/>
        <w:t>Conciliation may be repeated</w:t>
      </w:r>
      <w:bookmarkEnd w:id="73"/>
      <w:bookmarkEnd w:id="74"/>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Gazette 11 Feb 2011 p. 500.]</w:t>
      </w:r>
    </w:p>
    <w:p>
      <w:pPr>
        <w:pStyle w:val="Heading5"/>
      </w:pPr>
      <w:bookmarkStart w:id="75" w:name="_Toc215751825"/>
      <w:bookmarkStart w:id="76" w:name="_Toc201669685"/>
      <w:r>
        <w:rPr>
          <w:rStyle w:val="CharSectno"/>
        </w:rPr>
        <w:t>16</w:t>
      </w:r>
      <w:r>
        <w:t>.</w:t>
      </w:r>
      <w:r>
        <w:tab/>
        <w:t>Settlement of claims by agreement</w:t>
      </w:r>
      <w:bookmarkEnd w:id="75"/>
      <w:bookmarkEnd w:id="76"/>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77" w:name="_Toc215750840"/>
      <w:bookmarkStart w:id="78" w:name="_Toc215751607"/>
      <w:bookmarkStart w:id="79" w:name="_Toc215751826"/>
      <w:bookmarkStart w:id="80" w:name="_Toc201576712"/>
      <w:bookmarkStart w:id="81" w:name="_Toc201581654"/>
      <w:bookmarkStart w:id="82" w:name="_Toc201669686"/>
      <w:r>
        <w:rPr>
          <w:rStyle w:val="CharDivNo"/>
        </w:rPr>
        <w:t>Division 3</w:t>
      </w:r>
      <w:r>
        <w:t> — </w:t>
      </w:r>
      <w:r>
        <w:rPr>
          <w:rStyle w:val="CharDivText"/>
        </w:rPr>
        <w:t>Review</w:t>
      </w:r>
      <w:bookmarkEnd w:id="77"/>
      <w:bookmarkEnd w:id="78"/>
      <w:bookmarkEnd w:id="79"/>
      <w:bookmarkEnd w:id="80"/>
      <w:bookmarkEnd w:id="81"/>
      <w:bookmarkEnd w:id="82"/>
    </w:p>
    <w:p>
      <w:pPr>
        <w:pStyle w:val="Heading5"/>
      </w:pPr>
      <w:bookmarkStart w:id="83" w:name="_Toc215751827"/>
      <w:bookmarkStart w:id="84" w:name="_Toc201669687"/>
      <w:r>
        <w:rPr>
          <w:rStyle w:val="CharSectno"/>
        </w:rPr>
        <w:t>17</w:t>
      </w:r>
      <w:r>
        <w:t>.</w:t>
      </w:r>
      <w:r>
        <w:tab/>
        <w:t>Review to be carried out if claim not settled by agreement</w:t>
      </w:r>
      <w:bookmarkEnd w:id="83"/>
      <w:bookmarkEnd w:id="84"/>
    </w:p>
    <w:p>
      <w:pPr>
        <w:pStyle w:val="Subsection"/>
      </w:pPr>
      <w:r>
        <w:tab/>
      </w:r>
      <w:r>
        <w:tab/>
        <w:t>If a claim is not settled by agreement under Division 2, the conciliation and review officer is to carry out a review of the claim.</w:t>
      </w:r>
    </w:p>
    <w:p>
      <w:pPr>
        <w:pStyle w:val="Heading5"/>
      </w:pPr>
      <w:bookmarkStart w:id="85" w:name="_Toc215751828"/>
      <w:bookmarkStart w:id="86" w:name="_Toc201669688"/>
      <w:r>
        <w:rPr>
          <w:rStyle w:val="CharSectno"/>
        </w:rPr>
        <w:t>18</w:t>
      </w:r>
      <w:r>
        <w:t>.</w:t>
      </w:r>
      <w:r>
        <w:tab/>
        <w:t>Review procedures</w:t>
      </w:r>
      <w:bookmarkEnd w:id="85"/>
      <w:bookmarkEnd w:id="86"/>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Gazette 11 Feb 2011 p. 500.]</w:t>
      </w:r>
    </w:p>
    <w:p>
      <w:pPr>
        <w:pStyle w:val="Heading5"/>
      </w:pPr>
      <w:bookmarkStart w:id="87" w:name="_Toc215751829"/>
      <w:bookmarkStart w:id="88" w:name="_Toc201669689"/>
      <w:r>
        <w:rPr>
          <w:rStyle w:val="CharSectno"/>
        </w:rPr>
        <w:t>19</w:t>
      </w:r>
      <w:r>
        <w:t>.</w:t>
      </w:r>
      <w:r>
        <w:tab/>
        <w:t>Conciliation and review officer to report to Commissioner</w:t>
      </w:r>
      <w:bookmarkEnd w:id="87"/>
      <w:bookmarkEnd w:id="88"/>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Gazette 11 Feb 2011 p. 500.]</w:t>
      </w:r>
    </w:p>
    <w:p>
      <w:pPr>
        <w:pStyle w:val="Heading3"/>
      </w:pPr>
      <w:bookmarkStart w:id="89" w:name="_Toc215750844"/>
      <w:bookmarkStart w:id="90" w:name="_Toc215751611"/>
      <w:bookmarkStart w:id="91" w:name="_Toc215751830"/>
      <w:bookmarkStart w:id="92" w:name="_Toc201576716"/>
      <w:bookmarkStart w:id="93" w:name="_Toc201581658"/>
      <w:bookmarkStart w:id="94" w:name="_Toc201669690"/>
      <w:r>
        <w:rPr>
          <w:rStyle w:val="CharDivNo"/>
        </w:rPr>
        <w:t>Division 4</w:t>
      </w:r>
      <w:r>
        <w:t> — </w:t>
      </w:r>
      <w:r>
        <w:rPr>
          <w:rStyle w:val="CharDivText"/>
        </w:rPr>
        <w:t>Determinations by Commissioner</w:t>
      </w:r>
      <w:bookmarkEnd w:id="89"/>
      <w:bookmarkEnd w:id="90"/>
      <w:bookmarkEnd w:id="91"/>
      <w:bookmarkEnd w:id="92"/>
      <w:bookmarkEnd w:id="93"/>
      <w:bookmarkEnd w:id="94"/>
    </w:p>
    <w:p>
      <w:pPr>
        <w:pStyle w:val="Heading5"/>
      </w:pPr>
      <w:bookmarkStart w:id="95" w:name="_Toc215751831"/>
      <w:bookmarkStart w:id="96" w:name="_Toc201669691"/>
      <w:r>
        <w:rPr>
          <w:rStyle w:val="CharSectno"/>
        </w:rPr>
        <w:t>20</w:t>
      </w:r>
      <w:r>
        <w:t>.</w:t>
      </w:r>
      <w:r>
        <w:tab/>
        <w:t>Commissioner to make determination</w:t>
      </w:r>
      <w:bookmarkEnd w:id="95"/>
      <w:bookmarkEnd w:id="96"/>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Gazette 11 Feb 2011 p. 500-1; 11 Mar 2014 p. 585.]</w:t>
      </w:r>
    </w:p>
    <w:p>
      <w:pPr>
        <w:pStyle w:val="Heading5"/>
      </w:pPr>
      <w:bookmarkStart w:id="97" w:name="_Toc215751832"/>
      <w:bookmarkStart w:id="98" w:name="_Toc201669692"/>
      <w:r>
        <w:rPr>
          <w:rStyle w:val="CharSectno"/>
        </w:rPr>
        <w:t>21</w:t>
      </w:r>
      <w:r>
        <w:t>.</w:t>
      </w:r>
      <w:r>
        <w:tab/>
        <w:t>Commissioner to notify claimant and public sector body of determination</w:t>
      </w:r>
      <w:bookmarkEnd w:id="97"/>
      <w:bookmarkEnd w:id="98"/>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 or direction —</w:t>
      </w:r>
    </w:p>
    <w:p>
      <w:pPr>
        <w:pStyle w:val="Indenti"/>
      </w:pPr>
      <w:r>
        <w:tab/>
        <w:t>(i)</w:t>
      </w:r>
      <w:r>
        <w:tab/>
        <w:t>that the claimant be given the relief as specified in the notice within the period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(2A)</w:t>
      </w:r>
      <w:r>
        <w:tab/>
        <w:t xml:space="preserve">If — </w:t>
      </w:r>
    </w:p>
    <w:p>
      <w:pPr>
        <w:pStyle w:val="Indenta"/>
      </w:pPr>
      <w:r>
        <w:tab/>
        <w:t>(a)</w:t>
      </w:r>
      <w:r>
        <w:tab/>
        <w:t>the Commissioner makes a recommendation in a notice under subregulation (1); and</w:t>
      </w:r>
    </w:p>
    <w:p>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pPr>
        <w:pStyle w:val="Subsection"/>
      </w:pPr>
      <w:r>
        <w:tab/>
      </w:r>
      <w:r>
        <w:tab/>
        <w:t>the Commissioner may direct the public sector body or its employing authority to give the claimant the relief specified in the direction within a period specified in the direction.</w:t>
      </w:r>
    </w:p>
    <w:p>
      <w:pPr>
        <w:pStyle w:val="Subsection"/>
      </w:pPr>
      <w:r>
        <w:tab/>
        <w:t>(2)</w:t>
      </w:r>
      <w:r>
        <w:tab/>
        <w:t>The Commissioner cannot recommend that the relief to be given by the public sector body is the appointment of the claimant or another person.</w:t>
      </w:r>
    </w:p>
    <w:p>
      <w:pPr>
        <w:pStyle w:val="Subsection"/>
      </w:pPr>
      <w:r>
        <w:tab/>
        <w:t>(3)</w:t>
      </w:r>
      <w:r>
        <w:tab/>
        <w:t>The Commissioner cannot direct under subregulation (1) or (2A) that the relief to be given is the appointment of the claimant or another person, but may direct that a specified person is not to be appointed.</w:t>
      </w:r>
    </w:p>
    <w:p>
      <w:pPr>
        <w:pStyle w:val="Footnotesection"/>
      </w:pPr>
      <w:r>
        <w:tab/>
        <w:t>[Regulation 21 amended: Gazette 11 Mar 2014 p. 585-6.]</w:t>
      </w:r>
    </w:p>
    <w:p>
      <w:pPr>
        <w:pStyle w:val="Heading5"/>
      </w:pPr>
      <w:bookmarkStart w:id="99" w:name="_Toc215751833"/>
      <w:bookmarkStart w:id="100" w:name="_Toc201669693"/>
      <w:r>
        <w:rPr>
          <w:rStyle w:val="CharSectno"/>
        </w:rPr>
        <w:t>22</w:t>
      </w:r>
      <w:r>
        <w:t>.</w:t>
      </w:r>
      <w:r>
        <w:tab/>
        <w:t>Public sector body to notify Commissioner and claimant of intended response</w:t>
      </w:r>
      <w:bookmarkEnd w:id="99"/>
      <w:bookmarkEnd w:id="100"/>
    </w:p>
    <w:p>
      <w:pPr>
        <w:pStyle w:val="Subsection"/>
      </w:pPr>
      <w:r>
        <w:tab/>
        <w:t>(1)</w:t>
      </w:r>
      <w:r>
        <w:tab/>
        <w:t xml:space="preserve">Within 10 business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business days after the claimant is given relief, specifying the relief that was given.</w:t>
      </w:r>
    </w:p>
    <w:p>
      <w:pPr>
        <w:pStyle w:val="Footnotesection"/>
      </w:pPr>
      <w:r>
        <w:tab/>
        <w:t>[Regulation 22 amended: Gazette 11 Feb 2011 p. 501; SL 2025/122 r. 12.]</w:t>
      </w:r>
    </w:p>
    <w:p>
      <w:pPr>
        <w:pStyle w:val="Heading3"/>
      </w:pPr>
      <w:bookmarkStart w:id="101" w:name="_Toc215750848"/>
      <w:bookmarkStart w:id="102" w:name="_Toc215751615"/>
      <w:bookmarkStart w:id="103" w:name="_Toc215751834"/>
      <w:bookmarkStart w:id="104" w:name="_Toc201576720"/>
      <w:bookmarkStart w:id="105" w:name="_Toc201581662"/>
      <w:bookmarkStart w:id="106" w:name="_Toc201669694"/>
      <w:r>
        <w:rPr>
          <w:rStyle w:val="CharDivNo"/>
        </w:rPr>
        <w:t>Division 5</w:t>
      </w:r>
      <w:r>
        <w:t> — </w:t>
      </w:r>
      <w:r>
        <w:rPr>
          <w:rStyle w:val="CharDivText"/>
        </w:rPr>
        <w:t>Withdrawn and lapsed claims</w:t>
      </w:r>
      <w:bookmarkEnd w:id="101"/>
      <w:bookmarkEnd w:id="102"/>
      <w:bookmarkEnd w:id="103"/>
      <w:bookmarkEnd w:id="104"/>
      <w:bookmarkEnd w:id="105"/>
      <w:bookmarkEnd w:id="106"/>
    </w:p>
    <w:p>
      <w:pPr>
        <w:pStyle w:val="Heading5"/>
      </w:pPr>
      <w:bookmarkStart w:id="107" w:name="_Toc215751835"/>
      <w:bookmarkStart w:id="108" w:name="_Toc201669695"/>
      <w:r>
        <w:rPr>
          <w:rStyle w:val="CharSectno"/>
        </w:rPr>
        <w:t>23</w:t>
      </w:r>
      <w:r>
        <w:t>.</w:t>
      </w:r>
      <w:r>
        <w:tab/>
        <w:t>Withdrawn claims</w:t>
      </w:r>
      <w:bookmarkEnd w:id="107"/>
      <w:bookmarkEnd w:id="108"/>
    </w:p>
    <w:p>
      <w:pPr>
        <w:pStyle w:val="Subsection"/>
      </w:pPr>
      <w:r>
        <w:tab/>
        <w:t>(1)</w:t>
      </w:r>
      <w:r>
        <w:tab/>
        <w:t>For any claim other than a claim that there was a breach of a specified public sector standard the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Subsection"/>
      </w:pPr>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p>
    <w:p>
      <w:pPr>
        <w:pStyle w:val="Footnotesection"/>
      </w:pPr>
      <w:r>
        <w:tab/>
        <w:t>[Regulation 23 amended: Gazette 11 Feb 2011 p. 501; SL 2025/122 r. 13.]</w:t>
      </w:r>
    </w:p>
    <w:p>
      <w:pPr>
        <w:pStyle w:val="Heading5"/>
      </w:pPr>
      <w:bookmarkStart w:id="109" w:name="_Toc215751836"/>
      <w:bookmarkStart w:id="110" w:name="_Toc201669696"/>
      <w:r>
        <w:rPr>
          <w:rStyle w:val="CharSectno"/>
        </w:rPr>
        <w:t>24</w:t>
      </w:r>
      <w:r>
        <w:t>.</w:t>
      </w:r>
      <w:r>
        <w:tab/>
        <w:t>Lapsed claims</w:t>
      </w:r>
      <w:bookmarkEnd w:id="109"/>
      <w:bookmarkEnd w:id="110"/>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business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Footnotesection"/>
      </w:pPr>
      <w:r>
        <w:tab/>
        <w:t>[Regulation 24 amended: SL 2025/122 r. 14.]</w:t>
      </w:r>
    </w:p>
    <w:p>
      <w:pPr>
        <w:pStyle w:val="Heading5"/>
      </w:pPr>
      <w:bookmarkStart w:id="111" w:name="_Toc215751837"/>
      <w:bookmarkStart w:id="112" w:name="_Toc201669697"/>
      <w:r>
        <w:rPr>
          <w:rStyle w:val="CharSectno"/>
        </w:rPr>
        <w:t>25</w:t>
      </w:r>
      <w:r>
        <w:t>.</w:t>
      </w:r>
      <w:r>
        <w:tab/>
        <w:t>No further action to be taken for withdrawn or lapsed claims</w:t>
      </w:r>
      <w:bookmarkEnd w:id="111"/>
      <w:bookmarkEnd w:id="112"/>
    </w:p>
    <w:p>
      <w:pPr>
        <w:pStyle w:val="Subsection"/>
      </w:pPr>
      <w:r>
        <w:tab/>
        <w:t>(1)</w:t>
      </w:r>
      <w:r>
        <w:tab/>
        <w:t xml:space="preserve">If a claim — </w:t>
      </w:r>
    </w:p>
    <w:p>
      <w:pPr>
        <w:pStyle w:val="Indenta"/>
      </w:pPr>
      <w:r>
        <w:tab/>
        <w:t>(a)</w:t>
      </w:r>
      <w:r>
        <w:tab/>
        <w:t>is withdrawn under regulation 23(1) or (4); or</w:t>
      </w:r>
    </w:p>
    <w:p>
      <w:pPr>
        <w:pStyle w:val="Indenta"/>
      </w:pPr>
      <w:r>
        <w:tab/>
        <w:t>(b)</w:t>
      </w:r>
      <w:r>
        <w:tab/>
        <w:t>lapses under regulation 24(3),</w:t>
      </w:r>
    </w:p>
    <w:p>
      <w:pPr>
        <w:pStyle w:val="Subsection"/>
      </w:pPr>
      <w:r>
        <w:tab/>
      </w:r>
      <w:r>
        <w:tab/>
        <w:t>no further action is to be taken under these regulations in relation to the claim.</w:t>
      </w:r>
    </w:p>
    <w:p>
      <w:pPr>
        <w:pStyle w:val="Footnotesection"/>
      </w:pPr>
      <w:r>
        <w:tab/>
        <w:t>[Regulation 25 amended: SL 2025/122 r. 15.]</w:t>
      </w:r>
    </w:p>
    <w:p>
      <w:pPr>
        <w:pStyle w:val="Heading3"/>
      </w:pPr>
      <w:bookmarkStart w:id="113" w:name="_Toc215750852"/>
      <w:bookmarkStart w:id="114" w:name="_Toc215751619"/>
      <w:bookmarkStart w:id="115" w:name="_Toc215751838"/>
      <w:bookmarkStart w:id="116" w:name="_Toc201576724"/>
      <w:bookmarkStart w:id="117" w:name="_Toc201581666"/>
      <w:bookmarkStart w:id="118" w:name="_Toc201669698"/>
      <w:r>
        <w:rPr>
          <w:rStyle w:val="CharDivNo"/>
        </w:rPr>
        <w:t>Division 6</w:t>
      </w:r>
      <w:r>
        <w:t> — </w:t>
      </w:r>
      <w:r>
        <w:rPr>
          <w:rStyle w:val="CharDivText"/>
        </w:rPr>
        <w:t>Miscellaneous</w:t>
      </w:r>
      <w:bookmarkEnd w:id="113"/>
      <w:bookmarkEnd w:id="114"/>
      <w:bookmarkEnd w:id="115"/>
      <w:bookmarkEnd w:id="116"/>
      <w:bookmarkEnd w:id="117"/>
      <w:bookmarkEnd w:id="118"/>
    </w:p>
    <w:p>
      <w:pPr>
        <w:pStyle w:val="Heading5"/>
      </w:pPr>
      <w:bookmarkStart w:id="119" w:name="_Toc215751839"/>
      <w:bookmarkStart w:id="120" w:name="_Toc201669699"/>
      <w:r>
        <w:rPr>
          <w:rStyle w:val="CharSectno"/>
        </w:rPr>
        <w:t>26</w:t>
      </w:r>
      <w:r>
        <w:t>.</w:t>
      </w:r>
      <w:r>
        <w:tab/>
        <w:t>Suspension of conciliation process or review process</w:t>
      </w:r>
      <w:bookmarkEnd w:id="119"/>
      <w:bookmarkEnd w:id="120"/>
    </w:p>
    <w:p>
      <w:pPr>
        <w:pStyle w:val="Subsection"/>
        <w:keepNext/>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21" w:name="_Toc215751840"/>
      <w:bookmarkStart w:id="122" w:name="_Toc201669700"/>
      <w:r>
        <w:rPr>
          <w:rStyle w:val="CharSectno"/>
        </w:rPr>
        <w:t>27</w:t>
      </w:r>
      <w:r>
        <w:t>.</w:t>
      </w:r>
      <w:r>
        <w:tab/>
        <w:t>Representation during conciliation process or review process</w:t>
      </w:r>
      <w:bookmarkEnd w:id="121"/>
      <w:bookmarkEnd w:id="122"/>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Gazette 11 Feb 2011 p. 501.]</w:t>
      </w:r>
    </w:p>
    <w:p>
      <w:pPr>
        <w:pStyle w:val="Heading2"/>
      </w:pPr>
      <w:bookmarkStart w:id="123" w:name="_Toc215750855"/>
      <w:bookmarkStart w:id="124" w:name="_Toc215751622"/>
      <w:bookmarkStart w:id="125" w:name="_Toc215751841"/>
      <w:bookmarkStart w:id="126" w:name="_Toc201576727"/>
      <w:bookmarkStart w:id="127" w:name="_Toc201581669"/>
      <w:bookmarkStart w:id="128" w:name="_Toc201669701"/>
      <w:r>
        <w:rPr>
          <w:rStyle w:val="CharPartNo"/>
        </w:rPr>
        <w:t>Part 4</w:t>
      </w:r>
      <w:r>
        <w:rPr>
          <w:rStyle w:val="CharDivNo"/>
        </w:rPr>
        <w:t> </w:t>
      </w:r>
      <w:r>
        <w:t>—</w:t>
      </w:r>
      <w:r>
        <w:rPr>
          <w:rStyle w:val="CharDivText"/>
        </w:rPr>
        <w:t> </w:t>
      </w:r>
      <w:r>
        <w:rPr>
          <w:rStyle w:val="CharPartText"/>
        </w:rPr>
        <w:t>General</w:t>
      </w:r>
      <w:bookmarkEnd w:id="123"/>
      <w:bookmarkEnd w:id="124"/>
      <w:bookmarkEnd w:id="125"/>
      <w:bookmarkEnd w:id="126"/>
      <w:bookmarkEnd w:id="127"/>
      <w:bookmarkEnd w:id="128"/>
    </w:p>
    <w:p>
      <w:pPr>
        <w:pStyle w:val="Heading5"/>
      </w:pPr>
      <w:bookmarkStart w:id="129" w:name="_Toc215751842"/>
      <w:bookmarkStart w:id="130" w:name="_Toc201669702"/>
      <w:r>
        <w:rPr>
          <w:rStyle w:val="CharSectno"/>
        </w:rPr>
        <w:t>28</w:t>
      </w:r>
      <w:r>
        <w:t>.</w:t>
      </w:r>
      <w:r>
        <w:tab/>
        <w:t>Information about public sector standards and regulations to be made available to employees</w:t>
      </w:r>
      <w:bookmarkEnd w:id="129"/>
      <w:bookmarkEnd w:id="130"/>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(aa)</w:t>
      </w:r>
      <w:r>
        <w:tab/>
        <w:t xml:space="preserve">the application of the </w:t>
      </w:r>
      <w:r>
        <w:rPr>
          <w:i/>
        </w:rPr>
        <w:t>Industrial Relations Act 1979</w:t>
      </w:r>
      <w:r>
        <w:t xml:space="preserve"> to, and the WAIRC’s jurisdiction to deal with, claims regarding a breach of a specified public sector standard; and</w:t>
      </w:r>
    </w:p>
    <w:p>
      <w:pPr>
        <w:pStyle w:val="Indenta"/>
      </w:pPr>
      <w:r>
        <w:tab/>
        <w:t>(b)</w:t>
      </w:r>
      <w:r>
        <w:tab/>
        <w:t>these regulations,</w:t>
      </w:r>
    </w:p>
    <w:p>
      <w:pPr>
        <w:pStyle w:val="Subsection"/>
      </w:pPr>
      <w:r>
        <w:tab/>
      </w:r>
      <w:r>
        <w:tab/>
        <w:t>is made available to the employees of the public sector body.</w:t>
      </w:r>
    </w:p>
    <w:p>
      <w:pPr>
        <w:pStyle w:val="Footnotesection"/>
      </w:pPr>
      <w:r>
        <w:tab/>
        <w:t>[Regulation 28 amended: SL 2025/122 r. 16.]</w:t>
      </w:r>
    </w:p>
    <w:p>
      <w:pPr>
        <w:pStyle w:val="Heading5"/>
      </w:pPr>
      <w:bookmarkStart w:id="131" w:name="_Toc215751843"/>
      <w:bookmarkStart w:id="132" w:name="_Toc201669703"/>
      <w:r>
        <w:rPr>
          <w:rStyle w:val="CharSectno"/>
        </w:rPr>
        <w:t>29</w:t>
      </w:r>
      <w:r>
        <w:t>.</w:t>
      </w:r>
      <w:r>
        <w:tab/>
        <w:t>Terms and conditions of appointment of conciliation and review officers</w:t>
      </w:r>
      <w:bookmarkEnd w:id="131"/>
      <w:bookmarkEnd w:id="132"/>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33" w:name="_Toc215751844"/>
      <w:bookmarkStart w:id="134" w:name="_Toc201669704"/>
      <w:r>
        <w:rPr>
          <w:rStyle w:val="CharSectno"/>
        </w:rPr>
        <w:t>30</w:t>
      </w:r>
      <w:r>
        <w:t>.</w:t>
      </w:r>
      <w:r>
        <w:tab/>
        <w:t>Commissioner may report to Minister and Parliament</w:t>
      </w:r>
      <w:bookmarkEnd w:id="133"/>
      <w:bookmarkEnd w:id="134"/>
    </w:p>
    <w:p>
      <w:pPr>
        <w:pStyle w:val="Subsection"/>
      </w:pPr>
      <w:r>
        <w:tab/>
      </w:r>
      <w:r>
        <w:tab/>
        <w:t xml:space="preserve">If the Commissioner determines that a public sector body — </w:t>
      </w:r>
    </w:p>
    <w:p>
      <w:pPr>
        <w:pStyle w:val="Indenta"/>
      </w:pPr>
      <w:r>
        <w:tab/>
        <w:t>(a)</w:t>
      </w:r>
      <w:r>
        <w:tab/>
        <w:t>has not given a claimant the relief directed by the Commissioner under regulation 21(1) or (2A);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pPr>
      <w:r>
        <w:tab/>
        <w:t>[Regulation 30 amended: Gazette 11 Mar 2014 p. 586.]</w:t>
      </w:r>
    </w:p>
    <w:p>
      <w:pPr>
        <w:pStyle w:val="Heading2"/>
      </w:pPr>
      <w:bookmarkStart w:id="135" w:name="_Toc215750859"/>
      <w:bookmarkStart w:id="136" w:name="_Toc215751626"/>
      <w:bookmarkStart w:id="137" w:name="_Toc215751845"/>
      <w:bookmarkStart w:id="138" w:name="_Toc201576731"/>
      <w:bookmarkStart w:id="139" w:name="_Toc201581673"/>
      <w:bookmarkStart w:id="140" w:name="_Toc201669705"/>
      <w:r>
        <w:rPr>
          <w:rStyle w:val="CharPartNo"/>
        </w:rPr>
        <w:t>Part 5</w:t>
      </w:r>
      <w:r>
        <w:rPr>
          <w:rStyle w:val="CharDivNo"/>
        </w:rPr>
        <w:t> </w:t>
      </w:r>
      <w:r>
        <w:t>—</w:t>
      </w:r>
      <w:r>
        <w:rPr>
          <w:rStyle w:val="CharDivText"/>
        </w:rPr>
        <w:t> </w:t>
      </w:r>
      <w:r>
        <w:rPr>
          <w:rStyle w:val="CharPartText"/>
        </w:rPr>
        <w:t>Transitional matters</w:t>
      </w:r>
      <w:bookmarkEnd w:id="135"/>
      <w:bookmarkEnd w:id="136"/>
      <w:bookmarkEnd w:id="137"/>
      <w:bookmarkEnd w:id="138"/>
      <w:bookmarkEnd w:id="139"/>
      <w:bookmarkEnd w:id="140"/>
    </w:p>
    <w:p>
      <w:pPr>
        <w:pStyle w:val="Footnoteheading"/>
      </w:pPr>
      <w:r>
        <w:tab/>
        <w:t>[Heading inserted: Gazette 11 Feb 2011 p. 501.]</w:t>
      </w:r>
    </w:p>
    <w:p>
      <w:pPr>
        <w:pStyle w:val="Heading5"/>
      </w:pPr>
      <w:bookmarkStart w:id="141" w:name="_Toc215751846"/>
      <w:bookmarkStart w:id="142" w:name="_Toc201573324"/>
      <w:bookmarkStart w:id="143" w:name="_Toc201576871"/>
      <w:bookmarkStart w:id="144" w:name="_Toc201669706"/>
      <w:r>
        <w:rPr>
          <w:rStyle w:val="CharSectno"/>
        </w:rPr>
        <w:t>31</w:t>
      </w:r>
      <w:r>
        <w:t>.</w:t>
      </w:r>
      <w:r>
        <w:tab/>
        <w:t xml:space="preserve">Transitional provision for </w:t>
      </w:r>
      <w:r>
        <w:rPr>
          <w:i/>
        </w:rPr>
        <w:t>Public Sector Management Regulations Amendment Regulations (No. 2) 2025</w:t>
      </w:r>
      <w:bookmarkEnd w:id="141"/>
      <w:bookmarkEnd w:id="142"/>
      <w:bookmarkEnd w:id="143"/>
      <w:bookmarkEnd w:id="1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Industrial Relations Legislation Amendment Act 2024</w:t>
      </w:r>
      <w:r>
        <w:t xml:space="preserve"> section 99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resolution period</w:t>
      </w:r>
      <w:r>
        <w:t>, in relation to a claim, means the period of 21 days starting on the day after the day on which the claim is made.</w:t>
      </w:r>
    </w:p>
    <w:p>
      <w:pPr>
        <w:pStyle w:val="Subsection"/>
      </w:pPr>
      <w:r>
        <w:tab/>
        <w:t>(2)</w:t>
      </w:r>
      <w:r>
        <w:tab/>
        <w:t xml:space="preserve">Subregulations (3) and (4) apply if — </w:t>
      </w:r>
    </w:p>
    <w:p>
      <w:pPr>
        <w:pStyle w:val="Indenta"/>
      </w:pPr>
      <w:r>
        <w:tab/>
        <w:t>(a)</w:t>
      </w:r>
      <w:r>
        <w:tab/>
        <w:t xml:space="preserve">before commencement day, a person made a claim for relief to a public sector body on the ground mentioned in the </w:t>
      </w:r>
      <w:r>
        <w:rPr>
          <w:i/>
        </w:rPr>
        <w:t>Industrial Relations Act 1979</w:t>
      </w:r>
      <w:r>
        <w:t xml:space="preserve"> section 36AJ(a) in accordance with the former regulations; and</w:t>
      </w:r>
    </w:p>
    <w:p>
      <w:pPr>
        <w:pStyle w:val="Indenta"/>
      </w:pPr>
      <w:r>
        <w:tab/>
        <w:t>(b)</w:t>
      </w:r>
      <w:r>
        <w:tab/>
        <w:t xml:space="preserve">on commencement day — </w:t>
      </w:r>
    </w:p>
    <w:p>
      <w:pPr>
        <w:pStyle w:val="Indenti"/>
      </w:pPr>
      <w:r>
        <w:tab/>
        <w:t>(i)</w:t>
      </w:r>
      <w:r>
        <w:tab/>
        <w:t>the resolution period for the claim had not ended; or</w:t>
      </w:r>
    </w:p>
    <w:p>
      <w:pPr>
        <w:pStyle w:val="Indenti"/>
      </w:pPr>
      <w:r>
        <w:tab/>
        <w:t>(ii)</w:t>
      </w:r>
      <w:r>
        <w:tab/>
        <w:t>the resolution period for the person’s claim had ended but the public sector body had not sent the claim to the Commissioner in accordance with the former regulations.</w:t>
      </w:r>
    </w:p>
    <w:p>
      <w:pPr>
        <w:pStyle w:val="Subsection"/>
      </w:pPr>
      <w:r>
        <w:tab/>
        <w:t>(3)</w:t>
      </w:r>
      <w:r>
        <w:tab/>
        <w:t xml:space="preserve">From commencement day — </w:t>
      </w:r>
    </w:p>
    <w:p>
      <w:pPr>
        <w:pStyle w:val="Indenta"/>
      </w:pPr>
      <w:r>
        <w:tab/>
        <w:t>(a)</w:t>
      </w:r>
      <w:r>
        <w:tab/>
        <w:t>Part 2 (other than regulation 8), and regulation 10, of the former regulations continue to apply in relation to the claim; and</w:t>
      </w:r>
    </w:p>
    <w:p>
      <w:pPr>
        <w:pStyle w:val="Indenta"/>
      </w:pPr>
      <w:r>
        <w:tab/>
        <w:t>(b)</w:t>
      </w:r>
      <w:r>
        <w:tab/>
        <w:t>regulation 8 and Part 3 (other than regulation 10) as in force on or after commencement day, apply in relation to the claim.</w:t>
      </w:r>
    </w:p>
    <w:p>
      <w:pPr>
        <w:pStyle w:val="Subsection"/>
      </w:pPr>
      <w:r>
        <w:tab/>
        <w:t>(4)</w:t>
      </w:r>
      <w:r>
        <w:tab/>
        <w:t xml:space="preserve">However, regulation 10 of the former regulations does not apply in relation to the claim to the extent the regulation requires the public sector body to — </w:t>
      </w:r>
    </w:p>
    <w:p>
      <w:pPr>
        <w:pStyle w:val="Indenta"/>
      </w:pPr>
      <w:r>
        <w:tab/>
        <w:t>(a)</w:t>
      </w:r>
      <w:r>
        <w:tab/>
        <w:t>send the claim, information or a document to the Commissioner; or</w:t>
      </w:r>
    </w:p>
    <w:p>
      <w:pPr>
        <w:pStyle w:val="Indenta"/>
      </w:pPr>
      <w:r>
        <w:tab/>
        <w:t>(b)</w:t>
      </w:r>
      <w:r>
        <w:tab/>
        <w:t>give written notice to the claimant that the claim has been sent to the Commissioner.</w:t>
      </w:r>
    </w:p>
    <w:p>
      <w:pPr>
        <w:pStyle w:val="Subsection"/>
      </w:pPr>
      <w:r>
        <w:tab/>
        <w:t>(5)</w:t>
      </w:r>
      <w:r>
        <w:tab/>
        <w:t xml:space="preserve">Subregulation (6) applies if, before commencement day — </w:t>
      </w:r>
    </w:p>
    <w:p>
      <w:pPr>
        <w:pStyle w:val="Indenta"/>
      </w:pPr>
      <w:r>
        <w:tab/>
        <w:t>(a)</w:t>
      </w:r>
      <w:r>
        <w:tab/>
        <w:t>a person made a claim for relief to a public sector body on the ground that the public sector body breached a public sector standard, other than a specified public sector standard, in accordance with the former regulations; and</w:t>
      </w:r>
    </w:p>
    <w:p>
      <w:pPr>
        <w:pStyle w:val="Indenta"/>
      </w:pPr>
      <w:r>
        <w:tab/>
        <w:t>(b)</w:t>
      </w:r>
      <w:r>
        <w:tab/>
        <w:t xml:space="preserve">under the former regulations — </w:t>
      </w:r>
    </w:p>
    <w:p>
      <w:pPr>
        <w:pStyle w:val="Indenti"/>
      </w:pPr>
      <w:r>
        <w:tab/>
        <w:t>(i)</w:t>
      </w:r>
      <w:r>
        <w:tab/>
        <w:t>the public sector body had not yet sent the person’s claim to the Commissioner; or</w:t>
      </w:r>
    </w:p>
    <w:p>
      <w:pPr>
        <w:pStyle w:val="Indenti"/>
      </w:pPr>
      <w:r>
        <w:tab/>
        <w:t>(ii)</w:t>
      </w:r>
      <w:r>
        <w:tab/>
        <w:t>the public sector body sent the person’s claim to the Commissioner but the Commissioner had not finished dealing with the claim.</w:t>
      </w:r>
    </w:p>
    <w:p>
      <w:pPr>
        <w:pStyle w:val="Subsection"/>
      </w:pPr>
      <w:r>
        <w:tab/>
        <w:t>(6)</w:t>
      </w:r>
      <w:r>
        <w:tab/>
        <w:t>The Commissioner and public sector body must continue to deal with the claim under the former regulations.</w:t>
      </w:r>
    </w:p>
    <w:p>
      <w:pPr>
        <w:pStyle w:val="Footnotesection"/>
      </w:pPr>
      <w:r>
        <w:tab/>
        <w:t>[Regulation 31 inserted: SL 2025/122 r. 17.]</w:t>
      </w:r>
    </w:p>
    <w:p>
      <w:pPr>
        <w:pStyle w:val="Ednotesection"/>
      </w:pPr>
      <w:r>
        <w:t>[</w:t>
      </w:r>
      <w:r>
        <w:rPr>
          <w:b/>
        </w:rPr>
        <w:t>32.</w:t>
      </w:r>
      <w:r>
        <w:tab/>
        <w:t>Deleted: Gazette 11 Feb 2011 p. 501.]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5" w:name="_Toc215750861"/>
      <w:bookmarkStart w:id="146" w:name="_Toc215751628"/>
      <w:bookmarkStart w:id="147" w:name="_Toc215751847"/>
      <w:bookmarkStart w:id="148" w:name="_Toc201669707"/>
      <w:bookmarkStart w:id="149" w:name="_Toc201576735"/>
      <w:bookmarkStart w:id="150" w:name="_Toc201581677"/>
      <w:r>
        <w:t>Notes</w:t>
      </w:r>
      <w:bookmarkEnd w:id="145"/>
      <w:bookmarkEnd w:id="146"/>
      <w:bookmarkEnd w:id="147"/>
      <w:bookmarkEnd w:id="148"/>
    </w:p>
    <w:p>
      <w:pPr>
        <w:pStyle w:val="nStatement"/>
      </w:pPr>
      <w:r>
        <w:t xml:space="preserve">This is a compilation of the </w:t>
      </w:r>
      <w:r>
        <w:rPr>
          <w:i/>
          <w:noProof/>
        </w:rPr>
        <w:t>Public Sector Management (Breaches of Public Sector Standards) Regulations 2005</w:t>
      </w:r>
      <w:r>
        <w:t xml:space="preserve"> and includes amendments made by other written laws. For provisions that have come into operation see the compilation table.</w:t>
      </w:r>
      <w:ins w:id="151" w:author="Master Repository Process" w:date="2025-12-09T11:10:00Z">
        <w:r>
          <w:t xml:space="preserve"> For provisions that have not yet come into operation see the uncommenced provisions table.</w:t>
        </w:r>
      </w:ins>
    </w:p>
    <w:p>
      <w:pPr>
        <w:pStyle w:val="nHeading3"/>
      </w:pPr>
      <w:bookmarkStart w:id="152" w:name="_Toc215751848"/>
      <w:bookmarkStart w:id="153" w:name="_Toc201669708"/>
      <w:r>
        <w:t>Compilation table</w:t>
      </w:r>
      <w:bookmarkEnd w:id="152"/>
      <w:bookmarkEnd w:id="1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pPr>
            <w:r>
              <w:t>r. 1 and 2: 11 Feb 2011 (see r. 2(a));</w:t>
            </w:r>
            <w:r>
              <w:br/>
              <w:t>Regulations other than r. 1 and 2: 21 Feb 2011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2014</w:t>
            </w:r>
          </w:p>
        </w:tc>
        <w:tc>
          <w:tcPr>
            <w:tcW w:w="1276" w:type="dxa"/>
          </w:tcPr>
          <w:p>
            <w:pPr>
              <w:pStyle w:val="nTable"/>
            </w:pPr>
            <w:r>
              <w:t>11 Mar 2014 p. 584-6</w:t>
            </w:r>
          </w:p>
        </w:tc>
        <w:tc>
          <w:tcPr>
            <w:tcW w:w="2693" w:type="dxa"/>
          </w:tcPr>
          <w:p>
            <w:pPr>
              <w:pStyle w:val="nTable"/>
            </w:pPr>
            <w:r>
              <w:t>r. 1 and 2: 11 Mar 2014 (see r. 2(a));</w:t>
            </w:r>
            <w:r>
              <w:br/>
              <w:t>Regulations other than r. 1 and 2: 12 Mar 2014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Cs/>
                <w:noProof/>
                <w:snapToGrid w:val="0"/>
              </w:rPr>
            </w:pPr>
            <w:r>
              <w:rPr>
                <w:i/>
              </w:rPr>
              <w:t>Public Sector Management Regulations Amendment Regulations (No. 2) 2025</w:t>
            </w:r>
            <w:r>
              <w:rPr>
                <w:iCs/>
                <w:noProof/>
                <w:snapToGrid w:val="0"/>
              </w:rPr>
              <w:t xml:space="preserve"> Pt. 2</w:t>
            </w:r>
          </w:p>
        </w:tc>
        <w:tc>
          <w:tcPr>
            <w:tcW w:w="1276" w:type="dxa"/>
            <w:tcBorders>
              <w:bottom w:val="single" w:sz="4" w:space="0" w:color="auto"/>
            </w:tcBorders>
          </w:tcPr>
          <w:p>
            <w:pPr>
              <w:pStyle w:val="nTable"/>
            </w:pPr>
            <w:r>
              <w:t>SL 2025/122 25 Jun 2025</w:t>
            </w:r>
          </w:p>
        </w:tc>
        <w:tc>
          <w:tcPr>
            <w:tcW w:w="2693" w:type="dxa"/>
            <w:tcBorders>
              <w:bottom w:val="single" w:sz="4" w:space="0" w:color="auto"/>
            </w:tcBorders>
          </w:tcPr>
          <w:p>
            <w:pPr>
              <w:pStyle w:val="nTable"/>
            </w:pPr>
            <w:r>
              <w:t>1 Jul 2025 (see r. 2(b))</w:t>
            </w:r>
          </w:p>
        </w:tc>
      </w:tr>
    </w:tbl>
    <w:p>
      <w:pPr>
        <w:rPr>
          <w:del w:id="154" w:author="Master Repository Process" w:date="2025-12-09T11:10:00Z"/>
        </w:rPr>
      </w:pPr>
      <w:bookmarkStart w:id="155" w:name="_Toc215751849"/>
    </w:p>
    <w:p>
      <w:pPr>
        <w:rPr>
          <w:del w:id="156" w:author="Master Repository Process" w:date="2025-12-09T11:10:00Z"/>
        </w:rPr>
        <w:sectPr>
          <w:headerReference w:type="even" r:id="rId21"/>
          <w:headerReference w:type="default" r:id="rId22"/>
          <w:pgSz w:w="11907" w:h="16840" w:code="9"/>
          <w:pgMar w:top="2376" w:right="2404" w:bottom="3544" w:left="2404" w:header="720" w:footer="3544" w:gutter="0"/>
          <w:cols w:space="720"/>
          <w:noEndnote/>
          <w:docGrid w:linePitch="326"/>
        </w:sectPr>
      </w:pPr>
    </w:p>
    <w:bookmarkEnd w:id="149"/>
    <w:bookmarkEnd w:id="150"/>
    <w:p>
      <w:pPr>
        <w:pStyle w:val="nHeading3"/>
        <w:rPr>
          <w:ins w:id="157" w:author="Master Repository Process" w:date="2025-12-09T11:10:00Z"/>
        </w:rPr>
      </w:pPr>
      <w:ins w:id="158" w:author="Master Repository Process" w:date="2025-12-09T11:10:00Z">
        <w:r>
          <w:t>Uncommenced provisions table</w:t>
        </w:r>
        <w:bookmarkEnd w:id="155"/>
      </w:ins>
    </w:p>
    <w:p>
      <w:pPr>
        <w:pStyle w:val="nStatement"/>
        <w:keepNext/>
        <w:spacing w:after="240"/>
        <w:rPr>
          <w:ins w:id="159" w:author="Master Repository Process" w:date="2025-12-09T11:10:00Z"/>
        </w:rPr>
      </w:pPr>
      <w:ins w:id="160" w:author="Master Repository Process" w:date="2025-12-09T11:1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1" w:author="Master Repository Process" w:date="2025-12-09T11:10:00Z"/>
        </w:trPr>
        <w:tc>
          <w:tcPr>
            <w:tcW w:w="3118" w:type="dxa"/>
          </w:tcPr>
          <w:p>
            <w:pPr>
              <w:pStyle w:val="nTable"/>
              <w:spacing w:after="40"/>
              <w:rPr>
                <w:ins w:id="162" w:author="Master Repository Process" w:date="2025-12-09T11:10:00Z"/>
                <w:b/>
              </w:rPr>
            </w:pPr>
            <w:ins w:id="163" w:author="Master Repository Process" w:date="2025-12-09T11:10:00Z">
              <w:r>
                <w:rPr>
                  <w:b/>
                </w:rPr>
                <w:t>Citation</w:t>
              </w:r>
            </w:ins>
          </w:p>
        </w:tc>
        <w:tc>
          <w:tcPr>
            <w:tcW w:w="1276" w:type="dxa"/>
          </w:tcPr>
          <w:p>
            <w:pPr>
              <w:pStyle w:val="nTable"/>
              <w:spacing w:after="40"/>
              <w:rPr>
                <w:ins w:id="164" w:author="Master Repository Process" w:date="2025-12-09T11:10:00Z"/>
                <w:b/>
              </w:rPr>
            </w:pPr>
            <w:ins w:id="165" w:author="Master Repository Process" w:date="2025-12-09T11:10:00Z">
              <w:r>
                <w:rPr>
                  <w:b/>
                </w:rPr>
                <w:t>Published</w:t>
              </w:r>
            </w:ins>
          </w:p>
        </w:tc>
        <w:tc>
          <w:tcPr>
            <w:tcW w:w="2693" w:type="dxa"/>
          </w:tcPr>
          <w:p>
            <w:pPr>
              <w:pStyle w:val="nTable"/>
              <w:spacing w:after="40"/>
              <w:rPr>
                <w:ins w:id="166" w:author="Master Repository Process" w:date="2025-12-09T11:10:00Z"/>
                <w:b/>
              </w:rPr>
            </w:pPr>
            <w:ins w:id="167" w:author="Master Repository Process" w:date="2025-12-09T11:10:00Z">
              <w:r>
                <w:rPr>
                  <w:b/>
                </w:rPr>
                <w:t>Commencement</w:t>
              </w:r>
            </w:ins>
          </w:p>
        </w:tc>
      </w:tr>
      <w:tr>
        <w:trPr>
          <w:ins w:id="168" w:author="Master Repository Process" w:date="2025-12-09T11:10:00Z"/>
        </w:trPr>
        <w:tc>
          <w:tcPr>
            <w:tcW w:w="3118" w:type="dxa"/>
          </w:tcPr>
          <w:p>
            <w:pPr>
              <w:pStyle w:val="nTable"/>
              <w:spacing w:after="40"/>
              <w:rPr>
                <w:ins w:id="169" w:author="Master Repository Process" w:date="2025-12-09T11:10:00Z"/>
                <w:iCs/>
              </w:rPr>
            </w:pPr>
            <w:ins w:id="170" w:author="Master Repository Process" w:date="2025-12-09T11:10:00Z">
              <w:r>
                <w:rPr>
                  <w:i/>
                </w:rPr>
                <w:t>Public Sector Management (Breaches of Public Sector Standards) Amendment Regulations (No. 2) 2025</w:t>
              </w:r>
              <w:r>
                <w:rPr>
                  <w:iCs/>
                </w:rPr>
                <w:t xml:space="preserve"> r. 3</w:t>
              </w:r>
              <w:r>
                <w:rPr>
                  <w:iCs/>
                </w:rPr>
                <w:noBreakHyphen/>
                <w:t>8</w:t>
              </w:r>
            </w:ins>
          </w:p>
        </w:tc>
        <w:tc>
          <w:tcPr>
            <w:tcW w:w="1276" w:type="dxa"/>
          </w:tcPr>
          <w:p>
            <w:pPr>
              <w:pStyle w:val="nTable"/>
              <w:spacing w:after="40"/>
              <w:rPr>
                <w:ins w:id="171" w:author="Master Repository Process" w:date="2025-12-09T11:10:00Z"/>
              </w:rPr>
            </w:pPr>
            <w:ins w:id="172" w:author="Master Repository Process" w:date="2025-12-09T11:10:00Z">
              <w:r>
                <w:t>SL 2025/196 10 Dec 2025</w:t>
              </w:r>
            </w:ins>
          </w:p>
        </w:tc>
        <w:tc>
          <w:tcPr>
            <w:tcW w:w="2693" w:type="dxa"/>
          </w:tcPr>
          <w:p>
            <w:pPr>
              <w:pStyle w:val="nTable"/>
              <w:spacing w:after="40"/>
              <w:rPr>
                <w:ins w:id="173" w:author="Master Repository Process" w:date="2025-12-09T11:10:00Z"/>
              </w:rPr>
            </w:pPr>
            <w:ins w:id="174" w:author="Master Repository Process" w:date="2025-12-09T11:10:00Z">
              <w:r>
                <w:t>1 Jul 2026 (see r. 2(b))</w:t>
              </w:r>
            </w:ins>
          </w:p>
        </w:tc>
      </w:tr>
    </w:tbl>
    <w:p>
      <w:pPr>
        <w:rPr>
          <w:ins w:id="175" w:author="Master Repository Process" w:date="2025-12-09T11:10:00Z"/>
        </w:r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7" w:author="Master Repository Process" w:date="2025-12-09T11:10:00Z">
                              <w:r>
                                <w:rPr>
                                  <w:rFonts w:ascii="Arial" w:hAnsi="Arial" w:cs="Arial"/>
                                  <w:sz w:val="12"/>
                                </w:rPr>
                                <w:delText>GEOFF O. LAWN,</w:delText>
                              </w:r>
                            </w:del>
                            <w:ins w:id="178" w:author="Master Repository Process" w:date="2025-12-09T11:10: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79" w:author="Master Repository Process" w:date="2025-12-09T11:10:00Z">
                        <w:r>
                          <w:rPr>
                            <w:rFonts w:ascii="Arial" w:hAnsi="Arial" w:cs="Arial"/>
                            <w:sz w:val="12"/>
                          </w:rPr>
                          <w:delText>GEOFF O. LAWN,</w:delText>
                        </w:r>
                      </w:del>
                      <w:ins w:id="180" w:author="Master Repository Process" w:date="2025-12-09T11:10: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04142431"/>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 w:name="WAFER_2025120414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04142431_GUID" w:val="0f89196f-ce32-47ce-bb89-6fc89396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7092</Words>
  <Characters>35532</Characters>
  <Application>Microsoft Office Word</Application>
  <DocSecurity>0</DocSecurity>
  <Lines>935</Lines>
  <Paragraphs>478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00-f0-00 - 00-g0-00</dc:title>
  <dc:subject/>
  <dc:creator/>
  <cp:keywords/>
  <dc:description/>
  <cp:lastModifiedBy>Master Repository Process</cp:lastModifiedBy>
  <cp:revision>2</cp:revision>
  <cp:lastPrinted>2005-05-31T08:55:00Z</cp:lastPrinted>
  <dcterms:created xsi:type="dcterms:W3CDTF">2025-12-09T03:10:00Z</dcterms:created>
  <dcterms:modified xsi:type="dcterms:W3CDTF">2025-12-09T03:10:00Z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Official">
    <vt:lpwstr/>
  </property>
  <property fmtid="{D5CDD505-2E9C-101B-9397-08002B2CF9AE}" pid="6" name="CommencementDate">
    <vt:lpwstr>20251210</vt:lpwstr>
  </property>
  <property fmtid="{D5CDD505-2E9C-101B-9397-08002B2CF9AE}" pid="7" name="CommencementAsAt">
    <vt:filetime>2025-12-09T16:00:00Z</vt:filetime>
  </property>
  <property fmtid="{D5CDD505-2E9C-101B-9397-08002B2CF9AE}" pid="8" name="CommencementYear">
    <vt:lpwstr>2025</vt:lpwstr>
  </property>
  <property fmtid="{D5CDD505-2E9C-101B-9397-08002B2CF9AE}" pid="9" name="FromSuffix">
    <vt:lpwstr>00-f0-00</vt:lpwstr>
  </property>
  <property fmtid="{D5CDD505-2E9C-101B-9397-08002B2CF9AE}" pid="10" name="FromAsAtDate">
    <vt:lpwstr>01 Jul 2025</vt:lpwstr>
  </property>
  <property fmtid="{D5CDD505-2E9C-101B-9397-08002B2CF9AE}" pid="11" name="ToSuffix">
    <vt:lpwstr>00-g0-00</vt:lpwstr>
  </property>
  <property fmtid="{D5CDD505-2E9C-101B-9397-08002B2CF9AE}" pid="12" name="ToAsAtDate">
    <vt:lpwstr>10 Dec 2025</vt:lpwstr>
  </property>
</Properties>
</file>