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2025</w:t>
      </w:r>
      <w:r>
        <w:fldChar w:fldCharType="end"/>
      </w:r>
      <w:r>
        <w:t xml:space="preserve">, </w:t>
      </w:r>
      <w:r>
        <w:fldChar w:fldCharType="begin"/>
      </w:r>
      <w:r>
        <w:instrText xml:space="preserve"> DocProperty FromSuffix </w:instrText>
      </w:r>
      <w:r>
        <w:fldChar w:fldCharType="separate"/>
      </w:r>
      <w:r>
        <w:t>21-au0-00</w:t>
      </w:r>
      <w:r>
        <w:fldChar w:fldCharType="end"/>
      </w:r>
      <w:r>
        <w:t>] and [</w:t>
      </w:r>
      <w:r>
        <w:fldChar w:fldCharType="begin"/>
      </w:r>
      <w:r>
        <w:instrText xml:space="preserve"> DocProperty ToAsAtDate</w:instrText>
      </w:r>
      <w:r>
        <w:fldChar w:fldCharType="separate"/>
      </w:r>
      <w:r>
        <w:t>19 Dec 2025</w:t>
      </w:r>
      <w:r>
        <w:fldChar w:fldCharType="end"/>
      </w:r>
      <w:r>
        <w:t xml:space="preserve">, </w:t>
      </w:r>
      <w:r>
        <w:fldChar w:fldCharType="begin"/>
      </w:r>
      <w:r>
        <w:instrText xml:space="preserve"> DocProperty ToSuffix</w:instrText>
      </w:r>
      <w:r>
        <w:fldChar w:fldCharType="separate"/>
      </w:r>
      <w:r>
        <w:t>21-av0-00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16353796"/>
      <w:bookmarkStart w:id="2" w:name="_Toc216776334"/>
      <w:bookmarkStart w:id="3" w:name="_Toc216776554"/>
      <w:bookmarkStart w:id="4" w:name="_Toc216942872"/>
      <w:bookmarkStart w:id="5" w:name="_Toc216956248"/>
      <w:bookmarkStart w:id="6" w:name="_Toc216956309"/>
      <w:bookmarkStart w:id="7" w:name="_Toc216967542"/>
      <w:bookmarkStart w:id="8" w:name="_Toc217028031"/>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Footnoteheading"/>
      </w:pPr>
      <w:r>
        <w:tab/>
        <w:t>[Heading inserted: No. 19 of 2010 s. 43(2).]</w:t>
      </w:r>
    </w:p>
    <w:p>
      <w:pPr>
        <w:pStyle w:val="Heading5"/>
        <w:spacing w:before="240"/>
        <w:rPr>
          <w:snapToGrid w:val="0"/>
        </w:rPr>
      </w:pPr>
      <w:bookmarkStart w:id="9" w:name="_Toc217028032"/>
      <w:bookmarkStart w:id="10" w:name="_Toc216956310"/>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11" w:name="_Toc217028033"/>
      <w:bookmarkStart w:id="12" w:name="_Toc216956311"/>
      <w:r>
        <w:rPr>
          <w:rStyle w:val="CharSectno"/>
        </w:rPr>
        <w:t>2</w:t>
      </w:r>
      <w:r>
        <w:rPr>
          <w:snapToGrid w:val="0"/>
        </w:rPr>
        <w:t>.</w:t>
      </w:r>
      <w:r>
        <w:rPr>
          <w:snapToGrid w:val="0"/>
        </w:rPr>
        <w:tab/>
        <w:t>Repeal</w:t>
      </w:r>
      <w:bookmarkEnd w:id="11"/>
      <w:bookmarkEnd w:id="12"/>
    </w:p>
    <w:p>
      <w:pPr>
        <w:pStyle w:val="Subsection"/>
      </w:pPr>
      <w:r>
        <w:tab/>
      </w:r>
      <w:r>
        <w:tab/>
        <w:t>The enactments mentioned in the First Schedule hereto are thereby repealed to the extent therein stated.</w:t>
      </w:r>
    </w:p>
    <w:p>
      <w:pPr>
        <w:pStyle w:val="Heading5"/>
        <w:rPr>
          <w:snapToGrid w:val="0"/>
        </w:rPr>
      </w:pPr>
      <w:bookmarkStart w:id="13" w:name="_Toc217028034"/>
      <w:bookmarkStart w:id="14" w:name="_Toc216956312"/>
      <w:r>
        <w:rPr>
          <w:rStyle w:val="CharSectno"/>
        </w:rPr>
        <w:t>3</w:t>
      </w:r>
      <w:r>
        <w:rPr>
          <w:snapToGrid w:val="0"/>
        </w:rPr>
        <w:t>.</w:t>
      </w:r>
      <w:r>
        <w:rPr>
          <w:snapToGrid w:val="0"/>
        </w:rPr>
        <w:tab/>
        <w:t>Terms used</w:t>
      </w:r>
      <w:bookmarkEnd w:id="13"/>
      <w:bookmarkEnd w:id="14"/>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5" w:name="_Toc216353800"/>
      <w:bookmarkStart w:id="16" w:name="_Toc216776338"/>
      <w:bookmarkStart w:id="17" w:name="_Toc216776558"/>
      <w:bookmarkStart w:id="18" w:name="_Toc216942876"/>
      <w:bookmarkStart w:id="19" w:name="_Toc216956252"/>
      <w:bookmarkStart w:id="20" w:name="_Toc216956313"/>
      <w:bookmarkStart w:id="21" w:name="_Toc216967546"/>
      <w:bookmarkStart w:id="22" w:name="_Toc217028035"/>
      <w:r>
        <w:rPr>
          <w:rStyle w:val="CharPartNo"/>
        </w:rPr>
        <w:lastRenderedPageBreak/>
        <w:t>Part I</w:t>
      </w:r>
      <w:r>
        <w:t> — </w:t>
      </w:r>
      <w:r>
        <w:rPr>
          <w:rStyle w:val="CharPartText"/>
        </w:rPr>
        <w:t>Legislature</w:t>
      </w:r>
      <w:bookmarkEnd w:id="15"/>
      <w:bookmarkEnd w:id="16"/>
      <w:bookmarkEnd w:id="17"/>
      <w:bookmarkEnd w:id="18"/>
      <w:bookmarkEnd w:id="19"/>
      <w:bookmarkEnd w:id="20"/>
      <w:bookmarkEnd w:id="21"/>
      <w:bookmarkEnd w:id="22"/>
    </w:p>
    <w:p>
      <w:pPr>
        <w:pStyle w:val="Heading3"/>
      </w:pPr>
      <w:bookmarkStart w:id="23" w:name="_Toc216353801"/>
      <w:bookmarkStart w:id="24" w:name="_Toc216776339"/>
      <w:bookmarkStart w:id="25" w:name="_Toc216776559"/>
      <w:bookmarkStart w:id="26" w:name="_Toc216942877"/>
      <w:bookmarkStart w:id="27" w:name="_Toc216956253"/>
      <w:bookmarkStart w:id="28" w:name="_Toc216956314"/>
      <w:bookmarkStart w:id="29" w:name="_Toc216967547"/>
      <w:bookmarkStart w:id="30" w:name="_Toc217028036"/>
      <w:r>
        <w:rPr>
          <w:rStyle w:val="CharDivNo"/>
        </w:rPr>
        <w:t>Division 1</w:t>
      </w:r>
      <w:r>
        <w:t> — </w:t>
      </w:r>
      <w:r>
        <w:rPr>
          <w:rStyle w:val="CharDivText"/>
        </w:rPr>
        <w:t>Legislative Council</w:t>
      </w:r>
      <w:bookmarkEnd w:id="23"/>
      <w:bookmarkEnd w:id="24"/>
      <w:bookmarkEnd w:id="25"/>
      <w:bookmarkEnd w:id="26"/>
      <w:bookmarkEnd w:id="27"/>
      <w:bookmarkEnd w:id="28"/>
      <w:bookmarkEnd w:id="29"/>
      <w:bookmarkEnd w:id="30"/>
    </w:p>
    <w:p>
      <w:pPr>
        <w:pStyle w:val="Footnoteheading"/>
      </w:pPr>
      <w:r>
        <w:tab/>
        <w:t>[Heading inserted: No. 19 of 2010 s. 44(2).]</w:t>
      </w:r>
    </w:p>
    <w:p>
      <w:pPr>
        <w:pStyle w:val="Heading5"/>
      </w:pPr>
      <w:bookmarkStart w:id="31" w:name="_Toc217028037"/>
      <w:bookmarkStart w:id="32" w:name="_Toc216956315"/>
      <w:r>
        <w:rPr>
          <w:rStyle w:val="CharSectno"/>
        </w:rPr>
        <w:t>5</w:t>
      </w:r>
      <w:r>
        <w:t>.</w:t>
      </w:r>
      <w:r>
        <w:tab/>
      </w:r>
      <w:r>
        <w:rPr>
          <w:rStyle w:val="CharSectno"/>
        </w:rPr>
        <w:t>Constitution</w:t>
      </w:r>
      <w:r>
        <w:t xml:space="preserve"> of Legislative Council</w:t>
      </w:r>
      <w:bookmarkEnd w:id="31"/>
      <w:bookmarkEnd w:id="32"/>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33" w:name="_Toc217028038"/>
      <w:bookmarkStart w:id="34" w:name="_Toc216956316"/>
      <w:r>
        <w:rPr>
          <w:rStyle w:val="CharSectno"/>
        </w:rPr>
        <w:t>8</w:t>
      </w:r>
      <w:r>
        <w:rPr>
          <w:snapToGrid w:val="0"/>
        </w:rPr>
        <w:t>.</w:t>
      </w:r>
      <w:r>
        <w:rPr>
          <w:snapToGrid w:val="0"/>
        </w:rPr>
        <w:tab/>
        <w:t>Retirement of members periodically</w:t>
      </w:r>
      <w:bookmarkEnd w:id="33"/>
      <w:bookmarkEnd w:id="34"/>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35" w:name="_Toc217028039"/>
      <w:bookmarkStart w:id="36" w:name="_Toc216956317"/>
      <w:r>
        <w:rPr>
          <w:rStyle w:val="CharSectno"/>
        </w:rPr>
        <w:t>9</w:t>
      </w:r>
      <w:r>
        <w:rPr>
          <w:snapToGrid w:val="0"/>
        </w:rPr>
        <w:t>.</w:t>
      </w:r>
      <w:r>
        <w:rPr>
          <w:snapToGrid w:val="0"/>
        </w:rPr>
        <w:tab/>
        <w:t>Resignation of members</w:t>
      </w:r>
      <w:bookmarkEnd w:id="35"/>
      <w:bookmarkEnd w:id="36"/>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37" w:name="_Toc217028040"/>
      <w:bookmarkStart w:id="38" w:name="_Toc216956318"/>
      <w:r>
        <w:rPr>
          <w:rStyle w:val="CharSectno"/>
        </w:rPr>
        <w:t>10</w:t>
      </w:r>
      <w:r>
        <w:rPr>
          <w:snapToGrid w:val="0"/>
        </w:rPr>
        <w:t>.</w:t>
      </w:r>
      <w:r>
        <w:rPr>
          <w:snapToGrid w:val="0"/>
        </w:rPr>
        <w:tab/>
        <w:t>Tenure of seat by member filling vacancy</w:t>
      </w:r>
      <w:bookmarkEnd w:id="37"/>
      <w:bookmarkEnd w:id="38"/>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39" w:name="_Toc217028041"/>
      <w:bookmarkStart w:id="40" w:name="_Toc216956319"/>
      <w:r>
        <w:rPr>
          <w:rStyle w:val="CharSectno"/>
        </w:rPr>
        <w:t>11</w:t>
      </w:r>
      <w:r>
        <w:rPr>
          <w:snapToGrid w:val="0"/>
        </w:rPr>
        <w:t>.</w:t>
      </w:r>
      <w:r>
        <w:rPr>
          <w:snapToGrid w:val="0"/>
        </w:rPr>
        <w:tab/>
        <w:t>Election of President</w:t>
      </w:r>
      <w:bookmarkEnd w:id="39"/>
      <w:bookmarkEnd w:id="40"/>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41" w:name="_Toc217028042"/>
      <w:bookmarkStart w:id="42" w:name="_Toc216956320"/>
      <w:r>
        <w:rPr>
          <w:rStyle w:val="CharSectno"/>
        </w:rPr>
        <w:t>12</w:t>
      </w:r>
      <w:r>
        <w:rPr>
          <w:snapToGrid w:val="0"/>
        </w:rPr>
        <w:t>.</w:t>
      </w:r>
      <w:r>
        <w:rPr>
          <w:snapToGrid w:val="0"/>
        </w:rPr>
        <w:tab/>
        <w:t>Absence of President provided for</w:t>
      </w:r>
      <w:bookmarkEnd w:id="41"/>
      <w:bookmarkEnd w:id="42"/>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43" w:name="_Toc217028043"/>
      <w:bookmarkStart w:id="44" w:name="_Toc216956321"/>
      <w:r>
        <w:rPr>
          <w:rStyle w:val="CharSectno"/>
        </w:rPr>
        <w:t>13</w:t>
      </w:r>
      <w:r>
        <w:rPr>
          <w:snapToGrid w:val="0"/>
        </w:rPr>
        <w:t>.</w:t>
      </w:r>
      <w:r>
        <w:rPr>
          <w:snapToGrid w:val="0"/>
        </w:rPr>
        <w:tab/>
        <w:t>President to hold office in certain cases until meeting of Parliament</w:t>
      </w:r>
      <w:bookmarkEnd w:id="43"/>
      <w:bookmarkEnd w:id="44"/>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5" w:name="_Toc217028044"/>
      <w:bookmarkStart w:id="46" w:name="_Toc216956322"/>
      <w:r>
        <w:rPr>
          <w:rStyle w:val="CharSectno"/>
        </w:rPr>
        <w:t>14</w:t>
      </w:r>
      <w:r>
        <w:rPr>
          <w:snapToGrid w:val="0"/>
        </w:rPr>
        <w:t>.</w:t>
      </w:r>
      <w:r>
        <w:rPr>
          <w:snapToGrid w:val="0"/>
        </w:rPr>
        <w:tab/>
        <w:t>Quorum — division, casting vote</w:t>
      </w:r>
      <w:bookmarkEnd w:id="45"/>
      <w:bookmarkEnd w:id="46"/>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47" w:name="_Toc216353810"/>
      <w:bookmarkStart w:id="48" w:name="_Toc216776348"/>
      <w:bookmarkStart w:id="49" w:name="_Toc216776568"/>
      <w:bookmarkStart w:id="50" w:name="_Toc216942886"/>
      <w:bookmarkStart w:id="51" w:name="_Toc216956262"/>
      <w:bookmarkStart w:id="52" w:name="_Toc216956323"/>
      <w:bookmarkStart w:id="53" w:name="_Toc216967556"/>
      <w:bookmarkStart w:id="54" w:name="_Toc217028045"/>
      <w:r>
        <w:rPr>
          <w:rStyle w:val="CharDivNo"/>
        </w:rPr>
        <w:t>Division 2</w:t>
      </w:r>
      <w:r>
        <w:t> — </w:t>
      </w:r>
      <w:r>
        <w:rPr>
          <w:rStyle w:val="CharDivText"/>
        </w:rPr>
        <w:t>Legislative Assembly</w:t>
      </w:r>
      <w:bookmarkEnd w:id="47"/>
      <w:bookmarkEnd w:id="48"/>
      <w:bookmarkEnd w:id="49"/>
      <w:bookmarkEnd w:id="50"/>
      <w:bookmarkEnd w:id="51"/>
      <w:bookmarkEnd w:id="52"/>
      <w:bookmarkEnd w:id="53"/>
      <w:bookmarkEnd w:id="54"/>
    </w:p>
    <w:p>
      <w:pPr>
        <w:pStyle w:val="Footnoteheading"/>
        <w:spacing w:before="140"/>
      </w:pPr>
      <w:r>
        <w:tab/>
        <w:t>[Heading inserted: No. 19 of 2010 s. 44(2).]</w:t>
      </w:r>
    </w:p>
    <w:p>
      <w:pPr>
        <w:pStyle w:val="Heading5"/>
      </w:pPr>
      <w:bookmarkStart w:id="55" w:name="_Toc217028046"/>
      <w:bookmarkStart w:id="56" w:name="_Toc216956324"/>
      <w:r>
        <w:rPr>
          <w:rStyle w:val="CharSectno"/>
        </w:rPr>
        <w:t>18</w:t>
      </w:r>
      <w:r>
        <w:t>.</w:t>
      </w:r>
      <w:r>
        <w:tab/>
        <w:t>Constitution of Legislative Assembly</w:t>
      </w:r>
      <w:bookmarkEnd w:id="55"/>
      <w:bookmarkEnd w:id="56"/>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57" w:name="_Toc217028047"/>
      <w:bookmarkStart w:id="58" w:name="_Toc216956325"/>
      <w:r>
        <w:rPr>
          <w:rStyle w:val="CharSectno"/>
        </w:rPr>
        <w:t>21</w:t>
      </w:r>
      <w:r>
        <w:rPr>
          <w:snapToGrid w:val="0"/>
        </w:rPr>
        <w:t>.</w:t>
      </w:r>
      <w:r>
        <w:rPr>
          <w:snapToGrid w:val="0"/>
        </w:rPr>
        <w:tab/>
        <w:t>Duration of Assembly</w:t>
      </w:r>
      <w:bookmarkEnd w:id="57"/>
      <w:bookmarkEnd w:id="58"/>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59" w:name="_Toc217028048"/>
      <w:bookmarkStart w:id="60" w:name="_Toc216956326"/>
      <w:r>
        <w:rPr>
          <w:rStyle w:val="CharSectno"/>
        </w:rPr>
        <w:t>22</w:t>
      </w:r>
      <w:r>
        <w:rPr>
          <w:snapToGrid w:val="0"/>
        </w:rPr>
        <w:t>.</w:t>
      </w:r>
      <w:r>
        <w:rPr>
          <w:snapToGrid w:val="0"/>
        </w:rPr>
        <w:tab/>
        <w:t>Absence of Speaker provided for</w:t>
      </w:r>
      <w:bookmarkEnd w:id="59"/>
      <w:bookmarkEnd w:id="60"/>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61" w:name="_Toc217028049"/>
      <w:bookmarkStart w:id="62" w:name="_Toc216956327"/>
      <w:r>
        <w:rPr>
          <w:rStyle w:val="CharSectno"/>
        </w:rPr>
        <w:t>23</w:t>
      </w:r>
      <w:r>
        <w:rPr>
          <w:snapToGrid w:val="0"/>
        </w:rPr>
        <w:t>.</w:t>
      </w:r>
      <w:r>
        <w:rPr>
          <w:snapToGrid w:val="0"/>
        </w:rPr>
        <w:tab/>
        <w:t>Speaker to hold office till meeting of new Parliament unless not re</w:t>
      </w:r>
      <w:r>
        <w:rPr>
          <w:snapToGrid w:val="0"/>
        </w:rPr>
        <w:noBreakHyphen/>
        <w:t>elected</w:t>
      </w:r>
      <w:bookmarkEnd w:id="61"/>
      <w:bookmarkEnd w:id="62"/>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63" w:name="_Toc217028050"/>
      <w:bookmarkStart w:id="64" w:name="_Toc216956328"/>
      <w:r>
        <w:rPr>
          <w:rStyle w:val="CharSectno"/>
        </w:rPr>
        <w:t>24</w:t>
      </w:r>
      <w:r>
        <w:rPr>
          <w:snapToGrid w:val="0"/>
        </w:rPr>
        <w:t>.</w:t>
      </w:r>
      <w:r>
        <w:rPr>
          <w:snapToGrid w:val="0"/>
        </w:rPr>
        <w:tab/>
        <w:t>Quorum — division, casting vote</w:t>
      </w:r>
      <w:bookmarkEnd w:id="63"/>
      <w:bookmarkEnd w:id="64"/>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5" w:name="_Toc217028051"/>
      <w:bookmarkStart w:id="66" w:name="_Toc216956329"/>
      <w:r>
        <w:rPr>
          <w:rStyle w:val="CharSectno"/>
        </w:rPr>
        <w:t>25</w:t>
      </w:r>
      <w:r>
        <w:rPr>
          <w:snapToGrid w:val="0"/>
        </w:rPr>
        <w:t>.</w:t>
      </w:r>
      <w:r>
        <w:rPr>
          <w:snapToGrid w:val="0"/>
        </w:rPr>
        <w:tab/>
        <w:t>Resignation of members</w:t>
      </w:r>
      <w:bookmarkEnd w:id="65"/>
      <w:bookmarkEnd w:id="66"/>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67" w:name="_Toc216353817"/>
      <w:bookmarkStart w:id="68" w:name="_Toc216776355"/>
      <w:bookmarkStart w:id="69" w:name="_Toc216776575"/>
      <w:bookmarkStart w:id="70" w:name="_Toc216942893"/>
      <w:bookmarkStart w:id="71" w:name="_Toc216956269"/>
      <w:bookmarkStart w:id="72" w:name="_Toc216956330"/>
      <w:bookmarkStart w:id="73" w:name="_Toc216967563"/>
      <w:bookmarkStart w:id="74" w:name="_Toc217028052"/>
      <w:r>
        <w:rPr>
          <w:rStyle w:val="CharDivNo"/>
        </w:rPr>
        <w:t>Division 3</w:t>
      </w:r>
      <w:r>
        <w:t> — </w:t>
      </w:r>
      <w:r>
        <w:rPr>
          <w:rStyle w:val="CharDivText"/>
        </w:rPr>
        <w:t>General</w:t>
      </w:r>
      <w:bookmarkEnd w:id="67"/>
      <w:bookmarkEnd w:id="68"/>
      <w:bookmarkEnd w:id="69"/>
      <w:bookmarkEnd w:id="70"/>
      <w:bookmarkEnd w:id="71"/>
      <w:bookmarkEnd w:id="72"/>
      <w:bookmarkEnd w:id="73"/>
      <w:bookmarkEnd w:id="7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75" w:name="_Toc217028053"/>
      <w:bookmarkStart w:id="76" w:name="_Toc216956331"/>
      <w:r>
        <w:rPr>
          <w:rStyle w:val="CharSectno"/>
        </w:rPr>
        <w:t>31</w:t>
      </w:r>
      <w:r>
        <w:rPr>
          <w:snapToGrid w:val="0"/>
        </w:rPr>
        <w:t>.</w:t>
      </w:r>
      <w:r>
        <w:rPr>
          <w:snapToGrid w:val="0"/>
        </w:rPr>
        <w:tab/>
        <w:t>Terms used</w:t>
      </w:r>
      <w:bookmarkEnd w:id="75"/>
      <w:bookmarkEnd w:id="76"/>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77" w:name="_Toc217028054"/>
      <w:bookmarkStart w:id="78" w:name="_Toc216956332"/>
      <w:r>
        <w:rPr>
          <w:rStyle w:val="CharSectno"/>
        </w:rPr>
        <w:t>32</w:t>
      </w:r>
      <w:r>
        <w:rPr>
          <w:snapToGrid w:val="0"/>
        </w:rPr>
        <w:t>.</w:t>
      </w:r>
      <w:r>
        <w:rPr>
          <w:snapToGrid w:val="0"/>
        </w:rPr>
        <w:tab/>
        <w:t>Disqualification by reason of bankruptcy or convictions</w:t>
      </w:r>
      <w:bookmarkEnd w:id="77"/>
      <w:bookmarkEnd w:id="7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79" w:name="_Toc217028055"/>
      <w:bookmarkStart w:id="80" w:name="_Toc216956333"/>
      <w:r>
        <w:rPr>
          <w:rStyle w:val="CharSectno"/>
        </w:rPr>
        <w:t>33</w:t>
      </w:r>
      <w:r>
        <w:rPr>
          <w:snapToGrid w:val="0"/>
        </w:rPr>
        <w:t>.</w:t>
      </w:r>
      <w:r>
        <w:rPr>
          <w:snapToGrid w:val="0"/>
        </w:rPr>
        <w:tab/>
        <w:t>Holders of offices or places not disqualified except under s. 34 to 42</w:t>
      </w:r>
      <w:bookmarkEnd w:id="79"/>
      <w:bookmarkEnd w:id="80"/>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81" w:name="_Toc217028056"/>
      <w:bookmarkStart w:id="82" w:name="_Toc216956334"/>
      <w:r>
        <w:rPr>
          <w:rStyle w:val="CharSectno"/>
        </w:rPr>
        <w:t>34</w:t>
      </w:r>
      <w:r>
        <w:rPr>
          <w:snapToGrid w:val="0"/>
        </w:rPr>
        <w:t>.</w:t>
      </w:r>
      <w:r>
        <w:rPr>
          <w:snapToGrid w:val="0"/>
        </w:rPr>
        <w:tab/>
        <w:t>Disqualification of certain office</w:t>
      </w:r>
      <w:r>
        <w:rPr>
          <w:snapToGrid w:val="0"/>
        </w:rPr>
        <w:noBreakHyphen/>
        <w:t>holders and members of Parliament</w:t>
      </w:r>
      <w:bookmarkEnd w:id="81"/>
      <w:bookmarkEnd w:id="8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83" w:name="_Toc217028057"/>
      <w:bookmarkStart w:id="84" w:name="_Toc216956335"/>
      <w:r>
        <w:rPr>
          <w:rStyle w:val="CharSectno"/>
        </w:rPr>
        <w:t>36</w:t>
      </w:r>
      <w:r>
        <w:rPr>
          <w:snapToGrid w:val="0"/>
        </w:rPr>
        <w:t>.</w:t>
      </w:r>
      <w:r>
        <w:rPr>
          <w:snapToGrid w:val="0"/>
        </w:rPr>
        <w:tab/>
        <w:t>Certain offices and places must be vacated before member can take seat</w:t>
      </w:r>
      <w:bookmarkEnd w:id="83"/>
      <w:bookmarkEnd w:id="84"/>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85" w:name="_Toc217028058"/>
      <w:bookmarkStart w:id="86" w:name="_Toc216956336"/>
      <w:r>
        <w:rPr>
          <w:rStyle w:val="CharSectno"/>
        </w:rPr>
        <w:t>37</w:t>
      </w:r>
      <w:r>
        <w:rPr>
          <w:snapToGrid w:val="0"/>
        </w:rPr>
        <w:t>.</w:t>
      </w:r>
      <w:r>
        <w:rPr>
          <w:snapToGrid w:val="0"/>
        </w:rPr>
        <w:tab/>
        <w:t>Office or place vacated in certain cases</w:t>
      </w:r>
      <w:bookmarkEnd w:id="85"/>
      <w:bookmarkEnd w:id="86"/>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87" w:name="_Toc217028059"/>
      <w:bookmarkStart w:id="88" w:name="_Toc216956337"/>
      <w:r>
        <w:rPr>
          <w:rStyle w:val="CharSectno"/>
        </w:rPr>
        <w:t>38</w:t>
      </w:r>
      <w:r>
        <w:rPr>
          <w:snapToGrid w:val="0"/>
        </w:rPr>
        <w:t>.</w:t>
      </w:r>
      <w:r>
        <w:rPr>
          <w:snapToGrid w:val="0"/>
        </w:rPr>
        <w:tab/>
        <w:t>Seats in Parliament vacated in certain cases</w:t>
      </w:r>
      <w:bookmarkEnd w:id="87"/>
      <w:bookmarkEnd w:id="8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89" w:name="_Toc217028060"/>
      <w:bookmarkStart w:id="90" w:name="_Toc216956338"/>
      <w:r>
        <w:rPr>
          <w:rStyle w:val="CharSectno"/>
        </w:rPr>
        <w:t>39</w:t>
      </w:r>
      <w:r>
        <w:rPr>
          <w:snapToGrid w:val="0"/>
        </w:rPr>
        <w:t>.</w:t>
      </w:r>
      <w:r>
        <w:rPr>
          <w:snapToGrid w:val="0"/>
        </w:rPr>
        <w:tab/>
        <w:t>Provision for relief</w:t>
      </w:r>
      <w:bookmarkEnd w:id="89"/>
      <w:bookmarkEnd w:id="9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91" w:name="_Toc217028061"/>
      <w:bookmarkStart w:id="92" w:name="_Toc216956339"/>
      <w:r>
        <w:rPr>
          <w:rStyle w:val="CharSectno"/>
        </w:rPr>
        <w:t>40</w:t>
      </w:r>
      <w:r>
        <w:rPr>
          <w:snapToGrid w:val="0"/>
        </w:rPr>
        <w:t>.</w:t>
      </w:r>
      <w:r>
        <w:rPr>
          <w:snapToGrid w:val="0"/>
        </w:rPr>
        <w:tab/>
        <w:t>Presence of unqualified persons not to invalidate proceedings</w:t>
      </w:r>
      <w:bookmarkEnd w:id="91"/>
      <w:bookmarkEnd w:id="9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93" w:name="_Toc217028062"/>
      <w:bookmarkStart w:id="94" w:name="_Toc216956340"/>
      <w:r>
        <w:rPr>
          <w:rStyle w:val="CharSectno"/>
        </w:rPr>
        <w:t>41</w:t>
      </w:r>
      <w:r>
        <w:rPr>
          <w:snapToGrid w:val="0"/>
        </w:rPr>
        <w:t>.</w:t>
      </w:r>
      <w:r>
        <w:rPr>
          <w:snapToGrid w:val="0"/>
        </w:rPr>
        <w:tab/>
        <w:t>Jurisdiction of Court of Appeal</w:t>
      </w:r>
      <w:bookmarkEnd w:id="93"/>
      <w:bookmarkEnd w:id="9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95" w:name="_Toc217028063"/>
      <w:bookmarkStart w:id="96" w:name="_Toc216956341"/>
      <w:r>
        <w:rPr>
          <w:rStyle w:val="CharSectno"/>
        </w:rPr>
        <w:t>42</w:t>
      </w:r>
      <w:r>
        <w:rPr>
          <w:snapToGrid w:val="0"/>
        </w:rPr>
        <w:t>.</w:t>
      </w:r>
      <w:r>
        <w:rPr>
          <w:snapToGrid w:val="0"/>
        </w:rPr>
        <w:tab/>
        <w:t>Power to amend Schedule V</w:t>
      </w:r>
      <w:bookmarkEnd w:id="95"/>
      <w:bookmarkEnd w:id="96"/>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97" w:name="_Toc216353829"/>
      <w:bookmarkStart w:id="98" w:name="_Toc216776367"/>
      <w:bookmarkStart w:id="99" w:name="_Toc216776587"/>
      <w:bookmarkStart w:id="100" w:name="_Toc216942905"/>
      <w:bookmarkStart w:id="101" w:name="_Toc216956281"/>
      <w:bookmarkStart w:id="102" w:name="_Toc216956342"/>
      <w:bookmarkStart w:id="103" w:name="_Toc216967575"/>
      <w:bookmarkStart w:id="104" w:name="_Toc217028064"/>
      <w:r>
        <w:rPr>
          <w:rStyle w:val="CharPartNo"/>
        </w:rPr>
        <w:t>Part II</w:t>
      </w:r>
      <w:r>
        <w:rPr>
          <w:rStyle w:val="CharDivNo"/>
        </w:rPr>
        <w:t> </w:t>
      </w:r>
      <w:r>
        <w:t>—</w:t>
      </w:r>
      <w:r>
        <w:rPr>
          <w:rStyle w:val="CharDivText"/>
        </w:rPr>
        <w:t> </w:t>
      </w:r>
      <w:r>
        <w:rPr>
          <w:rStyle w:val="CharPartText"/>
        </w:rPr>
        <w:t>Executive</w:t>
      </w:r>
      <w:bookmarkEnd w:id="97"/>
      <w:bookmarkEnd w:id="98"/>
      <w:bookmarkEnd w:id="99"/>
      <w:bookmarkEnd w:id="100"/>
      <w:bookmarkEnd w:id="101"/>
      <w:bookmarkEnd w:id="102"/>
      <w:bookmarkEnd w:id="103"/>
      <w:bookmarkEnd w:id="104"/>
    </w:p>
    <w:p>
      <w:pPr>
        <w:pStyle w:val="Heading5"/>
        <w:rPr>
          <w:snapToGrid w:val="0"/>
        </w:rPr>
      </w:pPr>
      <w:bookmarkStart w:id="105" w:name="_Toc217028065"/>
      <w:bookmarkStart w:id="106" w:name="_Toc216956343"/>
      <w:r>
        <w:rPr>
          <w:rStyle w:val="CharSectno"/>
        </w:rPr>
        <w:t>43</w:t>
      </w:r>
      <w:r>
        <w:rPr>
          <w:snapToGrid w:val="0"/>
        </w:rPr>
        <w:t>.</w:t>
      </w:r>
      <w:r>
        <w:rPr>
          <w:snapToGrid w:val="0"/>
        </w:rPr>
        <w:tab/>
        <w:t>Principal executive offices</w:t>
      </w:r>
      <w:bookmarkEnd w:id="105"/>
      <w:bookmarkEnd w:id="106"/>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107" w:name="_Toc217028066"/>
      <w:bookmarkStart w:id="108" w:name="_Toc216956344"/>
      <w:r>
        <w:rPr>
          <w:rStyle w:val="CharSectno"/>
        </w:rPr>
        <w:t>44</w:t>
      </w:r>
      <w:r>
        <w:rPr>
          <w:snapToGrid w:val="0"/>
        </w:rPr>
        <w:t>.</w:t>
      </w:r>
      <w:r>
        <w:rPr>
          <w:snapToGrid w:val="0"/>
        </w:rPr>
        <w:tab/>
        <w:t>No person to draw salaries for 2 offices</w:t>
      </w:r>
      <w:bookmarkEnd w:id="107"/>
      <w:bookmarkEnd w:id="108"/>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09" w:name="_Toc217028067"/>
      <w:bookmarkStart w:id="110" w:name="_Toc216956345"/>
      <w:r>
        <w:rPr>
          <w:rStyle w:val="CharSectno"/>
        </w:rPr>
        <w:t>44A</w:t>
      </w:r>
      <w:r>
        <w:rPr>
          <w:snapToGrid w:val="0"/>
        </w:rPr>
        <w:t>.</w:t>
      </w:r>
      <w:r>
        <w:rPr>
          <w:snapToGrid w:val="0"/>
        </w:rPr>
        <w:tab/>
        <w:t>Parliamentary Secretaries</w:t>
      </w:r>
      <w:bookmarkEnd w:id="109"/>
      <w:bookmarkEnd w:id="110"/>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111" w:name="_Toc217028068"/>
      <w:bookmarkStart w:id="112" w:name="_Toc216956346"/>
      <w:r>
        <w:rPr>
          <w:rStyle w:val="CharSectno"/>
        </w:rPr>
        <w:t>45</w:t>
      </w:r>
      <w:r>
        <w:t>.</w:t>
      </w:r>
      <w:r>
        <w:tab/>
        <w:t>Oath of office for members of Executive Council</w:t>
      </w:r>
      <w:bookmarkEnd w:id="111"/>
      <w:bookmarkEnd w:id="11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113" w:name="_Toc217028069"/>
      <w:bookmarkStart w:id="114" w:name="_Toc216956347"/>
      <w:r>
        <w:rPr>
          <w:rStyle w:val="CharSectno"/>
        </w:rPr>
        <w:t>45A</w:t>
      </w:r>
      <w:r>
        <w:t>.</w:t>
      </w:r>
      <w:r>
        <w:tab/>
        <w:t>Executive Council meetings</w:t>
      </w:r>
      <w:bookmarkEnd w:id="113"/>
      <w:bookmarkEnd w:id="114"/>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115" w:name="_Toc216353835"/>
      <w:bookmarkStart w:id="116" w:name="_Toc216776373"/>
      <w:bookmarkStart w:id="117" w:name="_Toc216776593"/>
      <w:bookmarkStart w:id="118" w:name="_Toc216942911"/>
      <w:bookmarkStart w:id="119" w:name="_Toc216956287"/>
      <w:bookmarkStart w:id="120" w:name="_Toc216956348"/>
      <w:bookmarkStart w:id="121" w:name="_Toc216967581"/>
      <w:bookmarkStart w:id="122" w:name="_Toc217028070"/>
      <w:r>
        <w:rPr>
          <w:rStyle w:val="CharPartNo"/>
        </w:rPr>
        <w:t>Part III</w:t>
      </w:r>
      <w:r>
        <w:rPr>
          <w:rStyle w:val="CharDivNo"/>
        </w:rPr>
        <w:t> </w:t>
      </w:r>
      <w:r>
        <w:t>—</w:t>
      </w:r>
      <w:r>
        <w:rPr>
          <w:rStyle w:val="CharDivText"/>
        </w:rPr>
        <w:t> </w:t>
      </w:r>
      <w:r>
        <w:rPr>
          <w:rStyle w:val="CharPartText"/>
        </w:rPr>
        <w:t>Miscellaneous</w:t>
      </w:r>
      <w:bookmarkEnd w:id="115"/>
      <w:bookmarkEnd w:id="116"/>
      <w:bookmarkEnd w:id="117"/>
      <w:bookmarkEnd w:id="118"/>
      <w:bookmarkEnd w:id="119"/>
      <w:bookmarkEnd w:id="120"/>
      <w:bookmarkEnd w:id="121"/>
      <w:bookmarkEnd w:id="122"/>
    </w:p>
    <w:p>
      <w:pPr>
        <w:pStyle w:val="Heading5"/>
        <w:rPr>
          <w:snapToGrid w:val="0"/>
        </w:rPr>
      </w:pPr>
      <w:bookmarkStart w:id="123" w:name="_Toc217028071"/>
      <w:bookmarkStart w:id="124" w:name="_Toc216956349"/>
      <w:r>
        <w:rPr>
          <w:rStyle w:val="CharSectno"/>
        </w:rPr>
        <w:t>46</w:t>
      </w:r>
      <w:r>
        <w:rPr>
          <w:snapToGrid w:val="0"/>
        </w:rPr>
        <w:t>.</w:t>
      </w:r>
      <w:r>
        <w:rPr>
          <w:snapToGrid w:val="0"/>
        </w:rPr>
        <w:tab/>
        <w:t>Powers of the 2 Houses in respect of legislation</w:t>
      </w:r>
      <w:bookmarkEnd w:id="123"/>
      <w:bookmarkEnd w:id="124"/>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25" w:name="_Toc217028072"/>
      <w:bookmarkStart w:id="126" w:name="_Toc216956350"/>
      <w:r>
        <w:rPr>
          <w:rStyle w:val="CharSectno"/>
        </w:rPr>
        <w:t>48</w:t>
      </w:r>
      <w:r>
        <w:rPr>
          <w:snapToGrid w:val="0"/>
        </w:rPr>
        <w:t>.</w:t>
      </w:r>
      <w:r>
        <w:rPr>
          <w:snapToGrid w:val="0"/>
        </w:rPr>
        <w:tab/>
        <w:t>Revision or compilation of electoral rolls upon commencement of Act</w:t>
      </w:r>
      <w:bookmarkEnd w:id="125"/>
      <w:bookmarkEnd w:id="126"/>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27" w:name="_Toc217028073"/>
      <w:bookmarkStart w:id="128" w:name="_Toc216956351"/>
      <w:r>
        <w:rPr>
          <w:rStyle w:val="CharSectno"/>
        </w:rPr>
        <w:t>49</w:t>
      </w:r>
      <w:r>
        <w:rPr>
          <w:snapToGrid w:val="0"/>
        </w:rPr>
        <w:t>.</w:t>
      </w:r>
      <w:r>
        <w:rPr>
          <w:snapToGrid w:val="0"/>
        </w:rPr>
        <w:tab/>
        <w:t>Commencement of action</w:t>
      </w:r>
      <w:bookmarkEnd w:id="127"/>
      <w:bookmarkEnd w:id="128"/>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29" w:name="_Toc217028074"/>
      <w:bookmarkStart w:id="130" w:name="_Toc216956352"/>
      <w:r>
        <w:rPr>
          <w:rStyle w:val="CharSectno"/>
        </w:rPr>
        <w:t>50</w:t>
      </w:r>
      <w:r>
        <w:rPr>
          <w:snapToGrid w:val="0"/>
        </w:rPr>
        <w:t>.</w:t>
      </w:r>
      <w:r>
        <w:rPr>
          <w:snapToGrid w:val="0"/>
        </w:rPr>
        <w:tab/>
        <w:t>Plaintiff to give security for costs</w:t>
      </w:r>
      <w:bookmarkEnd w:id="129"/>
      <w:bookmarkEnd w:id="130"/>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31" w:name="_Toc217028075"/>
      <w:bookmarkStart w:id="132" w:name="_Toc216956353"/>
      <w:r>
        <w:rPr>
          <w:rStyle w:val="CharSectno"/>
        </w:rPr>
        <w:t>51</w:t>
      </w:r>
      <w:r>
        <w:rPr>
          <w:snapToGrid w:val="0"/>
        </w:rPr>
        <w:t>.</w:t>
      </w:r>
      <w:r>
        <w:rPr>
          <w:snapToGrid w:val="0"/>
        </w:rPr>
        <w:tab/>
        <w:t>No action to lie against officials of either House</w:t>
      </w:r>
      <w:bookmarkEnd w:id="131"/>
      <w:bookmarkEnd w:id="132"/>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33" w:name="_Toc217028076"/>
      <w:bookmarkStart w:id="134" w:name="_Toc216956354"/>
      <w:r>
        <w:rPr>
          <w:rStyle w:val="CharSectno"/>
        </w:rPr>
        <w:t>52</w:t>
      </w:r>
      <w:r>
        <w:rPr>
          <w:snapToGrid w:val="0"/>
        </w:rPr>
        <w:t>.</w:t>
      </w:r>
      <w:r>
        <w:rPr>
          <w:snapToGrid w:val="0"/>
        </w:rPr>
        <w:tab/>
        <w:t>Proclamation of Royal Assent and commencement of Act</w:t>
      </w:r>
      <w:bookmarkEnd w:id="133"/>
      <w:bookmarkEnd w:id="13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35" w:name="_Toc216353842"/>
      <w:bookmarkStart w:id="136" w:name="_Toc216776380"/>
      <w:bookmarkStart w:id="137" w:name="_Toc216776600"/>
      <w:bookmarkStart w:id="138" w:name="_Toc216942918"/>
      <w:bookmarkStart w:id="139" w:name="_Toc216956294"/>
      <w:bookmarkStart w:id="140" w:name="_Toc216956355"/>
      <w:bookmarkStart w:id="141" w:name="_Toc216967588"/>
      <w:bookmarkStart w:id="142" w:name="_Toc217028077"/>
      <w:r>
        <w:rPr>
          <w:rStyle w:val="CharSchNo"/>
        </w:rPr>
        <w:t>Schedule I</w:t>
      </w:r>
      <w:r>
        <w:rPr>
          <w:rStyle w:val="CharSDivNo"/>
        </w:rPr>
        <w:t> </w:t>
      </w:r>
      <w:r>
        <w:t>—</w:t>
      </w:r>
      <w:r>
        <w:rPr>
          <w:rStyle w:val="CharSDivText"/>
        </w:rPr>
        <w:t> </w:t>
      </w:r>
      <w:r>
        <w:rPr>
          <w:rStyle w:val="CharSchText"/>
        </w:rPr>
        <w:t>Enactments repealed</w:t>
      </w:r>
      <w:bookmarkEnd w:id="135"/>
      <w:bookmarkEnd w:id="136"/>
      <w:bookmarkEnd w:id="137"/>
      <w:bookmarkEnd w:id="138"/>
      <w:bookmarkEnd w:id="139"/>
      <w:bookmarkEnd w:id="140"/>
      <w:bookmarkEnd w:id="141"/>
      <w:bookmarkEnd w:id="142"/>
    </w:p>
    <w:p>
      <w:pPr>
        <w:pStyle w:val="yShoulderClause"/>
        <w:rPr>
          <w:rStyle w:val="CharSchNo"/>
        </w:rPr>
      </w:pPr>
      <w:r>
        <w:rPr>
          <w:rStyle w:val="CharSchNo"/>
        </w:rPr>
        <w:t>[s. 2]</w:t>
      </w:r>
    </w:p>
    <w:p>
      <w:pPr>
        <w:pStyle w:val="yFootnoteheading"/>
        <w:spacing w:after="240"/>
      </w:pPr>
      <w:r>
        <w:tab/>
        <w:t>[Heading amended: No. 19 of 2010 s. 14(2).]</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861"/>
      </w:tblGrid>
      <w:tr>
        <w:tc>
          <w:tcPr>
            <w:tcW w:w="3227" w:type="dxa"/>
            <w:tcBorders>
              <w:left w:val="nil"/>
              <w:bottom w:val="nil"/>
            </w:tcBorders>
          </w:tcPr>
          <w:p>
            <w:pPr>
              <w:pStyle w:val="yTableNAm"/>
              <w:jc w:val="center"/>
              <w:rPr>
                <w:b/>
              </w:rPr>
            </w:pPr>
            <w:r>
              <w:rPr>
                <w:b/>
              </w:rPr>
              <w:t>Session and Number</w:t>
            </w:r>
          </w:p>
        </w:tc>
        <w:tc>
          <w:tcPr>
            <w:tcW w:w="3861"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3861"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3861"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3861"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3861"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43" w:name="_Toc216353843"/>
      <w:bookmarkStart w:id="144" w:name="_Toc216776381"/>
      <w:bookmarkStart w:id="145" w:name="_Toc216776601"/>
      <w:bookmarkStart w:id="146" w:name="_Toc216942919"/>
      <w:bookmarkStart w:id="147" w:name="_Toc216956295"/>
      <w:bookmarkStart w:id="148" w:name="_Toc216956356"/>
      <w:bookmarkStart w:id="149" w:name="_Toc216967589"/>
      <w:bookmarkStart w:id="150" w:name="_Toc217028078"/>
      <w:r>
        <w:rPr>
          <w:rStyle w:val="CharSchNo"/>
        </w:rPr>
        <w:t>Schedule V</w:t>
      </w:r>
      <w:r>
        <w:t> — </w:t>
      </w:r>
      <w:r>
        <w:rPr>
          <w:rStyle w:val="CharSchText"/>
        </w:rPr>
        <w:t>Offices and bodies to which Part I Division 3 applies</w:t>
      </w:r>
      <w:bookmarkEnd w:id="143"/>
      <w:bookmarkEnd w:id="144"/>
      <w:bookmarkEnd w:id="145"/>
      <w:bookmarkEnd w:id="146"/>
      <w:bookmarkEnd w:id="147"/>
      <w:bookmarkEnd w:id="148"/>
      <w:bookmarkEnd w:id="149"/>
      <w:bookmarkEnd w:id="150"/>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51" w:name="_Toc216353844"/>
      <w:bookmarkStart w:id="152" w:name="_Toc216776382"/>
      <w:bookmarkStart w:id="153" w:name="_Toc216776602"/>
      <w:bookmarkStart w:id="154" w:name="_Toc216942920"/>
      <w:bookmarkStart w:id="155" w:name="_Toc216956296"/>
      <w:bookmarkStart w:id="156" w:name="_Toc216956357"/>
      <w:bookmarkStart w:id="157" w:name="_Toc216967590"/>
      <w:bookmarkStart w:id="158" w:name="_Toc217028079"/>
      <w:r>
        <w:rPr>
          <w:rStyle w:val="CharSDivNo"/>
          <w:rFonts w:eastAsia="MS Mincho"/>
        </w:rPr>
        <w:t>Part 1</w:t>
      </w:r>
      <w:r>
        <w:rPr>
          <w:rFonts w:eastAsia="MS Mincho"/>
          <w:b w:val="0"/>
        </w:rPr>
        <w:t> — </w:t>
      </w:r>
      <w:r>
        <w:rPr>
          <w:rStyle w:val="CharSDivText"/>
          <w:rFonts w:eastAsia="MS Mincho"/>
        </w:rPr>
        <w:t>Disqualifying offices</w:t>
      </w:r>
      <w:bookmarkEnd w:id="151"/>
      <w:bookmarkEnd w:id="152"/>
      <w:bookmarkEnd w:id="153"/>
      <w:bookmarkEnd w:id="154"/>
      <w:bookmarkEnd w:id="155"/>
      <w:bookmarkEnd w:id="156"/>
      <w:bookmarkEnd w:id="157"/>
      <w:bookmarkEnd w:id="158"/>
    </w:p>
    <w:p>
      <w:pPr>
        <w:pStyle w:val="yFootnoteheading"/>
      </w:pPr>
      <w:r>
        <w:tab/>
        <w:t>[Heading inserted: No. 19 of 2010 s. 14(3).]</w:t>
      </w:r>
    </w:p>
    <w:p>
      <w:pPr>
        <w:pStyle w:val="yHeading4"/>
        <w:spacing w:before="260"/>
        <w:rPr>
          <w:rFonts w:eastAsia="MS Mincho"/>
        </w:rPr>
      </w:pPr>
      <w:bookmarkStart w:id="159" w:name="_Toc216353845"/>
      <w:bookmarkStart w:id="160" w:name="_Toc216776383"/>
      <w:bookmarkStart w:id="161" w:name="_Toc216776603"/>
      <w:bookmarkStart w:id="162" w:name="_Toc216942921"/>
      <w:bookmarkStart w:id="163" w:name="_Toc216956297"/>
      <w:bookmarkStart w:id="164" w:name="_Toc216956358"/>
      <w:bookmarkStart w:id="165" w:name="_Toc216967591"/>
      <w:bookmarkStart w:id="166" w:name="_Toc217028080"/>
      <w:r>
        <w:rPr>
          <w:rFonts w:eastAsia="MS Mincho"/>
        </w:rPr>
        <w:t>Division 1</w:t>
      </w:r>
      <w:r>
        <w:rPr>
          <w:rFonts w:eastAsia="MS Mincho"/>
          <w:b w:val="0"/>
        </w:rPr>
        <w:t> — </w:t>
      </w:r>
      <w:r>
        <w:rPr>
          <w:rFonts w:eastAsia="MS Mincho"/>
        </w:rPr>
        <w:t>Judicial, tribunal and similar offices</w:t>
      </w:r>
      <w:bookmarkEnd w:id="159"/>
      <w:bookmarkEnd w:id="160"/>
      <w:bookmarkEnd w:id="161"/>
      <w:bookmarkEnd w:id="162"/>
      <w:bookmarkEnd w:id="163"/>
      <w:bookmarkEnd w:id="164"/>
      <w:bookmarkEnd w:id="165"/>
      <w:bookmarkEnd w:id="166"/>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zCs w:val="22"/>
        </w:rPr>
        <w:t>Chairperson</w:t>
      </w:r>
      <w:r>
        <w:rPr>
          <w:snapToGrid w:val="0"/>
        </w:rPr>
        <w:t xml:space="preserve"> </w:t>
      </w:r>
      <w:r>
        <w:t xml:space="preserve">or other member of the Salaries and Allowances Tribunal established by the </w:t>
      </w:r>
      <w:r>
        <w:rPr>
          <w:i/>
        </w:rPr>
        <w:t>Salaries and Allowances Act 1975</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 No. 43 of 2024 s. 156(2); No. 3 of 2025 s. 14; No. 14 of 2025 s. 17(2).]</w:t>
      </w:r>
    </w:p>
    <w:p>
      <w:pPr>
        <w:pStyle w:val="yHeading4"/>
        <w:rPr>
          <w:rFonts w:eastAsia="MS Mincho"/>
        </w:rPr>
      </w:pPr>
      <w:bookmarkStart w:id="167" w:name="_Toc216353846"/>
      <w:bookmarkStart w:id="168" w:name="_Toc216776384"/>
      <w:bookmarkStart w:id="169" w:name="_Toc216776604"/>
      <w:bookmarkStart w:id="170" w:name="_Toc216942922"/>
      <w:bookmarkStart w:id="171" w:name="_Toc216956298"/>
      <w:bookmarkStart w:id="172" w:name="_Toc216956359"/>
      <w:bookmarkStart w:id="173" w:name="_Toc216967592"/>
      <w:bookmarkStart w:id="174" w:name="_Toc217028081"/>
      <w:r>
        <w:rPr>
          <w:rFonts w:eastAsia="MS Mincho"/>
        </w:rPr>
        <w:t>Division 2</w:t>
      </w:r>
      <w:r>
        <w:rPr>
          <w:rFonts w:eastAsia="MS Mincho"/>
          <w:b w:val="0"/>
        </w:rPr>
        <w:t> — </w:t>
      </w:r>
      <w:r>
        <w:rPr>
          <w:rFonts w:eastAsia="MS Mincho"/>
        </w:rPr>
        <w:t>Other offices</w:t>
      </w:r>
      <w:bookmarkEnd w:id="167"/>
      <w:bookmarkEnd w:id="168"/>
      <w:bookmarkEnd w:id="169"/>
      <w:bookmarkEnd w:id="170"/>
      <w:bookmarkEnd w:id="171"/>
      <w:bookmarkEnd w:id="172"/>
      <w:bookmarkEnd w:id="173"/>
      <w:bookmarkEnd w:id="174"/>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t xml:space="preserve">Information Commissioner, Information Access Deputy Commissioner or Privacy Deputy Commissioner appointed under the </w:t>
      </w:r>
      <w:r>
        <w:rPr>
          <w:i/>
          <w:iCs/>
        </w:rPr>
        <w:t>Information Commissioner Act 2024</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 No. 52 of 2024 s. 47.]</w:t>
      </w:r>
    </w:p>
    <w:p>
      <w:pPr>
        <w:pStyle w:val="yEdnotedivision"/>
        <w:spacing w:before="240"/>
      </w:pPr>
      <w:r>
        <w:t>[Division 3 deleted: No. 32 of 1994 s. 9(a).]</w:t>
      </w:r>
    </w:p>
    <w:p>
      <w:pPr>
        <w:pStyle w:val="yHeading3"/>
        <w:rPr>
          <w:rFonts w:eastAsia="MS Mincho"/>
        </w:rPr>
      </w:pPr>
      <w:bookmarkStart w:id="175" w:name="_Toc216353847"/>
      <w:bookmarkStart w:id="176" w:name="_Toc216776385"/>
      <w:bookmarkStart w:id="177" w:name="_Toc216776605"/>
      <w:bookmarkStart w:id="178" w:name="_Toc216942923"/>
      <w:bookmarkStart w:id="179" w:name="_Toc216956299"/>
      <w:bookmarkStart w:id="180" w:name="_Toc216956360"/>
      <w:bookmarkStart w:id="181" w:name="_Toc216967593"/>
      <w:bookmarkStart w:id="182" w:name="_Toc217028082"/>
      <w:r>
        <w:rPr>
          <w:rStyle w:val="CharSDivNo"/>
          <w:rFonts w:eastAsia="MS Mincho"/>
        </w:rPr>
        <w:t>Part 2</w:t>
      </w:r>
      <w:r>
        <w:rPr>
          <w:rFonts w:eastAsia="MS Mincho"/>
          <w:b w:val="0"/>
        </w:rPr>
        <w:t> — </w:t>
      </w:r>
      <w:r>
        <w:rPr>
          <w:rStyle w:val="CharSDivText"/>
          <w:rFonts w:eastAsia="MS Mincho"/>
        </w:rPr>
        <w:t>Offices or places vacated on election</w:t>
      </w:r>
      <w:bookmarkEnd w:id="175"/>
      <w:bookmarkEnd w:id="176"/>
      <w:bookmarkEnd w:id="177"/>
      <w:bookmarkEnd w:id="178"/>
      <w:bookmarkEnd w:id="179"/>
      <w:bookmarkEnd w:id="180"/>
      <w:bookmarkEnd w:id="181"/>
      <w:bookmarkEnd w:id="182"/>
    </w:p>
    <w:p>
      <w:pPr>
        <w:pStyle w:val="yFootnoteheading"/>
        <w:keepNext/>
      </w:pPr>
      <w:r>
        <w:tab/>
        <w:t>[Heading inserted: No. 19 of 2010 s. 14(5).]</w:t>
      </w:r>
    </w:p>
    <w:p>
      <w:pPr>
        <w:pStyle w:val="yEdnotedivision"/>
        <w:keepNext/>
        <w:spacing w:before="240"/>
      </w:pPr>
      <w:r>
        <w:t>[Division 1 deleted: No. 43 of 2024 s. 156(3).]</w:t>
      </w:r>
    </w:p>
    <w:p>
      <w:pPr>
        <w:pStyle w:val="yEdnotedivision"/>
        <w:keepNext/>
        <w:spacing w:before="240"/>
      </w:pPr>
      <w:r>
        <w:t>[Heading deleted: No. 43 of 2024 s. 156(4).]</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183" w:name="_Toc216353848"/>
      <w:bookmarkStart w:id="184" w:name="_Toc216776386"/>
      <w:bookmarkStart w:id="185" w:name="_Toc216776606"/>
      <w:bookmarkStart w:id="186" w:name="_Toc216942924"/>
      <w:bookmarkStart w:id="187" w:name="_Toc216956300"/>
      <w:bookmarkStart w:id="188" w:name="_Toc216956361"/>
      <w:bookmarkStart w:id="189" w:name="_Toc216967594"/>
      <w:bookmarkStart w:id="190" w:name="_Toc217028083"/>
      <w:r>
        <w:rPr>
          <w:rStyle w:val="CharSDivNo"/>
          <w:rFonts w:eastAsia="MS Mincho"/>
        </w:rPr>
        <w:t>Part 3</w:t>
      </w:r>
      <w:r>
        <w:rPr>
          <w:rFonts w:eastAsia="MS Mincho"/>
        </w:rPr>
        <w:t> — </w:t>
      </w:r>
      <w:r>
        <w:rPr>
          <w:rStyle w:val="CharSDivText"/>
          <w:rFonts w:eastAsia="MS Mincho"/>
        </w:rPr>
        <w:t>Bodies membership of which is vacated on election</w:t>
      </w:r>
      <w:bookmarkEnd w:id="183"/>
      <w:bookmarkEnd w:id="184"/>
      <w:bookmarkEnd w:id="185"/>
      <w:bookmarkEnd w:id="186"/>
      <w:bookmarkEnd w:id="187"/>
      <w:bookmarkEnd w:id="188"/>
      <w:bookmarkEnd w:id="189"/>
      <w:bookmarkEnd w:id="190"/>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pPr>
        <w:pStyle w:val="yMiscellaneousBody"/>
        <w:ind w:left="879" w:hanging="879"/>
      </w:pPr>
      <w:r>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pPr>
      <w:r>
        <w:t xml:space="preserve">The board of Keystart established under the </w:t>
      </w:r>
      <w:r>
        <w:rPr>
          <w:i/>
          <w:iCs/>
        </w:rPr>
        <w:t>Keystart Act 2024</w:t>
      </w:r>
      <w:r>
        <w:t>.</w:t>
      </w:r>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t xml:space="preserve">The Law Reform Commission of Western Australia established under the </w:t>
      </w:r>
      <w:r>
        <w:rPr>
          <w:i/>
          <w:iCs/>
        </w:rPr>
        <w:t>Law Reform Commission Act 1972</w:t>
      </w:r>
      <w:r>
        <w:t>.</w:t>
      </w:r>
    </w:p>
    <w:p>
      <w:pPr>
        <w:pStyle w:val="yMiscellaneousBody"/>
        <w:ind w:left="879" w:hanging="879"/>
      </w:pPr>
      <w:r>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t xml:space="preserve">The Mining Rehabilitation Advisory Panel established by the </w:t>
      </w:r>
      <w:r>
        <w:rPr>
          <w:i/>
          <w:iCs/>
        </w:rPr>
        <w:t>Mining Rehabilitation Fund Act 2012</w:t>
      </w:r>
      <w:r>
        <w:t>.</w:t>
      </w:r>
    </w:p>
    <w:p>
      <w:pPr>
        <w:pStyle w:val="yMiscellaneousBody"/>
        <w:ind w:left="879" w:hanging="879"/>
      </w:pPr>
      <w:r>
        <w:t xml:space="preserve">The Ministerial Advisory Council on Disability established under the </w:t>
      </w:r>
      <w:r>
        <w:rPr>
          <w:i/>
          <w:iCs/>
        </w:rPr>
        <w:t>Disability Services Act 1993</w:t>
      </w:r>
      <w:r>
        <w:t>.</w:t>
      </w:r>
    </w:p>
    <w:p>
      <w:pPr>
        <w:pStyle w:val="yMiscellaneousBody"/>
        <w:ind w:left="879" w:hanging="879"/>
      </w:pPr>
      <w:r>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t xml:space="preserve">The Prisoners Review Board established under the </w:t>
      </w:r>
      <w:r>
        <w:rPr>
          <w:i/>
          <w:iCs/>
        </w:rPr>
        <w:t>Sentence Administration Act 2003</w:t>
      </w:r>
      <w:r>
        <w:t>.</w:t>
      </w:r>
    </w:p>
    <w:p>
      <w:pPr>
        <w:pStyle w:val="yMiscellaneousBody"/>
        <w:ind w:left="879" w:hanging="879"/>
      </w:pPr>
      <w:r>
        <w:t xml:space="preserve">The Professional Standards Council established under the </w:t>
      </w:r>
      <w:r>
        <w:rPr>
          <w:i/>
          <w:iCs/>
        </w:rPr>
        <w:t>Professional Standards Act 1997</w:t>
      </w:r>
      <w:r>
        <w:t>.</w:t>
      </w:r>
    </w:p>
    <w:p>
      <w:pPr>
        <w:pStyle w:val="yMiscellaneousBody"/>
        <w:ind w:left="879" w:hanging="879"/>
      </w:pPr>
      <w:r>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t xml:space="preserve">The Soil and Land Conservation Council constituted under the </w:t>
      </w:r>
      <w:r>
        <w:rPr>
          <w:i/>
          <w:iCs/>
        </w:rPr>
        <w:t>Soil and Land Conservation Act 1945</w:t>
      </w:r>
      <w:r>
        <w:t>.</w:t>
      </w:r>
    </w:p>
    <w:p>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t xml:space="preserve">The Voluntary Assisted Dying Board established by the </w:t>
      </w:r>
      <w:r>
        <w:rPr>
          <w:i/>
          <w:iCs/>
        </w:rPr>
        <w:t>Voluntary Assisted Dying Act 2019</w:t>
      </w:r>
      <w:r>
        <w:t>.</w:t>
      </w:r>
    </w:p>
    <w:p>
      <w:pPr>
        <w:pStyle w:val="yMiscellaneousBody"/>
        <w:ind w:left="879" w:hanging="879"/>
      </w:pPr>
      <w:r>
        <w:t xml:space="preserve">The Waste Authority established under the </w:t>
      </w:r>
      <w:r>
        <w:rPr>
          <w:i/>
          <w:iCs/>
        </w:rPr>
        <w:t>Waste Avoidance and Resource Recovery Act 2007</w:t>
      </w:r>
      <w:r>
        <w:t>.</w:t>
      </w:r>
    </w:p>
    <w:p>
      <w:pPr>
        <w:pStyle w:val="yMiscellaneousBody"/>
        <w:ind w:left="879" w:hanging="879"/>
      </w:pPr>
      <w:r>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t xml:space="preserve">The Zoological Parks Authority established under the </w:t>
      </w:r>
      <w:r>
        <w:rPr>
          <w:i/>
          <w:iCs/>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 No. 44 of 2024 s. 59(1); No. 31 of 2024 s. 30; No. 14 of 2025 s. 17(3)</w:t>
      </w:r>
      <w:r>
        <w:rPr>
          <w:szCs w:val="22"/>
        </w:rPr>
        <w:t>.</w:t>
      </w:r>
      <w:r>
        <w:t>]</w:t>
      </w:r>
    </w:p>
    <w:p>
      <w:pPr>
        <w:pStyle w:val="yScheduleHeading"/>
      </w:pPr>
      <w:bookmarkStart w:id="191" w:name="_Toc216353849"/>
      <w:bookmarkStart w:id="192" w:name="_Toc216776387"/>
      <w:bookmarkStart w:id="193" w:name="_Toc216776607"/>
      <w:bookmarkStart w:id="194" w:name="_Toc216942925"/>
      <w:bookmarkStart w:id="195" w:name="_Toc216956301"/>
      <w:bookmarkStart w:id="196" w:name="_Toc216956362"/>
      <w:bookmarkStart w:id="197" w:name="_Toc216967595"/>
      <w:bookmarkStart w:id="198" w:name="_Toc217028084"/>
      <w:r>
        <w:rPr>
          <w:rStyle w:val="CharSchNo"/>
        </w:rPr>
        <w:t>Schedule VI</w:t>
      </w:r>
      <w:r>
        <w:t> — </w:t>
      </w:r>
      <w:r>
        <w:rPr>
          <w:rStyle w:val="CharSchText"/>
        </w:rPr>
        <w:t>Oaths and affirmations of office</w:t>
      </w:r>
      <w:bookmarkEnd w:id="191"/>
      <w:bookmarkEnd w:id="192"/>
      <w:bookmarkEnd w:id="193"/>
      <w:bookmarkEnd w:id="194"/>
      <w:bookmarkEnd w:id="195"/>
      <w:bookmarkEnd w:id="196"/>
      <w:bookmarkEnd w:id="197"/>
      <w:bookmarkEnd w:id="198"/>
    </w:p>
    <w:p>
      <w:pPr>
        <w:pStyle w:val="yShoulderClause"/>
      </w:pPr>
      <w:r>
        <w:t>[s. 43(4), 44A(6) &amp; 45]</w:t>
      </w:r>
    </w:p>
    <w:p>
      <w:pPr>
        <w:pStyle w:val="yFootnoteheading"/>
      </w:pPr>
      <w:r>
        <w:tab/>
        <w:t>[Heading inserted: No. 24 of 2005 s. 12.]</w:t>
      </w:r>
    </w:p>
    <w:p>
      <w:pPr>
        <w:pStyle w:val="yHeading3"/>
      </w:pPr>
      <w:bookmarkStart w:id="199" w:name="_Toc216353850"/>
      <w:bookmarkStart w:id="200" w:name="_Toc216776388"/>
      <w:bookmarkStart w:id="201" w:name="_Toc216776608"/>
      <w:bookmarkStart w:id="202" w:name="_Toc216942926"/>
      <w:bookmarkStart w:id="203" w:name="_Toc216956302"/>
      <w:bookmarkStart w:id="204" w:name="_Toc216956363"/>
      <w:bookmarkStart w:id="205" w:name="_Toc216967596"/>
      <w:bookmarkStart w:id="206" w:name="_Toc217028085"/>
      <w:r>
        <w:rPr>
          <w:rStyle w:val="CharSDivNo"/>
        </w:rPr>
        <w:t>Division 1</w:t>
      </w:r>
      <w:r>
        <w:rPr>
          <w:b w:val="0"/>
        </w:rPr>
        <w:t> — </w:t>
      </w:r>
      <w:r>
        <w:rPr>
          <w:rStyle w:val="CharSDivText"/>
        </w:rPr>
        <w:t>Holders of principal executive offices and for Parliamentary Secretaries</w:t>
      </w:r>
      <w:bookmarkEnd w:id="199"/>
      <w:bookmarkEnd w:id="200"/>
      <w:bookmarkEnd w:id="201"/>
      <w:bookmarkEnd w:id="202"/>
      <w:bookmarkEnd w:id="203"/>
      <w:bookmarkEnd w:id="204"/>
      <w:bookmarkEnd w:id="205"/>
      <w:bookmarkEnd w:id="206"/>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207" w:name="_Toc216353851"/>
      <w:bookmarkStart w:id="208" w:name="_Toc216776389"/>
      <w:bookmarkStart w:id="209" w:name="_Toc216776609"/>
      <w:bookmarkStart w:id="210" w:name="_Toc216942927"/>
      <w:bookmarkStart w:id="211" w:name="_Toc216956303"/>
      <w:bookmarkStart w:id="212" w:name="_Toc216956364"/>
      <w:bookmarkStart w:id="213" w:name="_Toc216967597"/>
      <w:bookmarkStart w:id="214" w:name="_Toc217028086"/>
      <w:r>
        <w:rPr>
          <w:rStyle w:val="CharSDivNo"/>
        </w:rPr>
        <w:t>Division 2</w:t>
      </w:r>
      <w:r>
        <w:t> — </w:t>
      </w:r>
      <w:r>
        <w:rPr>
          <w:rStyle w:val="CharSDivText"/>
        </w:rPr>
        <w:t>Members of the Executive Council</w:t>
      </w:r>
      <w:bookmarkEnd w:id="207"/>
      <w:bookmarkEnd w:id="208"/>
      <w:bookmarkEnd w:id="209"/>
      <w:bookmarkEnd w:id="210"/>
      <w:bookmarkEnd w:id="211"/>
      <w:bookmarkEnd w:id="212"/>
      <w:bookmarkEnd w:id="213"/>
      <w:bookmarkEnd w:id="214"/>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16" w:name="_Toc216353852"/>
      <w:bookmarkStart w:id="217" w:name="_Toc216776390"/>
      <w:bookmarkStart w:id="218" w:name="_Toc216776610"/>
      <w:bookmarkStart w:id="219" w:name="_Toc216942928"/>
      <w:bookmarkStart w:id="220" w:name="_Toc216956304"/>
      <w:bookmarkStart w:id="221" w:name="_Toc216956365"/>
      <w:bookmarkStart w:id="222" w:name="_Toc216967598"/>
      <w:bookmarkStart w:id="223" w:name="_Toc217028087"/>
      <w:r>
        <w:t>Notes</w:t>
      </w:r>
      <w:bookmarkEnd w:id="216"/>
      <w:bookmarkEnd w:id="217"/>
      <w:bookmarkEnd w:id="218"/>
      <w:bookmarkEnd w:id="219"/>
      <w:bookmarkEnd w:id="220"/>
      <w:bookmarkEnd w:id="221"/>
      <w:bookmarkEnd w:id="222"/>
      <w:bookmarkEnd w:id="223"/>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224" w:name="_Toc217028088"/>
      <w:bookmarkStart w:id="225" w:name="_Toc216956366"/>
      <w:r>
        <w:t>Compilation table</w:t>
      </w:r>
      <w:bookmarkEnd w:id="224"/>
      <w:bookmarkEnd w:id="225"/>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c>
          <w:tcPr>
            <w:tcW w:w="2268" w:type="dxa"/>
            <w:tcBorders>
              <w:top w:val="nil"/>
              <w:bottom w:val="nil"/>
              <w:right w:val="nil"/>
            </w:tcBorders>
            <w:shd w:val="clear" w:color="auto" w:fill="auto"/>
          </w:tcPr>
          <w:p>
            <w:pPr>
              <w:pStyle w:val="nTable"/>
              <w:spacing w:after="40"/>
              <w:rPr>
                <w:i/>
              </w:rPr>
            </w:pPr>
            <w:r>
              <w:rPr>
                <w:i/>
              </w:rPr>
              <w:t xml:space="preserve">Births, Deaths and Marriages Registration Amendment (Sex or Gender Changes) Act 2024 </w:t>
            </w:r>
            <w:r>
              <w:rPr>
                <w:iCs/>
              </w:rPr>
              <w:t>Pt. 4 Div. 3</w:t>
            </w:r>
          </w:p>
        </w:tc>
        <w:tc>
          <w:tcPr>
            <w:tcW w:w="1186" w:type="dxa"/>
            <w:tcBorders>
              <w:top w:val="nil"/>
              <w:left w:val="nil"/>
              <w:bottom w:val="nil"/>
              <w:right w:val="nil"/>
            </w:tcBorders>
            <w:shd w:val="clear" w:color="auto" w:fill="auto"/>
          </w:tcPr>
          <w:p>
            <w:pPr>
              <w:pStyle w:val="nTable"/>
              <w:spacing w:after="40"/>
            </w:pPr>
            <w:r>
              <w:t>31 of 2024</w:t>
            </w:r>
          </w:p>
        </w:tc>
        <w:tc>
          <w:tcPr>
            <w:tcW w:w="1173" w:type="dxa"/>
            <w:tcBorders>
              <w:top w:val="nil"/>
              <w:left w:val="nil"/>
              <w:bottom w:val="nil"/>
              <w:right w:val="nil"/>
            </w:tcBorders>
            <w:shd w:val="clear" w:color="auto" w:fill="auto"/>
          </w:tcPr>
          <w:p>
            <w:pPr>
              <w:pStyle w:val="nTable"/>
              <w:spacing w:after="40"/>
            </w:pPr>
            <w:r>
              <w:t>26 Sep 2024</w:t>
            </w:r>
          </w:p>
        </w:tc>
        <w:tc>
          <w:tcPr>
            <w:tcW w:w="2530" w:type="dxa"/>
            <w:tcBorders>
              <w:top w:val="nil"/>
              <w:left w:val="nil"/>
              <w:bottom w:val="nil"/>
            </w:tcBorders>
            <w:shd w:val="clear" w:color="auto" w:fill="auto"/>
          </w:tcPr>
          <w:p>
            <w:pPr>
              <w:pStyle w:val="nTable"/>
              <w:spacing w:after="40"/>
            </w:pPr>
            <w:r>
              <w:t>30 May 2025 (see s. 2(b) and SL 2025/80 cl. 2)</w:t>
            </w:r>
          </w:p>
        </w:tc>
      </w:tr>
      <w:tr>
        <w:tc>
          <w:tcPr>
            <w:tcW w:w="2268" w:type="dxa"/>
            <w:tcBorders>
              <w:top w:val="nil"/>
              <w:bottom w:val="nil"/>
              <w:right w:val="nil"/>
            </w:tcBorders>
            <w:shd w:val="clear" w:color="auto" w:fill="auto"/>
          </w:tcPr>
          <w:p>
            <w:pPr>
              <w:pStyle w:val="nTable"/>
              <w:spacing w:after="40"/>
              <w:rPr>
                <w:i/>
              </w:rPr>
            </w:pPr>
            <w:r>
              <w:rPr>
                <w:i/>
              </w:rPr>
              <w:t>Industrial Relations Legislation Amendment Act 2024</w:t>
            </w:r>
            <w:r>
              <w:rPr>
                <w:iCs/>
              </w:rPr>
              <w:t xml:space="preserve"> s. 156 </w:t>
            </w:r>
          </w:p>
        </w:tc>
        <w:tc>
          <w:tcPr>
            <w:tcW w:w="1186" w:type="dxa"/>
            <w:tcBorders>
              <w:top w:val="nil"/>
              <w:left w:val="nil"/>
              <w:bottom w:val="nil"/>
              <w:right w:val="nil"/>
            </w:tcBorders>
            <w:shd w:val="clear" w:color="auto" w:fill="auto"/>
          </w:tcPr>
          <w:p>
            <w:pPr>
              <w:pStyle w:val="nTable"/>
              <w:spacing w:after="40"/>
            </w:pPr>
            <w:r>
              <w:t>43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t>31 Jan 2025 (see s. 2(c))</w:t>
            </w:r>
          </w:p>
        </w:tc>
      </w:tr>
      <w:tr>
        <w:tc>
          <w:tcPr>
            <w:tcW w:w="2268" w:type="dxa"/>
            <w:tcBorders>
              <w:top w:val="nil"/>
              <w:bottom w:val="nil"/>
              <w:right w:val="nil"/>
            </w:tcBorders>
            <w:shd w:val="clear" w:color="auto" w:fill="auto"/>
          </w:tcPr>
          <w:p>
            <w:pPr>
              <w:pStyle w:val="nTable"/>
              <w:spacing w:after="40"/>
              <w:rPr>
                <w:iCs/>
              </w:rPr>
            </w:pPr>
            <w:r>
              <w:rPr>
                <w:i/>
              </w:rPr>
              <w:t xml:space="preserve">Keystart Act 2024 </w:t>
            </w:r>
            <w:r>
              <w:rPr>
                <w:iCs/>
              </w:rPr>
              <w:t>Pt. 8 Div. 1 (other than s. 59(2))</w:t>
            </w:r>
          </w:p>
        </w:tc>
        <w:tc>
          <w:tcPr>
            <w:tcW w:w="1186" w:type="dxa"/>
            <w:tcBorders>
              <w:top w:val="nil"/>
              <w:left w:val="nil"/>
              <w:bottom w:val="nil"/>
              <w:right w:val="nil"/>
            </w:tcBorders>
            <w:shd w:val="clear" w:color="auto" w:fill="auto"/>
          </w:tcPr>
          <w:p>
            <w:pPr>
              <w:pStyle w:val="nTable"/>
              <w:spacing w:after="40"/>
            </w:pPr>
            <w:r>
              <w:t>44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rPr>
                <w:snapToGrid w:val="0"/>
              </w:rPr>
              <w:t>14 Nov 2024 (see s. 2(b)(v))</w:t>
            </w:r>
          </w:p>
        </w:tc>
      </w:tr>
      <w:tr>
        <w:tc>
          <w:tcPr>
            <w:tcW w:w="2268" w:type="dxa"/>
            <w:tcBorders>
              <w:top w:val="nil"/>
              <w:bottom w:val="nil"/>
              <w:right w:val="nil"/>
            </w:tcBorders>
            <w:shd w:val="clear" w:color="auto" w:fill="auto"/>
          </w:tcPr>
          <w:p>
            <w:pPr>
              <w:pStyle w:val="nTable"/>
              <w:spacing w:after="40"/>
              <w:rPr>
                <w:i/>
              </w:rPr>
            </w:pPr>
            <w:r>
              <w:rPr>
                <w:i/>
              </w:rPr>
              <w:t xml:space="preserve">Information Commissioner Act 2024 </w:t>
            </w:r>
            <w:r>
              <w:rPr>
                <w:iCs/>
              </w:rPr>
              <w:t>Pt. 7 Div. 1</w:t>
            </w:r>
          </w:p>
        </w:tc>
        <w:tc>
          <w:tcPr>
            <w:tcW w:w="1186" w:type="dxa"/>
            <w:tcBorders>
              <w:top w:val="nil"/>
              <w:left w:val="nil"/>
              <w:bottom w:val="nil"/>
              <w:right w:val="nil"/>
            </w:tcBorders>
            <w:shd w:val="clear" w:color="auto" w:fill="auto"/>
          </w:tcPr>
          <w:p>
            <w:pPr>
              <w:pStyle w:val="nTable"/>
              <w:spacing w:after="40"/>
            </w:pPr>
            <w:r>
              <w:t>52 of 2024</w:t>
            </w:r>
          </w:p>
        </w:tc>
        <w:tc>
          <w:tcPr>
            <w:tcW w:w="1173" w:type="dxa"/>
            <w:tcBorders>
              <w:top w:val="nil"/>
              <w:left w:val="nil"/>
              <w:bottom w:val="nil"/>
              <w:right w:val="nil"/>
            </w:tcBorders>
            <w:shd w:val="clear" w:color="auto" w:fill="auto"/>
          </w:tcPr>
          <w:p>
            <w:pPr>
              <w:pStyle w:val="nTable"/>
              <w:spacing w:after="40"/>
            </w:pPr>
            <w:r>
              <w:t>6 Dec 2024</w:t>
            </w:r>
          </w:p>
        </w:tc>
        <w:tc>
          <w:tcPr>
            <w:tcW w:w="2530" w:type="dxa"/>
            <w:tcBorders>
              <w:top w:val="nil"/>
              <w:left w:val="nil"/>
              <w:bottom w:val="nil"/>
            </w:tcBorders>
            <w:shd w:val="clear" w:color="auto" w:fill="auto"/>
          </w:tcPr>
          <w:p>
            <w:pPr>
              <w:pStyle w:val="nTable"/>
              <w:spacing w:after="40"/>
              <w:rPr>
                <w:snapToGrid w:val="0"/>
              </w:rPr>
            </w:pPr>
            <w:r>
              <w:t>1 Jul 2025 (see s. 2(1)(d) and SL 2025/102 cl. 2(a))</w:t>
            </w:r>
          </w:p>
        </w:tc>
      </w:tr>
      <w:tr>
        <w:tc>
          <w:tcPr>
            <w:tcW w:w="2268" w:type="dxa"/>
            <w:tcBorders>
              <w:top w:val="nil"/>
              <w:bottom w:val="nil"/>
              <w:right w:val="nil"/>
            </w:tcBorders>
            <w:shd w:val="clear" w:color="auto" w:fill="auto"/>
          </w:tcPr>
          <w:p>
            <w:pPr>
              <w:pStyle w:val="nTable"/>
              <w:spacing w:after="40"/>
              <w:rPr>
                <w:iCs/>
              </w:rPr>
            </w:pPr>
            <w:r>
              <w:rPr>
                <w:i/>
              </w:rPr>
              <w:t>Salaries and Allowances Amendment Act 2025</w:t>
            </w:r>
            <w:r>
              <w:rPr>
                <w:iCs/>
              </w:rPr>
              <w:t xml:space="preserve"> Pt. 3</w:t>
            </w:r>
          </w:p>
        </w:tc>
        <w:tc>
          <w:tcPr>
            <w:tcW w:w="1186" w:type="dxa"/>
            <w:tcBorders>
              <w:top w:val="nil"/>
              <w:left w:val="nil"/>
              <w:bottom w:val="nil"/>
              <w:right w:val="nil"/>
            </w:tcBorders>
            <w:shd w:val="clear" w:color="auto" w:fill="auto"/>
          </w:tcPr>
          <w:p>
            <w:pPr>
              <w:pStyle w:val="nTable"/>
              <w:spacing w:after="40"/>
            </w:pPr>
            <w:r>
              <w:t>3 of 2025</w:t>
            </w:r>
          </w:p>
        </w:tc>
        <w:tc>
          <w:tcPr>
            <w:tcW w:w="1173" w:type="dxa"/>
            <w:tcBorders>
              <w:top w:val="nil"/>
              <w:left w:val="nil"/>
              <w:bottom w:val="nil"/>
              <w:right w:val="nil"/>
            </w:tcBorders>
            <w:shd w:val="clear" w:color="auto" w:fill="auto"/>
          </w:tcPr>
          <w:p>
            <w:pPr>
              <w:pStyle w:val="nTable"/>
              <w:spacing w:after="40"/>
            </w:pPr>
            <w:r>
              <w:t>19 Jun 2025</w:t>
            </w:r>
          </w:p>
        </w:tc>
        <w:tc>
          <w:tcPr>
            <w:tcW w:w="2530" w:type="dxa"/>
            <w:tcBorders>
              <w:top w:val="nil"/>
              <w:left w:val="nil"/>
              <w:bottom w:val="nil"/>
            </w:tcBorders>
            <w:shd w:val="clear" w:color="auto" w:fill="auto"/>
          </w:tcPr>
          <w:p>
            <w:pPr>
              <w:pStyle w:val="nTable"/>
              <w:spacing w:after="40"/>
              <w:rPr>
                <w:snapToGrid w:val="0"/>
              </w:rPr>
            </w:pPr>
            <w:r>
              <w:rPr>
                <w:snapToGrid w:val="0"/>
              </w:rPr>
              <w:t>20 Jun 2025 (see s. 2(b))</w:t>
            </w:r>
          </w:p>
        </w:tc>
      </w:tr>
      <w:tr>
        <w:tc>
          <w:tcPr>
            <w:tcW w:w="2268" w:type="dxa"/>
            <w:tcBorders>
              <w:top w:val="nil"/>
              <w:bottom w:val="single" w:sz="4" w:space="0" w:color="auto"/>
              <w:right w:val="nil"/>
            </w:tcBorders>
            <w:shd w:val="clear" w:color="auto" w:fill="auto"/>
          </w:tcPr>
          <w:p>
            <w:pPr>
              <w:pStyle w:val="nTable"/>
              <w:spacing w:after="40"/>
              <w:rPr>
                <w:i/>
              </w:rPr>
            </w:pPr>
            <w:r>
              <w:rPr>
                <w:i/>
                <w:snapToGrid w:val="0"/>
              </w:rPr>
              <w:t>Statutes</w:t>
            </w:r>
            <w:r>
              <w:rPr>
                <w:i/>
              </w:rPr>
              <w:t xml:space="preserve"> (Repeals and Minor Amendments) Act 2025</w:t>
            </w:r>
            <w:r>
              <w:rPr>
                <w:iCs/>
              </w:rPr>
              <w:t xml:space="preserve"> s. 17</w:t>
            </w:r>
          </w:p>
        </w:tc>
        <w:tc>
          <w:tcPr>
            <w:tcW w:w="1186" w:type="dxa"/>
            <w:tcBorders>
              <w:top w:val="nil"/>
              <w:left w:val="nil"/>
              <w:bottom w:val="single" w:sz="4" w:space="0" w:color="auto"/>
              <w:right w:val="nil"/>
            </w:tcBorders>
            <w:shd w:val="clear" w:color="auto" w:fill="auto"/>
          </w:tcPr>
          <w:p>
            <w:pPr>
              <w:pStyle w:val="nTable"/>
              <w:spacing w:after="40"/>
            </w:pPr>
            <w:r>
              <w:rPr>
                <w:snapToGrid w:val="0"/>
              </w:rPr>
              <w:t>14 of 2025</w:t>
            </w:r>
          </w:p>
        </w:tc>
        <w:tc>
          <w:tcPr>
            <w:tcW w:w="1173" w:type="dxa"/>
            <w:tcBorders>
              <w:top w:val="nil"/>
              <w:left w:val="nil"/>
              <w:bottom w:val="single" w:sz="4" w:space="0" w:color="auto"/>
              <w:right w:val="nil"/>
            </w:tcBorders>
            <w:shd w:val="clear" w:color="auto" w:fill="auto"/>
          </w:tcPr>
          <w:p>
            <w:pPr>
              <w:pStyle w:val="nTable"/>
              <w:spacing w:after="40"/>
            </w:pPr>
            <w:r>
              <w:rPr>
                <w:snapToGrid w:val="0"/>
              </w:rPr>
              <w:t>25 Sep 2025</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26 Sep 2025 (see s. 2(b))</w:t>
            </w:r>
          </w:p>
        </w:tc>
      </w:tr>
    </w:tbl>
    <w:p>
      <w:pPr>
        <w:pStyle w:val="nHeading3"/>
      </w:pPr>
      <w:bookmarkStart w:id="226" w:name="_Toc217028089"/>
      <w:bookmarkStart w:id="227" w:name="_Toc216956367"/>
      <w:r>
        <w:t>Uncommenced provisions table</w:t>
      </w:r>
      <w:bookmarkEnd w:id="226"/>
      <w:bookmarkEnd w:id="22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410"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410" w:type="dxa"/>
            <w:tcBorders>
              <w:top w:val="single" w:sz="4" w:space="0" w:color="auto"/>
            </w:tcBorders>
          </w:tcPr>
          <w:p>
            <w:pPr>
              <w:pStyle w:val="nTable"/>
              <w:spacing w:after="40"/>
            </w:pPr>
            <w:r>
              <w:t>Operative on earliest of commencement of Pt. 2 (except s. 2.2), Pt. 3 (except s. 3.1) and Pt. 4</w:t>
            </w:r>
          </w:p>
        </w:tc>
      </w:tr>
      <w:tr>
        <w:tc>
          <w:tcPr>
            <w:tcW w:w="2410"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410" w:type="dxa"/>
            <w:tcBorders>
              <w:top w:val="nil"/>
              <w:bottom w:val="nil"/>
            </w:tcBorders>
            <w:shd w:val="clear" w:color="auto" w:fill="auto"/>
          </w:tcPr>
          <w:p>
            <w:pPr>
              <w:pStyle w:val="nTable"/>
              <w:spacing w:after="40"/>
            </w:pPr>
            <w:r>
              <w:rPr>
                <w:snapToGrid w:val="0"/>
              </w:rPr>
              <w:t>To be proclaimed (see s. 2(b))</w:t>
            </w:r>
          </w:p>
        </w:tc>
      </w:tr>
      <w:tr>
        <w:tc>
          <w:tcPr>
            <w:tcW w:w="2410"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410" w:type="dxa"/>
            <w:tcBorders>
              <w:top w:val="nil"/>
              <w:bottom w:val="nil"/>
            </w:tcBorders>
            <w:shd w:val="clear" w:color="auto" w:fill="auto"/>
          </w:tcPr>
          <w:p>
            <w:pPr>
              <w:pStyle w:val="nTable"/>
              <w:spacing w:after="40"/>
              <w:rPr>
                <w:snapToGrid w:val="0"/>
              </w:rPr>
            </w:pPr>
            <w:r>
              <w:t>To be proclaimed (see s. 2(1)(b)(xiii))</w:t>
            </w:r>
          </w:p>
        </w:tc>
      </w:tr>
      <w:tr>
        <w:trPr>
          <w:cantSplit/>
        </w:trPr>
        <w:tc>
          <w:tcPr>
            <w:tcW w:w="2410" w:type="dxa"/>
            <w:tcBorders>
              <w:top w:val="nil"/>
              <w:bottom w:val="nil"/>
            </w:tcBorders>
            <w:shd w:val="clear" w:color="auto" w:fill="auto"/>
          </w:tcPr>
          <w:p>
            <w:pPr>
              <w:pStyle w:val="nTable"/>
              <w:spacing w:after="40"/>
              <w:rPr>
                <w:i/>
              </w:rPr>
            </w:pPr>
            <w:r>
              <w:rPr>
                <w:i/>
              </w:rPr>
              <w:t xml:space="preserve">Keystart Act 2024 </w:t>
            </w:r>
            <w:r>
              <w:rPr>
                <w:iCs/>
              </w:rPr>
              <w:t>s. 59(2)</w:t>
            </w:r>
          </w:p>
        </w:tc>
        <w:tc>
          <w:tcPr>
            <w:tcW w:w="1134" w:type="dxa"/>
            <w:tcBorders>
              <w:top w:val="nil"/>
              <w:bottom w:val="nil"/>
            </w:tcBorders>
            <w:shd w:val="clear" w:color="auto" w:fill="auto"/>
          </w:tcPr>
          <w:p>
            <w:pPr>
              <w:pStyle w:val="nTable"/>
              <w:spacing w:after="40"/>
            </w:pPr>
            <w:r>
              <w:t>44 of 2024</w:t>
            </w:r>
          </w:p>
        </w:tc>
        <w:tc>
          <w:tcPr>
            <w:tcW w:w="1134" w:type="dxa"/>
            <w:tcBorders>
              <w:top w:val="nil"/>
              <w:bottom w:val="nil"/>
            </w:tcBorders>
            <w:shd w:val="clear" w:color="auto" w:fill="auto"/>
          </w:tcPr>
          <w:p>
            <w:pPr>
              <w:pStyle w:val="nTable"/>
              <w:spacing w:after="40"/>
              <w:rPr>
                <w:highlight w:val="yellow"/>
              </w:rPr>
            </w:pPr>
            <w:r>
              <w:t>13 Nov 2024</w:t>
            </w:r>
          </w:p>
        </w:tc>
        <w:tc>
          <w:tcPr>
            <w:tcW w:w="2410" w:type="dxa"/>
            <w:tcBorders>
              <w:top w:val="nil"/>
              <w:bottom w:val="nil"/>
            </w:tcBorders>
            <w:shd w:val="clear" w:color="auto" w:fill="auto"/>
          </w:tcPr>
          <w:p>
            <w:pPr>
              <w:pStyle w:val="nTable"/>
              <w:spacing w:after="40"/>
            </w:pPr>
            <w:r>
              <w:t>To be proclaimed (see s. 2(c))</w:t>
            </w:r>
          </w:p>
        </w:tc>
      </w:tr>
      <w:tr>
        <w:trPr>
          <w:cantSplit/>
        </w:trPr>
        <w:tc>
          <w:tcPr>
            <w:tcW w:w="2410" w:type="dxa"/>
            <w:tcBorders>
              <w:top w:val="nil"/>
              <w:bottom w:val="nil"/>
            </w:tcBorders>
            <w:shd w:val="clear" w:color="auto" w:fill="auto"/>
          </w:tcPr>
          <w:p>
            <w:pPr>
              <w:pStyle w:val="nTable"/>
              <w:spacing w:after="40"/>
              <w:rPr>
                <w:i/>
              </w:rPr>
            </w:pPr>
            <w:r>
              <w:rPr>
                <w:i/>
              </w:rPr>
              <w:t>Local Government Amendment Act 2024</w:t>
            </w:r>
            <w:r>
              <w:rPr>
                <w:iCs/>
              </w:rPr>
              <w:t xml:space="preserve"> Pt. 3 Div. 1</w:t>
            </w:r>
          </w:p>
        </w:tc>
        <w:tc>
          <w:tcPr>
            <w:tcW w:w="1134" w:type="dxa"/>
            <w:tcBorders>
              <w:top w:val="nil"/>
              <w:bottom w:val="nil"/>
            </w:tcBorders>
            <w:shd w:val="clear" w:color="auto" w:fill="auto"/>
          </w:tcPr>
          <w:p>
            <w:pPr>
              <w:pStyle w:val="nTable"/>
              <w:spacing w:after="40"/>
            </w:pPr>
            <w:r>
              <w:t>47 of 2024</w:t>
            </w:r>
          </w:p>
        </w:tc>
        <w:tc>
          <w:tcPr>
            <w:tcW w:w="1134" w:type="dxa"/>
            <w:tcBorders>
              <w:top w:val="nil"/>
              <w:bottom w:val="nil"/>
            </w:tcBorders>
            <w:shd w:val="clear" w:color="auto" w:fill="auto"/>
          </w:tcPr>
          <w:p>
            <w:pPr>
              <w:pStyle w:val="nTable"/>
              <w:spacing w:after="40"/>
            </w:pPr>
            <w:r>
              <w:t>6 Dec 2024</w:t>
            </w:r>
          </w:p>
        </w:tc>
        <w:tc>
          <w:tcPr>
            <w:tcW w:w="2410" w:type="dxa"/>
            <w:tcBorders>
              <w:top w:val="nil"/>
              <w:bottom w:val="nil"/>
            </w:tcBorders>
            <w:shd w:val="clear" w:color="auto" w:fill="auto"/>
          </w:tcPr>
          <w:p>
            <w:pPr>
              <w:pStyle w:val="nTable"/>
              <w:spacing w:after="40"/>
            </w:pPr>
            <w:r>
              <w:t>To be proclaimed (see s. 2(1)(i))</w:t>
            </w:r>
          </w:p>
        </w:tc>
      </w:tr>
      <w:tr>
        <w:tc>
          <w:tcPr>
            <w:tcW w:w="2410" w:type="dxa"/>
            <w:tcBorders>
              <w:top w:val="nil"/>
              <w:bottom w:val="nil"/>
            </w:tcBorders>
          </w:tcPr>
          <w:p>
            <w:pPr>
              <w:pStyle w:val="nTable"/>
              <w:spacing w:after="40"/>
            </w:pPr>
            <w:r>
              <w:rPr>
                <w:i/>
                <w:iCs/>
              </w:rPr>
              <w:t xml:space="preserve">Architects Amendment Act 2025 </w:t>
            </w:r>
            <w:r>
              <w:t>s. 31</w:t>
            </w:r>
          </w:p>
        </w:tc>
        <w:tc>
          <w:tcPr>
            <w:tcW w:w="1134" w:type="dxa"/>
            <w:tcBorders>
              <w:top w:val="nil"/>
              <w:bottom w:val="nil"/>
            </w:tcBorders>
          </w:tcPr>
          <w:p>
            <w:pPr>
              <w:pStyle w:val="nTable"/>
              <w:spacing w:after="40"/>
            </w:pPr>
            <w:r>
              <w:t>2 of 2025</w:t>
            </w:r>
          </w:p>
        </w:tc>
        <w:tc>
          <w:tcPr>
            <w:tcW w:w="1134" w:type="dxa"/>
            <w:tcBorders>
              <w:top w:val="nil"/>
              <w:bottom w:val="nil"/>
            </w:tcBorders>
          </w:tcPr>
          <w:p>
            <w:pPr>
              <w:pStyle w:val="nTable"/>
              <w:spacing w:after="40"/>
            </w:pPr>
            <w:r>
              <w:t>10 Jun 2025</w:t>
            </w:r>
          </w:p>
        </w:tc>
        <w:tc>
          <w:tcPr>
            <w:tcW w:w="2410" w:type="dxa"/>
            <w:tcBorders>
              <w:top w:val="nil"/>
              <w:bottom w:val="nil"/>
            </w:tcBorders>
          </w:tcPr>
          <w:p>
            <w:pPr>
              <w:pStyle w:val="nTable"/>
              <w:spacing w:after="40"/>
            </w:pPr>
            <w:r>
              <w:t>To be proclaimed (see s. 2(b))</w:t>
            </w:r>
          </w:p>
        </w:tc>
      </w:tr>
      <w:tr>
        <w:tc>
          <w:tcPr>
            <w:tcW w:w="2410" w:type="dxa"/>
            <w:tcBorders>
              <w:top w:val="nil"/>
              <w:bottom w:val="nil"/>
            </w:tcBorders>
          </w:tcPr>
          <w:p>
            <w:pPr>
              <w:pStyle w:val="nTable"/>
              <w:spacing w:after="40"/>
              <w:rPr>
                <w:iCs/>
              </w:rPr>
            </w:pPr>
            <w:r>
              <w:rPr>
                <w:i/>
              </w:rPr>
              <w:t>Liquor Control Amendment Act 2025</w:t>
            </w:r>
            <w:r>
              <w:rPr>
                <w:iCs/>
              </w:rPr>
              <w:t xml:space="preserve"> Pt. 5 Div. 1</w:t>
            </w:r>
          </w:p>
        </w:tc>
        <w:tc>
          <w:tcPr>
            <w:tcW w:w="1134" w:type="dxa"/>
            <w:tcBorders>
              <w:top w:val="nil"/>
              <w:bottom w:val="nil"/>
            </w:tcBorders>
          </w:tcPr>
          <w:p>
            <w:pPr>
              <w:pStyle w:val="nTable"/>
              <w:spacing w:after="40"/>
            </w:pPr>
            <w:r>
              <w:t>20 of 2025</w:t>
            </w:r>
          </w:p>
        </w:tc>
        <w:tc>
          <w:tcPr>
            <w:tcW w:w="1134" w:type="dxa"/>
            <w:tcBorders>
              <w:top w:val="nil"/>
              <w:bottom w:val="nil"/>
            </w:tcBorders>
          </w:tcPr>
          <w:p>
            <w:pPr>
              <w:pStyle w:val="nTable"/>
              <w:spacing w:after="40"/>
            </w:pPr>
            <w:r>
              <w:t>12 Dec 2025</w:t>
            </w:r>
          </w:p>
        </w:tc>
        <w:tc>
          <w:tcPr>
            <w:tcW w:w="2410" w:type="dxa"/>
            <w:tcBorders>
              <w:top w:val="nil"/>
              <w:bottom w:val="nil"/>
            </w:tcBorders>
          </w:tcPr>
          <w:p>
            <w:pPr>
              <w:pStyle w:val="nTable"/>
              <w:spacing w:after="40"/>
            </w:pPr>
            <w:r>
              <w:t>To be proclaimed (see s. 2(c))</w:t>
            </w:r>
          </w:p>
        </w:tc>
      </w:tr>
      <w:tr>
        <w:tc>
          <w:tcPr>
            <w:tcW w:w="2410" w:type="dxa"/>
            <w:tcBorders>
              <w:top w:val="nil"/>
              <w:bottom w:val="nil"/>
            </w:tcBorders>
          </w:tcPr>
          <w:p>
            <w:pPr>
              <w:pStyle w:val="nTable"/>
              <w:spacing w:after="40"/>
              <w:rPr>
                <w:i/>
              </w:rPr>
            </w:pPr>
            <w:r>
              <w:rPr>
                <w:i/>
              </w:rPr>
              <w:t xml:space="preserve">Assisted Reproductive Technology and Surrogacy Act 2025 </w:t>
            </w:r>
            <w:r>
              <w:rPr>
                <w:iCs/>
              </w:rPr>
              <w:t>Pt. 17 Div. 4</w:t>
            </w:r>
          </w:p>
        </w:tc>
        <w:tc>
          <w:tcPr>
            <w:tcW w:w="1134" w:type="dxa"/>
            <w:tcBorders>
              <w:top w:val="nil"/>
              <w:bottom w:val="nil"/>
            </w:tcBorders>
          </w:tcPr>
          <w:p>
            <w:pPr>
              <w:pStyle w:val="nTable"/>
              <w:spacing w:after="40"/>
            </w:pPr>
            <w:r>
              <w:t>19 of 2025</w:t>
            </w:r>
          </w:p>
        </w:tc>
        <w:tc>
          <w:tcPr>
            <w:tcW w:w="1134" w:type="dxa"/>
            <w:tcBorders>
              <w:top w:val="nil"/>
              <w:bottom w:val="nil"/>
            </w:tcBorders>
          </w:tcPr>
          <w:p>
            <w:pPr>
              <w:pStyle w:val="nTable"/>
              <w:spacing w:after="40"/>
            </w:pPr>
            <w:r>
              <w:t>18 Dec 2025</w:t>
            </w:r>
          </w:p>
        </w:tc>
        <w:tc>
          <w:tcPr>
            <w:tcW w:w="2410" w:type="dxa"/>
            <w:tcBorders>
              <w:top w:val="nil"/>
              <w:bottom w:val="nil"/>
            </w:tcBorders>
          </w:tcPr>
          <w:p>
            <w:pPr>
              <w:pStyle w:val="nTable"/>
              <w:spacing w:after="40"/>
            </w:pPr>
            <w:r>
              <w:t>To be proclaimed (see s. 2(c))</w:t>
            </w:r>
          </w:p>
        </w:tc>
      </w:tr>
      <w:tr>
        <w:trPr>
          <w:ins w:id="228" w:author="Master Repository Process" w:date="2025-12-19T14:58:00Z"/>
        </w:trPr>
        <w:tc>
          <w:tcPr>
            <w:tcW w:w="2410" w:type="dxa"/>
            <w:tcBorders>
              <w:top w:val="nil"/>
            </w:tcBorders>
          </w:tcPr>
          <w:p>
            <w:pPr>
              <w:pStyle w:val="nTable"/>
              <w:spacing w:after="40"/>
              <w:rPr>
                <w:ins w:id="229" w:author="Master Repository Process" w:date="2025-12-19T14:58:00Z"/>
                <w:i/>
              </w:rPr>
            </w:pPr>
            <w:ins w:id="230" w:author="Master Repository Process" w:date="2025-12-19T14:58:00Z">
              <w:r>
                <w:rPr>
                  <w:i/>
                </w:rPr>
                <w:t xml:space="preserve">State Development Act 2025 </w:t>
              </w:r>
              <w:r>
                <w:rPr>
                  <w:iCs/>
                </w:rPr>
                <w:t>Pt. 8 Div. 1</w:t>
              </w:r>
            </w:ins>
          </w:p>
        </w:tc>
        <w:tc>
          <w:tcPr>
            <w:tcW w:w="1134" w:type="dxa"/>
            <w:tcBorders>
              <w:top w:val="nil"/>
            </w:tcBorders>
          </w:tcPr>
          <w:p>
            <w:pPr>
              <w:pStyle w:val="nTable"/>
              <w:spacing w:after="40"/>
              <w:rPr>
                <w:ins w:id="231" w:author="Master Repository Process" w:date="2025-12-19T14:58:00Z"/>
              </w:rPr>
            </w:pPr>
            <w:ins w:id="232" w:author="Master Repository Process" w:date="2025-12-19T14:58:00Z">
              <w:r>
                <w:t>21 of 2025</w:t>
              </w:r>
            </w:ins>
          </w:p>
        </w:tc>
        <w:tc>
          <w:tcPr>
            <w:tcW w:w="1134" w:type="dxa"/>
            <w:tcBorders>
              <w:top w:val="nil"/>
            </w:tcBorders>
          </w:tcPr>
          <w:p>
            <w:pPr>
              <w:pStyle w:val="nTable"/>
              <w:spacing w:after="40"/>
              <w:rPr>
                <w:ins w:id="233" w:author="Master Repository Process" w:date="2025-12-19T14:58:00Z"/>
              </w:rPr>
            </w:pPr>
            <w:ins w:id="234" w:author="Master Repository Process" w:date="2025-12-19T14:58:00Z">
              <w:r>
                <w:t>19 Dec 2025</w:t>
              </w:r>
            </w:ins>
          </w:p>
        </w:tc>
        <w:tc>
          <w:tcPr>
            <w:tcW w:w="2410" w:type="dxa"/>
            <w:tcBorders>
              <w:top w:val="nil"/>
            </w:tcBorders>
          </w:tcPr>
          <w:p>
            <w:pPr>
              <w:pStyle w:val="nTable"/>
              <w:spacing w:after="40"/>
              <w:rPr>
                <w:ins w:id="235" w:author="Master Repository Process" w:date="2025-12-19T14:58:00Z"/>
              </w:rPr>
            </w:pPr>
            <w:ins w:id="236" w:author="Master Repository Process" w:date="2025-12-19T14:58:00Z">
              <w:r>
                <w:t>To be proclaimed (see s. 2(e))</w:t>
              </w:r>
            </w:ins>
          </w:p>
        </w:tc>
      </w:tr>
    </w:tbl>
    <w:p>
      <w:pPr>
        <w:pStyle w:val="nHeading3"/>
      </w:pPr>
      <w:bookmarkStart w:id="237" w:name="_Toc217028090"/>
      <w:bookmarkStart w:id="238" w:name="_Toc216956368"/>
      <w:r>
        <w:t>Other notes</w:t>
      </w:r>
      <w:bookmarkEnd w:id="237"/>
      <w:bookmarkEnd w:id="238"/>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t>Footnote no longer applicable.</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7487864</wp:posOffset>
                </wp:positionV>
                <wp:extent cx="127000" cy="666000"/>
                <wp:effectExtent l="0" t="0" r="0"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9.6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15" w:name="Schedule"/>
    <w:bookmarkEnd w:id="2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9" w:name="Compilation"/>
    <w:bookmarkEnd w:id="23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0" w:name="Coversheet"/>
    <w:bookmarkEnd w:id="2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35030"/>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 w:name="WAFER_20250523105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05323_GUID" w:val="26677afd-efcd-438a-9316-89b732f6cc78"/>
    <w:docVar w:name="WAFER_2025061014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649_GUID" w:val="531a4d89-2a7a-440a-8b28-1a6363c45807"/>
    <w:docVar w:name="WAFER_20250619094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4029_GUID" w:val="39249478-3477-4d13-a5d9-280fd9130df4"/>
    <w:docVar w:name="WAFER_2025062513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1308_GUID" w:val="ad8149a0-dbc7-4f40-889a-95344736c738"/>
    <w:docVar w:name="WAFER_20250923164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
    <w:docVar w:name="WAFER_20250923164412_GUID" w:val="dc04af70-c494-4b85-91fe-3c98de23e4c2"/>
    <w:docVar w:name="WAFER_20250923165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3165007_GUID" w:val="3a8fb6e6-c795-42d3-a42a-0edf2deb762a"/>
    <w:docVar w:name="WAFER_20251211135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04_GUID" w:val="66cce123-4ed8-4d46-ad6d-c83edf214d36"/>
    <w:docVar w:name="WAFER_202512111350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30_GUID" w:val="0b96bc76-ec7c-42e4-8a36-aae284b2ec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21896</Words>
  <Characters>97001</Characters>
  <Application>Microsoft Office Word</Application>
  <DocSecurity>0</DocSecurity>
  <Lines>3730</Lines>
  <Paragraphs>2286</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21-au0-00 - 21-av0-00</dc:title>
  <dc:subject/>
  <dc:creator/>
  <cp:keywords/>
  <dc:description/>
  <cp:lastModifiedBy>Master Repository Process</cp:lastModifiedBy>
  <cp:revision>2</cp:revision>
  <cp:lastPrinted>2019-12-20T05:02:00Z</cp:lastPrinted>
  <dcterms:created xsi:type="dcterms:W3CDTF">2025-12-19T06:58:00Z</dcterms:created>
  <dcterms:modified xsi:type="dcterms:W3CDTF">2025-12-19T06:58:00Z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Official">
    <vt:lpwstr/>
  </property>
  <property fmtid="{D5CDD505-2E9C-101B-9397-08002B2CF9AE}" pid="9" name="CommencementDate">
    <vt:lpwstr>20251219</vt:lpwstr>
  </property>
  <property fmtid="{D5CDD505-2E9C-101B-9397-08002B2CF9AE}" pid="10" name="CommencementAsAt">
    <vt:filetime>2025-12-18T16:00:00Z</vt:filetime>
  </property>
  <property fmtid="{D5CDD505-2E9C-101B-9397-08002B2CF9AE}" pid="11" name="CommencementYear">
    <vt:lpwstr>2025</vt:lpwstr>
  </property>
  <property fmtid="{D5CDD505-2E9C-101B-9397-08002B2CF9AE}" pid="12" name="FromSuffix">
    <vt:lpwstr>21-au0-00</vt:lpwstr>
  </property>
  <property fmtid="{D5CDD505-2E9C-101B-9397-08002B2CF9AE}" pid="13" name="FromAsAtDate">
    <vt:lpwstr>18 Dec 2025</vt:lpwstr>
  </property>
  <property fmtid="{D5CDD505-2E9C-101B-9397-08002B2CF9AE}" pid="14" name="ToSuffix">
    <vt:lpwstr>21-av0-00</vt:lpwstr>
  </property>
  <property fmtid="{D5CDD505-2E9C-101B-9397-08002B2CF9AE}" pid="15" name="ToAsAtDate">
    <vt:lpwstr>19 Dec 2025</vt:lpwstr>
  </property>
</Properties>
</file>