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2025</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217300514"/>
      <w:bookmarkStart w:id="2" w:name="_Toc217300925"/>
      <w:bookmarkStart w:id="3" w:name="_Toc217398018"/>
      <w:bookmarkStart w:id="4" w:name="_Toc217398289"/>
      <w:bookmarkStart w:id="5" w:name="_Toc217398779"/>
      <w:bookmarkStart w:id="6" w:name="_Toc216362675"/>
      <w:bookmarkStart w:id="7" w:name="_Toc216363021"/>
      <w:bookmarkStart w:id="8" w:name="_Toc216428949"/>
      <w:bookmarkStart w:id="9" w:name="_Toc2164363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217398780"/>
      <w:bookmarkStart w:id="11" w:name="_Toc216436301"/>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2" w:name="_Toc217398781"/>
      <w:bookmarkStart w:id="13" w:name="_Toc21643630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2"/>
      </w:pPr>
      <w:bookmarkStart w:id="14" w:name="_Toc217300517"/>
      <w:bookmarkStart w:id="15" w:name="_Toc217300928"/>
      <w:bookmarkStart w:id="16" w:name="_Toc217398021"/>
      <w:bookmarkStart w:id="17" w:name="_Toc217398292"/>
      <w:bookmarkStart w:id="18" w:name="_Toc217398782"/>
      <w:bookmarkStart w:id="19" w:name="_Toc216362678"/>
      <w:bookmarkStart w:id="20" w:name="_Toc216363024"/>
      <w:bookmarkStart w:id="21" w:name="_Toc216428952"/>
      <w:bookmarkStart w:id="22" w:name="_Toc216436303"/>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4"/>
      <w:bookmarkEnd w:id="15"/>
      <w:bookmarkEnd w:id="16"/>
      <w:bookmarkEnd w:id="17"/>
      <w:bookmarkEnd w:id="18"/>
      <w:bookmarkEnd w:id="19"/>
      <w:bookmarkEnd w:id="20"/>
      <w:bookmarkEnd w:id="21"/>
      <w:bookmarkEnd w:id="22"/>
    </w:p>
    <w:p>
      <w:pPr>
        <w:pStyle w:val="Footnoteheading"/>
      </w:pPr>
      <w:r>
        <w:tab/>
        <w:t>[Heading inserted: Gazette 11 Sep 1998 p. 4927.]</w:t>
      </w:r>
    </w:p>
    <w:p>
      <w:pPr>
        <w:pStyle w:val="Heading5"/>
      </w:pPr>
      <w:bookmarkStart w:id="23" w:name="_Toc217398783"/>
      <w:bookmarkStart w:id="24" w:name="_Toc216436304"/>
      <w:r>
        <w:rPr>
          <w:rStyle w:val="CharSectno"/>
        </w:rPr>
        <w:t>2A</w:t>
      </w:r>
      <w:r>
        <w:t>.</w:t>
      </w:r>
      <w:r>
        <w:tab/>
        <w:t>Matters about which local laws are not to be made (Act s. 3.5)</w:t>
      </w:r>
      <w:bookmarkEnd w:id="23"/>
      <w:bookmarkEnd w:id="24"/>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5" w:name="_Toc217398784"/>
      <w:bookmarkStart w:id="26" w:name="_Toc216436305"/>
      <w:r>
        <w:rPr>
          <w:rStyle w:val="CharSectno"/>
        </w:rPr>
        <w:t>3</w:t>
      </w:r>
      <w:r>
        <w:t>.</w:t>
      </w:r>
      <w:r>
        <w:tab/>
        <w:t xml:space="preserve">Prescribed manner of giving notice of purpose and effect of proposed local law </w:t>
      </w:r>
      <w:r>
        <w:rPr>
          <w:snapToGrid w:val="0"/>
        </w:rPr>
        <w:t>(Act </w:t>
      </w:r>
      <w:r>
        <w:t>s. 3.12(2))</w:t>
      </w:r>
      <w:bookmarkEnd w:id="25"/>
      <w:bookmarkEnd w:id="26"/>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rPr>
          <w:rStyle w:val="CharPartText"/>
        </w:rPr>
      </w:pPr>
      <w:bookmarkStart w:id="27" w:name="_Toc217300520"/>
      <w:bookmarkStart w:id="28" w:name="_Toc217300931"/>
      <w:bookmarkStart w:id="29" w:name="_Toc217398024"/>
      <w:bookmarkStart w:id="30" w:name="_Toc217398295"/>
      <w:bookmarkStart w:id="31" w:name="_Toc217398785"/>
      <w:bookmarkStart w:id="32" w:name="_Toc216362681"/>
      <w:bookmarkStart w:id="33" w:name="_Toc216363027"/>
      <w:bookmarkStart w:id="34" w:name="_Toc216428955"/>
      <w:bookmarkStart w:id="35" w:name="_Toc216436306"/>
      <w:r>
        <w:rPr>
          <w:rStyle w:val="CharPartNo"/>
        </w:rPr>
        <w:lastRenderedPageBreak/>
        <w:t>Part 1B</w:t>
      </w:r>
      <w:r>
        <w:t> — </w:t>
      </w:r>
      <w:r>
        <w:rPr>
          <w:rStyle w:val="CharPartText"/>
        </w:rPr>
        <w:t>Caretaker period</w:t>
      </w:r>
      <w:bookmarkEnd w:id="27"/>
      <w:bookmarkEnd w:id="28"/>
      <w:bookmarkEnd w:id="29"/>
      <w:bookmarkEnd w:id="30"/>
      <w:bookmarkEnd w:id="31"/>
      <w:bookmarkEnd w:id="32"/>
      <w:bookmarkEnd w:id="33"/>
      <w:bookmarkEnd w:id="34"/>
      <w:bookmarkEnd w:id="35"/>
    </w:p>
    <w:p>
      <w:pPr>
        <w:pStyle w:val="Footnoteheading"/>
      </w:pPr>
      <w:r>
        <w:tab/>
        <w:t>[Heading inserted: SL 2023/102 r. 60.]</w:t>
      </w:r>
    </w:p>
    <w:p>
      <w:pPr>
        <w:pStyle w:val="Heading5"/>
      </w:pPr>
      <w:bookmarkStart w:id="36" w:name="_Toc217398786"/>
      <w:bookmarkStart w:id="37" w:name="_Toc216436307"/>
      <w:r>
        <w:rPr>
          <w:rStyle w:val="CharSectno"/>
        </w:rPr>
        <w:t>3A</w:t>
      </w:r>
      <w:r>
        <w:t>.</w:t>
      </w:r>
      <w:r>
        <w:tab/>
        <w:t>Significant acts</w:t>
      </w:r>
      <w:bookmarkEnd w:id="36"/>
      <w:bookmarkEnd w:id="37"/>
    </w:p>
    <w:p>
      <w:pPr>
        <w:pStyle w:val="Subsection"/>
      </w:pPr>
      <w:r>
        <w:tab/>
        <w:t>(1)</w:t>
      </w:r>
      <w:r>
        <w:tab/>
        <w:t xml:space="preserve">In this regulation, references to paragraphs are to paragraphs of the definition of </w:t>
      </w:r>
      <w:r>
        <w:rPr>
          <w:b/>
          <w:i/>
        </w:rPr>
        <w:t>significant act</w:t>
      </w:r>
      <w:r>
        <w:t xml:space="preserve"> in section 3.73(1) of the Act (unless otherwise indicated).</w:t>
      </w:r>
    </w:p>
    <w:p>
      <w:pPr>
        <w:pStyle w:val="Subsection"/>
      </w:pPr>
      <w:r>
        <w:tab/>
        <w:t>(2)</w:t>
      </w:r>
      <w:r>
        <w:tab/>
        <w:t xml:space="preserve">For the purposes of paragraph (f), entering into a contract is a significant act if either or both of the following apply — </w:t>
      </w:r>
    </w:p>
    <w:p>
      <w:pPr>
        <w:pStyle w:val="Indenta"/>
      </w:pPr>
      <w:r>
        <w:tab/>
        <w:t>(a)</w:t>
      </w:r>
      <w:r>
        <w:tab/>
        <w:t xml:space="preserve">under the contract, the local government is to, or is expected to, provide or receive consideration that is, or is expected to be — </w:t>
      </w:r>
    </w:p>
    <w:p>
      <w:pPr>
        <w:pStyle w:val="Indenti"/>
      </w:pPr>
      <w:r>
        <w:tab/>
        <w:t>(i)</w:t>
      </w:r>
      <w:r>
        <w:tab/>
        <w:t>more than $250 000 (in total); or</w:t>
      </w:r>
    </w:p>
    <w:p>
      <w:pPr>
        <w:pStyle w:val="Indenti"/>
      </w:pPr>
      <w:r>
        <w:tab/>
        <w:t>(ii)</w:t>
      </w:r>
      <w:r>
        <w:tab/>
        <w:t>worth more than $250 000 (in total);</w:t>
      </w:r>
    </w:p>
    <w:p>
      <w:pPr>
        <w:pStyle w:val="Indenta"/>
      </w:pPr>
      <w:r>
        <w:tab/>
        <w:t>(b)</w:t>
      </w:r>
      <w:r>
        <w:tab/>
        <w:t>under the contract, the local government is to, or is expected to, acquire or dispose of property the market value of which is, or is expected to be, more than $250 000 (in total).</w:t>
      </w:r>
    </w:p>
    <w:p>
      <w:pPr>
        <w:pStyle w:val="Subsection"/>
      </w:pPr>
      <w:r>
        <w:tab/>
        <w:t>(3)</w:t>
      </w:r>
      <w:r>
        <w:tab/>
        <w:t>If a local government intends to enter into 2 or more contracts in circumstances such that the desire to avoid the requirements of subregulation (2) is a significant reason for not dealing with the matter in a single contract, for the purposes of paragraph (f), entering into any of the contracts is a significant act.</w:t>
      </w:r>
    </w:p>
    <w:p>
      <w:pPr>
        <w:pStyle w:val="Subsection"/>
      </w:pPr>
      <w:r>
        <w:tab/>
        <w:t>(4)</w:t>
      </w:r>
      <w:r>
        <w:tab/>
        <w:t xml:space="preserve">In subregulations (2) and (3) — </w:t>
      </w:r>
    </w:p>
    <w:p>
      <w:pPr>
        <w:pStyle w:val="Defstart"/>
      </w:pPr>
      <w:r>
        <w:tab/>
      </w:r>
      <w:r>
        <w:rPr>
          <w:rStyle w:val="CharDefText"/>
        </w:rPr>
        <w:t>acquire</w:t>
      </w:r>
      <w:r>
        <w:t xml:space="preserve"> includes lease or license from another person;</w:t>
      </w:r>
    </w:p>
    <w:p>
      <w:pPr>
        <w:pStyle w:val="Defstart"/>
      </w:pPr>
      <w:r>
        <w:tab/>
      </w:r>
      <w:r>
        <w:rPr>
          <w:rStyle w:val="CharDefText"/>
        </w:rPr>
        <w:t>contract</w:t>
      </w:r>
      <w:r>
        <w:t xml:space="preserve"> means a contract or other agreement or arrangement;</w:t>
      </w:r>
    </w:p>
    <w:p>
      <w:pPr>
        <w:pStyle w:val="Defstart"/>
      </w:pPr>
      <w:r>
        <w:tab/>
      </w:r>
      <w:r>
        <w:rPr>
          <w:rStyle w:val="CharDefText"/>
        </w:rPr>
        <w:t>dispose</w:t>
      </w:r>
      <w:r>
        <w:t xml:space="preserve"> includes lease or license to another person;</w:t>
      </w:r>
    </w:p>
    <w:p>
      <w:pPr>
        <w:pStyle w:val="Defstart"/>
      </w:pPr>
      <w:r>
        <w:tab/>
      </w:r>
      <w:r>
        <w:rPr>
          <w:rStyle w:val="CharDefText"/>
        </w:rPr>
        <w:t>property</w:t>
      </w:r>
      <w:r>
        <w:t xml:space="preserve"> includes any interest, or any share of an interest, in any property.</w:t>
      </w:r>
    </w:p>
    <w:p>
      <w:pPr>
        <w:pStyle w:val="Subsection"/>
        <w:keepNext/>
      </w:pPr>
      <w:r>
        <w:tab/>
        <w:t>(5)</w:t>
      </w:r>
      <w:r>
        <w:tab/>
        <w:t xml:space="preserve">For the purposes of paragraph (g), inviting a tender is a significant act if the tender — </w:t>
      </w:r>
    </w:p>
    <w:p>
      <w:pPr>
        <w:pStyle w:val="Indenta"/>
      </w:pPr>
      <w:r>
        <w:tab/>
        <w:t>(a)</w:t>
      </w:r>
      <w:r>
        <w:tab/>
        <w:t>is required to be publicly invited under regulation 11(1) or 12(2); or</w:t>
      </w:r>
    </w:p>
    <w:p>
      <w:pPr>
        <w:pStyle w:val="Indenta"/>
      </w:pPr>
      <w:r>
        <w:tab/>
        <w:t>(b)</w:t>
      </w:r>
      <w:r>
        <w:tab/>
        <w:t>would be required to be publicly invited under regulation 11(1) or 12(2) but for regulation 11(2).</w:t>
      </w:r>
    </w:p>
    <w:p>
      <w:pPr>
        <w:pStyle w:val="Subsection"/>
      </w:pPr>
      <w:r>
        <w:tab/>
        <w:t>(6)</w:t>
      </w:r>
      <w:r>
        <w:tab/>
        <w:t xml:space="preserve">For the purposes of paragraph (i), each of the following is a significant act — </w:t>
      </w:r>
    </w:p>
    <w:p>
      <w:pPr>
        <w:pStyle w:val="Indenta"/>
      </w:pPr>
      <w:r>
        <w:tab/>
        <w:t>(a)</w:t>
      </w:r>
      <w:r>
        <w:tab/>
        <w:t xml:space="preserve">each of the following under Part 3 Division 4 of the Act — </w:t>
      </w:r>
    </w:p>
    <w:p>
      <w:pPr>
        <w:pStyle w:val="Indenti"/>
      </w:pPr>
      <w:r>
        <w:tab/>
        <w:t>(i)</w:t>
      </w:r>
      <w:r>
        <w:tab/>
        <w:t>establishing a regional local government;</w:t>
      </w:r>
    </w:p>
    <w:p>
      <w:pPr>
        <w:pStyle w:val="Indenti"/>
      </w:pPr>
      <w:r>
        <w:tab/>
        <w:t>(ii)</w:t>
      </w:r>
      <w:r>
        <w:tab/>
        <w:t>amending the establishment agreement for a regional local government;</w:t>
      </w:r>
    </w:p>
    <w:p>
      <w:pPr>
        <w:pStyle w:val="Indenti"/>
      </w:pPr>
      <w:r>
        <w:tab/>
        <w:t>(iii)</w:t>
      </w:r>
      <w:r>
        <w:tab/>
        <w:t>winding up a regional local government, otherwise than at the direction of the Minister;</w:t>
      </w:r>
    </w:p>
    <w:p>
      <w:pPr>
        <w:pStyle w:val="Indenti"/>
      </w:pPr>
      <w:r>
        <w:tab/>
        <w:t>(iv)</w:t>
      </w:r>
      <w:r>
        <w:tab/>
        <w:t>withdrawing from a regional local government;</w:t>
      </w:r>
    </w:p>
    <w:p>
      <w:pPr>
        <w:pStyle w:val="Indenti"/>
      </w:pPr>
      <w:r>
        <w:tab/>
        <w:t>(v)</w:t>
      </w:r>
      <w:r>
        <w:tab/>
        <w:t>forming a regional subsidiary;</w:t>
      </w:r>
    </w:p>
    <w:p>
      <w:pPr>
        <w:pStyle w:val="Indenti"/>
      </w:pPr>
      <w:r>
        <w:tab/>
        <w:t>(vi)</w:t>
      </w:r>
      <w:r>
        <w:tab/>
        <w:t>amending the charter for a regional subsidiary;</w:t>
      </w:r>
    </w:p>
    <w:p>
      <w:pPr>
        <w:pStyle w:val="Indenti"/>
      </w:pPr>
      <w:r>
        <w:tab/>
        <w:t>(vii)</w:t>
      </w:r>
      <w:r>
        <w:tab/>
        <w:t>winding up, or withdrawing from, a regional subsidiary;</w:t>
      </w:r>
    </w:p>
    <w:p>
      <w:pPr>
        <w:pStyle w:val="Indenta"/>
      </w:pPr>
      <w:r>
        <w:tab/>
        <w:t>(b)</w:t>
      </w:r>
      <w:r>
        <w:tab/>
        <w:t xml:space="preserve">commencing the preparation of any of the following under the </w:t>
      </w:r>
      <w:r>
        <w:rPr>
          <w:i/>
        </w:rPr>
        <w:t xml:space="preserve">Planning and Development (Local Planning Schemes) Regulations 2015 </w:t>
      </w:r>
      <w:r>
        <w:t xml:space="preserve">Part 3 — </w:t>
      </w:r>
    </w:p>
    <w:p>
      <w:pPr>
        <w:pStyle w:val="Indenti"/>
      </w:pPr>
      <w:r>
        <w:tab/>
        <w:t>(i)</w:t>
      </w:r>
      <w:r>
        <w:tab/>
        <w:t>a local planning strategy;</w:t>
      </w:r>
    </w:p>
    <w:p>
      <w:pPr>
        <w:pStyle w:val="Indenti"/>
      </w:pPr>
      <w:r>
        <w:tab/>
        <w:t>(ii)</w:t>
      </w:r>
      <w:r>
        <w:tab/>
        <w:t>an amendment to a local planning strategy;</w:t>
      </w:r>
    </w:p>
    <w:p>
      <w:pPr>
        <w:pStyle w:val="Indenti"/>
      </w:pPr>
      <w:r>
        <w:tab/>
        <w:t>(iii)</w:t>
      </w:r>
      <w:r>
        <w:tab/>
        <w:t>a notice of revocation in respect of a local planning strategy;</w:t>
      </w:r>
    </w:p>
    <w:p>
      <w:pPr>
        <w:pStyle w:val="Indenta"/>
      </w:pPr>
      <w:r>
        <w:tab/>
        <w:t>(c)</w:t>
      </w:r>
      <w:r>
        <w:tab/>
        <w:t xml:space="preserve">passing a resolution of the kind referred to in the </w:t>
      </w:r>
      <w:r>
        <w:rPr>
          <w:i/>
        </w:rPr>
        <w:t xml:space="preserve">Planning and Development (Local Planning Schemes) Regulations 2015 </w:t>
      </w:r>
      <w:r>
        <w:t>regulation 19(1);</w:t>
      </w:r>
    </w:p>
    <w:p>
      <w:pPr>
        <w:pStyle w:val="Indenta"/>
      </w:pPr>
      <w:r>
        <w:tab/>
        <w:t>(d)</w:t>
      </w:r>
      <w:r>
        <w:tab/>
        <w:t xml:space="preserve">passing a resolution of the kind referred to in the </w:t>
      </w:r>
      <w:r>
        <w:rPr>
          <w:i/>
        </w:rPr>
        <w:t xml:space="preserve">Planning and Development (Local Planning Schemes) Regulations 2015 </w:t>
      </w:r>
      <w:r>
        <w:t>regulation 35(1) in relation to a complex amendment (as defined in regulation 34 of those regulations);</w:t>
      </w:r>
    </w:p>
    <w:p>
      <w:pPr>
        <w:pStyle w:val="Indenta"/>
      </w:pPr>
      <w:r>
        <w:tab/>
        <w:t>(e)</w:t>
      </w:r>
      <w:r>
        <w:tab/>
        <w:t xml:space="preserve">commencing a review of a local planning scheme under the </w:t>
      </w:r>
      <w:r>
        <w:rPr>
          <w:i/>
        </w:rPr>
        <w:t xml:space="preserve">Planning and Development (Local Planning Schemes) Regulations 2015 </w:t>
      </w:r>
      <w:r>
        <w:t>regulation 65;</w:t>
      </w:r>
    </w:p>
    <w:p>
      <w:pPr>
        <w:pStyle w:val="Indenta"/>
      </w:pPr>
      <w:r>
        <w:tab/>
        <w:t>(f)</w:t>
      </w:r>
      <w:r>
        <w:tab/>
        <w:t xml:space="preserve">commencing the preparation of an instrument of repeal in respect of a local planning scheme under the </w:t>
      </w:r>
      <w:r>
        <w:rPr>
          <w:i/>
        </w:rPr>
        <w:t xml:space="preserve">Planning and Development Act 2005 </w:t>
      </w:r>
      <w:r>
        <w:t>section 74(b);</w:t>
      </w:r>
    </w:p>
    <w:p>
      <w:pPr>
        <w:pStyle w:val="Indenta"/>
      </w:pPr>
      <w:r>
        <w:tab/>
        <w:t>(g)</w:t>
      </w:r>
      <w:r>
        <w:tab/>
        <w:t xml:space="preserve">doing either of the following under the </w:t>
      </w:r>
      <w:r>
        <w:rPr>
          <w:i/>
        </w:rPr>
        <w:t xml:space="preserve">Planning and Development (Local Planning Schemes) Regulations 2015 </w:t>
      </w:r>
      <w:r>
        <w:t xml:space="preserve">Schedule 2 Part 2 Division 2 as that Division has effect as part of a local planning scheme of the local government — </w:t>
      </w:r>
    </w:p>
    <w:p>
      <w:pPr>
        <w:pStyle w:val="Indenti"/>
      </w:pPr>
      <w:r>
        <w:tab/>
        <w:t>(i)</w:t>
      </w:r>
      <w:r>
        <w:tab/>
        <w:t>resolving to prepare or amend a local planning policy;</w:t>
      </w:r>
    </w:p>
    <w:p>
      <w:pPr>
        <w:pStyle w:val="Indenti"/>
      </w:pPr>
      <w:r>
        <w:tab/>
        <w:t>(ii)</w:t>
      </w:r>
      <w:r>
        <w:tab/>
        <w:t>commencing the preparation of a notice of revocation in respect of a local planning policy;</w:t>
      </w:r>
    </w:p>
    <w:p>
      <w:pPr>
        <w:pStyle w:val="Indenta"/>
      </w:pPr>
      <w:r>
        <w:tab/>
        <w:t>(h)</w:t>
      </w:r>
      <w:r>
        <w:tab/>
        <w:t>publicly inviting persons to apply to join a panel of pre</w:t>
      </w:r>
      <w:r>
        <w:noBreakHyphen/>
        <w:t>qualified suppliers under Part 4 Division 3;</w:t>
      </w:r>
    </w:p>
    <w:p>
      <w:pPr>
        <w:pStyle w:val="Indenta"/>
      </w:pPr>
      <w:r>
        <w:tab/>
        <w:t>(i)</w:t>
      </w:r>
      <w:r>
        <w:tab/>
        <w:t>deciding to do anything referred to in paragraphs (a) to (h) of this subregulation.</w:t>
      </w:r>
    </w:p>
    <w:p>
      <w:pPr>
        <w:pStyle w:val="Subsection"/>
      </w:pPr>
      <w:r>
        <w:tab/>
        <w:t>(7)</w:t>
      </w:r>
      <w:r>
        <w:tab/>
        <w:t xml:space="preserve">Subregulation (6)(b) to (g) do not apply to anything done, and subregulation (6)(i) does not apply to a decision to do anything, for the purpose of complying with an order or notice given under the </w:t>
      </w:r>
      <w:r>
        <w:rPr>
          <w:i/>
        </w:rPr>
        <w:t xml:space="preserve">Planning and Development Act 2005 </w:t>
      </w:r>
      <w:r>
        <w:t>section 76, 77A, 211 or 212.</w:t>
      </w:r>
    </w:p>
    <w:p>
      <w:pPr>
        <w:pStyle w:val="Footnotesection"/>
      </w:pPr>
      <w:r>
        <w:tab/>
        <w:t>[Regulation 3A inserted: SL 2023/102 r. 60.]</w:t>
      </w:r>
    </w:p>
    <w:p>
      <w:pPr>
        <w:pStyle w:val="Heading5"/>
      </w:pPr>
      <w:bookmarkStart w:id="38" w:name="_Toc217398787"/>
      <w:bookmarkStart w:id="39" w:name="_Toc216436308"/>
      <w:r>
        <w:rPr>
          <w:rStyle w:val="CharSectno"/>
        </w:rPr>
        <w:t>3B</w:t>
      </w:r>
      <w:r>
        <w:t>.</w:t>
      </w:r>
      <w:r>
        <w:tab/>
        <w:t>Decisions taken before caretaker period</w:t>
      </w:r>
      <w:bookmarkEnd w:id="38"/>
      <w:bookmarkEnd w:id="39"/>
    </w:p>
    <w:p>
      <w:pPr>
        <w:pStyle w:val="Subsection"/>
      </w:pPr>
      <w:r>
        <w:tab/>
      </w:r>
      <w:r>
        <w:tab/>
        <w:t xml:space="preserve">For the purposes of section 3.73(4)(b) of the Act, the local government must do the following before doing the significant act — </w:t>
      </w:r>
    </w:p>
    <w:p>
      <w:pPr>
        <w:pStyle w:val="Indenta"/>
      </w:pPr>
      <w:r>
        <w:tab/>
        <w:t>(a)</w:t>
      </w:r>
      <w:r>
        <w:tab/>
        <w:t xml:space="preserve">give local public notice of the local government’s intention to do the significant act, including — </w:t>
      </w:r>
    </w:p>
    <w:p>
      <w:pPr>
        <w:pStyle w:val="Indenti"/>
      </w:pPr>
      <w:r>
        <w:tab/>
        <w:t>(i)</w:t>
      </w:r>
      <w:r>
        <w:tab/>
        <w:t>details of the significant act and the date on which the local government intends to do the significant act; and</w:t>
      </w:r>
    </w:p>
    <w:p>
      <w:pPr>
        <w:pStyle w:val="Indenti"/>
      </w:pPr>
      <w:r>
        <w:tab/>
        <w:t>(ii)</w:t>
      </w:r>
      <w:r>
        <w:tab/>
        <w:t>details of the decision to do the significant act referred to in section 3.73(4)(a) of the Act and the date on which the decision was made;</w:t>
      </w:r>
    </w:p>
    <w:p>
      <w:pPr>
        <w:pStyle w:val="Indenta"/>
      </w:pPr>
      <w:r>
        <w:tab/>
        <w:t>(b)</w:t>
      </w:r>
      <w:r>
        <w:tab/>
        <w:t>provide a copy of the notice given under paragraph (a) to the Departmental CEO.</w:t>
      </w:r>
    </w:p>
    <w:p>
      <w:pPr>
        <w:pStyle w:val="Footnotesection"/>
      </w:pPr>
      <w:r>
        <w:tab/>
        <w:t>[Regulation 3B inserted: SL 2023/102 r. 60.]</w:t>
      </w:r>
    </w:p>
    <w:p>
      <w:pPr>
        <w:pStyle w:val="Heading5"/>
      </w:pPr>
      <w:bookmarkStart w:id="40" w:name="_Toc217398788"/>
      <w:bookmarkStart w:id="41" w:name="_Toc216436309"/>
      <w:r>
        <w:rPr>
          <w:rStyle w:val="CharSectno"/>
        </w:rPr>
        <w:t>3C</w:t>
      </w:r>
      <w:r>
        <w:t>.</w:t>
      </w:r>
      <w:r>
        <w:tab/>
        <w:t>Transitional provision</w:t>
      </w:r>
      <w:bookmarkEnd w:id="40"/>
      <w:bookmarkEnd w:id="41"/>
    </w:p>
    <w:p>
      <w:pPr>
        <w:pStyle w:val="Subsection"/>
      </w:pPr>
      <w:r>
        <w:tab/>
      </w:r>
      <w:r>
        <w:tab/>
        <w:t>For the purposes of Schedule 9.3 clause 62(2) of the Act, section 3.73 of the Act does not apply in relation to a caretaker period that begins before 1 July 2024.</w:t>
      </w:r>
    </w:p>
    <w:p>
      <w:pPr>
        <w:pStyle w:val="Footnotesection"/>
      </w:pPr>
      <w:r>
        <w:tab/>
        <w:t>[Regulation 3C inserted: SL 2023/102 r. 60.]</w:t>
      </w:r>
    </w:p>
    <w:p>
      <w:pPr>
        <w:pStyle w:val="Heading2"/>
      </w:pPr>
      <w:bookmarkStart w:id="42" w:name="_Toc217300524"/>
      <w:bookmarkStart w:id="43" w:name="_Toc217300935"/>
      <w:bookmarkStart w:id="44" w:name="_Toc217398028"/>
      <w:bookmarkStart w:id="45" w:name="_Toc217398299"/>
      <w:bookmarkStart w:id="46" w:name="_Toc217398789"/>
      <w:bookmarkStart w:id="47" w:name="_Toc216362685"/>
      <w:bookmarkStart w:id="48" w:name="_Toc216363031"/>
      <w:bookmarkStart w:id="49" w:name="_Toc216428959"/>
      <w:bookmarkStart w:id="50" w:name="_Toc216436310"/>
      <w:r>
        <w:rPr>
          <w:rStyle w:val="CharPartNo"/>
        </w:rPr>
        <w:t>Part 2</w:t>
      </w:r>
      <w:r>
        <w:rPr>
          <w:rStyle w:val="CharDivNo"/>
        </w:rPr>
        <w:t> </w:t>
      </w:r>
      <w:r>
        <w:t>—</w:t>
      </w:r>
      <w:r>
        <w:rPr>
          <w:rStyle w:val="CharDivText"/>
        </w:rPr>
        <w:t> </w:t>
      </w:r>
      <w:r>
        <w:rPr>
          <w:rStyle w:val="CharPartText"/>
        </w:rPr>
        <w:t>Thoroughfares</w:t>
      </w:r>
      <w:bookmarkEnd w:id="42"/>
      <w:bookmarkEnd w:id="43"/>
      <w:bookmarkEnd w:id="44"/>
      <w:bookmarkEnd w:id="45"/>
      <w:bookmarkEnd w:id="46"/>
      <w:bookmarkEnd w:id="47"/>
      <w:bookmarkEnd w:id="48"/>
      <w:bookmarkEnd w:id="49"/>
      <w:bookmarkEnd w:id="50"/>
    </w:p>
    <w:p>
      <w:pPr>
        <w:pStyle w:val="Heading5"/>
        <w:rPr>
          <w:snapToGrid w:val="0"/>
        </w:rPr>
      </w:pPr>
      <w:bookmarkStart w:id="51" w:name="_Toc217398790"/>
      <w:bookmarkStart w:id="52" w:name="_Toc216436311"/>
      <w:r>
        <w:rPr>
          <w:rStyle w:val="CharSectno"/>
        </w:rPr>
        <w:t>4</w:t>
      </w:r>
      <w:r>
        <w:rPr>
          <w:snapToGrid w:val="0"/>
        </w:rPr>
        <w:t>.</w:t>
      </w:r>
      <w:r>
        <w:rPr>
          <w:snapToGrid w:val="0"/>
        </w:rPr>
        <w:tab/>
        <w:t>Persons prescribed to be notified of road closure (Act s. 3.50)</w:t>
      </w:r>
      <w:bookmarkEnd w:id="51"/>
      <w:bookmarkEnd w:id="52"/>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53" w:name="_Toc217398791"/>
      <w:bookmarkStart w:id="54" w:name="_Toc21643631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53"/>
      <w:bookmarkEnd w:id="54"/>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55" w:name="_Toc217398792"/>
      <w:bookmarkStart w:id="56" w:name="_Toc216436313"/>
      <w:r>
        <w:rPr>
          <w:rStyle w:val="CharSectno"/>
        </w:rPr>
        <w:t>6</w:t>
      </w:r>
      <w:r>
        <w:rPr>
          <w:snapToGrid w:val="0"/>
        </w:rPr>
        <w:t>.</w:t>
      </w:r>
      <w:r>
        <w:rPr>
          <w:snapToGrid w:val="0"/>
        </w:rPr>
        <w:tab/>
        <w:t>Transitional provisions about road closures</w:t>
      </w:r>
      <w:bookmarkEnd w:id="55"/>
      <w:bookmarkEnd w:id="56"/>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57" w:name="_Toc217300528"/>
      <w:bookmarkStart w:id="58" w:name="_Toc217300939"/>
      <w:bookmarkStart w:id="59" w:name="_Toc217398032"/>
      <w:bookmarkStart w:id="60" w:name="_Toc217398303"/>
      <w:bookmarkStart w:id="61" w:name="_Toc217398793"/>
      <w:bookmarkStart w:id="62" w:name="_Toc216362689"/>
      <w:bookmarkStart w:id="63" w:name="_Toc216363035"/>
      <w:bookmarkStart w:id="64" w:name="_Toc216428963"/>
      <w:bookmarkStart w:id="65" w:name="_Toc216436314"/>
      <w:r>
        <w:rPr>
          <w:rStyle w:val="CharPartNo"/>
        </w:rPr>
        <w:t>Part 3</w:t>
      </w:r>
      <w:r>
        <w:rPr>
          <w:rStyle w:val="CharDivNo"/>
        </w:rPr>
        <w:t> </w:t>
      </w:r>
      <w:r>
        <w:t>—</w:t>
      </w:r>
      <w:r>
        <w:rPr>
          <w:rStyle w:val="CharDivText"/>
        </w:rPr>
        <w:t> </w:t>
      </w:r>
      <w:r>
        <w:rPr>
          <w:rStyle w:val="CharPartText"/>
        </w:rPr>
        <w:t>Commercial enterprises by local governments (s. 3.59)</w:t>
      </w:r>
      <w:bookmarkEnd w:id="57"/>
      <w:bookmarkEnd w:id="58"/>
      <w:bookmarkEnd w:id="59"/>
      <w:bookmarkEnd w:id="60"/>
      <w:bookmarkEnd w:id="61"/>
      <w:bookmarkEnd w:id="62"/>
      <w:bookmarkEnd w:id="63"/>
      <w:bookmarkEnd w:id="64"/>
      <w:bookmarkEnd w:id="65"/>
    </w:p>
    <w:p>
      <w:pPr>
        <w:pStyle w:val="Heading5"/>
      </w:pPr>
      <w:bookmarkStart w:id="66" w:name="_Toc217398794"/>
      <w:bookmarkStart w:id="67" w:name="_Toc216436315"/>
      <w:r>
        <w:rPr>
          <w:rStyle w:val="CharSectno"/>
        </w:rPr>
        <w:t>7</w:t>
      </w:r>
      <w:r>
        <w:t>.</w:t>
      </w:r>
      <w:r>
        <w:tab/>
        <w:t>Term used: major regional centre</w:t>
      </w:r>
      <w:bookmarkEnd w:id="66"/>
      <w:bookmarkEnd w:id="67"/>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68" w:name="_Toc217398795"/>
      <w:bookmarkStart w:id="69" w:name="_Toc216436316"/>
      <w:r>
        <w:rPr>
          <w:rStyle w:val="CharSectno"/>
        </w:rPr>
        <w:t>8A</w:t>
      </w:r>
      <w:r>
        <w:t>.</w:t>
      </w:r>
      <w:r>
        <w:tab/>
        <w:t xml:space="preserve">Amount prescribed for major land transactions; exempt land transactions prescribed </w:t>
      </w:r>
      <w:r>
        <w:rPr>
          <w:snapToGrid w:val="0"/>
        </w:rPr>
        <w:t>(Act </w:t>
      </w:r>
      <w:r>
        <w:t>s. 3.59)</w:t>
      </w:r>
      <w:bookmarkEnd w:id="68"/>
      <w:bookmarkEnd w:id="69"/>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70" w:name="_Toc217398796"/>
      <w:bookmarkStart w:id="71" w:name="_Toc216436317"/>
      <w:r>
        <w:rPr>
          <w:rStyle w:val="CharSectno"/>
        </w:rPr>
        <w:t>8</w:t>
      </w:r>
      <w:r>
        <w:rPr>
          <w:snapToGrid w:val="0"/>
        </w:rPr>
        <w:t>.</w:t>
      </w:r>
      <w:r>
        <w:rPr>
          <w:snapToGrid w:val="0"/>
        </w:rPr>
        <w:tab/>
        <w:t>Exempt land transactions prescribed (Act s. 3.59)</w:t>
      </w:r>
      <w:bookmarkEnd w:id="70"/>
      <w:bookmarkEnd w:id="71"/>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72" w:name="_Toc217398797"/>
      <w:bookmarkStart w:id="73" w:name="_Toc216436318"/>
      <w:r>
        <w:rPr>
          <w:rStyle w:val="CharSectno"/>
        </w:rPr>
        <w:t>9</w:t>
      </w:r>
      <w:r>
        <w:rPr>
          <w:snapToGrid w:val="0"/>
        </w:rPr>
        <w:t>.</w:t>
      </w:r>
      <w:r>
        <w:rPr>
          <w:snapToGrid w:val="0"/>
        </w:rPr>
        <w:tab/>
        <w:t>Amount prescribed for major trading undertakings; exempt trading undertakings prescribed (Act s. 3.59)</w:t>
      </w:r>
      <w:bookmarkEnd w:id="72"/>
      <w:bookmarkEnd w:id="73"/>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keepNext/>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74" w:name="_Toc217398798"/>
      <w:bookmarkStart w:id="75" w:name="_Toc216436319"/>
      <w:r>
        <w:rPr>
          <w:rStyle w:val="CharSectno"/>
        </w:rPr>
        <w:t>10</w:t>
      </w:r>
      <w:r>
        <w:rPr>
          <w:snapToGrid w:val="0"/>
        </w:rPr>
        <w:t>.</w:t>
      </w:r>
      <w:r>
        <w:rPr>
          <w:snapToGrid w:val="0"/>
        </w:rPr>
        <w:tab/>
        <w:t>Business plans for major trading undertaking and major land transaction, content of</w:t>
      </w:r>
      <w:bookmarkEnd w:id="74"/>
      <w:bookmarkEnd w:id="75"/>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76" w:name="_Toc217300534"/>
      <w:bookmarkStart w:id="77" w:name="_Toc217300945"/>
      <w:bookmarkStart w:id="78" w:name="_Toc217398038"/>
      <w:bookmarkStart w:id="79" w:name="_Toc217398309"/>
      <w:bookmarkStart w:id="80" w:name="_Toc217398799"/>
      <w:bookmarkStart w:id="81" w:name="_Toc216362695"/>
      <w:bookmarkStart w:id="82" w:name="_Toc216363041"/>
      <w:bookmarkStart w:id="83" w:name="_Toc216428969"/>
      <w:bookmarkStart w:id="84" w:name="_Toc216436320"/>
      <w:r>
        <w:rPr>
          <w:rStyle w:val="CharPartNo"/>
        </w:rPr>
        <w:t>Part 4</w:t>
      </w:r>
      <w:r>
        <w:rPr>
          <w:b w:val="0"/>
        </w:rPr>
        <w:t> </w:t>
      </w:r>
      <w:r>
        <w:t>—</w:t>
      </w:r>
      <w:r>
        <w:rPr>
          <w:b w:val="0"/>
        </w:rPr>
        <w:t> </w:t>
      </w:r>
      <w:r>
        <w:rPr>
          <w:rStyle w:val="CharPartText"/>
        </w:rPr>
        <w:t>Provision of goods and services</w:t>
      </w:r>
      <w:bookmarkEnd w:id="76"/>
      <w:bookmarkEnd w:id="77"/>
      <w:bookmarkEnd w:id="78"/>
      <w:bookmarkEnd w:id="79"/>
      <w:bookmarkEnd w:id="80"/>
      <w:bookmarkEnd w:id="81"/>
      <w:bookmarkEnd w:id="82"/>
      <w:bookmarkEnd w:id="83"/>
      <w:bookmarkEnd w:id="84"/>
    </w:p>
    <w:p>
      <w:pPr>
        <w:pStyle w:val="Footnoteheading"/>
      </w:pPr>
      <w:r>
        <w:tab/>
        <w:t>[Heading inserted: Gazette 2 Feb 2007 p. 244.]</w:t>
      </w:r>
    </w:p>
    <w:p>
      <w:pPr>
        <w:pStyle w:val="Heading3"/>
      </w:pPr>
      <w:bookmarkStart w:id="85" w:name="_Toc217300535"/>
      <w:bookmarkStart w:id="86" w:name="_Toc217300946"/>
      <w:bookmarkStart w:id="87" w:name="_Toc217398039"/>
      <w:bookmarkStart w:id="88" w:name="_Toc217398310"/>
      <w:bookmarkStart w:id="89" w:name="_Toc217398800"/>
      <w:bookmarkStart w:id="90" w:name="_Toc216362696"/>
      <w:bookmarkStart w:id="91" w:name="_Toc216363042"/>
      <w:bookmarkStart w:id="92" w:name="_Toc216428970"/>
      <w:bookmarkStart w:id="93" w:name="_Toc216436321"/>
      <w:r>
        <w:rPr>
          <w:rStyle w:val="CharDivNo"/>
        </w:rPr>
        <w:t>Division 1</w:t>
      </w:r>
      <w:r>
        <w:t> — </w:t>
      </w:r>
      <w:r>
        <w:rPr>
          <w:rStyle w:val="CharDivText"/>
        </w:rPr>
        <w:t>Purchasing policies</w:t>
      </w:r>
      <w:bookmarkEnd w:id="85"/>
      <w:bookmarkEnd w:id="86"/>
      <w:bookmarkEnd w:id="87"/>
      <w:bookmarkEnd w:id="88"/>
      <w:bookmarkEnd w:id="89"/>
      <w:bookmarkEnd w:id="90"/>
      <w:bookmarkEnd w:id="91"/>
      <w:bookmarkEnd w:id="92"/>
      <w:bookmarkEnd w:id="93"/>
    </w:p>
    <w:p>
      <w:pPr>
        <w:pStyle w:val="Footnoteheading"/>
      </w:pPr>
      <w:r>
        <w:tab/>
        <w:t>[Heading inserted: Gazette 2 Feb 2007 p. 244.]</w:t>
      </w:r>
    </w:p>
    <w:p>
      <w:pPr>
        <w:pStyle w:val="Heading5"/>
      </w:pPr>
      <w:bookmarkStart w:id="94" w:name="_Toc217398801"/>
      <w:bookmarkStart w:id="95" w:name="_Toc216436322"/>
      <w:r>
        <w:rPr>
          <w:rStyle w:val="CharSectno"/>
        </w:rPr>
        <w:t>11A</w:t>
      </w:r>
      <w:r>
        <w:t>.</w:t>
      </w:r>
      <w:r>
        <w:tab/>
        <w:t>Purchasing policies for local governments</w:t>
      </w:r>
      <w:bookmarkEnd w:id="94"/>
      <w:bookmarkEnd w:id="9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 SL 2020/55 r. 4.]</w:t>
      </w:r>
    </w:p>
    <w:p>
      <w:pPr>
        <w:pStyle w:val="Heading3"/>
      </w:pPr>
      <w:bookmarkStart w:id="96" w:name="_Toc217300537"/>
      <w:bookmarkStart w:id="97" w:name="_Toc217300948"/>
      <w:bookmarkStart w:id="98" w:name="_Toc217398041"/>
      <w:bookmarkStart w:id="99" w:name="_Toc217398312"/>
      <w:bookmarkStart w:id="100" w:name="_Toc217398802"/>
      <w:bookmarkStart w:id="101" w:name="_Toc216362698"/>
      <w:bookmarkStart w:id="102" w:name="_Toc216363044"/>
      <w:bookmarkStart w:id="103" w:name="_Toc216428972"/>
      <w:bookmarkStart w:id="104" w:name="_Toc216436323"/>
      <w:r>
        <w:rPr>
          <w:rStyle w:val="CharDivNo"/>
        </w:rPr>
        <w:t>Division 2</w:t>
      </w:r>
      <w:r>
        <w:t> — </w:t>
      </w:r>
      <w:r>
        <w:rPr>
          <w:rStyle w:val="CharDivText"/>
        </w:rPr>
        <w:t>Tenders for providing goods or services (s. 3.57)</w:t>
      </w:r>
      <w:bookmarkEnd w:id="96"/>
      <w:bookmarkEnd w:id="97"/>
      <w:bookmarkEnd w:id="98"/>
      <w:bookmarkEnd w:id="99"/>
      <w:bookmarkEnd w:id="100"/>
      <w:bookmarkEnd w:id="101"/>
      <w:bookmarkEnd w:id="102"/>
      <w:bookmarkEnd w:id="103"/>
      <w:bookmarkEnd w:id="104"/>
    </w:p>
    <w:p>
      <w:pPr>
        <w:pStyle w:val="Footnoteheading"/>
        <w:keepNext/>
      </w:pPr>
      <w:r>
        <w:tab/>
        <w:t>[Heading inserted: Gazette 2 Feb 2007 p. 245.]</w:t>
      </w:r>
    </w:p>
    <w:p>
      <w:pPr>
        <w:pStyle w:val="Heading5"/>
        <w:rPr>
          <w:snapToGrid w:val="0"/>
        </w:rPr>
      </w:pPr>
      <w:bookmarkStart w:id="105" w:name="_Toc217398803"/>
      <w:bookmarkStart w:id="106" w:name="_Toc216436324"/>
      <w:r>
        <w:rPr>
          <w:rStyle w:val="CharSectno"/>
        </w:rPr>
        <w:t>11</w:t>
      </w:r>
      <w:r>
        <w:rPr>
          <w:snapToGrid w:val="0"/>
        </w:rPr>
        <w:t>.</w:t>
      </w:r>
      <w:r>
        <w:rPr>
          <w:snapToGrid w:val="0"/>
        </w:rPr>
        <w:tab/>
        <w:t>When tenders have to be publicly invited</w:t>
      </w:r>
      <w:bookmarkEnd w:id="105"/>
      <w:bookmarkEnd w:id="106"/>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keepNext/>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keepNext/>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keepNext/>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keepNext/>
      </w:pPr>
      <w:r>
        <w:tab/>
        <w:t>(g)</w:t>
      </w:r>
      <w:r>
        <w:tab/>
        <w:t>the goods to be supplied under the contract are —</w:t>
      </w:r>
    </w:p>
    <w:p>
      <w:pPr>
        <w:pStyle w:val="Indenti"/>
      </w:pPr>
      <w:r>
        <w:tab/>
        <w:t>(i)</w:t>
      </w:r>
      <w:r>
        <w:tab/>
        <w:t>petrol or oil; or</w:t>
      </w:r>
    </w:p>
    <w:p>
      <w:pPr>
        <w:pStyle w:val="Indenti"/>
        <w:keepNext/>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keepNext/>
      </w:pPr>
      <w:r>
        <w:tab/>
        <w:t>(II)</w:t>
      </w:r>
      <w:r>
        <w:tab/>
        <w:t>a person registered with the 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keepNext/>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(ia)</w:t>
      </w:r>
      <w:r>
        <w:tab/>
        <w:t>the contract is formed by the novation of a contract to which subregulation (1) applies; or</w:t>
      </w:r>
    </w:p>
    <w:p>
      <w:pPr>
        <w:pStyle w:val="Indenta"/>
        <w:keepNext/>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keepNext/>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keepNext/>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keepNext/>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pPr>
      <w:r>
        <w:tab/>
        <w:t>(jb)</w:t>
      </w:r>
      <w:r>
        <w:tab/>
        <w:t xml:space="preserve">the contract is a renewal or extension of the term of a contract (the </w:t>
      </w:r>
      <w:r>
        <w:rPr>
          <w:rStyle w:val="CharDefText"/>
        </w:rPr>
        <w:t>original contract</w:t>
      </w:r>
      <w:r>
        <w:t xml:space="preserve">) for the supply of dental or medical services by a person registered under the </w:t>
      </w:r>
      <w:r>
        <w:rPr>
          <w:i/>
        </w:rPr>
        <w:t>Health Practitioner Regulation National Law (Western Australia)</w:t>
      </w:r>
      <w:r>
        <w:t xml:space="preserve"> in the dental profession or medical profession; or</w:t>
      </w:r>
    </w:p>
    <w:p>
      <w:pPr>
        <w:pStyle w:val="Indenta"/>
        <w:rPr>
          <w:snapToGrid w:val="0"/>
        </w:rPr>
      </w:pPr>
      <w:r>
        <w:tab/>
        <w:t>(k)</w:t>
      </w:r>
      <w:r>
        <w:tab/>
        <w:t>the goods or services are to be supplied by a pre</w:t>
      </w:r>
      <w:r>
        <w:noBreakHyphen/>
        <w:t>qualified supplier under Division 3.</w:t>
      </w:r>
    </w:p>
    <w:p>
      <w:pPr>
        <w:pStyle w:val="Subsection"/>
        <w:keepNext/>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Ednotesubsection"/>
      </w:pPr>
      <w:r>
        <w:tab/>
        <w:t>[(4)</w:t>
      </w:r>
      <w:r>
        <w:tab/>
        <w:t>deleted]</w:t>
      </w:r>
    </w:p>
    <w:p>
      <w:pPr>
        <w:pStyle w:val="Subsection"/>
      </w:pPr>
      <w:r>
        <w:tab/>
        <w:t>(5)</w:t>
      </w:r>
      <w:r>
        <w:tab/>
        <w:t>For the purposes of subregulation (2)(jb), it is immaterial that the supplier also supplies services under the original contract that are not dental or medical services.</w:t>
      </w:r>
    </w:p>
    <w:p>
      <w:pPr>
        <w:pStyle w:val="Subsection"/>
      </w:pPr>
      <w:r>
        <w:tab/>
        <w:t>(6)</w:t>
      </w:r>
      <w:r>
        <w:tab/>
        <w:t xml:space="preserve">Subregulation (2)(jb) does not apply in relation to the renewal or extension of the term of a contract by — </w:t>
      </w:r>
    </w:p>
    <w:p>
      <w:pPr>
        <w:pStyle w:val="Indenta"/>
      </w:pPr>
      <w:r>
        <w:tab/>
        <w:t>(a)</w:t>
      </w:r>
      <w:r>
        <w:tab/>
        <w:t>the local government of a district in the metropolitan area; or</w:t>
      </w:r>
    </w:p>
    <w:p>
      <w:pPr>
        <w:pStyle w:val="Indenta"/>
      </w:pPr>
      <w:r>
        <w:tab/>
        <w:t>(b)</w:t>
      </w:r>
      <w:r>
        <w:tab/>
        <w:t>the City of Mandurah.</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 SL 2022/177 r. 14 and 15; SL 2023/47 r. 4.]</w:t>
      </w:r>
    </w:p>
    <w:p>
      <w:pPr>
        <w:pStyle w:val="Heading5"/>
      </w:pPr>
      <w:bookmarkStart w:id="107" w:name="_Toc217398804"/>
      <w:bookmarkStart w:id="108" w:name="_Toc216436325"/>
      <w:r>
        <w:rPr>
          <w:rStyle w:val="CharSectno"/>
        </w:rPr>
        <w:t>12</w:t>
      </w:r>
      <w:r>
        <w:t>.</w:t>
      </w:r>
      <w:r>
        <w:tab/>
        <w:t>Anti</w:t>
      </w:r>
      <w:r>
        <w:noBreakHyphen/>
        <w:t>avoidance provision for r. 11(1)</w:t>
      </w:r>
      <w:bookmarkEnd w:id="107"/>
      <w:bookmarkEnd w:id="108"/>
    </w:p>
    <w:p>
      <w:pPr>
        <w:pStyle w:val="Subsection"/>
        <w:keepLines/>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keepNext/>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109" w:name="_Toc217398805"/>
      <w:bookmarkStart w:id="110" w:name="_Toc216436326"/>
      <w:r>
        <w:rPr>
          <w:rStyle w:val="CharSectno"/>
        </w:rPr>
        <w:t>13</w:t>
      </w:r>
      <w:r>
        <w:rPr>
          <w:snapToGrid w:val="0"/>
        </w:rPr>
        <w:t>.</w:t>
      </w:r>
      <w:r>
        <w:rPr>
          <w:snapToGrid w:val="0"/>
        </w:rPr>
        <w:tab/>
        <w:t>Requirements when local government invites tenders though not required to do so</w:t>
      </w:r>
      <w:bookmarkEnd w:id="109"/>
      <w:bookmarkEnd w:id="110"/>
    </w:p>
    <w:p>
      <w:pPr>
        <w:pStyle w:val="Subsection"/>
        <w:keepNext/>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111" w:name="_Toc217398806"/>
      <w:bookmarkStart w:id="112" w:name="_Toc216436327"/>
      <w:r>
        <w:rPr>
          <w:rStyle w:val="CharSectno"/>
        </w:rPr>
        <w:t>14</w:t>
      </w:r>
      <w:r>
        <w:rPr>
          <w:snapToGrid w:val="0"/>
        </w:rPr>
        <w:t>.</w:t>
      </w:r>
      <w:r>
        <w:rPr>
          <w:snapToGrid w:val="0"/>
        </w:rPr>
        <w:tab/>
        <w:t>Publicly inviting tenders, requirements for</w:t>
      </w:r>
      <w:bookmarkEnd w:id="111"/>
      <w:bookmarkEnd w:id="112"/>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keepNext/>
      </w:pPr>
      <w:r>
        <w:tab/>
        <w:t>(2a)</w:t>
      </w:r>
      <w:r>
        <w:tab/>
        <w:t>If a local government —</w:t>
      </w:r>
    </w:p>
    <w:p>
      <w:pPr>
        <w:pStyle w:val="Indenta"/>
      </w:pPr>
      <w:r>
        <w:tab/>
        <w:t>(a)</w:t>
      </w:r>
      <w:r>
        <w:tab/>
        <w:t>is required to invite a tender; or</w:t>
      </w:r>
    </w:p>
    <w:p>
      <w:pPr>
        <w:pStyle w:val="Indenta"/>
        <w:keepNext/>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keepNext/>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keepNext/>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keepNext/>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113" w:name="_Toc217398807"/>
      <w:bookmarkStart w:id="114" w:name="_Toc216436328"/>
      <w:r>
        <w:rPr>
          <w:rStyle w:val="CharSectno"/>
        </w:rPr>
        <w:t>15</w:t>
      </w:r>
      <w:r>
        <w:t>.</w:t>
      </w:r>
      <w:r>
        <w:tab/>
      </w:r>
      <w:r>
        <w:rPr>
          <w:snapToGrid w:val="0"/>
        </w:rPr>
        <w:t>Minimum time to be allowed for submitting tenders</w:t>
      </w:r>
      <w:bookmarkEnd w:id="113"/>
      <w:bookmarkEnd w:id="114"/>
    </w:p>
    <w:p>
      <w:pPr>
        <w:pStyle w:val="Subsection"/>
        <w:keepNext/>
      </w:pPr>
      <w:r>
        <w:tab/>
        <w:t>(1)</w:t>
      </w:r>
      <w:r>
        <w:tab/>
        <w:t xml:space="preserve">If a notice under regulation 14(1) is given, the date and time referred to in regulation 14(3)(d) has to be at least 14 days after the notice is — </w:t>
      </w:r>
    </w:p>
    <w:p>
      <w:pPr>
        <w:pStyle w:val="Indenta"/>
      </w:pPr>
      <w:r>
        <w:tab/>
        <w:t>(a)</w:t>
      </w:r>
      <w:r>
        <w:tab/>
        <w:t xml:space="preserve">published on the local government’s official website; and </w:t>
      </w:r>
    </w:p>
    <w:p>
      <w:pPr>
        <w:pStyle w:val="Indenta"/>
      </w:pPr>
      <w:r>
        <w:tab/>
        <w:t>(b)</w:t>
      </w:r>
      <w:r>
        <w:tab/>
        <w:t xml:space="preserve">published in at least 3 of the ways prescribed in the </w:t>
      </w:r>
      <w:r>
        <w:rPr>
          <w:i/>
        </w:rPr>
        <w:t>Local Government (Administration) Regulations 1996</w:t>
      </w:r>
      <w:r>
        <w:t xml:space="preserve"> regulation 3A(2).</w:t>
      </w:r>
    </w:p>
    <w:p>
      <w:pPr>
        <w:pStyle w:val="Subsection"/>
        <w:keepNext/>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amended: SL 2020/213 r. 35.] </w:t>
      </w:r>
    </w:p>
    <w:p>
      <w:pPr>
        <w:pStyle w:val="Heading5"/>
        <w:rPr>
          <w:snapToGrid w:val="0"/>
        </w:rPr>
      </w:pPr>
      <w:bookmarkStart w:id="115" w:name="_Toc217398808"/>
      <w:bookmarkStart w:id="116" w:name="_Toc216436329"/>
      <w:r>
        <w:rPr>
          <w:rStyle w:val="CharSectno"/>
        </w:rPr>
        <w:t>16</w:t>
      </w:r>
      <w:r>
        <w:rPr>
          <w:snapToGrid w:val="0"/>
        </w:rPr>
        <w:t>.</w:t>
      </w:r>
      <w:r>
        <w:rPr>
          <w:snapToGrid w:val="0"/>
        </w:rPr>
        <w:tab/>
        <w:t>Receiving and opening tenders, procedure for</w:t>
      </w:r>
      <w:bookmarkEnd w:id="115"/>
      <w:bookmarkEnd w:id="116"/>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keepNext/>
      </w:pPr>
      <w:r>
        <w:tab/>
        <w:t>(a)</w:t>
      </w:r>
      <w:r>
        <w:tab/>
        <w:t xml:space="preserve">there must be present — </w:t>
      </w:r>
    </w:p>
    <w:p>
      <w:pPr>
        <w:pStyle w:val="Indenti"/>
      </w:pPr>
      <w:r>
        <w:tab/>
        <w:t>(i)</w:t>
      </w:r>
      <w:r>
        <w:tab/>
        <w:t>at least 2 employees of the local government; or</w:t>
      </w:r>
    </w:p>
    <w:p>
      <w:pPr>
        <w:pStyle w:val="Indenti"/>
        <w:keepNext/>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keepNext/>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117" w:name="_Toc217398809"/>
      <w:bookmarkStart w:id="118" w:name="_Toc216436330"/>
      <w:r>
        <w:rPr>
          <w:rStyle w:val="CharSectno"/>
        </w:rPr>
        <w:t>17</w:t>
      </w:r>
      <w:r>
        <w:rPr>
          <w:snapToGrid w:val="0"/>
        </w:rPr>
        <w:t>.</w:t>
      </w:r>
      <w:r>
        <w:rPr>
          <w:snapToGrid w:val="0"/>
        </w:rPr>
        <w:tab/>
        <w:t>Tenders register</w:t>
      </w:r>
      <w:bookmarkEnd w:id="117"/>
      <w:bookmarkEnd w:id="118"/>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pPr>
      <w:r>
        <w:tab/>
        <w:t>(1A)</w:t>
      </w:r>
      <w:r>
        <w:tab/>
        <w:t>The CEO must publish the tenders register on the local government’s official website.</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keepNext/>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keepNext/>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keepNext/>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 SL 2020/213 r. 36.]</w:t>
      </w:r>
    </w:p>
    <w:p>
      <w:pPr>
        <w:pStyle w:val="Heading5"/>
        <w:rPr>
          <w:snapToGrid w:val="0"/>
        </w:rPr>
      </w:pPr>
      <w:bookmarkStart w:id="119" w:name="_Toc217398810"/>
      <w:bookmarkStart w:id="120" w:name="_Toc216436331"/>
      <w:r>
        <w:rPr>
          <w:rStyle w:val="CharSectno"/>
        </w:rPr>
        <w:t>18</w:t>
      </w:r>
      <w:r>
        <w:rPr>
          <w:snapToGrid w:val="0"/>
        </w:rPr>
        <w:t>.</w:t>
      </w:r>
      <w:r>
        <w:rPr>
          <w:snapToGrid w:val="0"/>
        </w:rPr>
        <w:tab/>
        <w:t>Rejecting and accepting tenders</w:t>
      </w:r>
      <w:bookmarkEnd w:id="119"/>
      <w:bookmarkEnd w:id="120"/>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keepNext/>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21" w:name="_Toc217398811"/>
      <w:bookmarkStart w:id="122" w:name="_Toc216436332"/>
      <w:r>
        <w:rPr>
          <w:rStyle w:val="CharSectno"/>
        </w:rPr>
        <w:t>19</w:t>
      </w:r>
      <w:r>
        <w:rPr>
          <w:snapToGrid w:val="0"/>
        </w:rPr>
        <w:t>.</w:t>
      </w:r>
      <w:r>
        <w:rPr>
          <w:snapToGrid w:val="0"/>
        </w:rPr>
        <w:tab/>
        <w:t>Tenderers to be notified of outcome</w:t>
      </w:r>
      <w:bookmarkEnd w:id="121"/>
      <w:bookmarkEnd w:id="122"/>
    </w:p>
    <w:p>
      <w:pPr>
        <w:pStyle w:val="Subsection"/>
        <w:keepNext/>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23" w:name="_Toc217398812"/>
      <w:bookmarkStart w:id="124" w:name="_Toc216436333"/>
      <w:r>
        <w:rPr>
          <w:rStyle w:val="CharSectno"/>
        </w:rPr>
        <w:t>20</w:t>
      </w:r>
      <w:r>
        <w:rPr>
          <w:snapToGrid w:val="0"/>
        </w:rPr>
        <w:t>.</w:t>
      </w:r>
      <w:r>
        <w:rPr>
          <w:snapToGrid w:val="0"/>
        </w:rPr>
        <w:tab/>
        <w:t>Variation of requirements before entry into contract</w:t>
      </w:r>
      <w:bookmarkEnd w:id="123"/>
      <w:bookmarkEnd w:id="124"/>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keepNext/>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keepNext/>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25" w:name="_Toc217398813"/>
      <w:bookmarkStart w:id="126" w:name="_Toc216436334"/>
      <w:r>
        <w:rPr>
          <w:rStyle w:val="CharSectno"/>
        </w:rPr>
        <w:t>21A</w:t>
      </w:r>
      <w:r>
        <w:t>.</w:t>
      </w:r>
      <w:r>
        <w:tab/>
        <w:t>Varying a contract for the supply of goods or services</w:t>
      </w:r>
      <w:bookmarkEnd w:id="125"/>
      <w:bookmarkEnd w:id="126"/>
    </w:p>
    <w:p>
      <w:pPr>
        <w:pStyle w:val="Subsection"/>
        <w:keepNext/>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keepNext/>
      </w:pPr>
      <w:r>
        <w:tab/>
        <w:t>(b)</w:t>
      </w:r>
      <w:r>
        <w:tab/>
        <w:t xml:space="preserve">the variation is a renewal or extension of the term of the contract as described in regulation 11(2)(j), (ja) or (jb). </w:t>
      </w:r>
    </w:p>
    <w:p>
      <w:pPr>
        <w:pStyle w:val="Footnotesection"/>
      </w:pPr>
      <w:r>
        <w:tab/>
        <w:t xml:space="preserve">[Regulation 21A inserted: Gazette 18 Sep 2015 p. 3807; amended: SL 2023/47 r. 5.] </w:t>
      </w:r>
    </w:p>
    <w:p>
      <w:pPr>
        <w:pStyle w:val="Heading5"/>
        <w:rPr>
          <w:snapToGrid w:val="0"/>
        </w:rPr>
      </w:pPr>
      <w:bookmarkStart w:id="127" w:name="_Toc217398814"/>
      <w:bookmarkStart w:id="128" w:name="_Toc216436335"/>
      <w:r>
        <w:rPr>
          <w:rStyle w:val="CharSectno"/>
        </w:rPr>
        <w:t>21</w:t>
      </w:r>
      <w:r>
        <w:rPr>
          <w:snapToGrid w:val="0"/>
        </w:rPr>
        <w:t>.</w:t>
      </w:r>
      <w:r>
        <w:rPr>
          <w:snapToGrid w:val="0"/>
        </w:rPr>
        <w:tab/>
        <w:t>Limiting who can tender, procedure for</w:t>
      </w:r>
      <w:bookmarkEnd w:id="127"/>
      <w:bookmarkEnd w:id="12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keepNext/>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29" w:name="_Toc217398815"/>
      <w:bookmarkStart w:id="130" w:name="_Toc216436336"/>
      <w:r>
        <w:rPr>
          <w:rStyle w:val="CharSectno"/>
        </w:rPr>
        <w:t>22</w:t>
      </w:r>
      <w:r>
        <w:rPr>
          <w:snapToGrid w:val="0"/>
        </w:rPr>
        <w:t>.</w:t>
      </w:r>
      <w:r>
        <w:rPr>
          <w:snapToGrid w:val="0"/>
        </w:rPr>
        <w:tab/>
        <w:t>Minimum time to be allowed for submitting expressions of interest</w:t>
      </w:r>
      <w:bookmarkEnd w:id="129"/>
      <w:bookmarkEnd w:id="130"/>
    </w:p>
    <w:p>
      <w:pPr>
        <w:pStyle w:val="Subsection"/>
        <w:keepNext/>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[Regulation 22 amended: SL 2020/213 r. 37</w:t>
      </w:r>
    </w:p>
    <w:p>
      <w:pPr>
        <w:pStyle w:val="Heading5"/>
        <w:rPr>
          <w:snapToGrid w:val="0"/>
        </w:rPr>
      </w:pPr>
      <w:bookmarkStart w:id="131" w:name="_Toc217398816"/>
      <w:bookmarkStart w:id="132" w:name="_Toc216436337"/>
      <w:r>
        <w:rPr>
          <w:rStyle w:val="CharSectno"/>
        </w:rPr>
        <w:t>23</w:t>
      </w:r>
      <w:r>
        <w:rPr>
          <w:snapToGrid w:val="0"/>
        </w:rPr>
        <w:t>.</w:t>
      </w:r>
      <w:r>
        <w:rPr>
          <w:snapToGrid w:val="0"/>
        </w:rPr>
        <w:tab/>
        <w:t>Rejecting and accepting expressions of interest to be acceptable tenderer</w:t>
      </w:r>
      <w:bookmarkEnd w:id="131"/>
      <w:bookmarkEnd w:id="132"/>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keepLines/>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keepNext/>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33" w:name="_Toc217398817"/>
      <w:bookmarkStart w:id="134" w:name="_Toc216436338"/>
      <w:r>
        <w:rPr>
          <w:rStyle w:val="CharSectno"/>
        </w:rPr>
        <w:t>24</w:t>
      </w:r>
      <w:r>
        <w:rPr>
          <w:snapToGrid w:val="0"/>
        </w:rPr>
        <w:t>.</w:t>
      </w:r>
      <w:r>
        <w:rPr>
          <w:snapToGrid w:val="0"/>
        </w:rPr>
        <w:tab/>
        <w:t>People who submitted expression of interest to be notified of outcome</w:t>
      </w:r>
      <w:bookmarkEnd w:id="133"/>
      <w:bookmarkEnd w:id="134"/>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keepNext/>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35" w:name="_Toc217300553"/>
      <w:bookmarkStart w:id="136" w:name="_Toc217300964"/>
      <w:bookmarkStart w:id="137" w:name="_Toc217398057"/>
      <w:bookmarkStart w:id="138" w:name="_Toc217398328"/>
      <w:bookmarkStart w:id="139" w:name="_Toc217398818"/>
      <w:bookmarkStart w:id="140" w:name="_Toc216362714"/>
      <w:bookmarkStart w:id="141" w:name="_Toc216363060"/>
      <w:bookmarkStart w:id="142" w:name="_Toc216428988"/>
      <w:bookmarkStart w:id="143" w:name="_Toc216436339"/>
      <w:r>
        <w:rPr>
          <w:rStyle w:val="CharDivNo"/>
        </w:rPr>
        <w:t>Division 3</w:t>
      </w:r>
      <w:r>
        <w:t> — </w:t>
      </w:r>
      <w:r>
        <w:rPr>
          <w:rStyle w:val="CharDivText"/>
        </w:rPr>
        <w:t>Panels of pre</w:t>
      </w:r>
      <w:r>
        <w:rPr>
          <w:rStyle w:val="CharDivText"/>
        </w:rPr>
        <w:noBreakHyphen/>
        <w:t>qualified suppliers</w:t>
      </w:r>
      <w:bookmarkEnd w:id="135"/>
      <w:bookmarkEnd w:id="136"/>
      <w:bookmarkEnd w:id="137"/>
      <w:bookmarkEnd w:id="138"/>
      <w:bookmarkEnd w:id="139"/>
      <w:bookmarkEnd w:id="140"/>
      <w:bookmarkEnd w:id="141"/>
      <w:bookmarkEnd w:id="142"/>
      <w:bookmarkEnd w:id="143"/>
    </w:p>
    <w:p>
      <w:pPr>
        <w:pStyle w:val="Footnoteheading"/>
        <w:keepNext/>
      </w:pPr>
      <w:r>
        <w:tab/>
        <w:t>[Heading inserted: Gazette 18 Sep 2015 p. 3808.]</w:t>
      </w:r>
    </w:p>
    <w:p>
      <w:pPr>
        <w:pStyle w:val="Heading5"/>
      </w:pPr>
      <w:bookmarkStart w:id="144" w:name="_Toc217398819"/>
      <w:bookmarkStart w:id="145" w:name="_Toc216436340"/>
      <w:r>
        <w:rPr>
          <w:rStyle w:val="CharSectno"/>
        </w:rPr>
        <w:t>24AA</w:t>
      </w:r>
      <w:r>
        <w:t>.</w:t>
      </w:r>
      <w:r>
        <w:tab/>
        <w:t>Terms used</w:t>
      </w:r>
      <w:bookmarkEnd w:id="144"/>
      <w:bookmarkEnd w:id="145"/>
    </w:p>
    <w:p>
      <w:pPr>
        <w:pStyle w:val="Subsection"/>
        <w:keepNext/>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keepNex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46" w:name="_Toc217398820"/>
      <w:bookmarkStart w:id="147" w:name="_Toc216436341"/>
      <w:r>
        <w:rPr>
          <w:rStyle w:val="CharSectno"/>
        </w:rPr>
        <w:t>24AB</w:t>
      </w:r>
      <w:r>
        <w:t>.</w:t>
      </w:r>
      <w:r>
        <w:tab/>
        <w:t>Local government may establish panels of pre</w:t>
      </w:r>
      <w:r>
        <w:noBreakHyphen/>
        <w:t>qualified suppliers</w:t>
      </w:r>
      <w:bookmarkEnd w:id="146"/>
      <w:bookmarkEnd w:id="147"/>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48" w:name="_Toc217398821"/>
      <w:bookmarkStart w:id="149" w:name="_Toc216436342"/>
      <w:r>
        <w:rPr>
          <w:rStyle w:val="CharSectno"/>
        </w:rPr>
        <w:t>24AC</w:t>
      </w:r>
      <w:r>
        <w:t>.</w:t>
      </w:r>
      <w:r>
        <w:tab/>
        <w:t>Requirements before establishing panels of pre</w:t>
      </w:r>
      <w:r>
        <w:noBreakHyphen/>
        <w:t>qualified suppliers</w:t>
      </w:r>
      <w:bookmarkEnd w:id="148"/>
      <w:bookmarkEnd w:id="149"/>
    </w:p>
    <w:p>
      <w:pPr>
        <w:pStyle w:val="Subsection"/>
        <w:keepNext/>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keepNext/>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keepNext/>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50" w:name="_Toc217398822"/>
      <w:bookmarkStart w:id="151" w:name="_Toc216436343"/>
      <w:r>
        <w:rPr>
          <w:rStyle w:val="CharSectno"/>
        </w:rPr>
        <w:t>24AD</w:t>
      </w:r>
      <w:r>
        <w:t>.</w:t>
      </w:r>
      <w:r>
        <w:tab/>
        <w:t>Requirements when inviting persons to apply to join panel of pre</w:t>
      </w:r>
      <w:r>
        <w:noBreakHyphen/>
        <w:t>qualified suppliers</w:t>
      </w:r>
      <w:bookmarkEnd w:id="150"/>
      <w:bookmarkEnd w:id="151"/>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keepNext/>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keepNext/>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keepNext/>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52" w:name="_Toc217398823"/>
      <w:bookmarkStart w:id="153" w:name="_Toc216436344"/>
      <w:r>
        <w:rPr>
          <w:rStyle w:val="CharSectno"/>
        </w:rPr>
        <w:t>24AE</w:t>
      </w:r>
      <w:r>
        <w:t>.</w:t>
      </w:r>
      <w:r>
        <w:tab/>
        <w:t>Minimum time to be allowed for submitting application to join panel of pre</w:t>
      </w:r>
      <w:r>
        <w:noBreakHyphen/>
        <w:t>qualified suppliers</w:t>
      </w:r>
      <w:bookmarkEnd w:id="152"/>
      <w:bookmarkEnd w:id="153"/>
    </w:p>
    <w:p>
      <w:pPr>
        <w:pStyle w:val="Subsection"/>
        <w:keepNext/>
      </w:pPr>
      <w:r>
        <w:tab/>
      </w:r>
      <w:r>
        <w:tab/>
        <w:t xml:space="preserve">If notice under regulation 24AD(2) is given, the date and time referred to in regulation 24AD(4)(d) has to be at least 14 days after the notice is — </w:t>
      </w:r>
    </w:p>
    <w:p>
      <w:pPr>
        <w:pStyle w:val="Indenta"/>
      </w:pPr>
      <w:r>
        <w:tab/>
        <w:t>(a)</w:t>
      </w:r>
      <w:r>
        <w:tab/>
        <w:t xml:space="preserve">published on the local government’s official website; and </w:t>
      </w:r>
    </w:p>
    <w:p>
      <w:pPr>
        <w:pStyle w:val="Indenta"/>
        <w:keepNext/>
      </w:pPr>
      <w:r>
        <w:tab/>
        <w:t>(b)</w:t>
      </w:r>
      <w:r>
        <w:tab/>
        <w:t xml:space="preserve">published in at least 3 of the ways prescribed in the </w:t>
      </w:r>
      <w:r>
        <w:rPr>
          <w:i/>
        </w:rPr>
        <w:t>Local Government (Administration) Regulations 1996</w:t>
      </w:r>
      <w:r>
        <w:t xml:space="preserve"> regulation 3A(2).</w:t>
      </w:r>
    </w:p>
    <w:p>
      <w:pPr>
        <w:pStyle w:val="Footnotesection"/>
      </w:pPr>
      <w:r>
        <w:tab/>
        <w:t xml:space="preserve">[Regulation 24AE inserted: Gazette 18 Sep 2015 p. 3810; amended: SL 2020/213 r. 38.] </w:t>
      </w:r>
    </w:p>
    <w:p>
      <w:pPr>
        <w:pStyle w:val="Heading5"/>
      </w:pPr>
      <w:bookmarkStart w:id="154" w:name="_Toc217398824"/>
      <w:bookmarkStart w:id="155" w:name="_Toc216436345"/>
      <w:r>
        <w:rPr>
          <w:rStyle w:val="CharSectno"/>
        </w:rPr>
        <w:t>24AF</w:t>
      </w:r>
      <w:r>
        <w:t>.</w:t>
      </w:r>
      <w:r>
        <w:tab/>
        <w:t>Procedure for receiving and opening applications</w:t>
      </w:r>
      <w:bookmarkEnd w:id="154"/>
      <w:bookmarkEnd w:id="155"/>
    </w:p>
    <w:p>
      <w:pPr>
        <w:pStyle w:val="Subsection"/>
        <w:keepNext/>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56" w:name="_Toc217398825"/>
      <w:bookmarkStart w:id="157" w:name="_Toc216436346"/>
      <w:r>
        <w:rPr>
          <w:rStyle w:val="CharSectno"/>
        </w:rPr>
        <w:t>24AG</w:t>
      </w:r>
      <w:r>
        <w:t>.</w:t>
      </w:r>
      <w:r>
        <w:tab/>
        <w:t>Information about panels of pre</w:t>
      </w:r>
      <w:r>
        <w:noBreakHyphen/>
        <w:t>qualified suppliers to be included in tenders register</w:t>
      </w:r>
      <w:bookmarkEnd w:id="156"/>
      <w:bookmarkEnd w:id="157"/>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keepNext/>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58" w:name="_Toc217398826"/>
      <w:bookmarkStart w:id="159" w:name="_Toc216436347"/>
      <w:r>
        <w:rPr>
          <w:rStyle w:val="CharSectno"/>
        </w:rPr>
        <w:t>24AH</w:t>
      </w:r>
      <w:r>
        <w:t>.</w:t>
      </w:r>
      <w:r>
        <w:tab/>
        <w:t>Rejecting and accepting applications to join panel of pre</w:t>
      </w:r>
      <w:r>
        <w:noBreakHyphen/>
        <w:t>qualified suppliers</w:t>
      </w:r>
      <w:bookmarkEnd w:id="158"/>
      <w:bookmarkEnd w:id="159"/>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keepNext/>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60" w:name="_Toc217398827"/>
      <w:bookmarkStart w:id="161" w:name="_Toc216436348"/>
      <w:r>
        <w:rPr>
          <w:rStyle w:val="CharSectno"/>
        </w:rPr>
        <w:t>24AI</w:t>
      </w:r>
      <w:r>
        <w:t>.</w:t>
      </w:r>
      <w:r>
        <w:tab/>
        <w:t>Applicants to be notified of outcome</w:t>
      </w:r>
      <w:bookmarkEnd w:id="160"/>
      <w:bookmarkEnd w:id="161"/>
    </w:p>
    <w:p>
      <w:pPr>
        <w:pStyle w:val="Subsection"/>
        <w:keepNext/>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62" w:name="_Toc217398828"/>
      <w:bookmarkStart w:id="163" w:name="_Toc216436349"/>
      <w:r>
        <w:rPr>
          <w:rStyle w:val="CharSectno"/>
        </w:rPr>
        <w:t>24AJ</w:t>
      </w:r>
      <w:r>
        <w:t>.</w:t>
      </w:r>
      <w:r>
        <w:tab/>
        <w:t>Contracts with pre</w:t>
      </w:r>
      <w:r>
        <w:noBreakHyphen/>
        <w:t>qualified suppliers</w:t>
      </w:r>
      <w:bookmarkEnd w:id="162"/>
      <w:bookmarkEnd w:id="163"/>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keepNext/>
      </w:pPr>
      <w:r>
        <w:tab/>
        <w:t>(2)</w:t>
      </w:r>
      <w:r>
        <w:tab/>
        <w:t xml:space="preserve">A contract referred to in subregulation (1) must not — </w:t>
      </w:r>
    </w:p>
    <w:p>
      <w:pPr>
        <w:pStyle w:val="Indenta"/>
      </w:pPr>
      <w:r>
        <w:tab/>
        <w:t>(a)</w:t>
      </w:r>
      <w:r>
        <w:tab/>
        <w:t>be for a term exceeding 12 months; or</w:t>
      </w:r>
    </w:p>
    <w:p>
      <w:pPr>
        <w:pStyle w:val="Indenta"/>
        <w:keepNext/>
      </w:pPr>
      <w:r>
        <w:tab/>
        <w:t>(b)</w:t>
      </w:r>
      <w:r>
        <w:tab/>
        <w:t>contain an option to renew or extend its term.</w:t>
      </w:r>
    </w:p>
    <w:p>
      <w:pPr>
        <w:pStyle w:val="Footnotesection"/>
      </w:pPr>
      <w:r>
        <w:tab/>
        <w:t xml:space="preserve">[Regulation 24AJ inserted: Gazette 18 Sep 2015 p. 3812.] </w:t>
      </w:r>
    </w:p>
    <w:p>
      <w:pPr>
        <w:pStyle w:val="Heading2"/>
      </w:pPr>
      <w:bookmarkStart w:id="164" w:name="_Toc217300564"/>
      <w:bookmarkStart w:id="165" w:name="_Toc217300975"/>
      <w:bookmarkStart w:id="166" w:name="_Toc217398068"/>
      <w:bookmarkStart w:id="167" w:name="_Toc217398339"/>
      <w:bookmarkStart w:id="168" w:name="_Toc217398829"/>
      <w:bookmarkStart w:id="169" w:name="_Toc216362725"/>
      <w:bookmarkStart w:id="170" w:name="_Toc216363071"/>
      <w:bookmarkStart w:id="171" w:name="_Toc216428999"/>
      <w:bookmarkStart w:id="172" w:name="_Toc216436350"/>
      <w:r>
        <w:rPr>
          <w:rStyle w:val="CharPartNo"/>
        </w:rPr>
        <w:t>Part 4A</w:t>
      </w:r>
      <w:r>
        <w:rPr>
          <w:rStyle w:val="CharDivNo"/>
        </w:rPr>
        <w:t xml:space="preserve"> </w:t>
      </w:r>
      <w:r>
        <w:t>—</w:t>
      </w:r>
      <w:r>
        <w:rPr>
          <w:rStyle w:val="CharDivText"/>
        </w:rPr>
        <w:t xml:space="preserve"> </w:t>
      </w:r>
      <w:r>
        <w:rPr>
          <w:rStyle w:val="CharPartText"/>
        </w:rPr>
        <w:t>Regional price preference</w:t>
      </w:r>
      <w:bookmarkEnd w:id="164"/>
      <w:bookmarkEnd w:id="165"/>
      <w:bookmarkEnd w:id="166"/>
      <w:bookmarkEnd w:id="167"/>
      <w:bookmarkEnd w:id="168"/>
      <w:bookmarkEnd w:id="169"/>
      <w:bookmarkEnd w:id="170"/>
      <w:bookmarkEnd w:id="171"/>
      <w:bookmarkEnd w:id="172"/>
    </w:p>
    <w:p>
      <w:pPr>
        <w:pStyle w:val="Footnoteheading"/>
      </w:pPr>
      <w:r>
        <w:tab/>
        <w:t>[Heading inserted: Gazette 25 Feb 2000 p. 971.]</w:t>
      </w:r>
    </w:p>
    <w:p>
      <w:pPr>
        <w:pStyle w:val="Heading5"/>
        <w:spacing w:before="180"/>
      </w:pPr>
      <w:bookmarkStart w:id="173" w:name="_Toc217398830"/>
      <w:bookmarkStart w:id="174" w:name="_Toc216436351"/>
      <w:r>
        <w:rPr>
          <w:rStyle w:val="CharSectno"/>
        </w:rPr>
        <w:t>24A</w:t>
      </w:r>
      <w:r>
        <w:t>.</w:t>
      </w:r>
      <w:r>
        <w:tab/>
        <w:t>Application of this Part</w:t>
      </w:r>
      <w:bookmarkEnd w:id="173"/>
      <w:bookmarkEnd w:id="174"/>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75" w:name="_Toc217398831"/>
      <w:bookmarkStart w:id="176" w:name="_Toc216436352"/>
      <w:r>
        <w:rPr>
          <w:rStyle w:val="CharSectno"/>
        </w:rPr>
        <w:t>24B</w:t>
      </w:r>
      <w:r>
        <w:t>.</w:t>
      </w:r>
      <w:r>
        <w:tab/>
        <w:t>Terms used</w:t>
      </w:r>
      <w:bookmarkEnd w:id="175"/>
      <w:bookmarkEnd w:id="176"/>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77" w:name="_Toc217398832"/>
      <w:bookmarkStart w:id="178" w:name="_Toc216436353"/>
      <w:r>
        <w:rPr>
          <w:rStyle w:val="CharSectno"/>
        </w:rPr>
        <w:t>24C</w:t>
      </w:r>
      <w:r>
        <w:t>.</w:t>
      </w:r>
      <w:r>
        <w:tab/>
        <w:t>Regional price preference may be given</w:t>
      </w:r>
      <w:bookmarkEnd w:id="177"/>
      <w:bookmarkEnd w:id="178"/>
    </w:p>
    <w:p>
      <w:pPr>
        <w:pStyle w:val="Subsection"/>
        <w:keepNext/>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79" w:name="_Toc217398833"/>
      <w:bookmarkStart w:id="180" w:name="_Toc216436354"/>
      <w:r>
        <w:rPr>
          <w:rStyle w:val="CharSectno"/>
        </w:rPr>
        <w:t>24D</w:t>
      </w:r>
      <w:r>
        <w:t>.</w:t>
      </w:r>
      <w:r>
        <w:tab/>
        <w:t>Discounts permitted for regional price preferences</w:t>
      </w:r>
      <w:bookmarkEnd w:id="179"/>
      <w:bookmarkEnd w:id="180"/>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81" w:name="_Toc217398834"/>
      <w:bookmarkStart w:id="182" w:name="_Toc216436355"/>
      <w:r>
        <w:rPr>
          <w:rStyle w:val="CharSectno"/>
        </w:rPr>
        <w:t>24E</w:t>
      </w:r>
      <w:r>
        <w:t>.</w:t>
      </w:r>
      <w:r>
        <w:tab/>
        <w:t>Regional price preference policies for local governments</w:t>
      </w:r>
      <w:bookmarkEnd w:id="181"/>
      <w:bookmarkEnd w:id="18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 and</w:t>
      </w:r>
    </w:p>
    <w:p>
      <w:pPr>
        <w:pStyle w:val="Indenta"/>
      </w:pPr>
      <w:r>
        <w:tab/>
        <w:t>(d)</w:t>
      </w:r>
      <w:r>
        <w:tab/>
        <w:t>publish the proposed regional price preference policy on the local government’s official website.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 SL 2020/213 r. 39.]</w:t>
      </w:r>
    </w:p>
    <w:p>
      <w:pPr>
        <w:pStyle w:val="Heading5"/>
        <w:spacing w:before="180"/>
      </w:pPr>
      <w:bookmarkStart w:id="183" w:name="_Toc217398835"/>
      <w:bookmarkStart w:id="184" w:name="_Toc216436356"/>
      <w:r>
        <w:rPr>
          <w:rStyle w:val="CharSectno"/>
        </w:rPr>
        <w:t>24F</w:t>
      </w:r>
      <w:r>
        <w:t>.</w:t>
      </w:r>
      <w:r>
        <w:tab/>
        <w:t>Adoption and notice of regional price preference policy</w:t>
      </w:r>
      <w:bookmarkEnd w:id="183"/>
      <w:bookmarkEnd w:id="184"/>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keepNext/>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pPr>
      <w:r>
        <w:tab/>
        <w:t>(b)</w:t>
      </w:r>
      <w:r>
        <w:tab/>
        <w:t>published on the local government’s official website.</w:t>
      </w:r>
    </w:p>
    <w:p>
      <w:pPr>
        <w:pStyle w:val="Footnotesection"/>
      </w:pPr>
      <w:r>
        <w:tab/>
        <w:t>[Regulation 24F inserted: Gazette 25 Feb 2000 p. 973</w:t>
      </w:r>
      <w:r>
        <w:noBreakHyphen/>
        <w:t>4; amended: Gazette 31 Mar 2005 p. 1055; SL 2020/213 r. 40.]</w:t>
      </w:r>
    </w:p>
    <w:p>
      <w:pPr>
        <w:pStyle w:val="Heading5"/>
      </w:pPr>
      <w:bookmarkStart w:id="185" w:name="_Toc217398836"/>
      <w:bookmarkStart w:id="186" w:name="_Toc216436357"/>
      <w:r>
        <w:rPr>
          <w:rStyle w:val="CharSectno"/>
        </w:rPr>
        <w:t>24G</w:t>
      </w:r>
      <w:r>
        <w:t>.</w:t>
      </w:r>
      <w:r>
        <w:tab/>
        <w:t>Adopted regional price preference policy, effect of</w:t>
      </w:r>
      <w:bookmarkEnd w:id="185"/>
      <w:bookmarkEnd w:id="186"/>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87" w:name="_Toc217300572"/>
      <w:bookmarkStart w:id="188" w:name="_Toc217300983"/>
      <w:bookmarkStart w:id="189" w:name="_Toc217398076"/>
      <w:bookmarkStart w:id="190" w:name="_Toc217398347"/>
      <w:bookmarkStart w:id="191" w:name="_Toc217398837"/>
      <w:bookmarkStart w:id="192" w:name="_Toc216362733"/>
      <w:bookmarkStart w:id="193" w:name="_Toc216363079"/>
      <w:bookmarkStart w:id="194" w:name="_Toc216429007"/>
      <w:bookmarkStart w:id="195" w:name="_Toc216436358"/>
      <w:r>
        <w:rPr>
          <w:rStyle w:val="CharPartNo"/>
        </w:rPr>
        <w:t>Part 5</w:t>
      </w:r>
      <w:r>
        <w:rPr>
          <w:rStyle w:val="CharDivNo"/>
        </w:rPr>
        <w:t> </w:t>
      </w:r>
      <w:r>
        <w:t>—</w:t>
      </w:r>
      <w:r>
        <w:rPr>
          <w:rStyle w:val="CharDivText"/>
        </w:rPr>
        <w:t> </w:t>
      </w:r>
      <w:r>
        <w:rPr>
          <w:rStyle w:val="CharPartText"/>
        </w:rPr>
        <w:t>Owner onus and infringement notices</w:t>
      </w:r>
      <w:bookmarkEnd w:id="187"/>
      <w:bookmarkEnd w:id="188"/>
      <w:bookmarkEnd w:id="189"/>
      <w:bookmarkEnd w:id="190"/>
      <w:bookmarkEnd w:id="191"/>
      <w:bookmarkEnd w:id="192"/>
      <w:bookmarkEnd w:id="193"/>
      <w:bookmarkEnd w:id="194"/>
      <w:bookmarkEnd w:id="195"/>
    </w:p>
    <w:p>
      <w:pPr>
        <w:pStyle w:val="Heading5"/>
        <w:ind w:right="376"/>
        <w:rPr>
          <w:snapToGrid w:val="0"/>
        </w:rPr>
      </w:pPr>
      <w:bookmarkStart w:id="196" w:name="_Toc217398838"/>
      <w:bookmarkStart w:id="197" w:name="_Toc216436359"/>
      <w:r>
        <w:rPr>
          <w:rStyle w:val="CharSectno"/>
        </w:rPr>
        <w:t>25</w:t>
      </w:r>
      <w:r>
        <w:rPr>
          <w:snapToGrid w:val="0"/>
        </w:rPr>
        <w:t>.</w:t>
      </w:r>
      <w:r>
        <w:rPr>
          <w:snapToGrid w:val="0"/>
        </w:rPr>
        <w:tab/>
        <w:t>Notice to put onus on vehicle owner, form of (Act s. 9.13)</w:t>
      </w:r>
      <w:bookmarkEnd w:id="196"/>
      <w:bookmarkEnd w:id="197"/>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98" w:name="_Toc217398839"/>
      <w:bookmarkStart w:id="199" w:name="_Toc216436360"/>
      <w:r>
        <w:rPr>
          <w:rStyle w:val="CharSectno"/>
        </w:rPr>
        <w:t>26</w:t>
      </w:r>
      <w:r>
        <w:rPr>
          <w:snapToGrid w:val="0"/>
        </w:rPr>
        <w:t>.</w:t>
      </w:r>
      <w:r>
        <w:rPr>
          <w:snapToGrid w:val="0"/>
        </w:rPr>
        <w:tab/>
        <w:t>Infringement notice, form of (Act s. 9.16)</w:t>
      </w:r>
      <w:bookmarkEnd w:id="198"/>
      <w:bookmarkEnd w:id="199"/>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00" w:name="_Toc217398840"/>
      <w:bookmarkStart w:id="201" w:name="_Toc216436361"/>
      <w:r>
        <w:rPr>
          <w:rStyle w:val="CharSectno"/>
        </w:rPr>
        <w:t>27</w:t>
      </w:r>
      <w:r>
        <w:rPr>
          <w:snapToGrid w:val="0"/>
        </w:rPr>
        <w:t>.</w:t>
      </w:r>
      <w:r>
        <w:rPr>
          <w:snapToGrid w:val="0"/>
        </w:rPr>
        <w:tab/>
        <w:t>Withdrawal of infringement notice, form of (Act s. 9.20)</w:t>
      </w:r>
      <w:bookmarkEnd w:id="200"/>
      <w:bookmarkEnd w:id="201"/>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202" w:name="_Toc217300576"/>
      <w:bookmarkStart w:id="203" w:name="_Toc217300987"/>
      <w:bookmarkStart w:id="204" w:name="_Toc217398080"/>
      <w:bookmarkStart w:id="205" w:name="_Toc217398351"/>
      <w:bookmarkStart w:id="206" w:name="_Toc217398841"/>
      <w:bookmarkStart w:id="207" w:name="_Toc216362737"/>
      <w:bookmarkStart w:id="208" w:name="_Toc216363083"/>
      <w:bookmarkStart w:id="209" w:name="_Toc216429011"/>
      <w:bookmarkStart w:id="210" w:name="_Toc216436362"/>
      <w:r>
        <w:rPr>
          <w:rStyle w:val="CharPartNo"/>
        </w:rPr>
        <w:t>Part 6</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p>
    <w:p>
      <w:pPr>
        <w:pStyle w:val="Heading5"/>
        <w:ind w:right="856"/>
        <w:rPr>
          <w:snapToGrid w:val="0"/>
        </w:rPr>
      </w:pPr>
      <w:bookmarkStart w:id="211" w:name="_Toc217398842"/>
      <w:bookmarkStart w:id="212" w:name="_Toc21643636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211"/>
      <w:bookmarkEnd w:id="212"/>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213" w:name="_Toc217398843"/>
      <w:bookmarkStart w:id="214" w:name="_Toc216436364"/>
      <w:r>
        <w:rPr>
          <w:rStyle w:val="CharSectno"/>
        </w:rPr>
        <w:t>29A</w:t>
      </w:r>
      <w:r>
        <w:t>.</w:t>
      </w:r>
      <w:r>
        <w:tab/>
        <w:t xml:space="preserve">Abandoned vehicle wrecks, value etc. prescribed for </w:t>
      </w:r>
      <w:r>
        <w:rPr>
          <w:snapToGrid w:val="0"/>
        </w:rPr>
        <w:t>(Act </w:t>
      </w:r>
      <w:r>
        <w:t>s. 3.40A(5)(c))</w:t>
      </w:r>
      <w:bookmarkEnd w:id="213"/>
      <w:bookmarkEnd w:id="214"/>
    </w:p>
    <w:p>
      <w:pPr>
        <w:pStyle w:val="Subsection"/>
        <w:keepNext/>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215" w:name="_Toc217398844"/>
      <w:bookmarkStart w:id="216" w:name="_Toc216436365"/>
      <w:r>
        <w:rPr>
          <w:rStyle w:val="CharSectno"/>
        </w:rPr>
        <w:t>29B</w:t>
      </w:r>
      <w:r>
        <w:t>.</w:t>
      </w:r>
      <w:r>
        <w:tab/>
        <w:t>Prescribed non</w:t>
      </w:r>
      <w:r>
        <w:noBreakHyphen/>
        <w:t xml:space="preserve">perishable goods </w:t>
      </w:r>
      <w:r>
        <w:rPr>
          <w:snapToGrid w:val="0"/>
        </w:rPr>
        <w:t>(Act </w:t>
      </w:r>
      <w:r>
        <w:t>s. 3.47(2b)(ca))</w:t>
      </w:r>
      <w:bookmarkEnd w:id="215"/>
      <w:bookmarkEnd w:id="216"/>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217" w:name="_Toc217398845"/>
      <w:bookmarkStart w:id="218" w:name="_Toc216436366"/>
      <w:r>
        <w:rPr>
          <w:rStyle w:val="CharSectno"/>
        </w:rPr>
        <w:t>30</w:t>
      </w:r>
      <w:r>
        <w:rPr>
          <w:snapToGrid w:val="0"/>
        </w:rPr>
        <w:t>.</w:t>
      </w:r>
      <w:r>
        <w:rPr>
          <w:snapToGrid w:val="0"/>
        </w:rPr>
        <w:tab/>
        <w:t>Dispositions of property excluded from Act s. 3.58</w:t>
      </w:r>
      <w:bookmarkEnd w:id="217"/>
      <w:bookmarkEnd w:id="218"/>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dental profession or medical profession to be used for carrying on the person’s dental practice or medical practice; or</w:t>
      </w:r>
    </w:p>
    <w:p>
      <w:pPr>
        <w:pStyle w:val="Indenta"/>
        <w:rPr>
          <w:snapToGrid w:val="0"/>
        </w:rPr>
      </w:pPr>
      <w:r>
        <w:tab/>
        <w:t>(g)</w:t>
      </w:r>
      <w:r>
        <w:tab/>
        <w:t>it is the leasing of residential property to a person.</w:t>
      </w:r>
    </w:p>
    <w:p>
      <w:pPr>
        <w:pStyle w:val="Subsection"/>
        <w:keepNext/>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 xml:space="preserve">Details of a disposition of property under subregulation (2a) must, for a period of 1 year beginning on the day of the initial auction or tender — </w:t>
      </w:r>
    </w:p>
    <w:p>
      <w:pPr>
        <w:pStyle w:val="Indenta"/>
      </w:pPr>
      <w:r>
        <w:tab/>
        <w:t>(a)</w:t>
      </w:r>
      <w:r>
        <w:tab/>
        <w:t>be made available for public inspection; and</w:t>
      </w:r>
    </w:p>
    <w:p>
      <w:pPr>
        <w:pStyle w:val="Indenta"/>
      </w:pPr>
      <w:r>
        <w:tab/>
        <w:t>(b)</w:t>
      </w:r>
      <w:r>
        <w:tab/>
        <w:t>be published on the local government’s official website.</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keepNext/>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 SL 2020/213 r. 41; SL 2023/47 r. 6.]</w:t>
      </w:r>
    </w:p>
    <w:p>
      <w:pPr>
        <w:pStyle w:val="Heading5"/>
        <w:rPr>
          <w:snapToGrid w:val="0"/>
        </w:rPr>
      </w:pPr>
      <w:bookmarkStart w:id="219" w:name="_Toc217398846"/>
      <w:bookmarkStart w:id="220" w:name="_Toc216436367"/>
      <w:r>
        <w:rPr>
          <w:rStyle w:val="CharSectno"/>
        </w:rPr>
        <w:t>31</w:t>
      </w:r>
      <w:r>
        <w:rPr>
          <w:snapToGrid w:val="0"/>
        </w:rPr>
        <w:t>.</w:t>
      </w:r>
      <w:r>
        <w:rPr>
          <w:snapToGrid w:val="0"/>
        </w:rPr>
        <w:tab/>
        <w:t>Anti</w:t>
      </w:r>
      <w:r>
        <w:rPr>
          <w:snapToGrid w:val="0"/>
        </w:rPr>
        <w:noBreakHyphen/>
        <w:t>avoidance provision for Act s. 3.58</w:t>
      </w:r>
      <w:bookmarkEnd w:id="219"/>
      <w:bookmarkEnd w:id="220"/>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21" w:name="_Toc217398847"/>
      <w:bookmarkStart w:id="222" w:name="_Toc216436368"/>
      <w:r>
        <w:rPr>
          <w:rStyle w:val="CharSectno"/>
        </w:rPr>
        <w:t>32</w:t>
      </w:r>
      <w:r>
        <w:rPr>
          <w:snapToGrid w:val="0"/>
        </w:rPr>
        <w:t>.</w:t>
      </w:r>
      <w:r>
        <w:rPr>
          <w:snapToGrid w:val="0"/>
        </w:rPr>
        <w:tab/>
      </w:r>
      <w:r>
        <w:t>Local government permitted to form bodies corporate (Act s. 3.60)</w:t>
      </w:r>
      <w:bookmarkEnd w:id="221"/>
      <w:bookmarkEnd w:id="222"/>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pPr>
      <w:r>
        <w:tab/>
        <w:t>(2)</w:t>
      </w:r>
      <w:r>
        <w:tab/>
        <w:t xml:space="preserve">A local government may form or take part in forming a body corporate established under — </w:t>
      </w:r>
    </w:p>
    <w:p>
      <w:pPr>
        <w:pStyle w:val="Indenta"/>
      </w:pPr>
      <w:r>
        <w:tab/>
        <w:t>(a)</w:t>
      </w:r>
      <w:r>
        <w:tab/>
        <w:t xml:space="preserve">the </w:t>
      </w:r>
      <w:r>
        <w:rPr>
          <w:i/>
        </w:rPr>
        <w:t>Strata Titles Act 1985</w:t>
      </w:r>
      <w:r>
        <w:t xml:space="preserve"> section 14(1); or</w:t>
      </w:r>
    </w:p>
    <w:p>
      <w:pPr>
        <w:pStyle w:val="Indenta"/>
      </w:pPr>
      <w:r>
        <w:tab/>
        <w:t>(b)</w:t>
      </w:r>
      <w:r>
        <w:tab/>
        <w:t xml:space="preserve">the </w:t>
      </w:r>
      <w:r>
        <w:rPr>
          <w:i/>
        </w:rPr>
        <w:t>Community Titles Act 2018</w:t>
      </w:r>
      <w:r>
        <w:t xml:space="preserve"> section 17(1).</w:t>
      </w:r>
    </w:p>
    <w:p>
      <w:pPr>
        <w:pStyle w:val="Footnotesection"/>
      </w:pPr>
      <w:r>
        <w:tab/>
        <w:t>[Regulation 32 amended: Gazette 4 Dec 1998 p. 6500; 30 Dec 2016 p. 5970; 31 Dec 2019 p. 4649; SL 2021/75 r. 4.]</w:t>
      </w:r>
    </w:p>
    <w:p>
      <w:pPr>
        <w:pStyle w:val="Heading5"/>
      </w:pPr>
      <w:bookmarkStart w:id="223" w:name="_Toc217398848"/>
      <w:bookmarkStart w:id="224" w:name="_Toc216436369"/>
      <w:r>
        <w:rPr>
          <w:rStyle w:val="CharSectno"/>
        </w:rPr>
        <w:t>32A</w:t>
      </w:r>
      <w:r>
        <w:t>.</w:t>
      </w:r>
      <w:r>
        <w:tab/>
        <w:t xml:space="preserve">Excluded authorisations </w:t>
      </w:r>
      <w:r>
        <w:rPr>
          <w:snapToGrid w:val="0"/>
        </w:rPr>
        <w:t>(Act </w:t>
      </w:r>
      <w:r>
        <w:t>s. 9.2)</w:t>
      </w:r>
      <w:bookmarkEnd w:id="223"/>
      <w:bookmarkEnd w:id="224"/>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25" w:name="_Toc217398849"/>
      <w:bookmarkStart w:id="226" w:name="_Toc216436370"/>
      <w:r>
        <w:rPr>
          <w:rStyle w:val="CharSectno"/>
        </w:rPr>
        <w:t>33</w:t>
      </w:r>
      <w:r>
        <w:rPr>
          <w:snapToGrid w:val="0"/>
        </w:rPr>
        <w:t>.</w:t>
      </w:r>
      <w:r>
        <w:rPr>
          <w:snapToGrid w:val="0"/>
        </w:rPr>
        <w:tab/>
        <w:t>Objections to decisions, form of etc. prescribed (Act s. 9.5)</w:t>
      </w:r>
      <w:bookmarkEnd w:id="225"/>
      <w:bookmarkEnd w:id="226"/>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27" w:name="_Toc217398850"/>
      <w:bookmarkStart w:id="228" w:name="_Toc216436371"/>
      <w:r>
        <w:rPr>
          <w:rStyle w:val="CharSectno"/>
        </w:rPr>
        <w:t>34</w:t>
      </w:r>
      <w:r>
        <w:t>.</w:t>
      </w:r>
      <w:r>
        <w:tab/>
        <w:t>Common seal, unauthorised use of</w:t>
      </w:r>
      <w:bookmarkEnd w:id="227"/>
      <w:bookmarkEnd w:id="228"/>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29" w:name="_Toc217398851"/>
      <w:bookmarkStart w:id="230" w:name="_Toc21643637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29"/>
      <w:bookmarkEnd w:id="230"/>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31" w:name="_Toc217398852"/>
      <w:bookmarkStart w:id="232" w:name="_Toc216436373"/>
      <w:r>
        <w:rPr>
          <w:rStyle w:val="CharSectno"/>
        </w:rPr>
        <w:t>35A</w:t>
      </w:r>
      <w:r>
        <w:t>.</w:t>
      </w:r>
      <w:r>
        <w:tab/>
        <w:t xml:space="preserve">Delegable functions of Minister </w:t>
      </w:r>
      <w:r>
        <w:rPr>
          <w:snapToGrid w:val="0"/>
        </w:rPr>
        <w:t>(Act </w:t>
      </w:r>
      <w:r>
        <w:t>s. 9.66)</w:t>
      </w:r>
      <w:bookmarkEnd w:id="231"/>
      <w:bookmarkEnd w:id="232"/>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33" w:name="_Toc216355901"/>
      <w:bookmarkStart w:id="234" w:name="_Toc216783409"/>
      <w:bookmarkStart w:id="235" w:name="_Toc217398853"/>
      <w:bookmarkStart w:id="236" w:name="_Toc216436374"/>
      <w:r>
        <w:t>35B.</w:t>
      </w:r>
      <w:r>
        <w:tab/>
        <w:t>Delegable functions of Departmental CEO (Act s. 9.67)</w:t>
      </w:r>
      <w:bookmarkEnd w:id="233"/>
      <w:bookmarkEnd w:id="234"/>
      <w:bookmarkEnd w:id="235"/>
      <w:bookmarkEnd w:id="236"/>
    </w:p>
    <w:p>
      <w:pPr>
        <w:pStyle w:val="Subsection"/>
        <w:keepNext/>
      </w:pPr>
      <w:r>
        <w:tab/>
      </w:r>
      <w:r>
        <w:tab/>
        <w:t xml:space="preserve">The Departmental CEO’s functions under </w:t>
      </w:r>
      <w:del w:id="237" w:author="Master Repository Process" w:date="2025-12-30T10:42:00Z">
        <w:r>
          <w:delText>the provisions</w:delText>
        </w:r>
      </w:del>
      <w:ins w:id="238" w:author="Master Repository Process" w:date="2025-12-30T10:42:00Z">
        <w:r>
          <w:t>section 5.23AA(2)</w:t>
        </w:r>
      </w:ins>
      <w:r>
        <w:t xml:space="preserve"> of the Act</w:t>
      </w:r>
      <w:del w:id="239" w:author="Master Repository Process" w:date="2025-12-30T10:42:00Z">
        <w:r>
          <w:delText xml:space="preserve"> that are listed in the Table</w:delText>
        </w:r>
      </w:del>
      <w:r>
        <w:t xml:space="preserve"> are delegable functions.</w:t>
      </w:r>
    </w:p>
    <w:p>
      <w:pPr>
        <w:pStyle w:val="THeadingNAm"/>
        <w:rPr>
          <w:del w:id="240" w:author="Master Repository Process" w:date="2025-12-30T10:42:00Z"/>
        </w:rPr>
      </w:pPr>
      <w:del w:id="241" w:author="Master Repository Process" w:date="2025-12-30T10:42:00Z">
        <w:r>
          <w:delText>Table</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rPr>
          <w:del w:id="242" w:author="Master Repository Process" w:date="2025-12-30T10:42:00Z"/>
        </w:trPr>
        <w:tc>
          <w:tcPr>
            <w:tcW w:w="2919" w:type="dxa"/>
          </w:tcPr>
          <w:p>
            <w:pPr>
              <w:pStyle w:val="TableNAm"/>
              <w:rPr>
                <w:del w:id="243" w:author="Master Repository Process" w:date="2025-12-30T10:42:00Z"/>
              </w:rPr>
            </w:pPr>
            <w:del w:id="244" w:author="Master Repository Process" w:date="2025-12-30T10:42:00Z">
              <w:r>
                <w:rPr>
                  <w:szCs w:val="24"/>
                </w:rPr>
                <w:delText>s. 5.108(1)</w:delText>
              </w:r>
            </w:del>
          </w:p>
        </w:tc>
        <w:tc>
          <w:tcPr>
            <w:tcW w:w="2892" w:type="dxa"/>
          </w:tcPr>
          <w:p>
            <w:pPr>
              <w:pStyle w:val="TableNAm"/>
              <w:rPr>
                <w:del w:id="245" w:author="Master Repository Process" w:date="2025-12-30T10:42:00Z"/>
              </w:rPr>
            </w:pPr>
            <w:del w:id="246" w:author="Master Repository Process" w:date="2025-12-30T10:42:00Z">
              <w:r>
                <w:rPr>
                  <w:szCs w:val="24"/>
                </w:rPr>
                <w:delText>s. 5.112(1), (2), (3) and (4)</w:delText>
              </w:r>
            </w:del>
          </w:p>
        </w:tc>
      </w:tr>
      <w:tr>
        <w:trPr>
          <w:del w:id="247" w:author="Master Repository Process" w:date="2025-12-30T10:42:00Z"/>
        </w:trPr>
        <w:tc>
          <w:tcPr>
            <w:tcW w:w="2919" w:type="dxa"/>
          </w:tcPr>
          <w:p>
            <w:pPr>
              <w:pStyle w:val="TableNAm"/>
              <w:rPr>
                <w:del w:id="248" w:author="Master Repository Process" w:date="2025-12-30T10:42:00Z"/>
              </w:rPr>
            </w:pPr>
            <w:del w:id="249" w:author="Master Repository Process" w:date="2025-12-30T10:42:00Z">
              <w:r>
                <w:rPr>
                  <w:szCs w:val="24"/>
                </w:rPr>
                <w:delText>s. 5.116(1), (2), (3) and (5)</w:delText>
              </w:r>
            </w:del>
          </w:p>
        </w:tc>
        <w:tc>
          <w:tcPr>
            <w:tcW w:w="2892" w:type="dxa"/>
          </w:tcPr>
          <w:p>
            <w:pPr>
              <w:pStyle w:val="TableNAm"/>
              <w:rPr>
                <w:del w:id="250" w:author="Master Repository Process" w:date="2025-12-30T10:42:00Z"/>
              </w:rPr>
            </w:pPr>
            <w:del w:id="251" w:author="Master Repository Process" w:date="2025-12-30T10:42:00Z">
              <w:r>
                <w:rPr>
                  <w:szCs w:val="24"/>
                </w:rPr>
                <w:delText>s. 5.117(4) and (5)</w:delText>
              </w:r>
            </w:del>
          </w:p>
        </w:tc>
      </w:tr>
      <w:tr>
        <w:trPr>
          <w:del w:id="252" w:author="Master Repository Process" w:date="2025-12-30T10:42:00Z"/>
        </w:trPr>
        <w:tc>
          <w:tcPr>
            <w:tcW w:w="2919" w:type="dxa"/>
          </w:tcPr>
          <w:p>
            <w:pPr>
              <w:pStyle w:val="TableNAm"/>
              <w:rPr>
                <w:del w:id="253" w:author="Master Repository Process" w:date="2025-12-30T10:42:00Z"/>
              </w:rPr>
            </w:pPr>
            <w:del w:id="254" w:author="Master Repository Process" w:date="2025-12-30T10:42:00Z">
              <w:r>
                <w:rPr>
                  <w:szCs w:val="24"/>
                </w:rPr>
                <w:delText>s. 5.118(2)</w:delText>
              </w:r>
            </w:del>
          </w:p>
        </w:tc>
        <w:tc>
          <w:tcPr>
            <w:tcW w:w="2892" w:type="dxa"/>
          </w:tcPr>
          <w:p>
            <w:pPr>
              <w:pStyle w:val="TableNAm"/>
              <w:rPr>
                <w:del w:id="255" w:author="Master Repository Process" w:date="2025-12-30T10:42:00Z"/>
              </w:rPr>
            </w:pPr>
            <w:del w:id="256" w:author="Master Repository Process" w:date="2025-12-30T10:42:00Z">
              <w:r>
                <w:rPr>
                  <w:szCs w:val="24"/>
                </w:rPr>
                <w:delText>s. 8.2(1)</w:delText>
              </w:r>
            </w:del>
          </w:p>
        </w:tc>
      </w:tr>
      <w:tr>
        <w:trPr>
          <w:del w:id="257" w:author="Master Repository Process" w:date="2025-12-30T10:42:00Z"/>
        </w:trPr>
        <w:tc>
          <w:tcPr>
            <w:tcW w:w="2919" w:type="dxa"/>
          </w:tcPr>
          <w:p>
            <w:pPr>
              <w:pStyle w:val="TableNAm"/>
              <w:rPr>
                <w:del w:id="258" w:author="Master Repository Process" w:date="2025-12-30T10:42:00Z"/>
              </w:rPr>
            </w:pPr>
            <w:del w:id="259" w:author="Master Repository Process" w:date="2025-12-30T10:42:00Z">
              <w:r>
                <w:rPr>
                  <w:szCs w:val="24"/>
                </w:rPr>
                <w:delText>s. 8.3(1), (2) and (4)</w:delText>
              </w:r>
            </w:del>
          </w:p>
        </w:tc>
        <w:tc>
          <w:tcPr>
            <w:tcW w:w="2892" w:type="dxa"/>
          </w:tcPr>
          <w:p>
            <w:pPr>
              <w:pStyle w:val="TableNAm"/>
              <w:rPr>
                <w:del w:id="260" w:author="Master Repository Process" w:date="2025-12-30T10:42:00Z"/>
              </w:rPr>
            </w:pPr>
            <w:del w:id="261" w:author="Master Repository Process" w:date="2025-12-30T10:42:00Z">
              <w:r>
                <w:rPr>
                  <w:szCs w:val="24"/>
                </w:rPr>
                <w:delText>s. 8.4(4)</w:delText>
              </w:r>
            </w:del>
          </w:p>
        </w:tc>
      </w:tr>
      <w:tr>
        <w:trPr>
          <w:del w:id="262" w:author="Master Repository Process" w:date="2025-12-30T10:42:00Z"/>
        </w:trPr>
        <w:tc>
          <w:tcPr>
            <w:tcW w:w="2919" w:type="dxa"/>
          </w:tcPr>
          <w:p>
            <w:pPr>
              <w:pStyle w:val="TableNAm"/>
              <w:rPr>
                <w:del w:id="263" w:author="Master Repository Process" w:date="2025-12-30T10:42:00Z"/>
              </w:rPr>
            </w:pPr>
            <w:del w:id="264" w:author="Master Repository Process" w:date="2025-12-30T10:42:00Z">
              <w:r>
                <w:rPr>
                  <w:szCs w:val="24"/>
                </w:rPr>
                <w:delText>s. 8.13(4)</w:delText>
              </w:r>
            </w:del>
          </w:p>
        </w:tc>
        <w:tc>
          <w:tcPr>
            <w:tcW w:w="2892" w:type="dxa"/>
          </w:tcPr>
          <w:p>
            <w:pPr>
              <w:pStyle w:val="TableNAm"/>
              <w:rPr>
                <w:del w:id="265" w:author="Master Repository Process" w:date="2025-12-30T10:42:00Z"/>
              </w:rPr>
            </w:pPr>
            <w:del w:id="266" w:author="Master Repository Process" w:date="2025-12-30T10:42:00Z">
              <w:r>
                <w:rPr>
                  <w:szCs w:val="24"/>
                </w:rPr>
                <w:delText>s. 8.14(1) and (2)</w:delText>
              </w:r>
            </w:del>
          </w:p>
        </w:tc>
      </w:tr>
      <w:tr>
        <w:trPr>
          <w:del w:id="267" w:author="Master Repository Process" w:date="2025-12-30T10:42:00Z"/>
        </w:trPr>
        <w:tc>
          <w:tcPr>
            <w:tcW w:w="2919" w:type="dxa"/>
          </w:tcPr>
          <w:p>
            <w:pPr>
              <w:pStyle w:val="TableNAm"/>
              <w:rPr>
                <w:del w:id="268" w:author="Master Repository Process" w:date="2025-12-30T10:42:00Z"/>
                <w:szCs w:val="24"/>
              </w:rPr>
            </w:pPr>
            <w:del w:id="269" w:author="Master Repository Process" w:date="2025-12-30T10:42:00Z">
              <w:r>
                <w:rPr>
                  <w:szCs w:val="24"/>
                </w:rPr>
                <w:delText>s. 8.36(1)</w:delText>
              </w:r>
            </w:del>
          </w:p>
        </w:tc>
        <w:tc>
          <w:tcPr>
            <w:tcW w:w="2892" w:type="dxa"/>
          </w:tcPr>
          <w:p>
            <w:pPr>
              <w:pStyle w:val="TableNAm"/>
              <w:rPr>
                <w:del w:id="270" w:author="Master Repository Process" w:date="2025-12-30T10:42:00Z"/>
                <w:szCs w:val="24"/>
              </w:rPr>
            </w:pPr>
            <w:del w:id="271" w:author="Master Repository Process" w:date="2025-12-30T10:42:00Z">
              <w:r>
                <w:rPr>
                  <w:szCs w:val="24"/>
                </w:rPr>
                <w:delText>s. 8.41(2)</w:delText>
              </w:r>
            </w:del>
          </w:p>
        </w:tc>
      </w:tr>
      <w:tr>
        <w:trPr>
          <w:del w:id="272" w:author="Master Repository Process" w:date="2025-12-30T10:42:00Z"/>
        </w:trPr>
        <w:tc>
          <w:tcPr>
            <w:tcW w:w="2919" w:type="dxa"/>
          </w:tcPr>
          <w:p>
            <w:pPr>
              <w:pStyle w:val="TableNAm"/>
              <w:rPr>
                <w:del w:id="273" w:author="Master Repository Process" w:date="2025-12-30T10:42:00Z"/>
                <w:szCs w:val="24"/>
              </w:rPr>
            </w:pPr>
            <w:del w:id="274" w:author="Master Repository Process" w:date="2025-12-30T10:42:00Z">
              <w:r>
                <w:rPr>
                  <w:szCs w:val="24"/>
                </w:rPr>
                <w:delText>s. 8.43(2)</w:delText>
              </w:r>
            </w:del>
          </w:p>
        </w:tc>
        <w:tc>
          <w:tcPr>
            <w:tcW w:w="2892" w:type="dxa"/>
          </w:tcPr>
          <w:p>
            <w:pPr>
              <w:pStyle w:val="TableNAm"/>
              <w:rPr>
                <w:del w:id="275" w:author="Master Repository Process" w:date="2025-12-30T10:42:00Z"/>
                <w:szCs w:val="24"/>
              </w:rPr>
            </w:pPr>
            <w:del w:id="276" w:author="Master Repository Process" w:date="2025-12-30T10:42:00Z">
              <w:r>
                <w:rPr>
                  <w:szCs w:val="24"/>
                </w:rPr>
                <w:delText>Sch. 9.3 cl. 51(3) and (7)</w:delText>
              </w:r>
            </w:del>
          </w:p>
        </w:tc>
      </w:tr>
    </w:tbl>
    <w:p>
      <w:pPr>
        <w:pStyle w:val="Footnotesection"/>
      </w:pPr>
      <w:r>
        <w:tab/>
        <w:t xml:space="preserve">[Regulation 35B inserted: </w:t>
      </w:r>
      <w:del w:id="277" w:author="Master Repository Process" w:date="2025-12-30T10:42:00Z">
        <w:r>
          <w:delText>Gazette 8 Dec 2017 p. 5845</w:delText>
        </w:r>
      </w:del>
      <w:ins w:id="278" w:author="Master Repository Process" w:date="2025-12-30T10:42:00Z">
        <w:r>
          <w:t>SL 2025/208 r. 38</w:t>
        </w:r>
      </w:ins>
      <w:r>
        <w:t>.]</w:t>
      </w:r>
    </w:p>
    <w:p>
      <w:pPr>
        <w:pStyle w:val="Heading5"/>
        <w:rPr>
          <w:snapToGrid w:val="0"/>
        </w:rPr>
      </w:pPr>
      <w:bookmarkStart w:id="279" w:name="_Toc217398854"/>
      <w:bookmarkStart w:id="280" w:name="_Toc216436375"/>
      <w:r>
        <w:rPr>
          <w:rStyle w:val="CharSectno"/>
        </w:rPr>
        <w:t>36</w:t>
      </w:r>
      <w:r>
        <w:rPr>
          <w:snapToGrid w:val="0"/>
        </w:rPr>
        <w:t>.</w:t>
      </w:r>
      <w:r>
        <w:rPr>
          <w:snapToGrid w:val="0"/>
        </w:rPr>
        <w:tab/>
      </w:r>
      <w:del w:id="281" w:author="Master Repository Process" w:date="2025-12-30T10:42:00Z">
        <w:r>
          <w:rPr>
            <w:snapToGrid w:val="0"/>
          </w:rPr>
          <w:delText>Warrant</w:delText>
        </w:r>
      </w:del>
      <w:ins w:id="282" w:author="Master Repository Process" w:date="2025-12-30T10:42:00Z">
        <w:r>
          <w:t>Form of warrant</w:t>
        </w:r>
      </w:ins>
      <w:r>
        <w:t xml:space="preserve"> to enter</w:t>
      </w:r>
      <w:del w:id="283" w:author="Master Repository Process" w:date="2025-12-30T10:42:00Z">
        <w:r>
          <w:rPr>
            <w:snapToGrid w:val="0"/>
          </w:rPr>
          <w:delText>, form of</w:delText>
        </w:r>
      </w:del>
      <w:r>
        <w:t xml:space="preserve"> (Act s. 3.33(1</w:t>
      </w:r>
      <w:del w:id="284" w:author="Master Repository Process" w:date="2025-12-30T10:42:00Z">
        <w:r>
          <w:rPr>
            <w:snapToGrid w:val="0"/>
          </w:rPr>
          <w:delText>) and 8.8(1</w:delText>
        </w:r>
      </w:del>
      <w:r>
        <w:t>))</w:t>
      </w:r>
      <w:bookmarkEnd w:id="279"/>
      <w:bookmarkEnd w:id="280"/>
    </w:p>
    <w:p>
      <w:pPr>
        <w:pStyle w:val="Subsection"/>
        <w:rPr>
          <w:snapToGrid w:val="0"/>
        </w:rPr>
      </w:pPr>
      <w:r>
        <w:rPr>
          <w:snapToGrid w:val="0"/>
        </w:rPr>
        <w:tab/>
      </w:r>
      <w:r>
        <w:rPr>
          <w:snapToGrid w:val="0"/>
        </w:rPr>
        <w:tab/>
        <w:t xml:space="preserve">The form in which a warrant may be granted under section 3.33(1) </w:t>
      </w:r>
      <w:del w:id="285" w:author="Master Repository Process" w:date="2025-12-30T10:42:00Z">
        <w:r>
          <w:rPr>
            <w:snapToGrid w:val="0"/>
          </w:rPr>
          <w:delText xml:space="preserve">or 8.8(1) </w:delText>
        </w:r>
      </w:del>
      <w:r>
        <w:rPr>
          <w:snapToGrid w:val="0"/>
        </w:rPr>
        <w:t>of the Act is the form set out in Form 6 in Schedule 1.</w:t>
      </w:r>
    </w:p>
    <w:p>
      <w:pPr>
        <w:pStyle w:val="Footnotesection"/>
        <w:rPr>
          <w:ins w:id="286" w:author="Master Repository Process" w:date="2025-12-30T10:42:00Z"/>
        </w:rPr>
      </w:pPr>
      <w:ins w:id="287" w:author="Master Repository Process" w:date="2025-12-30T10:42:00Z">
        <w:r>
          <w:tab/>
          <w:t>[Regulation 36 amended: SL 2025/208 r. 39.]</w:t>
        </w:r>
      </w:ins>
    </w:p>
    <w:p>
      <w:pPr>
        <w:pStyle w:val="Heading2"/>
      </w:pPr>
      <w:bookmarkStart w:id="288" w:name="_Toc217300590"/>
      <w:bookmarkStart w:id="289" w:name="_Toc217301001"/>
      <w:bookmarkStart w:id="290" w:name="_Toc217398094"/>
      <w:bookmarkStart w:id="291" w:name="_Toc217398365"/>
      <w:bookmarkStart w:id="292" w:name="_Toc217398855"/>
      <w:bookmarkStart w:id="293" w:name="_Toc216362751"/>
      <w:bookmarkStart w:id="294" w:name="_Toc216363097"/>
      <w:bookmarkStart w:id="295" w:name="_Toc216429025"/>
      <w:bookmarkStart w:id="296" w:name="_Toc216436376"/>
      <w:r>
        <w:rPr>
          <w:rStyle w:val="CharPartNo"/>
        </w:rPr>
        <w:t>Part 7</w:t>
      </w:r>
      <w:r>
        <w:rPr>
          <w:rStyle w:val="CharDivNo"/>
        </w:rPr>
        <w:t> </w:t>
      </w:r>
      <w:r>
        <w:t>—</w:t>
      </w:r>
      <w:r>
        <w:rPr>
          <w:rStyle w:val="CharDivText"/>
        </w:rPr>
        <w:t> </w:t>
      </w:r>
      <w:r>
        <w:rPr>
          <w:rStyle w:val="CharPartText"/>
        </w:rPr>
        <w:t>Other transitional provisions</w:t>
      </w:r>
      <w:bookmarkEnd w:id="288"/>
      <w:bookmarkEnd w:id="289"/>
      <w:bookmarkEnd w:id="290"/>
      <w:bookmarkEnd w:id="291"/>
      <w:bookmarkEnd w:id="292"/>
      <w:bookmarkEnd w:id="293"/>
      <w:bookmarkEnd w:id="294"/>
      <w:bookmarkEnd w:id="295"/>
      <w:bookmarkEnd w:id="296"/>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97" w:name="_Toc217398856"/>
      <w:bookmarkStart w:id="298" w:name="_Toc216436377"/>
      <w:r>
        <w:rPr>
          <w:rStyle w:val="CharSectno"/>
        </w:rPr>
        <w:t>38</w:t>
      </w:r>
      <w:r>
        <w:t>.</w:t>
      </w:r>
      <w:r>
        <w:rPr>
          <w:snapToGrid w:val="0"/>
        </w:rPr>
        <w:tab/>
        <w:t>Adopting former model by</w:t>
      </w:r>
      <w:r>
        <w:rPr>
          <w:snapToGrid w:val="0"/>
        </w:rPr>
        <w:noBreakHyphen/>
        <w:t>laws as local laws (Act s. 3.8(2) and (3))</w:t>
      </w:r>
      <w:bookmarkEnd w:id="297"/>
      <w:bookmarkEnd w:id="298"/>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99" w:name="_Toc217300592"/>
      <w:bookmarkStart w:id="300" w:name="_Toc217301003"/>
      <w:bookmarkStart w:id="301" w:name="_Toc217398096"/>
      <w:bookmarkStart w:id="302" w:name="_Toc217398367"/>
      <w:bookmarkStart w:id="303" w:name="_Toc217398857"/>
      <w:bookmarkStart w:id="304" w:name="_Toc216362753"/>
      <w:bookmarkStart w:id="305" w:name="_Toc216363099"/>
      <w:bookmarkStart w:id="306" w:name="_Toc216429027"/>
      <w:bookmarkStart w:id="307" w:name="_Toc216436378"/>
      <w:r>
        <w:rPr>
          <w:rStyle w:val="CharSchNo"/>
        </w:rPr>
        <w:t>Schedule 1</w:t>
      </w:r>
      <w:r>
        <w:t> — </w:t>
      </w:r>
      <w:r>
        <w:rPr>
          <w:rStyle w:val="CharSchText"/>
        </w:rPr>
        <w:t>Forms</w:t>
      </w:r>
      <w:bookmarkEnd w:id="299"/>
      <w:bookmarkEnd w:id="300"/>
      <w:bookmarkEnd w:id="301"/>
      <w:bookmarkEnd w:id="302"/>
      <w:bookmarkEnd w:id="303"/>
      <w:bookmarkEnd w:id="304"/>
      <w:bookmarkEnd w:id="305"/>
      <w:bookmarkEnd w:id="306"/>
      <w:bookmarkEnd w:id="307"/>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notice cannot be given under section</w:t>
      </w:r>
      <w:del w:id="308" w:author="Master Repository Process" w:date="2025-12-30T10:42:00Z">
        <w:r>
          <w:rPr>
            <w:snapToGrid w:val="0"/>
          </w:rPr>
          <w:delText xml:space="preserve"> </w:delText>
        </w:r>
        <w:r>
          <w:rPr>
            <w:snapToGrid w:val="0"/>
            <w:vertAlign w:val="superscript"/>
          </w:rPr>
          <w:delText>(3)</w:delText>
        </w:r>
        <w:r>
          <w:rPr>
            <w:snapToGrid w:val="0"/>
          </w:rPr>
          <w:delText xml:space="preserve"> </w:delText>
        </w:r>
      </w:del>
      <w:ins w:id="309" w:author="Master Repository Process" w:date="2025-12-30T10:42:00Z">
        <w:r>
          <w:rPr>
            <w:snapToGrid w:val="0"/>
          </w:rPr>
          <w:t> </w:t>
        </w:r>
      </w:ins>
      <w:r>
        <w:rPr>
          <w:snapToGrid w:val="0"/>
          <w:szCs w:val="22"/>
        </w:rPr>
        <w:t>3.32</w:t>
      </w:r>
      <w:del w:id="310" w:author="Master Repository Process" w:date="2025-12-30T10:42:00Z">
        <w:r>
          <w:rPr>
            <w:snapToGrid w:val="0"/>
          </w:rPr>
          <w:delText xml:space="preserve"> / 8.6(3)(b)</w:delText>
        </w:r>
      </w:del>
      <w:r>
        <w:rPr>
          <w:snapToGrid w:val="0"/>
        </w:rPr>
        <w:t xml:space="preserve">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yFootnotesection"/>
        <w:spacing w:before="240"/>
        <w:rPr>
          <w:ins w:id="311" w:author="Master Repository Process" w:date="2025-12-30T10:42:00Z"/>
        </w:rPr>
      </w:pPr>
      <w:ins w:id="312" w:author="Master Repository Process" w:date="2025-12-30T10:42:00Z">
        <w:r>
          <w:t>[Form 6 amended: SL 2025/208 r. 40.]</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544" w:gutter="0"/>
          <w:cols w:space="720"/>
          <w:noEndnote/>
          <w:docGrid w:linePitch="326"/>
        </w:sectPr>
      </w:pPr>
    </w:p>
    <w:p>
      <w:pPr>
        <w:pStyle w:val="nHeading2"/>
      </w:pPr>
      <w:bookmarkStart w:id="314" w:name="_Toc217300593"/>
      <w:bookmarkStart w:id="315" w:name="_Toc217301004"/>
      <w:bookmarkStart w:id="316" w:name="_Toc217398097"/>
      <w:bookmarkStart w:id="317" w:name="_Toc217398368"/>
      <w:bookmarkStart w:id="318" w:name="_Toc217398858"/>
      <w:bookmarkStart w:id="319" w:name="_Toc216362754"/>
      <w:bookmarkStart w:id="320" w:name="_Toc216363100"/>
      <w:bookmarkStart w:id="321" w:name="_Toc216429028"/>
      <w:bookmarkStart w:id="322" w:name="_Toc216436379"/>
      <w:bookmarkStart w:id="323" w:name="_Toc216362757"/>
      <w:r>
        <w:t>Notes</w:t>
      </w:r>
      <w:bookmarkEnd w:id="314"/>
      <w:bookmarkEnd w:id="315"/>
      <w:bookmarkEnd w:id="316"/>
      <w:bookmarkEnd w:id="317"/>
      <w:bookmarkEnd w:id="318"/>
      <w:bookmarkEnd w:id="319"/>
      <w:bookmarkEnd w:id="320"/>
      <w:bookmarkEnd w:id="321"/>
      <w:bookmarkEnd w:id="322"/>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w:t>
      </w:r>
      <w:del w:id="324" w:author="Master Repository Process" w:date="2025-12-30T10:42:00Z">
        <w:r>
          <w:delText>For provisions that have not yet come into operation see the uncommenced provisions table.</w:delText>
        </w:r>
      </w:del>
    </w:p>
    <w:p>
      <w:pPr>
        <w:pStyle w:val="nHeading3"/>
      </w:pPr>
      <w:bookmarkStart w:id="325" w:name="_Toc217398859"/>
      <w:bookmarkStart w:id="326" w:name="_Toc216436380"/>
      <w:r>
        <w:t>Compilation table</w:t>
      </w:r>
      <w:bookmarkEnd w:id="325"/>
      <w:bookmarkEnd w:id="32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2019</w:t>
            </w:r>
          </w:p>
        </w:tc>
        <w:tc>
          <w:tcPr>
            <w:tcW w:w="1276" w:type="dxa"/>
            <w:shd w:val="clear" w:color="auto" w:fill="auto"/>
          </w:tcPr>
          <w:p>
            <w:pPr>
              <w:pStyle w:val="nTable"/>
              <w:spacing w:after="40"/>
            </w:pPr>
            <w:r>
              <w:t>31 Dec 2019 p. 4649</w:t>
            </w:r>
          </w:p>
        </w:tc>
        <w:tc>
          <w:tcPr>
            <w:tcW w:w="2693" w:type="dxa"/>
            <w:shd w:val="clear" w:color="auto" w:fill="auto"/>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2020</w:t>
            </w:r>
            <w:r>
              <w:t xml:space="preserve"> Pt. 3</w:t>
            </w:r>
          </w:p>
        </w:tc>
        <w:tc>
          <w:tcPr>
            <w:tcW w:w="1276" w:type="dxa"/>
            <w:tcBorders>
              <w:top w:val="nil"/>
              <w:bottom w:val="nil"/>
            </w:tcBorders>
            <w:shd w:val="clear" w:color="auto" w:fill="auto"/>
          </w:tcPr>
          <w:p>
            <w:pPr>
              <w:pStyle w:val="nTable"/>
              <w:spacing w:after="40"/>
            </w:pPr>
            <w:r>
              <w:t>SL 2020/35 9 Apr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10 Apr 2020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pPr>
              <w:pStyle w:val="nTable"/>
              <w:spacing w:after="40"/>
            </w:pPr>
            <w:r>
              <w:t xml:space="preserve">SL 2020/55 8 May 2020 </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trPr>
          <w:cantSplit/>
        </w:trPr>
        <w:tc>
          <w:tcPr>
            <w:tcW w:w="3119" w:type="dxa"/>
            <w:tcBorders>
              <w:top w:val="nil"/>
              <w:bottom w:val="nil"/>
            </w:tcBorders>
            <w:shd w:val="clear" w:color="auto" w:fill="auto"/>
          </w:tcPr>
          <w:p>
            <w:pPr>
              <w:pStyle w:val="nTable"/>
              <w:spacing w:after="40"/>
              <w:ind w:right="113"/>
            </w:pPr>
            <w:r>
              <w:rPr>
                <w:i/>
              </w:rPr>
              <w:t>Local Government Regulations Amendment Regulations (No. 2) 2020</w:t>
            </w:r>
            <w:r>
              <w:t xml:space="preserve"> Pt. 8</w:t>
            </w:r>
          </w:p>
        </w:tc>
        <w:tc>
          <w:tcPr>
            <w:tcW w:w="1276" w:type="dxa"/>
            <w:tcBorders>
              <w:top w:val="nil"/>
              <w:bottom w:val="nil"/>
            </w:tcBorders>
            <w:shd w:val="clear" w:color="auto" w:fill="auto"/>
          </w:tcPr>
          <w:p>
            <w:pPr>
              <w:pStyle w:val="nTable"/>
              <w:spacing w:after="40"/>
            </w:pPr>
            <w:r>
              <w:t>SL 2020/213 6 Nov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7 Nov 2020 (see r. 2(b) and SL 2020/212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2021</w:t>
            </w:r>
          </w:p>
        </w:tc>
        <w:tc>
          <w:tcPr>
            <w:tcW w:w="1276" w:type="dxa"/>
            <w:tcBorders>
              <w:top w:val="nil"/>
              <w:bottom w:val="nil"/>
            </w:tcBorders>
            <w:shd w:val="clear" w:color="auto" w:fill="auto"/>
          </w:tcPr>
          <w:p>
            <w:pPr>
              <w:pStyle w:val="nTable"/>
              <w:spacing w:after="40"/>
            </w:pPr>
            <w:r>
              <w:t>SL 2021/75 18 Jun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18 Jun 2021 </w:t>
            </w:r>
            <w:r>
              <w:rPr>
                <w:bCs/>
                <w:snapToGrid w:val="0"/>
                <w:spacing w:val="-2"/>
              </w:rPr>
              <w:t>(see r. 2(a));</w:t>
            </w:r>
            <w:r>
              <w:rPr>
                <w:bCs/>
                <w:snapToGrid w:val="0"/>
                <w:spacing w:val="-2"/>
              </w:rPr>
              <w:br/>
              <w:t xml:space="preserve">Regulations other than r. 1 and 2: </w:t>
            </w:r>
            <w:r>
              <w:t>30 Jun 2021 (see r. 2(b) and SL 2021/69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2022</w:t>
            </w:r>
            <w:r>
              <w:t xml:space="preserve"> Pt. 4</w:t>
            </w:r>
          </w:p>
        </w:tc>
        <w:tc>
          <w:tcPr>
            <w:tcW w:w="1276" w:type="dxa"/>
            <w:tcBorders>
              <w:top w:val="nil"/>
              <w:bottom w:val="nil"/>
            </w:tcBorders>
            <w:shd w:val="clear" w:color="auto" w:fill="auto"/>
          </w:tcPr>
          <w:p>
            <w:pPr>
              <w:pStyle w:val="nTable"/>
              <w:spacing w:after="40"/>
            </w:pPr>
            <w:r>
              <w:t>SL 2022/177 2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Pt. 4 (other than Div. 3): 3 Nov 2022 (see r. 2(b) and SL 2022/175 cl. 2);</w:t>
            </w:r>
            <w:r>
              <w:rPr>
                <w:bCs/>
                <w:snapToGrid w:val="0"/>
                <w:spacing w:val="-2"/>
              </w:rPr>
              <w:br/>
              <w:t xml:space="preserve">Pt. 4 Div. 3: </w:t>
            </w:r>
            <w:r>
              <w:t>3 Nov 2024 (see r. 2(c) and SL 2022/175 cl. 2)</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2023</w:t>
            </w:r>
          </w:p>
        </w:tc>
        <w:tc>
          <w:tcPr>
            <w:tcW w:w="1276" w:type="dxa"/>
            <w:tcBorders>
              <w:top w:val="nil"/>
              <w:bottom w:val="nil"/>
            </w:tcBorders>
            <w:shd w:val="clear" w:color="auto" w:fill="auto"/>
          </w:tcPr>
          <w:p>
            <w:pPr>
              <w:pStyle w:val="nTable"/>
              <w:spacing w:after="40"/>
            </w:pPr>
            <w:r>
              <w:t>SL 2023/47 19 May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May 2023 (see r. 2(a));</w:t>
            </w:r>
            <w:r>
              <w:rPr>
                <w:bCs/>
                <w:snapToGrid w:val="0"/>
                <w:spacing w:val="-2"/>
              </w:rPr>
              <w:br/>
              <w:t>Regulations other than r. 1 and 2: 20 May 2023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Regulations Amendment Regulations (No. 2) 2023</w:t>
            </w:r>
            <w:r>
              <w:t xml:space="preserve"> Pt. 5</w:t>
            </w:r>
          </w:p>
        </w:tc>
        <w:tc>
          <w:tcPr>
            <w:tcW w:w="1276" w:type="dxa"/>
            <w:tcBorders>
              <w:top w:val="nil"/>
              <w:bottom w:val="nil"/>
            </w:tcBorders>
            <w:shd w:val="clear" w:color="auto" w:fill="auto"/>
          </w:tcPr>
          <w:p>
            <w:pPr>
              <w:pStyle w:val="nTable"/>
              <w:spacing w:after="40"/>
            </w:pPr>
            <w:r>
              <w:t>SL 2023/102 30 Jun 2023</w:t>
            </w:r>
          </w:p>
        </w:tc>
        <w:tc>
          <w:tcPr>
            <w:tcW w:w="2693" w:type="dxa"/>
            <w:tcBorders>
              <w:top w:val="nil"/>
              <w:bottom w:val="nil"/>
            </w:tcBorders>
            <w:shd w:val="clear" w:color="auto" w:fill="auto"/>
          </w:tcPr>
          <w:p>
            <w:pPr>
              <w:pStyle w:val="nTable"/>
              <w:spacing w:after="40"/>
              <w:rPr>
                <w:bCs/>
                <w:snapToGrid w:val="0"/>
                <w:spacing w:val="-2"/>
              </w:rPr>
            </w:pPr>
            <w:r>
              <w:t>1 Jul 2024 (see r. 2(c))</w:t>
            </w:r>
          </w:p>
        </w:tc>
      </w:tr>
    </w:tbl>
    <w:p>
      <w:pPr>
        <w:pStyle w:val="nHeading3"/>
        <w:rPr>
          <w:del w:id="327" w:author="Master Repository Process" w:date="2025-12-30T10:42:00Z"/>
        </w:rPr>
      </w:pPr>
      <w:bookmarkStart w:id="328" w:name="_Toc216436381"/>
      <w:del w:id="329" w:author="Master Repository Process" w:date="2025-12-30T10:42:00Z">
        <w:r>
          <w:delText>Uncommenced provisions table</w:delText>
        </w:r>
        <w:bookmarkEnd w:id="328"/>
      </w:del>
    </w:p>
    <w:p>
      <w:pPr>
        <w:pStyle w:val="nStatement"/>
        <w:keepNext/>
        <w:spacing w:after="240"/>
        <w:rPr>
          <w:del w:id="330" w:author="Master Repository Process" w:date="2025-12-30T10:42:00Z"/>
        </w:rPr>
      </w:pPr>
      <w:del w:id="331" w:author="Master Repository Process" w:date="2025-12-30T10:42: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2" w:author="Master Repository Process" w:date="2025-12-30T10:42:00Z"/>
        </w:trPr>
        <w:tc>
          <w:tcPr>
            <w:tcW w:w="3118" w:type="dxa"/>
          </w:tcPr>
          <w:p>
            <w:pPr>
              <w:pStyle w:val="nTable"/>
              <w:keepNext/>
              <w:spacing w:after="40"/>
              <w:rPr>
                <w:del w:id="333" w:author="Master Repository Process" w:date="2025-12-30T10:42:00Z"/>
                <w:b/>
              </w:rPr>
            </w:pPr>
            <w:del w:id="334" w:author="Master Repository Process" w:date="2025-12-30T10:42:00Z">
              <w:r>
                <w:rPr>
                  <w:b/>
                </w:rPr>
                <w:delText>Citation</w:delText>
              </w:r>
            </w:del>
          </w:p>
        </w:tc>
        <w:tc>
          <w:tcPr>
            <w:tcW w:w="1276" w:type="dxa"/>
          </w:tcPr>
          <w:p>
            <w:pPr>
              <w:pStyle w:val="nTable"/>
              <w:keepNext/>
              <w:spacing w:after="40"/>
              <w:rPr>
                <w:del w:id="335" w:author="Master Repository Process" w:date="2025-12-30T10:42:00Z"/>
                <w:b/>
              </w:rPr>
            </w:pPr>
            <w:del w:id="336" w:author="Master Repository Process" w:date="2025-12-30T10:42:00Z">
              <w:r>
                <w:rPr>
                  <w:b/>
                </w:rPr>
                <w:delText>Published</w:delText>
              </w:r>
            </w:del>
          </w:p>
        </w:tc>
        <w:tc>
          <w:tcPr>
            <w:tcW w:w="2693" w:type="dxa"/>
          </w:tcPr>
          <w:p>
            <w:pPr>
              <w:pStyle w:val="nTable"/>
              <w:keepNext/>
              <w:spacing w:after="40"/>
              <w:rPr>
                <w:del w:id="337" w:author="Master Repository Process" w:date="2025-12-30T10:42:00Z"/>
                <w:b/>
              </w:rPr>
            </w:pPr>
            <w:del w:id="338" w:author="Master Repository Process" w:date="2025-12-30T10:42: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ind w:right="113"/>
              <w:rPr>
                <w:i/>
              </w:rPr>
            </w:pPr>
            <w:r>
              <w:rPr>
                <w:i/>
              </w:rPr>
              <w:t>Local Government Regulations Amendment (Local Government Amendment Act</w:t>
            </w:r>
            <w:del w:id="339" w:author="Master Repository Process" w:date="2025-12-30T10:42:00Z">
              <w:r>
                <w:rPr>
                  <w:i/>
                </w:rPr>
                <w:delText xml:space="preserve"> </w:delText>
              </w:r>
            </w:del>
            <w:ins w:id="340" w:author="Master Repository Process" w:date="2025-12-30T10:42:00Z">
              <w:r>
                <w:rPr>
                  <w:i/>
                </w:rPr>
                <w:t> </w:t>
              </w:r>
            </w:ins>
            <w:r>
              <w:rPr>
                <w:i/>
              </w:rPr>
              <w:t>2024) Regulations</w:t>
            </w:r>
            <w:del w:id="341" w:author="Master Repository Process" w:date="2025-12-30T10:42:00Z">
              <w:r>
                <w:rPr>
                  <w:i/>
                </w:rPr>
                <w:delText xml:space="preserve"> </w:delText>
              </w:r>
            </w:del>
            <w:ins w:id="342" w:author="Master Repository Process" w:date="2025-12-30T10:42:00Z">
              <w:r>
                <w:rPr>
                  <w:i/>
                </w:rPr>
                <w:t> </w:t>
              </w:r>
            </w:ins>
            <w:r>
              <w:rPr>
                <w:i/>
              </w:rPr>
              <w:t>2025</w:t>
            </w:r>
            <w:r>
              <w:rPr>
                <w:iCs/>
              </w:rPr>
              <w:t xml:space="preserve"> Pt. 5</w:t>
            </w:r>
          </w:p>
        </w:tc>
        <w:tc>
          <w:tcPr>
            <w:tcW w:w="1276" w:type="dxa"/>
            <w:tcBorders>
              <w:top w:val="nil"/>
              <w:bottom w:val="single" w:sz="4" w:space="0" w:color="auto"/>
            </w:tcBorders>
            <w:shd w:val="clear" w:color="auto" w:fill="auto"/>
          </w:tcPr>
          <w:p>
            <w:pPr>
              <w:pStyle w:val="nTable"/>
              <w:spacing w:after="40"/>
            </w:pPr>
            <w:r>
              <w:t>SL 2025/208 17 Dec 2025</w:t>
            </w:r>
          </w:p>
        </w:tc>
        <w:tc>
          <w:tcPr>
            <w:tcW w:w="2693" w:type="dxa"/>
            <w:tcBorders>
              <w:top w:val="nil"/>
              <w:bottom w:val="single" w:sz="4" w:space="0" w:color="auto"/>
            </w:tcBorders>
            <w:shd w:val="clear" w:color="auto" w:fill="auto"/>
          </w:tcPr>
          <w:p>
            <w:pPr>
              <w:pStyle w:val="nTable"/>
              <w:spacing w:after="40"/>
            </w:pPr>
            <w:r>
              <w:t xml:space="preserve">1 Jan 2026 </w:t>
            </w:r>
            <w:r>
              <w:rPr>
                <w:snapToGrid w:val="0"/>
              </w:rPr>
              <w:t>(see r. 2(c))</w:t>
            </w:r>
          </w:p>
        </w:tc>
      </w:tr>
    </w:tbl>
    <w:p>
      <w:pPr>
        <w:pStyle w:val="nHeading3"/>
      </w:pPr>
      <w:bookmarkStart w:id="343" w:name="_Toc217398860"/>
      <w:bookmarkStart w:id="344" w:name="_Toc216436382"/>
      <w:r>
        <w:t>Other notes</w:t>
      </w:r>
      <w:bookmarkEnd w:id="343"/>
      <w:bookmarkEnd w:id="344"/>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323"/>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6" w:author="Master Repository Process" w:date="2025-12-30T10:42:00Z">
                              <w:r>
                                <w:rPr>
                                  <w:sz w:val="16"/>
                                </w:rPr>
                                <w:delText>2025</w:delText>
                              </w:r>
                            </w:del>
                            <w:ins w:id="347" w:author="Master Repository Process" w:date="2025-12-30T10:4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8" w:author="Master Repository Process" w:date="2025-12-30T10:42:00Z">
                              <w:r>
                                <w:rPr>
                                  <w:sz w:val="16"/>
                                </w:rPr>
                                <w:delText>2025</w:delText>
                              </w:r>
                            </w:del>
                            <w:ins w:id="349" w:author="Master Repository Process" w:date="2025-12-30T10:4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0" w:author="Master Repository Process" w:date="2025-12-30T10:42:00Z">
                        <w:r>
                          <w:rPr>
                            <w:sz w:val="16"/>
                          </w:rPr>
                          <w:delText>2025</w:delText>
                        </w:r>
                      </w:del>
                      <w:ins w:id="351" w:author="Master Repository Process" w:date="2025-12-30T10:42: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2" w:author="Master Repository Process" w:date="2025-12-30T10:42:00Z">
                        <w:r>
                          <w:rPr>
                            <w:sz w:val="16"/>
                          </w:rPr>
                          <w:delText>2025</w:delText>
                        </w:r>
                      </w:del>
                      <w:ins w:id="353" w:author="Master Repository Process" w:date="2025-12-30T10:42: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tcPr>
        <w:p>
          <w:pPr>
            <w:pStyle w:val="Header"/>
            <w:spacing w:before="40"/>
          </w:pPr>
          <w:r>
            <w:fldChar w:fldCharType="begin"/>
          </w:r>
          <w:r>
            <w:instrText>styleref CharPartText</w:instrText>
          </w:r>
          <w:r>
            <w:fldChar w:fldCharType="separate"/>
          </w:r>
          <w:r>
            <w:t>Local laws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25341"/>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 w:name="WAFER_20210622132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32607_GUID" w:val="fcfa720f-ecb9-4ba2-b6bd-45456f5a6329"/>
    <w:docVar w:name="WAFER_202210311106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27_GUID" w:val="4d7922ea-3e5e-4ba3-95c1-1d8e1ba3a82f"/>
    <w:docVar w:name="WAFER_20230516151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1608_GUID" w:val="46a1728b-23ff-49aa-922b-445d78e3cbec"/>
    <w:docVar w:name="WAFER_20230628104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104520_GUID" w:val="e0e248b4-29d5-4c13-8ffb-98f99c6b70da"/>
    <w:docVar w:name="WAFER_20240625134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4421_GUID" w:val="08ea456a-08fe-4787-9990-373d374babbf"/>
    <w:docVar w:name="WAFER_20241028104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4013_GUID" w:val="32c1067a-7e58-457f-beca-f992c04e57f6"/>
    <w:docVar w:name="WAFER_20251211162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2301_GUID" w:val="b808785f-6afb-46b3-9785-85dfbec64b0f"/>
    <w:docVar w:name="WAFER_2025122212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25341_GUID" w:val="5d20625e-ce03-4517-b869-204b013b4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12726</Words>
  <Characters>67835</Characters>
  <Application>Microsoft Office Word</Application>
  <DocSecurity>0</DocSecurity>
  <Lines>1785</Lines>
  <Paragraphs>1032</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03-q0-00 - 03-r0-00</dc:title>
  <dc:subject/>
  <dc:creator/>
  <cp:keywords/>
  <dc:description/>
  <cp:lastModifiedBy>Master Repository Process</cp:lastModifiedBy>
  <cp:revision>2</cp:revision>
  <cp:lastPrinted>2012-04-02T07:14:00Z</cp:lastPrinted>
  <dcterms:created xsi:type="dcterms:W3CDTF">2025-12-30T02:42:00Z</dcterms:created>
  <dcterms:modified xsi:type="dcterms:W3CDTF">2025-12-30T02:42:00Z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03-q0-00</vt:lpwstr>
  </property>
  <property fmtid="{D5CDD505-2E9C-101B-9397-08002B2CF9AE}" pid="12" name="FromAsAtDate">
    <vt:lpwstr>17 Dec 2025</vt:lpwstr>
  </property>
  <property fmtid="{D5CDD505-2E9C-101B-9397-08002B2CF9AE}" pid="13" name="ToSuffix">
    <vt:lpwstr>03-r0-00</vt:lpwstr>
  </property>
  <property fmtid="{D5CDD505-2E9C-101B-9397-08002B2CF9AE}" pid="14" name="ToAsAtDate">
    <vt:lpwstr>01 Jan 2026</vt:lpwstr>
  </property>
</Properties>
</file>