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02-n0-00</w:t>
      </w:r>
      <w:r>
        <w:fldChar w:fldCharType="end"/>
      </w:r>
      <w:r>
        <w:t>] and [</w:t>
      </w:r>
      <w:r>
        <w:fldChar w:fldCharType="begin"/>
      </w:r>
      <w:r>
        <w:instrText xml:space="preserve"> DocProperty ToAsAtDate</w:instrText>
      </w:r>
      <w:r>
        <w:fldChar w:fldCharType="separate"/>
      </w:r>
      <w:r>
        <w:t>19 Mar 2026</w:t>
      </w:r>
      <w:r>
        <w:fldChar w:fldCharType="end"/>
      </w:r>
      <w:r>
        <w:t xml:space="preserve">, </w:t>
      </w:r>
      <w:r>
        <w:fldChar w:fldCharType="begin"/>
      </w:r>
      <w:r>
        <w:instrText xml:space="preserve"> DocProperty ToSuffix</w:instrText>
      </w:r>
      <w:r>
        <w:fldChar w:fldCharType="separate"/>
      </w:r>
      <w:r>
        <w:t>02-o0-01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1" w:name="_Toc225323240"/>
      <w:bookmarkStart w:id="2" w:name="_Toc175226308"/>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3" w:name="_Toc225323241"/>
      <w:bookmarkStart w:id="4" w:name="_Toc175226309"/>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5" w:name="_Toc225323242"/>
      <w:bookmarkStart w:id="6" w:name="_Toc175226310"/>
      <w:r>
        <w:rPr>
          <w:rStyle w:val="CharSectno"/>
        </w:rPr>
        <w:t>2A</w:t>
      </w:r>
      <w:r>
        <w:rPr>
          <w:snapToGrid w:val="0"/>
        </w:rPr>
        <w:t>.</w:t>
      </w:r>
      <w:r>
        <w:rPr>
          <w:snapToGrid w:val="0"/>
        </w:rPr>
        <w:tab/>
        <w:t>Term used: non-personal information</w:t>
      </w:r>
      <w:bookmarkEnd w:id="5"/>
      <w:bookmarkEnd w:id="6"/>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7" w:name="_Toc225323243"/>
      <w:bookmarkStart w:id="8" w:name="_Toc175226311"/>
      <w:r>
        <w:rPr>
          <w:rStyle w:val="CharSectno"/>
        </w:rPr>
        <w:t>3</w:t>
      </w:r>
      <w:r>
        <w:rPr>
          <w:snapToGrid w:val="0"/>
        </w:rPr>
        <w:t>.</w:t>
      </w:r>
      <w:r>
        <w:rPr>
          <w:snapToGrid w:val="0"/>
        </w:rPr>
        <w:tab/>
        <w:t>General provisions relating to charges</w:t>
      </w:r>
      <w:bookmarkEnd w:id="7"/>
      <w:bookmarkEnd w:id="8"/>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9" w:name="_Toc225323244"/>
      <w:bookmarkStart w:id="10" w:name="_Toc175226312"/>
      <w:r>
        <w:rPr>
          <w:rStyle w:val="CharSectno"/>
        </w:rPr>
        <w:lastRenderedPageBreak/>
        <w:t>4</w:t>
      </w:r>
      <w:r>
        <w:rPr>
          <w:snapToGrid w:val="0"/>
        </w:rPr>
        <w:t>.</w:t>
      </w:r>
      <w:r>
        <w:rPr>
          <w:snapToGrid w:val="0"/>
        </w:rPr>
        <w:tab/>
        <w:t>Application fee (section 12(1)(e))</w:t>
      </w:r>
      <w:bookmarkEnd w:id="9"/>
      <w:bookmarkEnd w:id="10"/>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11" w:name="_Toc225323245"/>
      <w:bookmarkStart w:id="12" w:name="_Toc175226313"/>
      <w:r>
        <w:rPr>
          <w:rStyle w:val="CharSectno"/>
        </w:rPr>
        <w:t>5</w:t>
      </w:r>
      <w:r>
        <w:rPr>
          <w:snapToGrid w:val="0"/>
        </w:rPr>
        <w:t>.</w:t>
      </w:r>
      <w:r>
        <w:rPr>
          <w:snapToGrid w:val="0"/>
        </w:rPr>
        <w:tab/>
        <w:t>Charges (section 16(1))</w:t>
      </w:r>
      <w:bookmarkEnd w:id="11"/>
      <w:bookmarkEnd w:id="12"/>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13" w:name="_Toc225323246"/>
      <w:bookmarkStart w:id="14" w:name="_Toc175226314"/>
      <w:r>
        <w:rPr>
          <w:rStyle w:val="CharSectno"/>
        </w:rPr>
        <w:t>6</w:t>
      </w:r>
      <w:r>
        <w:rPr>
          <w:snapToGrid w:val="0"/>
        </w:rPr>
        <w:t>.</w:t>
      </w:r>
      <w:r>
        <w:rPr>
          <w:snapToGrid w:val="0"/>
        </w:rPr>
        <w:tab/>
        <w:t>Advance deposits (section 18(1) and (4))</w:t>
      </w:r>
      <w:bookmarkEnd w:id="13"/>
      <w:bookmarkEnd w:id="14"/>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5" w:name="_Toc225323247"/>
      <w:bookmarkStart w:id="16" w:name="_Toc175226315"/>
      <w:r>
        <w:rPr>
          <w:rStyle w:val="CharSectno"/>
        </w:rPr>
        <w:t>7</w:t>
      </w:r>
      <w:r>
        <w:rPr>
          <w:snapToGrid w:val="0"/>
        </w:rPr>
        <w:t>.</w:t>
      </w:r>
      <w:r>
        <w:rPr>
          <w:snapToGrid w:val="0"/>
        </w:rPr>
        <w:tab/>
        <w:t>Term used: suitably qualified person (section 28)</w:t>
      </w:r>
      <w:bookmarkEnd w:id="15"/>
      <w:bookmarkEnd w:id="16"/>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7" w:name="_Toc225323248"/>
      <w:bookmarkStart w:id="18" w:name="_Toc175226316"/>
      <w:r>
        <w:rPr>
          <w:rStyle w:val="CharSectno"/>
        </w:rPr>
        <w:t>8</w:t>
      </w:r>
      <w:r>
        <w:rPr>
          <w:snapToGrid w:val="0"/>
        </w:rPr>
        <w:t>.</w:t>
      </w:r>
      <w:r>
        <w:rPr>
          <w:snapToGrid w:val="0"/>
        </w:rPr>
        <w:tab/>
        <w:t>Information or details to be included in complaint (section 66(1)(d))</w:t>
      </w:r>
      <w:bookmarkEnd w:id="17"/>
      <w:bookmarkEnd w:id="18"/>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9" w:name="_Toc225323249"/>
      <w:bookmarkStart w:id="20" w:name="_Toc175226317"/>
      <w:r>
        <w:rPr>
          <w:rStyle w:val="CharSectno"/>
        </w:rPr>
        <w:t>9</w:t>
      </w:r>
      <w:r>
        <w:rPr>
          <w:snapToGrid w:val="0"/>
        </w:rPr>
        <w:t>.</w:t>
      </w:r>
      <w:r>
        <w:rPr>
          <w:snapToGrid w:val="0"/>
        </w:rPr>
        <w:tab/>
        <w:t>Prescribed personal details (Act Schedule 1 clause 3)</w:t>
      </w:r>
      <w:bookmarkEnd w:id="19"/>
      <w:bookmarkEnd w:id="20"/>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21" w:name="_Toc225323250"/>
      <w:bookmarkStart w:id="22" w:name="_Toc175226318"/>
      <w:r>
        <w:rPr>
          <w:rStyle w:val="CharSectno"/>
        </w:rPr>
        <w:t>9A</w:t>
      </w:r>
      <w:r>
        <w:t>.</w:t>
      </w:r>
      <w:r>
        <w:tab/>
        <w:t>Principal officer of health service provider</w:t>
      </w:r>
      <w:bookmarkEnd w:id="21"/>
      <w:bookmarkEnd w:id="22"/>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23" w:name="_Toc225323251"/>
      <w:bookmarkStart w:id="24" w:name="_Toc175226319"/>
      <w:r>
        <w:rPr>
          <w:rStyle w:val="CharSectno"/>
        </w:rPr>
        <w:t>10</w:t>
      </w:r>
      <w:r>
        <w:rPr>
          <w:snapToGrid w:val="0"/>
        </w:rPr>
        <w:t>.</w:t>
      </w:r>
      <w:r>
        <w:rPr>
          <w:snapToGrid w:val="0"/>
        </w:rPr>
        <w:tab/>
        <w:t>Specified bodies etc. to be regarded as part of other agencies</w:t>
      </w:r>
      <w:bookmarkEnd w:id="23"/>
      <w:bookmarkEnd w:id="24"/>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5" w:name="_Toc224289802"/>
      <w:bookmarkStart w:id="26" w:name="_Toc224291238"/>
      <w:bookmarkStart w:id="27" w:name="_Toc224312191"/>
      <w:bookmarkStart w:id="28" w:name="_Toc225323252"/>
      <w:bookmarkStart w:id="29" w:name="_Toc175215009"/>
      <w:bookmarkStart w:id="30" w:name="_Toc175215482"/>
      <w:bookmarkStart w:id="31" w:name="_Toc175226320"/>
      <w:r>
        <w:rPr>
          <w:rStyle w:val="CharSchNo"/>
        </w:rPr>
        <w:t>Schedule 1</w:t>
      </w:r>
      <w:bookmarkEnd w:id="25"/>
      <w:bookmarkEnd w:id="26"/>
      <w:bookmarkEnd w:id="27"/>
      <w:bookmarkEnd w:id="28"/>
      <w:bookmarkEnd w:id="29"/>
      <w:bookmarkEnd w:id="30"/>
      <w:bookmarkEnd w:id="31"/>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32" w:name="_Toc224289803"/>
      <w:bookmarkStart w:id="33" w:name="_Toc224291239"/>
      <w:bookmarkStart w:id="34" w:name="_Toc224312192"/>
      <w:bookmarkStart w:id="35" w:name="_Toc225323253"/>
      <w:bookmarkStart w:id="36" w:name="_Toc175215010"/>
      <w:bookmarkStart w:id="37" w:name="_Toc175215483"/>
      <w:bookmarkStart w:id="38" w:name="_Toc175226321"/>
      <w:r>
        <w:rPr>
          <w:rStyle w:val="CharSchNo"/>
        </w:rPr>
        <w:t>Schedule 2</w:t>
      </w:r>
      <w:r>
        <w:t> — </w:t>
      </w:r>
      <w:r>
        <w:rPr>
          <w:rStyle w:val="CharSchText"/>
        </w:rPr>
        <w:t>Offices and bodies to be regarded as part of other agencies</w:t>
      </w:r>
      <w:bookmarkEnd w:id="32"/>
      <w:bookmarkEnd w:id="33"/>
      <w:bookmarkEnd w:id="34"/>
      <w:bookmarkEnd w:id="35"/>
      <w:bookmarkEnd w:id="36"/>
      <w:bookmarkEnd w:id="37"/>
      <w:bookmarkEnd w:id="38"/>
    </w:p>
    <w:p>
      <w:pPr>
        <w:pStyle w:val="yShoulderClause"/>
      </w:pPr>
      <w:r>
        <w:t>[r. 10]</w:t>
      </w:r>
    </w:p>
    <w:p>
      <w:pPr>
        <w:pStyle w:val="yFootnoteheading"/>
        <w:spacing w:after="80"/>
      </w:pPr>
      <w:r>
        <w:rPr>
          <w:snapToGrid w:val="0"/>
        </w:rPr>
        <w:tab/>
        <w:t>[Heading inserted: Gazette 28 Dec 2007 p. 6415.]</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56"/>
        <w:gridCol w:w="5132"/>
      </w:tblGrid>
      <w:tr>
        <w:trPr>
          <w:tblHeader/>
        </w:trPr>
        <w:tc>
          <w:tcPr>
            <w:tcW w:w="1956"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32"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956"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32"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Case Review Panel</w:t>
            </w:r>
          </w:p>
        </w:tc>
      </w:tr>
      <w:tr>
        <w:trPr>
          <w:cantSplit/>
        </w:trPr>
        <w:tc>
          <w:tcPr>
            <w:tcW w:w="1956" w:type="dxa"/>
            <w:vMerge w:val="restart"/>
          </w:tcPr>
          <w:p>
            <w:pPr>
              <w:pStyle w:val="yTable"/>
            </w:pPr>
            <w:r>
              <w:rPr>
                <w:sz w:val="20"/>
              </w:rPr>
              <w:t>Department for Communities</w:t>
            </w:r>
            <w:r>
              <w:rPr>
                <w:sz w:val="20"/>
                <w:vertAlign w:val="superscript"/>
              </w:rPr>
              <w:t> 3</w:t>
            </w:r>
          </w:p>
        </w:tc>
        <w:tc>
          <w:tcPr>
            <w:tcW w:w="5132" w:type="dxa"/>
          </w:tcPr>
          <w:p>
            <w:pPr>
              <w:pStyle w:val="yTable"/>
              <w:ind w:left="209" w:hanging="209"/>
            </w:pPr>
            <w:r>
              <w:rPr>
                <w:sz w:val="20"/>
              </w:rPr>
              <w:t>Care for Children and Young People Advisory Committee</w:t>
            </w:r>
          </w:p>
        </w:tc>
      </w:tr>
      <w:tr>
        <w:trPr>
          <w:cantSplit/>
        </w:trPr>
        <w:tc>
          <w:tcPr>
            <w:tcW w:w="1956" w:type="dxa"/>
            <w:vMerge/>
          </w:tcPr>
          <w:p>
            <w:pPr>
              <w:pStyle w:val="yTable"/>
            </w:pPr>
          </w:p>
        </w:tc>
        <w:tc>
          <w:tcPr>
            <w:tcW w:w="5132" w:type="dxa"/>
          </w:tcPr>
          <w:p>
            <w:pPr>
              <w:pStyle w:val="yTable"/>
              <w:ind w:left="209" w:hanging="209"/>
            </w:pPr>
            <w:r>
              <w:rPr>
                <w:sz w:val="20"/>
              </w:rPr>
              <w:t>Office for Children and Youth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Multicultural Interests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for Seniors Interests and Volunteering</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Office for Women’s Policy </w:t>
            </w:r>
          </w:p>
        </w:tc>
      </w:tr>
      <w:tr>
        <w:trPr>
          <w:cantSplit/>
        </w:trPr>
        <w:tc>
          <w:tcPr>
            <w:tcW w:w="1956" w:type="dxa"/>
            <w:vMerge w:val="restart"/>
          </w:tcPr>
          <w:p>
            <w:pPr>
              <w:pStyle w:val="yTable"/>
              <w:rPr>
                <w:rFonts w:eastAsia="Arial Unicode MS"/>
              </w:rPr>
            </w:pPr>
            <w:r>
              <w:rPr>
                <w:sz w:val="20"/>
              </w:rPr>
              <w:t>Department for Planning and Infrastructure</w:t>
            </w:r>
            <w:r>
              <w:rPr>
                <w:sz w:val="20"/>
                <w:vertAlign w:val="superscript"/>
              </w:rPr>
              <w:t> 4</w:t>
            </w:r>
          </w:p>
        </w:tc>
        <w:tc>
          <w:tcPr>
            <w:tcW w:w="5132" w:type="dxa"/>
          </w:tcPr>
          <w:p>
            <w:pPr>
              <w:pStyle w:val="yTable"/>
              <w:ind w:left="210" w:hanging="210"/>
              <w:rPr>
                <w:rFonts w:eastAsia="Arial Unicode MS"/>
              </w:rPr>
            </w:pPr>
            <w:r>
              <w:rPr>
                <w:sz w:val="20"/>
              </w:rPr>
              <w:t>Araluen Botanic Park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Government Domain Reserve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Pastoral Lands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Valley Strategic Leadership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 Bicycle Committee (WABC)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Walking WA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Coastal Shipping Commission (Stateships)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Marine Act Manning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Mercantile Marine Disciplinary Appeal Tribunal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Planning Commission</w:t>
            </w:r>
          </w:p>
        </w:tc>
      </w:tr>
      <w:tr>
        <w:trPr>
          <w:cantSplit/>
        </w:trPr>
        <w:tc>
          <w:tcPr>
            <w:tcW w:w="1956" w:type="dxa"/>
            <w:vMerge w:val="restart"/>
          </w:tcPr>
          <w:p>
            <w:pPr>
              <w:pStyle w:val="yTable"/>
              <w:rPr>
                <w:rFonts w:eastAsia="Arial Unicode MS"/>
              </w:rPr>
            </w:pPr>
            <w:r>
              <w:rPr>
                <w:sz w:val="20"/>
              </w:rPr>
              <w:t>Department of Agriculture and Food</w:t>
            </w:r>
          </w:p>
        </w:tc>
        <w:tc>
          <w:tcPr>
            <w:tcW w:w="5132" w:type="dxa"/>
          </w:tcPr>
          <w:p>
            <w:pPr>
              <w:pStyle w:val="yTable"/>
              <w:ind w:left="209" w:hanging="209"/>
              <w:rPr>
                <w:rFonts w:eastAsia="Arial Unicode MS"/>
              </w:rPr>
            </w:pPr>
            <w:r>
              <w:rPr>
                <w:sz w:val="20"/>
              </w:rPr>
              <w:t>Agricultural Produce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Albany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Ashburton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Beverley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Binnu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Boyup Brook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956" w:type="dxa"/>
            <w:vMerge/>
          </w:tcPr>
          <w:p>
            <w:pPr>
              <w:pStyle w:val="yTable"/>
            </w:pPr>
          </w:p>
        </w:tc>
        <w:tc>
          <w:tcPr>
            <w:tcW w:w="5132" w:type="dxa"/>
          </w:tcPr>
          <w:p>
            <w:pPr>
              <w:pStyle w:val="yTable"/>
              <w:keepLines/>
              <w:ind w:left="209" w:hanging="209"/>
              <w:rPr>
                <w:rFonts w:eastAsia="Arial Unicode MS"/>
              </w:rPr>
            </w:pPr>
            <w:r>
              <w:rPr>
                <w:sz w:val="20"/>
              </w:rPr>
              <w:t>Brookton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Broomehill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Bruce Rock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Bunbury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Buntine West Wubin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Cadoux/Manmanning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Capel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Carlecatup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Carnamah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Chapman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Chicken Meat Industry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Chittering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Coolup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Cuballing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Cunderdin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Dardanup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Denmark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Dowerin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Dumbleyung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Pilbara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Yornaning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Frankland Below Gordon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Fruit Growing Industry Trust Fund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 Ashburton Head Waters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Gascoyne/Wooramel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Geraldton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Gnowangerup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Goomalling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Grain Licensing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Hay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Irwin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Kalannie/Goodlands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Kellerberrin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Kimberley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Kojonup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Koorda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Kulin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Lake Grace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Lower Blackwood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Lyndon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Manypeaks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Midland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Mingenew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Minyulo/Dandaragan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Mobrup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Moora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Morawa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Magnet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Marshall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Mukinbudin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Mullewa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Murchison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Napier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Narembeen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Newdegate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Ninan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Eastern Goldfields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Stirlings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Nugadong West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Nullarbor/Eyre Highway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Nungarin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Nyabing/Pingrup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Perenjori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Pilbara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Pingaring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Pingelly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Soil Conservation District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Ravensthorpe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Rural Business Development Corporation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Sandstone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Serpentine/Jarrahdale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Shark Bay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Stirling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Sussex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Tambellup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Tammin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Toodyay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Trayning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Tunney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Upper Gascoyne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Veterinary Practice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Waddi Forest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Waroona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Wellesley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Wellstead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Arthur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Koojan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Maya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Mount Barker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Meat Industry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Westonia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Wickepin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Wiluna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Woodanilling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Wooroloo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Wyalkatchem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Yalgoo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Yallingup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Yilgarn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York Land Conservation District Committee</w:t>
            </w:r>
          </w:p>
        </w:tc>
      </w:tr>
      <w:tr>
        <w:tc>
          <w:tcPr>
            <w:tcW w:w="1956" w:type="dxa"/>
          </w:tcPr>
          <w:p>
            <w:pPr>
              <w:pStyle w:val="yTable"/>
              <w:rPr>
                <w:rFonts w:eastAsia="Arial Unicode MS"/>
              </w:rPr>
            </w:pPr>
            <w:r>
              <w:rPr>
                <w:sz w:val="20"/>
              </w:rPr>
              <w:t>Department of Corrective Services</w:t>
            </w:r>
          </w:p>
        </w:tc>
        <w:tc>
          <w:tcPr>
            <w:tcW w:w="5132" w:type="dxa"/>
          </w:tcPr>
          <w:p>
            <w:pPr>
              <w:pStyle w:val="yTable"/>
              <w:ind w:left="209" w:hanging="209"/>
              <w:rPr>
                <w:rFonts w:eastAsia="Arial Unicode MS"/>
              </w:rPr>
            </w:pPr>
            <w:r>
              <w:rPr>
                <w:sz w:val="20"/>
              </w:rPr>
              <w:t>Prison Officers Appeal Tribunal</w:t>
            </w:r>
          </w:p>
        </w:tc>
      </w:tr>
      <w:tr>
        <w:trPr>
          <w:cantSplit/>
        </w:trPr>
        <w:tc>
          <w:tcPr>
            <w:tcW w:w="1956" w:type="dxa"/>
            <w:vMerge w:val="restart"/>
          </w:tcPr>
          <w:p>
            <w:pPr>
              <w:pStyle w:val="yTable"/>
            </w:pPr>
            <w:r>
              <w:rPr>
                <w:sz w:val="20"/>
              </w:rPr>
              <w:t>Department of Culture and the Arts</w:t>
            </w:r>
          </w:p>
        </w:tc>
        <w:tc>
          <w:tcPr>
            <w:tcW w:w="5132" w:type="dxa"/>
          </w:tcPr>
          <w:p>
            <w:pPr>
              <w:pStyle w:val="yTable"/>
              <w:ind w:left="209" w:hanging="209"/>
              <w:rPr>
                <w:rFonts w:eastAsia="Arial Unicode MS"/>
              </w:rPr>
            </w:pPr>
            <w:r>
              <w:rPr>
                <w:sz w:val="20"/>
              </w:rPr>
              <w:t xml:space="preserve">Art Gallery Board of Western Australia </w:t>
            </w:r>
          </w:p>
        </w:tc>
      </w:tr>
      <w:tr>
        <w:trPr>
          <w:cantSplit/>
        </w:trPr>
        <w:tc>
          <w:tcPr>
            <w:tcW w:w="1956" w:type="dxa"/>
            <w:vMerge/>
          </w:tcPr>
          <w:p>
            <w:pPr>
              <w:pStyle w:val="yTable"/>
            </w:pPr>
          </w:p>
        </w:tc>
        <w:tc>
          <w:tcPr>
            <w:tcW w:w="5132" w:type="dxa"/>
          </w:tcPr>
          <w:p>
            <w:pPr>
              <w:pStyle w:val="yTable"/>
              <w:ind w:left="209" w:hanging="209"/>
              <w:rPr>
                <w:sz w:val="20"/>
              </w:rPr>
            </w:pPr>
            <w:r>
              <w:rPr>
                <w:sz w:val="20"/>
              </w:rPr>
              <w:t>Art Gallery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 Gallery of Western Australia</w:t>
            </w:r>
          </w:p>
        </w:tc>
      </w:tr>
      <w:tr>
        <w:trPr>
          <w:cantSplit/>
        </w:trPr>
        <w:tc>
          <w:tcPr>
            <w:tcW w:w="1956" w:type="dxa"/>
            <w:vMerge/>
          </w:tcPr>
          <w:p>
            <w:pPr>
              <w:pStyle w:val="yTable"/>
            </w:pPr>
          </w:p>
        </w:tc>
        <w:tc>
          <w:tcPr>
            <w:tcW w:w="5132" w:type="dxa"/>
          </w:tcPr>
          <w:p>
            <w:pPr>
              <w:pStyle w:val="yTable"/>
              <w:ind w:left="209" w:hanging="209"/>
              <w:rPr>
                <w:sz w:val="20"/>
              </w:rPr>
            </w:pPr>
            <w:r>
              <w:rPr>
                <w:sz w:val="20"/>
              </w:rPr>
              <w:t>Arts and Culture Trust</w:t>
            </w:r>
          </w:p>
        </w:tc>
      </w:tr>
      <w:tr>
        <w:trPr>
          <w:cantSplit/>
        </w:trPr>
        <w:tc>
          <w:tcPr>
            <w:tcW w:w="1956" w:type="dxa"/>
            <w:vMerge/>
          </w:tcPr>
          <w:p>
            <w:pPr>
              <w:pStyle w:val="yTable"/>
            </w:pPr>
          </w:p>
        </w:tc>
        <w:tc>
          <w:tcPr>
            <w:tcW w:w="5132" w:type="dxa"/>
          </w:tcPr>
          <w:p>
            <w:pPr>
              <w:pStyle w:val="yTable"/>
              <w:ind w:left="209" w:hanging="209"/>
              <w:rPr>
                <w:sz w:val="20"/>
              </w:rPr>
            </w:pPr>
            <w:r>
              <w:rPr>
                <w:sz w:val="20"/>
              </w:rPr>
              <w:t>Arts and Culture Trust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 – Designer Fashion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Arts Development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Contemporary Music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Indigenous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Young People and the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Community Cultural and Arts Facilities Fund Assessment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Library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Screen West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Screen West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Library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Advisory Committee (SRAC)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Office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Bells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Foundation</w:t>
            </w:r>
          </w:p>
        </w:tc>
      </w:tr>
      <w:tr>
        <w:trPr>
          <w:cantSplit/>
        </w:trPr>
        <w:tc>
          <w:tcPr>
            <w:tcW w:w="1956" w:type="dxa"/>
            <w:vMerge w:val="restart"/>
          </w:tcPr>
          <w:p>
            <w:pPr>
              <w:pStyle w:val="yTableNAm"/>
              <w:keepLines/>
              <w:widowControl w:val="0"/>
              <w:spacing w:before="60"/>
              <w:rPr>
                <w:sz w:val="20"/>
              </w:rPr>
            </w:pPr>
            <w:r>
              <w:rPr>
                <w:sz w:val="20"/>
              </w:rPr>
              <w:t>Department of Education</w:t>
            </w:r>
          </w:p>
        </w:tc>
        <w:tc>
          <w:tcPr>
            <w:tcW w:w="5132"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956" w:type="dxa"/>
            <w:vMerge/>
          </w:tcPr>
          <w:p>
            <w:pPr>
              <w:pStyle w:val="yTableNAm"/>
              <w:keepLines/>
              <w:widowControl w:val="0"/>
              <w:spacing w:before="60"/>
            </w:pPr>
          </w:p>
        </w:tc>
        <w:tc>
          <w:tcPr>
            <w:tcW w:w="5132"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956" w:type="dxa"/>
            <w:vMerge w:val="restart"/>
          </w:tcPr>
          <w:p>
            <w:pPr>
              <w:pStyle w:val="yTableNAm"/>
              <w:keepNext/>
              <w:keepLines/>
              <w:spacing w:before="60"/>
              <w:rPr>
                <w:sz w:val="20"/>
              </w:rPr>
            </w:pPr>
            <w:r>
              <w:rPr>
                <w:sz w:val="20"/>
              </w:rPr>
              <w:t>Department of Education Services</w:t>
            </w:r>
          </w:p>
        </w:tc>
        <w:tc>
          <w:tcPr>
            <w:tcW w:w="5132" w:type="dxa"/>
          </w:tcPr>
          <w:p>
            <w:pPr>
              <w:pStyle w:val="yTableNAm"/>
              <w:keepNext/>
              <w:keepLines/>
              <w:spacing w:before="60"/>
              <w:rPr>
                <w:sz w:val="20"/>
              </w:rPr>
            </w:pPr>
            <w:r>
              <w:rPr>
                <w:sz w:val="20"/>
              </w:rPr>
              <w:t>Aboriginal Education and Training Council</w:t>
            </w:r>
          </w:p>
        </w:tc>
      </w:tr>
      <w:tr>
        <w:trPr>
          <w:cantSplit/>
        </w:trPr>
        <w:tc>
          <w:tcPr>
            <w:tcW w:w="1956" w:type="dxa"/>
            <w:vMerge/>
          </w:tcPr>
          <w:p>
            <w:pPr>
              <w:pStyle w:val="yTableNAm"/>
              <w:spacing w:before="60"/>
            </w:pPr>
          </w:p>
        </w:tc>
        <w:tc>
          <w:tcPr>
            <w:tcW w:w="5132" w:type="dxa"/>
          </w:tcPr>
          <w:p>
            <w:pPr>
              <w:pStyle w:val="yTableNAm"/>
              <w:spacing w:before="60"/>
            </w:pPr>
            <w:r>
              <w:rPr>
                <w:sz w:val="20"/>
              </w:rPr>
              <w:t>Non</w:t>
            </w:r>
            <w:r>
              <w:rPr>
                <w:sz w:val="20"/>
              </w:rPr>
              <w:noBreakHyphen/>
              <w:t>Government Schools Planning Advisory Committee</w:t>
            </w:r>
          </w:p>
        </w:tc>
      </w:tr>
      <w:tr>
        <w:trPr>
          <w:cantSplit/>
        </w:trPr>
        <w:tc>
          <w:tcPr>
            <w:tcW w:w="1956" w:type="dxa"/>
            <w:vMerge/>
          </w:tcPr>
          <w:p>
            <w:pPr>
              <w:pStyle w:val="yTableNAm"/>
            </w:pPr>
          </w:p>
        </w:tc>
        <w:tc>
          <w:tcPr>
            <w:tcW w:w="5132" w:type="dxa"/>
          </w:tcPr>
          <w:p>
            <w:pPr>
              <w:pStyle w:val="yTableNAm"/>
              <w:spacing w:before="60"/>
            </w:pPr>
            <w:r>
              <w:rPr>
                <w:sz w:val="20"/>
              </w:rPr>
              <w:t>Rural and Remote Education Advisory Council</w:t>
            </w:r>
          </w:p>
        </w:tc>
      </w:tr>
      <w:tr>
        <w:trPr>
          <w:cantSplit/>
        </w:trPr>
        <w:tc>
          <w:tcPr>
            <w:tcW w:w="1956" w:type="dxa"/>
            <w:vMerge/>
          </w:tcPr>
          <w:p>
            <w:pPr>
              <w:pStyle w:val="yTableNAm"/>
            </w:pPr>
          </w:p>
        </w:tc>
        <w:tc>
          <w:tcPr>
            <w:tcW w:w="5132" w:type="dxa"/>
          </w:tcPr>
          <w:p>
            <w:pPr>
              <w:pStyle w:val="yTableNAm"/>
              <w:spacing w:before="60"/>
            </w:pPr>
            <w:r>
              <w:rPr>
                <w:sz w:val="20"/>
              </w:rPr>
              <w:t>Teacher Registration Board of Western Australia</w:t>
            </w:r>
          </w:p>
        </w:tc>
      </w:tr>
      <w:tr>
        <w:trPr>
          <w:cantSplit/>
        </w:trPr>
        <w:tc>
          <w:tcPr>
            <w:tcW w:w="1956" w:type="dxa"/>
            <w:vMerge/>
          </w:tcPr>
          <w:p>
            <w:pPr>
              <w:pStyle w:val="yTableNAm"/>
            </w:pPr>
          </w:p>
        </w:tc>
        <w:tc>
          <w:tcPr>
            <w:tcW w:w="5132" w:type="dxa"/>
          </w:tcPr>
          <w:p>
            <w:pPr>
              <w:pStyle w:val="yTableNAm"/>
              <w:spacing w:before="60"/>
              <w:rPr>
                <w:sz w:val="20"/>
              </w:rPr>
            </w:pPr>
            <w:r>
              <w:rPr>
                <w:sz w:val="20"/>
              </w:rPr>
              <w:t>Training Accreditation Council</w:t>
            </w:r>
          </w:p>
        </w:tc>
      </w:tr>
      <w:tr>
        <w:trPr>
          <w:cantSplit/>
        </w:trPr>
        <w:tc>
          <w:tcPr>
            <w:tcW w:w="1956" w:type="dxa"/>
            <w:vMerge/>
          </w:tcPr>
          <w:p>
            <w:pPr>
              <w:pStyle w:val="yTableNAm"/>
            </w:pPr>
          </w:p>
        </w:tc>
        <w:tc>
          <w:tcPr>
            <w:tcW w:w="5132" w:type="dxa"/>
          </w:tcPr>
          <w:p>
            <w:pPr>
              <w:pStyle w:val="yTableNAm"/>
              <w:spacing w:before="60"/>
            </w:pPr>
            <w:r>
              <w:rPr>
                <w:sz w:val="20"/>
              </w:rPr>
              <w:t>Western Australian Higher Education Council</w:t>
            </w:r>
          </w:p>
        </w:tc>
      </w:tr>
      <w:tr>
        <w:trPr>
          <w:cantSplit/>
        </w:trPr>
        <w:tc>
          <w:tcPr>
            <w:tcW w:w="1956" w:type="dxa"/>
            <w:vMerge w:val="restart"/>
          </w:tcPr>
          <w:p>
            <w:pPr>
              <w:pStyle w:val="yTable"/>
              <w:rPr>
                <w:sz w:val="20"/>
              </w:rPr>
            </w:pPr>
            <w:r>
              <w:rPr>
                <w:sz w:val="20"/>
              </w:rPr>
              <w:t>Department of Environment Regulation</w:t>
            </w:r>
          </w:p>
        </w:tc>
        <w:tc>
          <w:tcPr>
            <w:tcW w:w="5132" w:type="dxa"/>
          </w:tcPr>
          <w:p>
            <w:pPr>
              <w:pStyle w:val="yTable"/>
              <w:tabs>
                <w:tab w:val="right" w:pos="2765"/>
                <w:tab w:val="left" w:pos="3053"/>
              </w:tabs>
              <w:ind w:left="209" w:hanging="209"/>
              <w:rPr>
                <w:sz w:val="20"/>
              </w:rPr>
            </w:pPr>
            <w:r>
              <w:rPr>
                <w:sz w:val="20"/>
              </w:rPr>
              <w:t>Cockburn Sound Management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Contaminated Sites Committee</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Keep Australia Beautiful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Waste Authority</w:t>
            </w:r>
          </w:p>
        </w:tc>
      </w:tr>
      <w:tr>
        <w:trPr>
          <w:cantSplit/>
        </w:trPr>
        <w:tc>
          <w:tcPr>
            <w:tcW w:w="1956" w:type="dxa"/>
            <w:vMerge w:val="restart"/>
          </w:tcPr>
          <w:p>
            <w:pPr>
              <w:pStyle w:val="yTable"/>
              <w:keepNext/>
              <w:rPr>
                <w:sz w:val="20"/>
              </w:rPr>
            </w:pPr>
            <w:r>
              <w:rPr>
                <w:sz w:val="20"/>
              </w:rPr>
              <w:t xml:space="preserve">Department of Fisheries </w:t>
            </w:r>
          </w:p>
        </w:tc>
        <w:tc>
          <w:tcPr>
            <w:tcW w:w="5132" w:type="dxa"/>
          </w:tcPr>
          <w:p>
            <w:pPr>
              <w:pStyle w:val="yTable"/>
              <w:keepNext/>
              <w:ind w:left="209" w:hanging="209"/>
              <w:rPr>
                <w:sz w:val="20"/>
              </w:rPr>
            </w:pPr>
            <w:r>
              <w:rPr>
                <w:sz w:val="20"/>
              </w:rPr>
              <w:t>Abrolhos Islands Management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Aquaculture Development Council</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Pearling Industry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Recreational Fishing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Rock Lobster Industry Advisory Committee</w:t>
            </w:r>
          </w:p>
        </w:tc>
      </w:tr>
      <w:tr>
        <w:trPr>
          <w:cantSplit/>
        </w:trPr>
        <w:tc>
          <w:tcPr>
            <w:tcW w:w="1956" w:type="dxa"/>
            <w:vMerge w:val="restart"/>
          </w:tcPr>
          <w:p>
            <w:pPr>
              <w:pStyle w:val="yTable"/>
              <w:keepNext/>
              <w:keepLines/>
              <w:rPr>
                <w:sz w:val="20"/>
              </w:rPr>
            </w:pPr>
            <w:r>
              <w:rPr>
                <w:sz w:val="20"/>
              </w:rPr>
              <w:t>Department of Health</w:t>
            </w:r>
          </w:p>
        </w:tc>
        <w:tc>
          <w:tcPr>
            <w:tcW w:w="5132" w:type="dxa"/>
          </w:tcPr>
          <w:p>
            <w:pPr>
              <w:pStyle w:val="yTable"/>
              <w:ind w:left="209" w:hanging="209"/>
              <w:rPr>
                <w:sz w:val="20"/>
              </w:rPr>
            </w:pPr>
            <w:r>
              <w:rPr>
                <w:sz w:val="20"/>
              </w:rPr>
              <w:t>Aged Care Advisory Panel</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Anaesthetic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Fluoridation of Public Water Supplies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Food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Local Health Authorities Analytical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Maternal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Perinatal and Infant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Pesticides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Reproductive Technology Foundation</w:t>
            </w:r>
          </w:p>
        </w:tc>
      </w:tr>
      <w:tr>
        <w:trPr>
          <w:cantSplit/>
        </w:trPr>
        <w:tc>
          <w:tcPr>
            <w:tcW w:w="1956" w:type="dxa"/>
            <w:vMerge w:val="restart"/>
          </w:tcPr>
          <w:p>
            <w:pPr>
              <w:pStyle w:val="yTable"/>
              <w:keepNext/>
              <w:keepLines/>
              <w:rPr>
                <w:sz w:val="20"/>
              </w:rPr>
            </w:pPr>
            <w:r>
              <w:rPr>
                <w:sz w:val="20"/>
              </w:rPr>
              <w:t>Department of Housing and Works </w:t>
            </w:r>
            <w:r>
              <w:rPr>
                <w:sz w:val="20"/>
                <w:vertAlign w:val="superscript"/>
              </w:rPr>
              <w:t>7</w:t>
            </w:r>
          </w:p>
        </w:tc>
        <w:tc>
          <w:tcPr>
            <w:tcW w:w="5132" w:type="dxa"/>
          </w:tcPr>
          <w:p>
            <w:pPr>
              <w:pStyle w:val="yTable"/>
              <w:keepNext/>
              <w:keepLines/>
              <w:ind w:left="209" w:hanging="209"/>
              <w:rPr>
                <w:sz w:val="20"/>
              </w:rPr>
            </w:pPr>
            <w:r>
              <w:rPr>
                <w:sz w:val="20"/>
              </w:rPr>
              <w:t>Aboriginal Housing and Infrastructure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Architects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and Construction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Regulations Advisory Committee</w:t>
            </w:r>
          </w:p>
        </w:tc>
      </w:tr>
      <w:tr>
        <w:trPr>
          <w:cantSplit/>
          <w:del w:id="39" w:author="Master Repository Process" w:date="2026-03-25T09:32:00Z"/>
        </w:trPr>
        <w:tc>
          <w:tcPr>
            <w:tcW w:w="1956" w:type="dxa"/>
            <w:vMerge/>
          </w:tcPr>
          <w:p>
            <w:pPr>
              <w:pStyle w:val="yTable"/>
              <w:rPr>
                <w:del w:id="40" w:author="Master Repository Process" w:date="2026-03-25T09:32:00Z"/>
              </w:rPr>
            </w:pPr>
          </w:p>
        </w:tc>
        <w:tc>
          <w:tcPr>
            <w:tcW w:w="5132" w:type="dxa"/>
          </w:tcPr>
          <w:p>
            <w:pPr>
              <w:pStyle w:val="yTable"/>
              <w:ind w:left="209" w:hanging="209"/>
              <w:rPr>
                <w:del w:id="41" w:author="Master Repository Process" w:date="2026-03-25T09:32:00Z"/>
                <w:rFonts w:eastAsia="Arial Unicode MS"/>
              </w:rPr>
            </w:pPr>
            <w:del w:id="42" w:author="Master Repository Process" w:date="2026-03-25T09:32:00Z">
              <w:r>
                <w:rPr>
                  <w:sz w:val="20"/>
                </w:rPr>
                <w:delText>Country Housing Authority</w:delText>
              </w:r>
            </w:del>
          </w:p>
        </w:tc>
      </w:tr>
      <w:tr>
        <w:trPr>
          <w:cantSplit/>
          <w:del w:id="43" w:author="Master Repository Process" w:date="2026-03-25T09:32:00Z"/>
        </w:trPr>
        <w:tc>
          <w:tcPr>
            <w:tcW w:w="1956" w:type="dxa"/>
            <w:vMerge/>
          </w:tcPr>
          <w:p>
            <w:pPr>
              <w:pStyle w:val="yTable"/>
              <w:rPr>
                <w:del w:id="44" w:author="Master Repository Process" w:date="2026-03-25T09:32:00Z"/>
              </w:rPr>
            </w:pPr>
          </w:p>
        </w:tc>
        <w:tc>
          <w:tcPr>
            <w:tcW w:w="5132" w:type="dxa"/>
          </w:tcPr>
          <w:p>
            <w:pPr>
              <w:pStyle w:val="yTable"/>
              <w:ind w:left="209" w:hanging="209"/>
              <w:rPr>
                <w:del w:id="45" w:author="Master Repository Process" w:date="2026-03-25T09:32:00Z"/>
                <w:rFonts w:eastAsia="Arial Unicode MS"/>
              </w:rPr>
            </w:pPr>
            <w:del w:id="46" w:author="Master Repository Process" w:date="2026-03-25T09:32:00Z">
              <w:r>
                <w:rPr>
                  <w:sz w:val="20"/>
                </w:rPr>
                <w:delText>Keystart Board of Directors</w:delText>
              </w:r>
            </w:del>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Municipal Building Surveyors Qualifications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Housing Review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Regional Appeals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Building Management Authority</w:t>
            </w:r>
          </w:p>
        </w:tc>
      </w:tr>
      <w:tr>
        <w:trPr>
          <w:cantSplit/>
        </w:trPr>
        <w:tc>
          <w:tcPr>
            <w:tcW w:w="1956" w:type="dxa"/>
            <w:vMerge w:val="restart"/>
          </w:tcPr>
          <w:p>
            <w:pPr>
              <w:pStyle w:val="yTable"/>
              <w:rPr>
                <w:sz w:val="20"/>
              </w:rPr>
            </w:pPr>
            <w:r>
              <w:rPr>
                <w:sz w:val="20"/>
              </w:rPr>
              <w:t>Department of Indigenous Affairs</w:t>
            </w:r>
            <w:r>
              <w:rPr>
                <w:sz w:val="20"/>
                <w:vertAlign w:val="superscript"/>
              </w:rPr>
              <w:t> 8</w:t>
            </w:r>
          </w:p>
        </w:tc>
        <w:tc>
          <w:tcPr>
            <w:tcW w:w="5132" w:type="dxa"/>
          </w:tcPr>
          <w:p>
            <w:pPr>
              <w:pStyle w:val="yTable"/>
              <w:ind w:left="209" w:hanging="209"/>
              <w:rPr>
                <w:rFonts w:eastAsia="Arial Unicode MS"/>
              </w:rPr>
            </w:pPr>
            <w:r>
              <w:rPr>
                <w:sz w:val="20"/>
              </w:rPr>
              <w:t>Aboriginal Cultural Material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Aboriginal Lands Trust</w:t>
            </w:r>
          </w:p>
        </w:tc>
      </w:tr>
      <w:tr>
        <w:trPr>
          <w:cantSplit/>
        </w:trPr>
        <w:tc>
          <w:tcPr>
            <w:tcW w:w="1956" w:type="dxa"/>
            <w:vMerge w:val="restart"/>
          </w:tcPr>
          <w:p>
            <w:pPr>
              <w:pStyle w:val="yTable"/>
              <w:rPr>
                <w:i/>
                <w:sz w:val="20"/>
              </w:rPr>
            </w:pPr>
            <w:r>
              <w:rPr>
                <w:sz w:val="20"/>
              </w:rPr>
              <w:t>Department of Industry and Resources</w:t>
            </w:r>
            <w:r>
              <w:rPr>
                <w:sz w:val="20"/>
                <w:vertAlign w:val="superscript"/>
              </w:rPr>
              <w:t> 9</w:t>
            </w:r>
          </w:p>
        </w:tc>
        <w:tc>
          <w:tcPr>
            <w:tcW w:w="5132" w:type="dxa"/>
          </w:tcPr>
          <w:p>
            <w:pPr>
              <w:pStyle w:val="yTable"/>
              <w:ind w:left="209" w:hanging="209"/>
              <w:rPr>
                <w:sz w:val="20"/>
              </w:rPr>
            </w:pPr>
            <w:r>
              <w:rPr>
                <w:sz w:val="20"/>
              </w:rPr>
              <w:t>Centre of Excellence State Funding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Accident Relief Fund Trust</w:t>
            </w:r>
          </w:p>
        </w:tc>
      </w:tr>
      <w:tr>
        <w:trPr>
          <w:cantSplit/>
        </w:trPr>
        <w:tc>
          <w:tcPr>
            <w:tcW w:w="1956" w:type="dxa"/>
            <w:vMerge/>
          </w:tcPr>
          <w:p>
            <w:pPr>
              <w:pStyle w:val="yTable"/>
            </w:pPr>
          </w:p>
        </w:tc>
        <w:tc>
          <w:tcPr>
            <w:tcW w:w="5132" w:type="dxa"/>
          </w:tcPr>
          <w:p>
            <w:pPr>
              <w:pStyle w:val="yTable"/>
              <w:ind w:left="209" w:hanging="209"/>
              <w:rPr>
                <w:sz w:val="20"/>
              </w:rPr>
            </w:pPr>
            <w:r>
              <w:rPr>
                <w:sz w:val="20"/>
              </w:rPr>
              <w:t>Coal Miners Welfare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Miners Phthisis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Science, Technology and Innovation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Oil and Gas Industry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Manufacturing Industry Council</w:t>
            </w:r>
          </w:p>
        </w:tc>
      </w:tr>
      <w:tr>
        <w:trPr>
          <w:cantSplit/>
        </w:trPr>
        <w:tc>
          <w:tcPr>
            <w:tcW w:w="1956" w:type="dxa"/>
            <w:vMerge w:val="restart"/>
          </w:tcPr>
          <w:p>
            <w:pPr>
              <w:pStyle w:val="yTable"/>
              <w:keepNext/>
              <w:rPr>
                <w:sz w:val="20"/>
              </w:rPr>
            </w:pPr>
            <w:r>
              <w:rPr>
                <w:sz w:val="20"/>
              </w:rPr>
              <w:t>Department of Local Government and Regional Development</w:t>
            </w:r>
            <w:r>
              <w:rPr>
                <w:sz w:val="20"/>
                <w:vertAlign w:val="superscript"/>
              </w:rPr>
              <w:t> 10</w:t>
            </w:r>
          </w:p>
        </w:tc>
        <w:tc>
          <w:tcPr>
            <w:tcW w:w="5132" w:type="dxa"/>
          </w:tcPr>
          <w:p>
            <w:pPr>
              <w:pStyle w:val="yTable"/>
              <w:ind w:left="209" w:hanging="209"/>
              <w:rPr>
                <w:rFonts w:eastAsia="Arial Unicode MS"/>
              </w:rPr>
            </w:pPr>
            <w:r>
              <w:rPr>
                <w:sz w:val="20"/>
              </w:rPr>
              <w:t>Caravan Parks and Camping Grounds Advisory Committee</w:t>
            </w:r>
          </w:p>
        </w:tc>
      </w:tr>
      <w:tr>
        <w:trPr>
          <w:cantSplit/>
        </w:trPr>
        <w:tc>
          <w:tcPr>
            <w:tcW w:w="1956" w:type="dxa"/>
            <w:vMerge/>
          </w:tcPr>
          <w:p>
            <w:pPr>
              <w:pStyle w:val="yTable"/>
              <w:keepNext/>
            </w:pPr>
          </w:p>
        </w:tc>
        <w:tc>
          <w:tcPr>
            <w:tcW w:w="5132"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956" w:type="dxa"/>
            <w:vMerge/>
          </w:tcPr>
          <w:p>
            <w:pPr>
              <w:pStyle w:val="yTable"/>
              <w:keepNext/>
            </w:pPr>
          </w:p>
        </w:tc>
        <w:tc>
          <w:tcPr>
            <w:tcW w:w="5132" w:type="dxa"/>
          </w:tcPr>
          <w:p>
            <w:pPr>
              <w:pStyle w:val="yTable"/>
              <w:keepNext/>
              <w:ind w:left="209" w:hanging="209"/>
              <w:rPr>
                <w:sz w:val="20"/>
              </w:rPr>
            </w:pPr>
            <w:r>
              <w:rPr>
                <w:sz w:val="20"/>
              </w:rPr>
              <w:t>Local Government Advisory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Regional Development Council</w:t>
            </w:r>
          </w:p>
        </w:tc>
      </w:tr>
      <w:tr>
        <w:trPr>
          <w:cantSplit/>
        </w:trPr>
        <w:tc>
          <w:tcPr>
            <w:tcW w:w="1956" w:type="dxa"/>
            <w:vMerge/>
          </w:tcPr>
          <w:p>
            <w:pPr>
              <w:pStyle w:val="yTable"/>
            </w:pPr>
          </w:p>
        </w:tc>
        <w:tc>
          <w:tcPr>
            <w:tcW w:w="5132" w:type="dxa"/>
          </w:tcPr>
          <w:p>
            <w:pPr>
              <w:pStyle w:val="yTable"/>
              <w:keepNext/>
              <w:ind w:left="210" w:hanging="210"/>
              <w:rPr>
                <w:rFonts w:eastAsia="Arial Unicode MS"/>
              </w:rPr>
            </w:pPr>
            <w:r>
              <w:rPr>
                <w:sz w:val="20"/>
              </w:rPr>
              <w:t>Rural, Remote and Regional Women’s Network</w:t>
            </w:r>
          </w:p>
        </w:tc>
      </w:tr>
      <w:tr>
        <w:trPr>
          <w:cantSplit/>
        </w:trPr>
        <w:tc>
          <w:tcPr>
            <w:tcW w:w="1956" w:type="dxa"/>
            <w:vMerge/>
          </w:tcPr>
          <w:p>
            <w:pPr>
              <w:pStyle w:val="yTable"/>
            </w:pPr>
          </w:p>
        </w:tc>
        <w:tc>
          <w:tcPr>
            <w:tcW w:w="5132" w:type="dxa"/>
          </w:tcPr>
          <w:p>
            <w:pPr>
              <w:pStyle w:val="yTable"/>
              <w:keepNext/>
              <w:ind w:left="210" w:hanging="210"/>
              <w:rPr>
                <w:rFonts w:eastAsia="Arial Unicode MS"/>
              </w:rPr>
            </w:pPr>
            <w:r>
              <w:rPr>
                <w:sz w:val="20"/>
              </w:rPr>
              <w:t>WA Local Government Grants Commission</w:t>
            </w:r>
          </w:p>
        </w:tc>
      </w:tr>
      <w:tr>
        <w:trPr>
          <w:cantSplit/>
        </w:trPr>
        <w:tc>
          <w:tcPr>
            <w:tcW w:w="1956" w:type="dxa"/>
            <w:vMerge/>
          </w:tcPr>
          <w:p>
            <w:pPr>
              <w:pStyle w:val="yTable"/>
              <w:rPr>
                <w:rFonts w:eastAsia="Arial Unicode MS"/>
              </w:rPr>
            </w:pPr>
          </w:p>
        </w:tc>
        <w:tc>
          <w:tcPr>
            <w:tcW w:w="5132" w:type="dxa"/>
          </w:tcPr>
          <w:p>
            <w:pPr>
              <w:pStyle w:val="yTable"/>
              <w:ind w:left="210" w:hanging="210"/>
              <w:rPr>
                <w:rFonts w:eastAsia="Arial Unicode MS"/>
              </w:rPr>
            </w:pPr>
            <w:r>
              <w:rPr>
                <w:sz w:val="20"/>
              </w:rPr>
              <w:t>WA Telecentre Advisory Board</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Western Australian Local Government Grants Commission</w:t>
            </w:r>
          </w:p>
        </w:tc>
      </w:tr>
      <w:tr>
        <w:tblPrEx>
          <w:tblLook w:val="04A0" w:firstRow="1" w:lastRow="0" w:firstColumn="1" w:lastColumn="0" w:noHBand="0" w:noVBand="1"/>
        </w:tblPrEx>
        <w:trPr>
          <w:cantSplit/>
        </w:trPr>
        <w:tc>
          <w:tcPr>
            <w:tcW w:w="1956" w:type="dxa"/>
            <w:vMerge w:val="restart"/>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Department of Mines, Industry Regulation and Safety</w:t>
            </w: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Charitable Collections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Coal Industry Tribunal of Western Australia</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Consumer Products Safety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Electrical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Land Valuers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Mines and Petroleum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Motor Vehicle Industry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Plumbers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Retail Shops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
              <w:ind w:left="209" w:hanging="209"/>
              <w:rPr>
                <w:sz w:val="20"/>
              </w:rPr>
            </w:pPr>
            <w:r>
              <w:rPr>
                <w:sz w:val="20"/>
              </w:rPr>
              <w:t>Work Health and Safety Commission</w:t>
            </w:r>
          </w:p>
        </w:tc>
      </w:tr>
      <w:tr>
        <w:trPr>
          <w:cantSplit/>
        </w:trPr>
        <w:tc>
          <w:tcPr>
            <w:tcW w:w="1956" w:type="dxa"/>
            <w:vMerge w:val="restart"/>
          </w:tcPr>
          <w:p>
            <w:pPr>
              <w:pStyle w:val="yTable"/>
              <w:rPr>
                <w:i/>
                <w:sz w:val="20"/>
              </w:rPr>
            </w:pPr>
            <w:r>
              <w:rPr>
                <w:sz w:val="20"/>
              </w:rPr>
              <w:t>Department of Parks and Wildlife</w:t>
            </w:r>
          </w:p>
        </w:tc>
        <w:tc>
          <w:tcPr>
            <w:tcW w:w="5132" w:type="dxa"/>
          </w:tcPr>
          <w:p>
            <w:pPr>
              <w:pStyle w:val="yTable"/>
              <w:ind w:left="209" w:hanging="209"/>
              <w:rPr>
                <w:sz w:val="20"/>
              </w:rPr>
            </w:pPr>
            <w:r>
              <w:rPr>
                <w:sz w:val="20"/>
              </w:rPr>
              <w:t>Conservation Commission of Western Australia</w:t>
            </w:r>
          </w:p>
        </w:tc>
      </w:tr>
      <w:tr>
        <w:trPr>
          <w:cantSplit/>
        </w:trPr>
        <w:tc>
          <w:tcPr>
            <w:tcW w:w="1956" w:type="dxa"/>
            <w:vMerge/>
          </w:tcPr>
          <w:p>
            <w:pPr>
              <w:pStyle w:val="yTable"/>
            </w:pPr>
          </w:p>
        </w:tc>
        <w:tc>
          <w:tcPr>
            <w:tcW w:w="5132" w:type="dxa"/>
          </w:tcPr>
          <w:p>
            <w:pPr>
              <w:pStyle w:val="yTable"/>
              <w:ind w:left="209" w:hanging="209"/>
              <w:rPr>
                <w:sz w:val="20"/>
              </w:rPr>
            </w:pPr>
            <w:r>
              <w:rPr>
                <w:sz w:val="20"/>
              </w:rPr>
              <w:t>Marine Parks and Reserves Authority</w:t>
            </w:r>
          </w:p>
        </w:tc>
      </w:tr>
      <w:tr>
        <w:trPr>
          <w:cantSplit/>
        </w:trPr>
        <w:tc>
          <w:tcPr>
            <w:tcW w:w="1956" w:type="dxa"/>
            <w:vMerge/>
          </w:tcPr>
          <w:p>
            <w:pPr>
              <w:pStyle w:val="yTable"/>
            </w:pPr>
          </w:p>
        </w:tc>
        <w:tc>
          <w:tcPr>
            <w:tcW w:w="5132" w:type="dxa"/>
          </w:tcPr>
          <w:p>
            <w:pPr>
              <w:pStyle w:val="yTable"/>
              <w:ind w:left="209" w:hanging="209"/>
              <w:rPr>
                <w:sz w:val="20"/>
              </w:rPr>
            </w:pPr>
            <w:r>
              <w:rPr>
                <w:sz w:val="20"/>
              </w:rPr>
              <w:t>Marine Parks and Reserves Scientific Advisory Committee</w:t>
            </w:r>
          </w:p>
        </w:tc>
      </w:tr>
      <w:tr>
        <w:trPr>
          <w:cantSplit/>
        </w:trPr>
        <w:tc>
          <w:tcPr>
            <w:tcW w:w="1956" w:type="dxa"/>
            <w:vMerge/>
          </w:tcPr>
          <w:p>
            <w:pPr>
              <w:pStyle w:val="yTable"/>
            </w:pPr>
          </w:p>
        </w:tc>
        <w:tc>
          <w:tcPr>
            <w:tcW w:w="5132" w:type="dxa"/>
          </w:tcPr>
          <w:p>
            <w:pPr>
              <w:pStyle w:val="yTable"/>
              <w:ind w:left="209" w:hanging="209"/>
              <w:rPr>
                <w:sz w:val="20"/>
              </w:rPr>
            </w:pPr>
            <w:r>
              <w:rPr>
                <w:sz w:val="20"/>
              </w:rPr>
              <w:t>Swan River Trust</w:t>
            </w:r>
          </w:p>
        </w:tc>
      </w:tr>
      <w:tr>
        <w:trPr>
          <w:cantSplit/>
        </w:trPr>
        <w:tc>
          <w:tcPr>
            <w:tcW w:w="1956" w:type="dxa"/>
            <w:vMerge w:val="restart"/>
          </w:tcPr>
          <w:p>
            <w:pPr>
              <w:pStyle w:val="yTable"/>
              <w:rPr>
                <w:sz w:val="20"/>
              </w:rPr>
            </w:pPr>
            <w:r>
              <w:rPr>
                <w:sz w:val="20"/>
              </w:rPr>
              <w:t>Department of Racing, Gaming and Liquor</w:t>
            </w:r>
          </w:p>
        </w:tc>
        <w:tc>
          <w:tcPr>
            <w:tcW w:w="5132" w:type="dxa"/>
          </w:tcPr>
          <w:p>
            <w:pPr>
              <w:pStyle w:val="yTable"/>
              <w:ind w:left="209" w:hanging="209"/>
              <w:rPr>
                <w:sz w:val="20"/>
              </w:rPr>
            </w:pPr>
            <w:r>
              <w:rPr>
                <w:sz w:val="20"/>
              </w:rPr>
              <w:t>Gaming and Wagering Commission of Western Australia</w:t>
            </w:r>
          </w:p>
        </w:tc>
      </w:tr>
      <w:tr>
        <w:trPr>
          <w:cantSplit/>
        </w:trPr>
        <w:tc>
          <w:tcPr>
            <w:tcW w:w="1956" w:type="dxa"/>
            <w:vMerge/>
          </w:tcPr>
          <w:p>
            <w:pPr>
              <w:pStyle w:val="yTable"/>
            </w:pPr>
          </w:p>
        </w:tc>
        <w:tc>
          <w:tcPr>
            <w:tcW w:w="5132" w:type="dxa"/>
          </w:tcPr>
          <w:p>
            <w:pPr>
              <w:pStyle w:val="yTable"/>
              <w:ind w:left="209" w:hanging="209"/>
              <w:rPr>
                <w:sz w:val="20"/>
              </w:rPr>
            </w:pPr>
            <w:r>
              <w:rPr>
                <w:sz w:val="20"/>
              </w:rPr>
              <w:t>Gaming Community Trust</w:t>
            </w:r>
          </w:p>
        </w:tc>
      </w:tr>
      <w:tr>
        <w:trPr>
          <w:cantSplit/>
        </w:trPr>
        <w:tc>
          <w:tcPr>
            <w:tcW w:w="1956" w:type="dxa"/>
            <w:vMerge/>
          </w:tcPr>
          <w:p>
            <w:pPr>
              <w:pStyle w:val="yTable"/>
            </w:pPr>
          </w:p>
        </w:tc>
        <w:tc>
          <w:tcPr>
            <w:tcW w:w="5132" w:type="dxa"/>
          </w:tcPr>
          <w:p>
            <w:pPr>
              <w:pStyle w:val="yTable"/>
              <w:ind w:left="209" w:hanging="209"/>
              <w:rPr>
                <w:sz w:val="20"/>
              </w:rPr>
            </w:pPr>
            <w:r>
              <w:rPr>
                <w:sz w:val="20"/>
              </w:rPr>
              <w:t>Problem Gambling Support Services Committee</w:t>
            </w:r>
          </w:p>
        </w:tc>
      </w:tr>
      <w:tr>
        <w:trPr>
          <w:cantSplit/>
        </w:trPr>
        <w:tc>
          <w:tcPr>
            <w:tcW w:w="1956" w:type="dxa"/>
            <w:vMerge/>
          </w:tcPr>
          <w:p>
            <w:pPr>
              <w:pStyle w:val="yTable"/>
            </w:pPr>
          </w:p>
        </w:tc>
        <w:tc>
          <w:tcPr>
            <w:tcW w:w="5132" w:type="dxa"/>
          </w:tcPr>
          <w:p>
            <w:pPr>
              <w:pStyle w:val="yTable"/>
              <w:ind w:left="209" w:hanging="209"/>
              <w:rPr>
                <w:sz w:val="20"/>
              </w:rPr>
            </w:pPr>
            <w:r>
              <w:rPr>
                <w:sz w:val="20"/>
              </w:rPr>
              <w:t>Racing Penalties Appeal Tribunal</w:t>
            </w:r>
          </w:p>
        </w:tc>
      </w:tr>
      <w:tr>
        <w:trPr>
          <w:cantSplit/>
        </w:trPr>
        <w:tc>
          <w:tcPr>
            <w:tcW w:w="1956" w:type="dxa"/>
          </w:tcPr>
          <w:p>
            <w:pPr>
              <w:pStyle w:val="yTable"/>
              <w:rPr>
                <w:rFonts w:eastAsia="Arial Unicode MS"/>
              </w:rPr>
            </w:pPr>
            <w:r>
              <w:rPr>
                <w:rFonts w:eastAsia="Arial Unicode MS"/>
                <w:sz w:val="20"/>
              </w:rPr>
              <w:t>Department of Sport &amp; Recreation</w:t>
            </w:r>
          </w:p>
        </w:tc>
        <w:tc>
          <w:tcPr>
            <w:tcW w:w="5132" w:type="dxa"/>
          </w:tcPr>
          <w:p>
            <w:pPr>
              <w:pStyle w:val="yTable"/>
              <w:ind w:left="209" w:hanging="209"/>
              <w:rPr>
                <w:rFonts w:eastAsia="Arial Unicode MS"/>
              </w:rPr>
            </w:pPr>
            <w:r>
              <w:rPr>
                <w:sz w:val="20"/>
              </w:rPr>
              <w:t>Premier’s Physical Activity Taskforce</w:t>
            </w:r>
          </w:p>
        </w:tc>
      </w:tr>
      <w:tr>
        <w:tc>
          <w:tcPr>
            <w:tcW w:w="1956" w:type="dxa"/>
            <w:vMerge w:val="restart"/>
          </w:tcPr>
          <w:p>
            <w:pPr>
              <w:pStyle w:val="yTable"/>
              <w:keepNext/>
              <w:rPr>
                <w:rFonts w:eastAsia="Arial Unicode MS"/>
              </w:rPr>
            </w:pPr>
            <w:r>
              <w:rPr>
                <w:sz w:val="20"/>
              </w:rPr>
              <w:t>Department of the Attorney General</w:t>
            </w:r>
          </w:p>
        </w:tc>
        <w:tc>
          <w:tcPr>
            <w:tcW w:w="5132" w:type="dxa"/>
          </w:tcPr>
          <w:p>
            <w:pPr>
              <w:pStyle w:val="yTable"/>
              <w:keepNext/>
              <w:ind w:left="209" w:hanging="209"/>
              <w:rPr>
                <w:rFonts w:eastAsia="Arial Unicode MS"/>
              </w:rPr>
            </w:pPr>
            <w:r>
              <w:rPr>
                <w:sz w:val="20"/>
              </w:rPr>
              <w:t>Appeals Costs Board</w:t>
            </w:r>
          </w:p>
        </w:tc>
      </w:tr>
      <w:tr>
        <w:trPr>
          <w:cantSplit/>
        </w:trPr>
        <w:tc>
          <w:tcPr>
            <w:tcW w:w="1956" w:type="dxa"/>
            <w:vMerge/>
          </w:tcPr>
          <w:p>
            <w:pPr>
              <w:pStyle w:val="yTable"/>
              <w:keepNext/>
            </w:pPr>
          </w:p>
        </w:tc>
        <w:tc>
          <w:tcPr>
            <w:tcW w:w="5132" w:type="dxa"/>
          </w:tcPr>
          <w:p>
            <w:pPr>
              <w:pStyle w:val="yTable"/>
              <w:keepNext/>
              <w:ind w:left="209" w:hanging="209"/>
              <w:rPr>
                <w:sz w:val="20"/>
              </w:rPr>
            </w:pPr>
            <w:r>
              <w:rPr>
                <w:sz w:val="20"/>
              </w:rPr>
              <w:t xml:space="preserve">Chief Assessor and Assessors under the </w:t>
            </w:r>
            <w:r>
              <w:rPr>
                <w:i/>
                <w:iCs/>
                <w:sz w:val="20"/>
              </w:rPr>
              <w:t>Criminal Injuries Compensation Act 1985</w:t>
            </w:r>
          </w:p>
        </w:tc>
      </w:tr>
      <w:tr>
        <w:trPr>
          <w:cantSplit/>
        </w:trPr>
        <w:tc>
          <w:tcPr>
            <w:tcW w:w="1956" w:type="dxa"/>
            <w:vMerge/>
          </w:tcPr>
          <w:p>
            <w:pPr>
              <w:pStyle w:val="yTable"/>
              <w:keepNext/>
              <w:rPr>
                <w:rFonts w:eastAsia="Arial Unicode MS"/>
              </w:rPr>
            </w:pPr>
          </w:p>
        </w:tc>
        <w:tc>
          <w:tcPr>
            <w:tcW w:w="5132" w:type="dxa"/>
          </w:tcPr>
          <w:p>
            <w:pPr>
              <w:pStyle w:val="yTable"/>
              <w:keepNext/>
              <w:ind w:left="209" w:hanging="209"/>
              <w:rPr>
                <w:rFonts w:eastAsia="Arial Unicode MS"/>
              </w:rPr>
            </w:pPr>
            <w:r>
              <w:rPr>
                <w:sz w:val="20"/>
              </w:rPr>
              <w:t>Children’s Court of Western Australia</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Coroner’s Court of Western Australia</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Family Court of Western Australia</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Gender Reassignment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Law Reporting Advisory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Magistrates Court</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Mental Impairment Review Tribunal</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Professional Standards Council</w:t>
            </w:r>
          </w:p>
        </w:tc>
      </w:tr>
      <w:tr>
        <w:trPr>
          <w:cantSplit/>
        </w:trPr>
        <w:tc>
          <w:tcPr>
            <w:tcW w:w="1956" w:type="dxa"/>
            <w:vMerge/>
          </w:tcPr>
          <w:p>
            <w:pPr>
              <w:pStyle w:val="yTable"/>
              <w:keepNext/>
            </w:pPr>
          </w:p>
        </w:tc>
        <w:tc>
          <w:tcPr>
            <w:tcW w:w="5132" w:type="dxa"/>
          </w:tcPr>
          <w:p>
            <w:pPr>
              <w:pStyle w:val="yTable"/>
              <w:keepNext/>
              <w:ind w:left="209" w:hanging="209"/>
              <w:rPr>
                <w:sz w:val="20"/>
              </w:rPr>
            </w:pPr>
            <w:r>
              <w:rPr>
                <w:sz w:val="20"/>
              </w:rPr>
              <w:t>Supreme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The District Court of Western Australia</w:t>
            </w:r>
          </w:p>
        </w:tc>
      </w:tr>
      <w:tr>
        <w:trPr>
          <w:cantSplit/>
        </w:trPr>
        <w:tc>
          <w:tcPr>
            <w:tcW w:w="1956" w:type="dxa"/>
            <w:vMerge w:val="restart"/>
          </w:tcPr>
          <w:p>
            <w:pPr>
              <w:pStyle w:val="yTable"/>
              <w:rPr>
                <w:sz w:val="20"/>
              </w:rPr>
            </w:pPr>
            <w:r>
              <w:rPr>
                <w:sz w:val="20"/>
              </w:rPr>
              <w:t>Department of the Premier and Cabinet</w:t>
            </w:r>
          </w:p>
        </w:tc>
        <w:tc>
          <w:tcPr>
            <w:tcW w:w="5132" w:type="dxa"/>
          </w:tcPr>
          <w:p>
            <w:pPr>
              <w:pStyle w:val="yTable"/>
              <w:ind w:left="209" w:hanging="209"/>
              <w:rPr>
                <w:rFonts w:eastAsia="Arial Unicode MS"/>
              </w:rPr>
            </w:pPr>
            <w:r>
              <w:rPr>
                <w:sz w:val="20"/>
              </w:rPr>
              <w:t>Completed Royal Commissions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w:t>
            </w:r>
          </w:p>
        </w:tc>
      </w:tr>
      <w:tr>
        <w:trPr>
          <w:cantSplit/>
        </w:trPr>
        <w:tc>
          <w:tcPr>
            <w:tcW w:w="1956" w:type="dxa"/>
            <w:vMerge/>
          </w:tcPr>
          <w:p>
            <w:pPr>
              <w:pStyle w:val="yTable"/>
            </w:pPr>
          </w:p>
        </w:tc>
        <w:tc>
          <w:tcPr>
            <w:tcW w:w="5132" w:type="dxa"/>
          </w:tcPr>
          <w:p>
            <w:pPr>
              <w:pStyle w:val="yTable"/>
              <w:ind w:left="209" w:hanging="209"/>
              <w:rPr>
                <w:sz w:val="20"/>
              </w:rPr>
            </w:pPr>
            <w:r>
              <w:rPr>
                <w:sz w:val="20"/>
              </w:rPr>
              <w:t>Constitutional Centre of Western Australia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European, North Asia and Middle East Offices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Infrastructure WA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e</w:t>
            </w:r>
            <w:r>
              <w:rPr>
                <w:sz w:val="20"/>
              </w:rPr>
              <w:noBreakHyphen/>
              <w:t>Government</w:t>
            </w:r>
          </w:p>
        </w:tc>
      </w:tr>
      <w:tr>
        <w:trPr>
          <w:cantSplit/>
        </w:trPr>
        <w:tc>
          <w:tcPr>
            <w:tcW w:w="1956" w:type="dxa"/>
            <w:vMerge/>
          </w:tcPr>
          <w:p>
            <w:pPr>
              <w:pStyle w:val="yTable"/>
            </w:pPr>
          </w:p>
        </w:tc>
        <w:tc>
          <w:tcPr>
            <w:tcW w:w="5132" w:type="dxa"/>
          </w:tcPr>
          <w:p>
            <w:pPr>
              <w:pStyle w:val="yTable"/>
              <w:ind w:left="209" w:hanging="209"/>
              <w:rPr>
                <w:sz w:val="20"/>
              </w:rPr>
            </w:pPr>
            <w:r>
              <w:rPr>
                <w:sz w:val="20"/>
              </w:rPr>
              <w:t>Office of Road Safety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the Premier</w:t>
            </w:r>
          </w:p>
        </w:tc>
      </w:tr>
      <w:tr>
        <w:trPr>
          <w:cantSplit/>
        </w:trPr>
        <w:tc>
          <w:tcPr>
            <w:tcW w:w="1956" w:type="dxa"/>
            <w:vMerge w:val="restart"/>
          </w:tcPr>
          <w:p>
            <w:pPr>
              <w:pStyle w:val="yTableNAm"/>
              <w:spacing w:before="60"/>
            </w:pPr>
            <w:r>
              <w:rPr>
                <w:sz w:val="20"/>
              </w:rPr>
              <w:t>Department of Training and Workforce Development</w:t>
            </w:r>
          </w:p>
        </w:tc>
        <w:tc>
          <w:tcPr>
            <w:tcW w:w="5132" w:type="dxa"/>
          </w:tcPr>
          <w:p>
            <w:pPr>
              <w:pStyle w:val="yTable"/>
              <w:ind w:left="209" w:hanging="209"/>
              <w:rPr>
                <w:rFonts w:eastAsia="Arial Unicode MS"/>
              </w:rPr>
            </w:pPr>
            <w:r>
              <w:rPr>
                <w:sz w:val="20"/>
              </w:rPr>
              <w:t>Division of Industrial Training</w:t>
            </w:r>
          </w:p>
        </w:tc>
      </w:tr>
      <w:tr>
        <w:trPr>
          <w:cantSplit/>
        </w:trPr>
        <w:tc>
          <w:tcPr>
            <w:tcW w:w="1956" w:type="dxa"/>
            <w:vMerge/>
          </w:tcPr>
          <w:p>
            <w:pPr>
              <w:pStyle w:val="yTableNAm"/>
            </w:pPr>
          </w:p>
        </w:tc>
        <w:tc>
          <w:tcPr>
            <w:tcW w:w="5132" w:type="dxa"/>
          </w:tcPr>
          <w:p>
            <w:pPr>
              <w:pStyle w:val="yTable"/>
              <w:ind w:left="209" w:hanging="209"/>
              <w:rPr>
                <w:rFonts w:eastAsia="Arial Unicode MS"/>
              </w:rPr>
            </w:pPr>
            <w:r>
              <w:rPr>
                <w:sz w:val="20"/>
              </w:rPr>
              <w:t>State Training Board</w:t>
            </w:r>
          </w:p>
        </w:tc>
      </w:tr>
      <w:tr>
        <w:trPr>
          <w:cantSplit/>
        </w:trPr>
        <w:tc>
          <w:tcPr>
            <w:tcW w:w="1956" w:type="dxa"/>
            <w:vMerge w:val="restart"/>
          </w:tcPr>
          <w:p>
            <w:pPr>
              <w:pStyle w:val="yTable"/>
              <w:rPr>
                <w:sz w:val="20"/>
                <w:highlight w:val="yellow"/>
              </w:rPr>
            </w:pPr>
            <w:r>
              <w:rPr>
                <w:sz w:val="20"/>
              </w:rPr>
              <w:t>Department of Treasury and Finance</w:t>
            </w:r>
            <w:r>
              <w:rPr>
                <w:sz w:val="20"/>
                <w:vertAlign w:val="superscript"/>
              </w:rPr>
              <w:t> 11</w:t>
            </w:r>
          </w:p>
        </w:tc>
        <w:tc>
          <w:tcPr>
            <w:tcW w:w="5132" w:type="dxa"/>
          </w:tcPr>
          <w:p>
            <w:pPr>
              <w:pStyle w:val="yTableNAm"/>
              <w:spacing w:before="60"/>
              <w:rPr>
                <w:rFonts w:eastAsia="Arial Unicode MS"/>
              </w:rPr>
            </w:pPr>
            <w:r>
              <w:rPr>
                <w:sz w:val="20"/>
              </w:rPr>
              <w:t>Anzac Day Trust</w:t>
            </w:r>
          </w:p>
        </w:tc>
      </w:tr>
      <w:tr>
        <w:trPr>
          <w:cantSplit/>
        </w:trPr>
        <w:tc>
          <w:tcPr>
            <w:tcW w:w="1956" w:type="dxa"/>
            <w:vMerge/>
          </w:tcPr>
          <w:p>
            <w:pPr>
              <w:pStyle w:val="yTable"/>
              <w:rPr>
                <w:rFonts w:eastAsia="Arial Unicode MS"/>
              </w:rPr>
            </w:pPr>
          </w:p>
        </w:tc>
        <w:tc>
          <w:tcPr>
            <w:tcW w:w="5132" w:type="dxa"/>
          </w:tcPr>
          <w:p>
            <w:pPr>
              <w:pStyle w:val="yTableNAm"/>
              <w:spacing w:before="60"/>
              <w:rPr>
                <w:rFonts w:eastAsia="Arial Unicode MS"/>
              </w:rPr>
            </w:pPr>
            <w:r>
              <w:rPr>
                <w:sz w:val="20"/>
              </w:rPr>
              <w:t>Office of Shared Services</w:t>
            </w:r>
          </w:p>
        </w:tc>
      </w:tr>
      <w:tr>
        <w:trPr>
          <w:cantSplit/>
        </w:trPr>
        <w:tc>
          <w:tcPr>
            <w:tcW w:w="1956" w:type="dxa"/>
            <w:vMerge w:val="restart"/>
          </w:tcPr>
          <w:p>
            <w:pPr>
              <w:pStyle w:val="yTable"/>
              <w:keepNext/>
              <w:rPr>
                <w:sz w:val="20"/>
              </w:rPr>
            </w:pPr>
            <w:r>
              <w:rPr>
                <w:sz w:val="20"/>
              </w:rPr>
              <w:t>Department of Water</w:t>
            </w:r>
          </w:p>
        </w:tc>
        <w:tc>
          <w:tcPr>
            <w:tcW w:w="5132" w:type="dxa"/>
          </w:tcPr>
          <w:p>
            <w:pPr>
              <w:pStyle w:val="yTable"/>
              <w:keepNext/>
              <w:ind w:left="209" w:hanging="209"/>
              <w:rPr>
                <w:sz w:val="20"/>
              </w:rPr>
            </w:pPr>
            <w:r>
              <w:rPr>
                <w:sz w:val="20"/>
              </w:rPr>
              <w:t>Avon Waterways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Broome Groundwater Advisory Committee</w:t>
            </w:r>
          </w:p>
        </w:tc>
      </w:tr>
      <w:tr>
        <w:trPr>
          <w:cantSplit/>
        </w:trPr>
        <w:tc>
          <w:tcPr>
            <w:tcW w:w="1956" w:type="dxa"/>
            <w:vMerge/>
          </w:tcPr>
          <w:p>
            <w:pPr>
              <w:pStyle w:val="yTable"/>
              <w:keepNext/>
              <w:rPr>
                <w:rFonts w:eastAsia="Arial Unicode MS"/>
              </w:rPr>
            </w:pPr>
          </w:p>
        </w:tc>
        <w:tc>
          <w:tcPr>
            <w:tcW w:w="5132" w:type="dxa"/>
          </w:tcPr>
          <w:p>
            <w:pPr>
              <w:pStyle w:val="yTable"/>
              <w:keepNext/>
              <w:ind w:left="209" w:hanging="209"/>
              <w:rPr>
                <w:sz w:val="20"/>
              </w:rPr>
            </w:pPr>
            <w:r>
              <w:rPr>
                <w:sz w:val="20"/>
              </w:rPr>
              <w:t>Canning – Wungong – Southern River Irrigation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Carnarvon Water Allocation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Cockburn Sound Management Council</w:t>
            </w:r>
          </w:p>
        </w:tc>
      </w:tr>
      <w:tr>
        <w:trPr>
          <w:cantSplit/>
        </w:trPr>
        <w:tc>
          <w:tcPr>
            <w:tcW w:w="1956" w:type="dxa"/>
            <w:vMerge/>
          </w:tcPr>
          <w:p>
            <w:pPr>
              <w:pStyle w:val="yTable"/>
              <w:keepNext/>
            </w:pPr>
          </w:p>
        </w:tc>
        <w:tc>
          <w:tcPr>
            <w:tcW w:w="5132" w:type="dxa"/>
          </w:tcPr>
          <w:p>
            <w:pPr>
              <w:pStyle w:val="yTable"/>
              <w:keepNext/>
              <w:keepLines/>
              <w:ind w:left="209" w:hanging="209"/>
              <w:rPr>
                <w:rFonts w:eastAsia="Arial Unicode MS"/>
              </w:rPr>
            </w:pPr>
            <w:r>
              <w:rPr>
                <w:sz w:val="20"/>
              </w:rPr>
              <w:t>Collie Salinity Catchment Recovery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Engineering Evaluation Initiative Steering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Flood Warning Consultative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Operations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Geographe Bay Catchment Council (GeoCatch)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Water Resources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Gnangara Coordinating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Leschenault Catchment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Peel Inlet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Premier’s Water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Coastal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Water Forum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Wanneroo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Salinity Catchment Recovery Team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Water Management Area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Water Resource Allocation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Whicher Water Resource Management Group</w:t>
            </w:r>
          </w:p>
        </w:tc>
      </w:tr>
      <w:tr>
        <w:trPr>
          <w:trHeight w:val="172"/>
        </w:trPr>
        <w:tc>
          <w:tcPr>
            <w:tcW w:w="1956" w:type="dxa"/>
          </w:tcPr>
          <w:p>
            <w:pPr>
              <w:pStyle w:val="yTable"/>
              <w:rPr>
                <w:rFonts w:eastAsia="Arial Unicode MS"/>
                <w:sz w:val="20"/>
              </w:rPr>
            </w:pPr>
            <w:r>
              <w:rPr>
                <w:sz w:val="20"/>
              </w:rPr>
              <w:t>Disability Services Commission</w:t>
            </w:r>
          </w:p>
        </w:tc>
        <w:tc>
          <w:tcPr>
            <w:tcW w:w="5132" w:type="dxa"/>
          </w:tcPr>
          <w:p>
            <w:pPr>
              <w:pStyle w:val="yTable"/>
              <w:ind w:left="209" w:hanging="209"/>
              <w:rPr>
                <w:rFonts w:eastAsia="Arial Unicode MS"/>
              </w:rPr>
            </w:pPr>
            <w:r>
              <w:rPr>
                <w:sz w:val="20"/>
              </w:rPr>
              <w:t xml:space="preserve">Advisory Council for Disability Services </w:t>
            </w:r>
          </w:p>
        </w:tc>
      </w:tr>
      <w:tr>
        <w:tc>
          <w:tcPr>
            <w:tcW w:w="1956" w:type="dxa"/>
          </w:tcPr>
          <w:p>
            <w:pPr>
              <w:pStyle w:val="yTable"/>
              <w:rPr>
                <w:rFonts w:eastAsia="Arial Unicode MS"/>
                <w:sz w:val="20"/>
              </w:rPr>
            </w:pPr>
            <w:r>
              <w:rPr>
                <w:sz w:val="20"/>
              </w:rPr>
              <w:t xml:space="preserve">Minister for the Environment </w:t>
            </w:r>
          </w:p>
        </w:tc>
        <w:tc>
          <w:tcPr>
            <w:tcW w:w="5132" w:type="dxa"/>
          </w:tcPr>
          <w:p>
            <w:pPr>
              <w:pStyle w:val="yTable"/>
              <w:ind w:left="209" w:hanging="209"/>
              <w:rPr>
                <w:rFonts w:eastAsia="Arial Unicode MS"/>
              </w:rPr>
            </w:pPr>
            <w:r>
              <w:rPr>
                <w:rFonts w:eastAsia="Arial Unicode MS"/>
                <w:sz w:val="20"/>
              </w:rPr>
              <w:t xml:space="preserve">Appeals Convenor for the </w:t>
            </w:r>
            <w:r>
              <w:rPr>
                <w:rFonts w:eastAsia="Arial Unicode MS"/>
                <w:i/>
                <w:sz w:val="20"/>
              </w:rPr>
              <w:t>Environmental Protection Act 1986</w:t>
            </w:r>
          </w:p>
        </w:tc>
      </w:tr>
      <w:tr>
        <w:tc>
          <w:tcPr>
            <w:tcW w:w="1956" w:type="dxa"/>
          </w:tcPr>
          <w:p>
            <w:pPr>
              <w:pStyle w:val="yTable"/>
              <w:keepNext/>
              <w:keepLines/>
              <w:rPr>
                <w:i/>
                <w:sz w:val="20"/>
              </w:rPr>
            </w:pPr>
            <w:r>
              <w:rPr>
                <w:sz w:val="20"/>
              </w:rPr>
              <w:t>Office of the Environmental Protection Authority</w:t>
            </w:r>
          </w:p>
        </w:tc>
        <w:tc>
          <w:tcPr>
            <w:tcW w:w="5132" w:type="dxa"/>
          </w:tcPr>
          <w:p>
            <w:pPr>
              <w:pStyle w:val="yTable"/>
              <w:ind w:left="209" w:hanging="209"/>
              <w:rPr>
                <w:rFonts w:eastAsia="Arial Unicode MS"/>
                <w:sz w:val="20"/>
              </w:rPr>
            </w:pPr>
            <w:r>
              <w:rPr>
                <w:rFonts w:eastAsia="Arial Unicode MS"/>
                <w:sz w:val="20"/>
              </w:rPr>
              <w:t>Environmental Protection Authority</w:t>
            </w:r>
          </w:p>
        </w:tc>
      </w:tr>
      <w:tr>
        <w:trPr>
          <w:cantSplit/>
        </w:trPr>
        <w:tc>
          <w:tcPr>
            <w:tcW w:w="1956" w:type="dxa"/>
            <w:vMerge w:val="restart"/>
          </w:tcPr>
          <w:p>
            <w:pPr>
              <w:pStyle w:val="yTable"/>
              <w:rPr>
                <w:sz w:val="20"/>
              </w:rPr>
            </w:pPr>
            <w:r>
              <w:rPr>
                <w:sz w:val="20"/>
              </w:rPr>
              <w:t>Office of Energy</w:t>
            </w:r>
            <w:r>
              <w:rPr>
                <w:sz w:val="20"/>
                <w:vertAlign w:val="superscript"/>
              </w:rPr>
              <w:t> 12</w:t>
            </w:r>
          </w:p>
        </w:tc>
        <w:tc>
          <w:tcPr>
            <w:tcW w:w="5132" w:type="dxa"/>
          </w:tcPr>
          <w:p>
            <w:pPr>
              <w:pStyle w:val="yTable"/>
              <w:ind w:left="209" w:hanging="209"/>
              <w:rPr>
                <w:rFonts w:eastAsia="Arial Unicode MS"/>
                <w:sz w:val="20"/>
              </w:rPr>
            </w:pPr>
            <w:r>
              <w:rPr>
                <w:sz w:val="20"/>
              </w:rPr>
              <w:t>Aboriginal and Remote Communities Power Supply Steering Committee</w:t>
            </w:r>
          </w:p>
        </w:tc>
      </w:tr>
      <w:tr>
        <w:trPr>
          <w:cantSplit/>
        </w:trPr>
        <w:tc>
          <w:tcPr>
            <w:tcW w:w="1956" w:type="dxa"/>
            <w:vMerge/>
          </w:tcPr>
          <w:p>
            <w:pPr>
              <w:pStyle w:val="yTable"/>
              <w:rPr>
                <w:rFonts w:eastAsia="Arial Unicode MS"/>
                <w:sz w:val="20"/>
              </w:rPr>
            </w:pPr>
          </w:p>
        </w:tc>
        <w:tc>
          <w:tcPr>
            <w:tcW w:w="5132" w:type="dxa"/>
          </w:tcPr>
          <w:p>
            <w:pPr>
              <w:pStyle w:val="yTable"/>
              <w:keepNext/>
              <w:keepLines/>
              <w:ind w:left="209" w:hanging="209"/>
              <w:rPr>
                <w:rFonts w:eastAsia="Arial Unicode MS"/>
                <w:i/>
                <w:sz w:val="20"/>
              </w:rPr>
            </w:pPr>
            <w:r>
              <w:rPr>
                <w:sz w:val="20"/>
              </w:rPr>
              <w:t>Advisory Committee for Wind</w:t>
            </w:r>
            <w:r>
              <w:rPr>
                <w:sz w:val="20"/>
              </w:rPr>
              <w:noBreakHyphen/>
              <w:t>up of the Perth International Centre for the Application of Solar Energy</w:t>
            </w:r>
          </w:p>
        </w:tc>
      </w:tr>
      <w:tr>
        <w:trPr>
          <w:cantSplit/>
        </w:trPr>
        <w:tc>
          <w:tcPr>
            <w:tcW w:w="1956" w:type="dxa"/>
            <w:vMerge/>
          </w:tcPr>
          <w:p>
            <w:pPr>
              <w:pStyle w:val="yTable"/>
              <w:rPr>
                <w:highlight w:val="yellow"/>
              </w:rPr>
            </w:pPr>
          </w:p>
        </w:tc>
        <w:tc>
          <w:tcPr>
            <w:tcW w:w="5132" w:type="dxa"/>
          </w:tcPr>
          <w:p>
            <w:pPr>
              <w:pStyle w:val="yTable"/>
              <w:ind w:left="209" w:hanging="209"/>
              <w:rPr>
                <w:sz w:val="20"/>
              </w:rPr>
            </w:pPr>
            <w:r>
              <w:rPr>
                <w:sz w:val="20"/>
              </w:rPr>
              <w:t>Ministerial Advisory Committee on Electricity Supply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Perth International Centre for Application of Solar Energy</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State Underground Power Steering Committee</w:t>
            </w:r>
          </w:p>
        </w:tc>
      </w:tr>
      <w:tr>
        <w:tc>
          <w:tcPr>
            <w:tcW w:w="1956" w:type="dxa"/>
          </w:tcPr>
          <w:p>
            <w:pPr>
              <w:pStyle w:val="yTable"/>
              <w:rPr>
                <w:rFonts w:eastAsia="Arial Unicode MS"/>
                <w:sz w:val="20"/>
              </w:rPr>
            </w:pPr>
            <w:r>
              <w:rPr>
                <w:sz w:val="20"/>
              </w:rPr>
              <w:t>Public Transport Authority of Western Australia</w:t>
            </w:r>
          </w:p>
        </w:tc>
        <w:tc>
          <w:tcPr>
            <w:tcW w:w="5132" w:type="dxa"/>
          </w:tcPr>
          <w:p>
            <w:pPr>
              <w:pStyle w:val="yTable"/>
              <w:ind w:left="209" w:hanging="209"/>
              <w:rPr>
                <w:rFonts w:eastAsia="Arial Unicode MS"/>
                <w:sz w:val="20"/>
              </w:rPr>
            </w:pPr>
            <w:r>
              <w:rPr>
                <w:sz w:val="20"/>
              </w:rPr>
              <w:t xml:space="preserve">Railway Appeal Board </w:t>
            </w:r>
          </w:p>
        </w:tc>
      </w:tr>
      <w:tr>
        <w:tc>
          <w:tcPr>
            <w:tcW w:w="1956" w:type="dxa"/>
            <w:vMerge w:val="restart"/>
          </w:tcPr>
          <w:p>
            <w:pPr>
              <w:pStyle w:val="yTable"/>
              <w:keepNext/>
              <w:keepLines/>
              <w:rPr>
                <w:sz w:val="20"/>
              </w:rPr>
            </w:pPr>
            <w:r>
              <w:rPr>
                <w:sz w:val="20"/>
              </w:rPr>
              <w:t>Western Australian Industrial Relations Commission</w:t>
            </w:r>
          </w:p>
        </w:tc>
        <w:tc>
          <w:tcPr>
            <w:tcW w:w="5132" w:type="dxa"/>
          </w:tcPr>
          <w:p>
            <w:pPr>
              <w:pStyle w:val="yTable"/>
              <w:ind w:left="209" w:hanging="209"/>
              <w:rPr>
                <w:rFonts w:eastAsia="Arial Unicode MS"/>
                <w:sz w:val="20"/>
              </w:rPr>
            </w:pPr>
            <w:r>
              <w:rPr>
                <w:sz w:val="20"/>
              </w:rPr>
              <w:t>Board of Reference (</w:t>
            </w:r>
            <w:r>
              <w:rPr>
                <w:i/>
                <w:sz w:val="20"/>
              </w:rPr>
              <w:t>Construction Industry Portable Paid Long Service Leave Act 1985</w:t>
            </w:r>
            <w:r>
              <w:rPr>
                <w:sz w:val="20"/>
              </w:rPr>
              <w:t>)</w:t>
            </w:r>
          </w:p>
        </w:tc>
      </w:tr>
      <w:tr>
        <w:trPr>
          <w:cantSplit/>
        </w:trPr>
        <w:tc>
          <w:tcPr>
            <w:tcW w:w="1956" w:type="dxa"/>
            <w:vMerge/>
          </w:tcPr>
          <w:p>
            <w:pPr>
              <w:pStyle w:val="yTable"/>
            </w:pPr>
          </w:p>
        </w:tc>
        <w:tc>
          <w:tcPr>
            <w:tcW w:w="5132" w:type="dxa"/>
          </w:tcPr>
          <w:p>
            <w:pPr>
              <w:pStyle w:val="yTable"/>
              <w:keepNext/>
              <w:ind w:left="209" w:hanging="209"/>
              <w:rPr>
                <w:rFonts w:eastAsia="Arial Unicode MS"/>
                <w:sz w:val="20"/>
              </w:rPr>
            </w:pPr>
            <w:r>
              <w:rPr>
                <w:sz w:val="20"/>
              </w:rPr>
              <w:t>Board of Reference (</w:t>
            </w:r>
            <w:r>
              <w:rPr>
                <w:i/>
                <w:iCs/>
                <w:sz w:val="20"/>
              </w:rPr>
              <w:t>Industrial Relations Act 1979</w:t>
            </w:r>
            <w:r>
              <w:rPr>
                <w:sz w:val="20"/>
              </w:rPr>
              <w:t>)</w:t>
            </w:r>
          </w:p>
        </w:tc>
      </w:tr>
      <w:tr>
        <w:trPr>
          <w:cantSplit/>
        </w:trPr>
        <w:tc>
          <w:tcPr>
            <w:tcW w:w="1956" w:type="dxa"/>
            <w:vMerge/>
          </w:tcPr>
          <w:p>
            <w:pPr>
              <w:pStyle w:val="yTable"/>
            </w:pPr>
          </w:p>
        </w:tc>
        <w:tc>
          <w:tcPr>
            <w:tcW w:w="5132" w:type="dxa"/>
          </w:tcPr>
          <w:p>
            <w:pPr>
              <w:pStyle w:val="yTable"/>
              <w:keepNext/>
              <w:keepLines/>
              <w:ind w:left="209" w:hanging="209"/>
              <w:rPr>
                <w:sz w:val="20"/>
              </w:rPr>
            </w:pPr>
            <w:r>
              <w:rPr>
                <w:sz w:val="20"/>
              </w:rPr>
              <w:t>Board of Reference (</w:t>
            </w:r>
            <w:r>
              <w:rPr>
                <w:i/>
                <w:iCs/>
                <w:sz w:val="20"/>
              </w:rPr>
              <w:t>Long Service Leave Act 1958</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Industrial Magistrates Court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Service Appeal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Service Arbitrator</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Railways Classification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WA Industrial Appeal Court</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Work Health and Safety Tribunal</w:t>
            </w:r>
          </w:p>
        </w:tc>
      </w:tr>
      <w:tr>
        <w:trPr>
          <w:cantSplit/>
        </w:trPr>
        <w:tc>
          <w:tcPr>
            <w:tcW w:w="1956" w:type="dxa"/>
            <w:vMerge w:val="restart"/>
          </w:tcPr>
          <w:p>
            <w:pPr>
              <w:pStyle w:val="yTable"/>
              <w:rPr>
                <w:sz w:val="20"/>
              </w:rPr>
            </w:pPr>
            <w:r>
              <w:rPr>
                <w:sz w:val="20"/>
              </w:rPr>
              <w:t>Western Australia Police</w:t>
            </w:r>
          </w:p>
        </w:tc>
        <w:tc>
          <w:tcPr>
            <w:tcW w:w="5132" w:type="dxa"/>
          </w:tcPr>
          <w:p>
            <w:pPr>
              <w:pStyle w:val="yTable"/>
              <w:ind w:left="209" w:hanging="209"/>
              <w:rPr>
                <w:rFonts w:eastAsia="Arial Unicode MS"/>
                <w:sz w:val="20"/>
              </w:rPr>
            </w:pPr>
            <w:r>
              <w:rPr>
                <w:sz w:val="20"/>
              </w:rPr>
              <w:t>Community Safety and Crime Prevention Council</w:t>
            </w:r>
          </w:p>
        </w:tc>
      </w:tr>
      <w:tr>
        <w:trPr>
          <w:cantSplit/>
        </w:trPr>
        <w:tc>
          <w:tcPr>
            <w:tcW w:w="1956" w:type="dxa"/>
            <w:vMerge/>
          </w:tcPr>
          <w:p>
            <w:pPr>
              <w:pStyle w:val="yTable"/>
              <w:rPr>
                <w:sz w:val="20"/>
              </w:rPr>
            </w:pPr>
          </w:p>
        </w:tc>
        <w:tc>
          <w:tcPr>
            <w:tcW w:w="5132" w:type="dxa"/>
          </w:tcPr>
          <w:p>
            <w:pPr>
              <w:pStyle w:val="yTable"/>
              <w:ind w:left="209" w:hanging="209"/>
              <w:rPr>
                <w:sz w:val="20"/>
              </w:rPr>
            </w:pPr>
            <w:r>
              <w:rPr>
                <w:sz w:val="20"/>
              </w:rPr>
              <w:t>Police Appeal Board</w:t>
            </w:r>
          </w:p>
        </w:tc>
      </w:tr>
      <w:tr>
        <w:trPr>
          <w:cantSplit/>
        </w:trPr>
        <w:tc>
          <w:tcPr>
            <w:tcW w:w="1956" w:type="dxa"/>
            <w:vMerge/>
          </w:tcPr>
          <w:p>
            <w:pPr>
              <w:pStyle w:val="yTable"/>
              <w:rPr>
                <w:rFonts w:eastAsia="Arial Unicode MS"/>
              </w:rPr>
            </w:pPr>
          </w:p>
        </w:tc>
        <w:tc>
          <w:tcPr>
            <w:tcW w:w="5132" w:type="dxa"/>
          </w:tcPr>
          <w:p>
            <w:pPr>
              <w:pStyle w:val="yTable"/>
              <w:ind w:left="209" w:hanging="209"/>
              <w:rPr>
                <w:sz w:val="20"/>
              </w:rPr>
            </w:pPr>
            <w:r>
              <w:rPr>
                <w:sz w:val="20"/>
              </w:rPr>
              <w:t>Western Australian Police Historical Society</w:t>
            </w:r>
          </w:p>
        </w:tc>
      </w:tr>
      <w:tr>
        <w:trPr>
          <w:cantSplit/>
        </w:trPr>
        <w:tc>
          <w:tcPr>
            <w:tcW w:w="1956" w:type="dxa"/>
            <w:vMerge w:val="restart"/>
          </w:tcPr>
          <w:p>
            <w:pPr>
              <w:pStyle w:val="yTable"/>
              <w:keepNext/>
              <w:rPr>
                <w:sz w:val="20"/>
              </w:rPr>
            </w:pPr>
            <w:r>
              <w:rPr>
                <w:sz w:val="20"/>
              </w:rPr>
              <w:t>Western Australian Land Information Authority (Landgate)</w:t>
            </w:r>
          </w:p>
        </w:tc>
        <w:tc>
          <w:tcPr>
            <w:tcW w:w="5132" w:type="dxa"/>
          </w:tcPr>
          <w:p>
            <w:pPr>
              <w:pStyle w:val="yTable"/>
              <w:keepNext/>
              <w:ind w:left="209" w:hanging="209"/>
              <w:rPr>
                <w:rFonts w:eastAsia="Arial Unicode MS"/>
                <w:sz w:val="20"/>
              </w:rPr>
            </w:pPr>
            <w:r>
              <w:rPr>
                <w:rFonts w:eastAsia="Arial Unicode MS"/>
                <w:sz w:val="20"/>
              </w:rPr>
              <w:t>Geographic Names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sz w:val="20"/>
              </w:rPr>
            </w:pPr>
            <w:r>
              <w:rPr>
                <w:rFonts w:eastAsia="Arial Unicode MS"/>
                <w:sz w:val="20"/>
              </w:rPr>
              <w:t>Land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sz w:val="20"/>
              </w:rPr>
            </w:pPr>
            <w:r>
              <w:rPr>
                <w:rFonts w:eastAsia="Arial Unicode MS"/>
                <w:sz w:val="20"/>
              </w:rPr>
              <w:t>Land Surveyors Development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sz w:val="20"/>
              </w:rPr>
            </w:pPr>
            <w:r>
              <w:rPr>
                <w:rFonts w:eastAsia="Arial Unicode MS"/>
                <w:sz w:val="20"/>
              </w:rPr>
              <w:t>Land Surveyors Licensing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sz w:val="20"/>
              </w:rPr>
            </w:pPr>
            <w:r>
              <w:rPr>
                <w:rFonts w:eastAsia="Arial Unicode MS"/>
                <w:sz w:val="20"/>
              </w:rPr>
              <w:t>Pastoral Board</w:t>
            </w:r>
          </w:p>
        </w:tc>
      </w:tr>
      <w:tr>
        <w:trPr>
          <w:cantSplit/>
        </w:trPr>
        <w:tc>
          <w:tcPr>
            <w:tcW w:w="1956" w:type="dxa"/>
            <w:vMerge/>
          </w:tcPr>
          <w:p>
            <w:pPr>
              <w:pStyle w:val="yTable"/>
              <w:keepNext/>
            </w:pPr>
          </w:p>
        </w:tc>
        <w:tc>
          <w:tcPr>
            <w:tcW w:w="5132" w:type="dxa"/>
          </w:tcPr>
          <w:p>
            <w:pPr>
              <w:pStyle w:val="yTable"/>
              <w:keepNext/>
              <w:ind w:left="209" w:hanging="209"/>
              <w:rPr>
                <w:rFonts w:eastAsia="Arial Unicode MS"/>
                <w:sz w:val="20"/>
              </w:rPr>
            </w:pPr>
            <w:r>
              <w:rPr>
                <w:rFonts w:eastAsia="Arial Unicode MS"/>
                <w:sz w:val="20"/>
              </w:rPr>
              <w:t>Valuer General’s Office</w:t>
            </w:r>
          </w:p>
        </w:tc>
      </w:tr>
      <w:tr>
        <w:tc>
          <w:tcPr>
            <w:tcW w:w="1956" w:type="dxa"/>
          </w:tcPr>
          <w:p>
            <w:pPr>
              <w:pStyle w:val="yTable"/>
              <w:rPr>
                <w:rFonts w:eastAsia="Arial Unicode MS"/>
                <w:sz w:val="20"/>
              </w:rPr>
            </w:pPr>
            <w:r>
              <w:rPr>
                <w:sz w:val="20"/>
              </w:rPr>
              <w:t>WorkCover Western Australia Authority (Workcover WA)</w:t>
            </w:r>
          </w:p>
        </w:tc>
        <w:tc>
          <w:tcPr>
            <w:tcW w:w="5132" w:type="dxa"/>
          </w:tcPr>
          <w:p>
            <w:pPr>
              <w:pStyle w:val="yTable"/>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 SL 2022/5 r. 4; SL 2022/27 r. 6; SL 2022/97 r. 4; SL 2024/173 r. </w:t>
      </w:r>
      <w:ins w:id="47" w:author="Master Repository Process" w:date="2026-03-25T09:32:00Z">
        <w:r>
          <w:t>4; SL 2026/30 r. </w:t>
        </w:r>
      </w:ins>
      <w:r>
        <w:t>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49" w:name="_Toc224289804"/>
      <w:bookmarkStart w:id="50" w:name="_Toc224291240"/>
      <w:bookmarkStart w:id="51" w:name="_Toc224312193"/>
      <w:bookmarkStart w:id="52" w:name="_Toc225323254"/>
      <w:bookmarkStart w:id="53" w:name="_Toc175215011"/>
      <w:bookmarkStart w:id="54" w:name="_Toc175215484"/>
      <w:bookmarkStart w:id="55" w:name="_Toc175226322"/>
      <w:r>
        <w:t>Notes</w:t>
      </w:r>
      <w:bookmarkEnd w:id="49"/>
      <w:bookmarkEnd w:id="50"/>
      <w:bookmarkEnd w:id="51"/>
      <w:bookmarkEnd w:id="52"/>
      <w:bookmarkEnd w:id="53"/>
      <w:bookmarkEnd w:id="54"/>
      <w:bookmarkEnd w:id="55"/>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w:t>
      </w:r>
    </w:p>
    <w:p>
      <w:pPr>
        <w:pStyle w:val="nHeading3"/>
      </w:pPr>
      <w:bookmarkStart w:id="56" w:name="_Toc225323255"/>
      <w:bookmarkStart w:id="57" w:name="_Toc175226323"/>
      <w:r>
        <w:t>Compilation table</w:t>
      </w:r>
      <w:bookmarkEnd w:id="56"/>
      <w:bookmarkEnd w:id="5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58" w:name="RuleErr_8"/>
            <w:r>
              <w:rPr>
                <w:i/>
              </w:rPr>
              <w:t>Freedom of Information Amendment Regulations 2013</w:t>
            </w:r>
            <w:bookmarkEnd w:id="58"/>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rPr>
          <w:cantSplit/>
        </w:trPr>
        <w:tc>
          <w:tcPr>
            <w:tcW w:w="3118" w:type="dxa"/>
            <w:tcBorders>
              <w:top w:val="nil"/>
              <w:bottom w:val="nil"/>
            </w:tcBorders>
          </w:tcPr>
          <w:p>
            <w:pPr>
              <w:pStyle w:val="nTable"/>
              <w:spacing w:after="40"/>
              <w:rPr>
                <w:i/>
              </w:rPr>
            </w:pPr>
            <w:r>
              <w:rPr>
                <w:i/>
              </w:rPr>
              <w:t>Attorney General Regulations Amendment (Swan Valley Planning Scheme) Regulations 2021</w:t>
            </w:r>
            <w:r>
              <w:t xml:space="preserve"> Pt. 2</w:t>
            </w:r>
          </w:p>
        </w:tc>
        <w:tc>
          <w:tcPr>
            <w:tcW w:w="1276" w:type="dxa"/>
            <w:tcBorders>
              <w:top w:val="nil"/>
              <w:bottom w:val="nil"/>
            </w:tcBorders>
          </w:tcPr>
          <w:p>
            <w:pPr>
              <w:pStyle w:val="nTable"/>
              <w:keepNext/>
              <w:spacing w:after="40"/>
            </w:pPr>
            <w:r>
              <w:t>SL 2021/127</w:t>
            </w:r>
            <w:r>
              <w:br/>
              <w:t>16 Jul 2021</w:t>
            </w:r>
          </w:p>
        </w:tc>
        <w:tc>
          <w:tcPr>
            <w:tcW w:w="2693" w:type="dxa"/>
            <w:tcBorders>
              <w:top w:val="nil"/>
              <w:bottom w:val="nil"/>
            </w:tcBorders>
          </w:tcPr>
          <w:p>
            <w:pPr>
              <w:pStyle w:val="nTable"/>
              <w:keepNext/>
              <w:spacing w:after="40"/>
              <w:rPr>
                <w:snapToGrid w:val="0"/>
              </w:rPr>
            </w:pPr>
            <w:r>
              <w:t>1 Aug 2021 (see r. 2(b) and SL 2021/124 cl. 2)</w:t>
            </w:r>
          </w:p>
        </w:tc>
      </w:tr>
      <w:tr>
        <w:trPr>
          <w:cantSplit/>
        </w:trPr>
        <w:tc>
          <w:tcPr>
            <w:tcW w:w="3118" w:type="dxa"/>
            <w:tcBorders>
              <w:top w:val="nil"/>
              <w:bottom w:val="nil"/>
            </w:tcBorders>
          </w:tcPr>
          <w:p>
            <w:pPr>
              <w:pStyle w:val="nTable"/>
              <w:spacing w:after="40"/>
              <w:rPr>
                <w:i/>
              </w:rPr>
            </w:pPr>
            <w:r>
              <w:rPr>
                <w:i/>
              </w:rPr>
              <w:t>Freedom of Information Amendment Regulations 2022</w:t>
            </w:r>
          </w:p>
        </w:tc>
        <w:tc>
          <w:tcPr>
            <w:tcW w:w="1276" w:type="dxa"/>
            <w:tcBorders>
              <w:top w:val="nil"/>
              <w:bottom w:val="nil"/>
            </w:tcBorders>
          </w:tcPr>
          <w:p>
            <w:pPr>
              <w:pStyle w:val="nTable"/>
              <w:keepNext/>
              <w:spacing w:after="40"/>
            </w:pPr>
            <w:r>
              <w:t>SL 2022/5 18 Jan 2022</w:t>
            </w:r>
          </w:p>
        </w:tc>
        <w:tc>
          <w:tcPr>
            <w:tcW w:w="2693" w:type="dxa"/>
            <w:tcBorders>
              <w:top w:val="nil"/>
              <w:bottom w:val="nil"/>
            </w:tcBorders>
          </w:tcPr>
          <w:p>
            <w:pPr>
              <w:pStyle w:val="nTable"/>
              <w:keepNext/>
              <w:spacing w:after="40"/>
            </w:pPr>
            <w:r>
              <w:rPr>
                <w:snapToGrid w:val="0"/>
              </w:rPr>
              <w:t>r. 1 and 2: 18 Jan 2022 (see r. 2(a));</w:t>
            </w:r>
            <w:r>
              <w:rPr>
                <w:snapToGrid w:val="0"/>
              </w:rPr>
              <w:br/>
              <w:t xml:space="preserve">Regulations other than r. 1 and 2: </w:t>
            </w:r>
            <w:r>
              <w:t>1 Jul 2022 (see r. 2(b) and SL 2022/77 cl. 2)</w:t>
            </w:r>
          </w:p>
        </w:tc>
      </w:tr>
      <w:tr>
        <w:trPr>
          <w:cantSplit/>
        </w:trPr>
        <w:tc>
          <w:tcPr>
            <w:tcW w:w="3118" w:type="dxa"/>
            <w:tcBorders>
              <w:top w:val="nil"/>
              <w:bottom w:val="nil"/>
            </w:tcBorders>
          </w:tcPr>
          <w:p>
            <w:pPr>
              <w:pStyle w:val="nTable"/>
              <w:spacing w:after="40"/>
              <w:rPr>
                <w:i/>
              </w:rPr>
            </w:pPr>
            <w:r>
              <w:rPr>
                <w:i/>
              </w:rPr>
              <w:t>Attorney General Regulations Amendment (Work Health and Safety) Regulations 2022</w:t>
            </w:r>
            <w:r>
              <w:t xml:space="preserve"> Pt. 3</w:t>
            </w:r>
          </w:p>
        </w:tc>
        <w:tc>
          <w:tcPr>
            <w:tcW w:w="1276" w:type="dxa"/>
            <w:tcBorders>
              <w:top w:val="nil"/>
              <w:bottom w:val="nil"/>
            </w:tcBorders>
          </w:tcPr>
          <w:p>
            <w:pPr>
              <w:pStyle w:val="nTable"/>
              <w:keepNext/>
              <w:spacing w:after="40"/>
            </w:pPr>
            <w:r>
              <w:t>SL 2022/27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Attorney General Regulations Amendment (Veterinary Practice) Regulations 2022</w:t>
            </w:r>
            <w:r>
              <w:t xml:space="preserve"> Pt. 2</w:t>
            </w:r>
          </w:p>
        </w:tc>
        <w:tc>
          <w:tcPr>
            <w:tcW w:w="1276" w:type="dxa"/>
            <w:tcBorders>
              <w:top w:val="nil"/>
              <w:bottom w:val="nil"/>
            </w:tcBorders>
          </w:tcPr>
          <w:p>
            <w:pPr>
              <w:pStyle w:val="nTable"/>
              <w:keepNext/>
              <w:spacing w:after="40"/>
            </w:pPr>
            <w:r>
              <w:t>SL 2022/97 17 Jun 2022</w:t>
            </w:r>
          </w:p>
        </w:tc>
        <w:tc>
          <w:tcPr>
            <w:tcW w:w="2693" w:type="dxa"/>
            <w:tcBorders>
              <w:top w:val="nil"/>
              <w:bottom w:val="nil"/>
            </w:tcBorders>
          </w:tcPr>
          <w:p>
            <w:pPr>
              <w:pStyle w:val="nTable"/>
              <w:keepNext/>
              <w:spacing w:after="40"/>
            </w:pPr>
            <w:r>
              <w:rPr>
                <w:bCs/>
                <w:snapToGrid w:val="0"/>
              </w:rPr>
              <w:t>18 Jun 2022 (see r. 2(b) and SL 2022/81 cl. 2)</w:t>
            </w:r>
          </w:p>
        </w:tc>
      </w:tr>
      <w:tr>
        <w:trPr>
          <w:cantSplit/>
        </w:trPr>
        <w:tc>
          <w:tcPr>
            <w:tcW w:w="3118" w:type="dxa"/>
            <w:tcBorders>
              <w:top w:val="nil"/>
              <w:bottom w:val="nil"/>
            </w:tcBorders>
          </w:tcPr>
          <w:p>
            <w:pPr>
              <w:pStyle w:val="nTable"/>
              <w:spacing w:after="40"/>
              <w:rPr>
                <w:i/>
              </w:rPr>
            </w:pPr>
            <w:r>
              <w:rPr>
                <w:i/>
              </w:rPr>
              <w:t xml:space="preserve">Attorney General Regulations Amendment (Criminal Law Mental Impairment) Regulations 2024 </w:t>
            </w:r>
            <w:r>
              <w:rPr>
                <w:iCs/>
              </w:rPr>
              <w:t>Pt. 2</w:t>
            </w:r>
          </w:p>
        </w:tc>
        <w:tc>
          <w:tcPr>
            <w:tcW w:w="1276" w:type="dxa"/>
            <w:tcBorders>
              <w:top w:val="nil"/>
              <w:bottom w:val="nil"/>
            </w:tcBorders>
          </w:tcPr>
          <w:p>
            <w:pPr>
              <w:pStyle w:val="nTable"/>
              <w:keepNext/>
              <w:spacing w:after="40"/>
            </w:pPr>
            <w:r>
              <w:t>SL 2024/173 21 Aug 2024</w:t>
            </w:r>
          </w:p>
        </w:tc>
        <w:tc>
          <w:tcPr>
            <w:tcW w:w="2693" w:type="dxa"/>
            <w:tcBorders>
              <w:top w:val="nil"/>
              <w:bottom w:val="nil"/>
            </w:tcBorders>
          </w:tcPr>
          <w:p>
            <w:pPr>
              <w:pStyle w:val="nTable"/>
              <w:keepNext/>
              <w:spacing w:after="40"/>
              <w:rPr>
                <w:bCs/>
                <w:snapToGrid w:val="0"/>
              </w:rPr>
            </w:pPr>
            <w:r>
              <w:t>1 Sep 2024 (see r. 2(b))</w:t>
            </w:r>
          </w:p>
        </w:tc>
      </w:tr>
      <w:tr>
        <w:trPr>
          <w:cantSplit/>
          <w:ins w:id="59" w:author="Master Repository Process" w:date="2026-03-25T09:32:00Z"/>
        </w:trPr>
        <w:tc>
          <w:tcPr>
            <w:tcW w:w="3118" w:type="dxa"/>
            <w:tcBorders>
              <w:top w:val="nil"/>
              <w:bottom w:val="single" w:sz="4" w:space="0" w:color="auto"/>
            </w:tcBorders>
          </w:tcPr>
          <w:p>
            <w:pPr>
              <w:pStyle w:val="nTable"/>
              <w:spacing w:after="40"/>
              <w:rPr>
                <w:ins w:id="60" w:author="Master Repository Process" w:date="2026-03-25T09:32:00Z"/>
                <w:i/>
              </w:rPr>
            </w:pPr>
            <w:ins w:id="61" w:author="Master Repository Process" w:date="2026-03-25T09:32:00Z">
              <w:r>
                <w:rPr>
                  <w:i/>
                </w:rPr>
                <w:t>Freedom of Information Amendment Regulations 2026</w:t>
              </w:r>
            </w:ins>
          </w:p>
        </w:tc>
        <w:tc>
          <w:tcPr>
            <w:tcW w:w="1276" w:type="dxa"/>
            <w:tcBorders>
              <w:top w:val="nil"/>
              <w:bottom w:val="single" w:sz="4" w:space="0" w:color="auto"/>
            </w:tcBorders>
          </w:tcPr>
          <w:p>
            <w:pPr>
              <w:pStyle w:val="nTable"/>
              <w:keepNext/>
              <w:spacing w:after="40"/>
              <w:rPr>
                <w:ins w:id="62" w:author="Master Repository Process" w:date="2026-03-25T09:32:00Z"/>
              </w:rPr>
            </w:pPr>
            <w:ins w:id="63" w:author="Master Repository Process" w:date="2026-03-25T09:32:00Z">
              <w:r>
                <w:t>SL 2026/30 18 Mar 2026</w:t>
              </w:r>
            </w:ins>
          </w:p>
        </w:tc>
        <w:tc>
          <w:tcPr>
            <w:tcW w:w="2693" w:type="dxa"/>
            <w:tcBorders>
              <w:top w:val="nil"/>
              <w:bottom w:val="single" w:sz="4" w:space="0" w:color="auto"/>
            </w:tcBorders>
          </w:tcPr>
          <w:p>
            <w:pPr>
              <w:pStyle w:val="nTable"/>
              <w:keepNext/>
              <w:spacing w:after="40"/>
              <w:rPr>
                <w:ins w:id="64" w:author="Master Repository Process" w:date="2026-03-25T09:32:00Z"/>
              </w:rPr>
            </w:pPr>
            <w:ins w:id="65" w:author="Master Repository Process" w:date="2026-03-25T09:32:00Z">
              <w:r>
                <w:rPr>
                  <w:snapToGrid w:val="0"/>
                </w:rPr>
                <w:t>r. 1 and 2: 18 Mar 2026 (see r. 2(a));</w:t>
              </w:r>
              <w:r>
                <w:rPr>
                  <w:snapToGrid w:val="0"/>
                </w:rPr>
                <w:br/>
                <w:t xml:space="preserve">Regulations other than r. 1 and 2: </w:t>
              </w:r>
              <w:r>
                <w:t>19 Mar 2026 (see r. 2(b) and SL 2026/28 cl. 2)</w:t>
              </w:r>
            </w:ins>
          </w:p>
        </w:tc>
      </w:tr>
    </w:tbl>
    <w:p>
      <w:pPr>
        <w:pStyle w:val="nHeading3"/>
      </w:pPr>
      <w:bookmarkStart w:id="66" w:name="_Toc225323256"/>
      <w:bookmarkStart w:id="67" w:name="_Toc175226324"/>
      <w:r>
        <w:t>Other notes</w:t>
      </w:r>
      <w:bookmarkEnd w:id="66"/>
      <w:bookmarkEnd w:id="67"/>
    </w:p>
    <w:p>
      <w:pPr>
        <w:pStyle w:val="nNote"/>
        <w:keepNext/>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Footnote no longer applicable.</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del w:id="69" w:author="Master Repository Process" w:date="2026-03-25T09:32: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70" w:author="Master Repository Process" w:date="2026-03-25T09:32:00Z"/>
                                  <w:sz w:val="16"/>
                                </w:rPr>
                              </w:pPr>
                              <w:del w:id="71" w:author="Master Repository Process" w:date="2026-03-25T09:3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72" w:author="Master Repository Process" w:date="2026-03-25T09:32:00Z"/>
                                  <w:sz w:val="16"/>
                                </w:rPr>
                              </w:pPr>
                              <w:del w:id="73" w:author="Master Repository Process" w:date="2026-03-25T09:3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74" w:author="Master Repository Process" w:date="2026-03-25T09:32:00Z"/>
                                  <w:sz w:val="16"/>
                                </w:rPr>
                              </w:pPr>
                              <w:del w:id="75" w:author="Master Repository Process" w:date="2026-03-25T09:3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76" w:author="Master Repository Process" w:date="2026-03-25T09:32:00Z"/>
                                  <w:rFonts w:ascii="Arial" w:hAnsi="Arial" w:cs="Arial"/>
                                  <w:sz w:val="12"/>
                                </w:rPr>
                              </w:pPr>
                              <w:del w:id="77" w:author="Master Repository Process" w:date="2026-03-25T09:3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78" w:author="Master Repository Process" w:date="2026-03-25T09:32:00Z"/>
                            <w:sz w:val="16"/>
                          </w:rPr>
                        </w:pPr>
                        <w:del w:id="79" w:author="Master Repository Process" w:date="2026-03-25T09:3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80" w:author="Master Repository Process" w:date="2026-03-25T09:32:00Z"/>
                            <w:sz w:val="16"/>
                          </w:rPr>
                        </w:pPr>
                        <w:del w:id="81" w:author="Master Repository Process" w:date="2026-03-25T09:3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82" w:author="Master Repository Process" w:date="2026-03-25T09:32:00Z"/>
                            <w:sz w:val="16"/>
                          </w:rPr>
                        </w:pPr>
                        <w:del w:id="83" w:author="Master Repository Process" w:date="2026-03-25T09:3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84" w:author="Master Repository Process" w:date="2026-03-25T09:32:00Z"/>
                            <w:rFonts w:ascii="Arial" w:hAnsi="Arial" w:cs="Arial"/>
                            <w:sz w:val="12"/>
                          </w:rPr>
                        </w:pPr>
                        <w:del w:id="85" w:author="Master Repository Process" w:date="2026-03-25T09:32:00Z">
                          <w:r>
                            <w:rPr>
                              <w:rFonts w:ascii="Arial" w:hAnsi="Arial" w:cs="Arial"/>
                              <w:sz w:val="12"/>
                            </w:rPr>
                            <w:delText>By Authority: GEOFF O. LAWN, Government Printer</w:delText>
                          </w:r>
                        </w:del>
                      </w:p>
                    </w:txbxContent>
                  </v:textbox>
                  <w10:wrap anchorx="page" anchory="page"/>
                </v:shape>
              </w:pict>
            </mc:Fallback>
          </mc:AlternateContent>
        </w:r>
      </w:del>
      <w:ins w:id="86" w:author="Master Repository Process" w:date="2026-03-25T09:32:00Z">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7336465</wp:posOffset>
                  </wp:positionV>
                  <wp:extent cx="127000" cy="712382"/>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1238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7" w:author="Master Repository Process" w:date="2026-03-25T09:32:00Z"/>
                                  <w:sz w:val="16"/>
                                </w:rPr>
                              </w:pPr>
                              <w:ins w:id="88" w:author="Master Repository Process" w:date="2026-03-25T09: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89" w:author="Master Repository Process" w:date="2026-03-25T09:32:00Z"/>
                                  <w:sz w:val="16"/>
                                </w:rPr>
                              </w:pPr>
                              <w:ins w:id="90" w:author="Master Repository Process" w:date="2026-03-25T09: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1" w:author="Master Repository Process" w:date="2026-03-25T09:32:00Z"/>
                                  <w:sz w:val="16"/>
                                </w:rPr>
                              </w:pPr>
                              <w:ins w:id="92" w:author="Master Repository Process" w:date="2026-03-25T09: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93" w:author="Master Repository Process" w:date="2026-03-25T09:32:00Z"/>
                                  <w:rFonts w:ascii="Arial" w:hAnsi="Arial" w:cs="Arial"/>
                                  <w:sz w:val="12"/>
                                </w:rPr>
                              </w:pPr>
                              <w:ins w:id="94" w:author="Master Repository Process" w:date="2026-03-25T09:32: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left:0;text-align:left;margin-left:-41.2pt;margin-top:577.65pt;width:10pt;height:56.1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" stroked="f" strokeweight=".5pt">
                  <v:textbox>
                    <w:txbxContent>
                      <w:p>
                        <w:pPr>
                          <w:ind w:left="2835" w:right="2268"/>
                          <w:rPr>
                            <w:ins w:id="95" w:author="Master Repository Process" w:date="2026-03-25T09:32:00Z"/>
                            <w:sz w:val="16"/>
                          </w:rPr>
                        </w:pPr>
                        <w:ins w:id="96" w:author="Master Repository Process" w:date="2026-03-25T09: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97" w:author="Master Repository Process" w:date="2026-03-25T09:32:00Z"/>
                            <w:sz w:val="16"/>
                          </w:rPr>
                        </w:pPr>
                        <w:ins w:id="98" w:author="Master Repository Process" w:date="2026-03-25T09: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9" w:author="Master Repository Process" w:date="2026-03-25T09:32:00Z"/>
                            <w:sz w:val="16"/>
                          </w:rPr>
                        </w:pPr>
                        <w:ins w:id="100" w:author="Master Repository Process" w:date="2026-03-25T09: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01" w:author="Master Repository Process" w:date="2026-03-25T09:32:00Z"/>
                            <w:rFonts w:ascii="Arial" w:hAnsi="Arial" w:cs="Arial"/>
                            <w:sz w:val="12"/>
                          </w:rPr>
                        </w:pPr>
                        <w:ins w:id="102" w:author="Master Repository Process" w:date="2026-03-25T09:32: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02223"/>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 w:name="WAFER_20220318105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22_GUID" w:val="2d46957f-6e41-488a-8dbc-c10b8aaab700"/>
    <w:docVar w:name="WAFER_20220614145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26_GUID" w:val="15b63b92-0e14-4fe5-9992-2e564206b092"/>
    <w:docVar w:name="WAFER_2022062913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132941_GUID" w:val="da0f8b19-3edc-4f57-97f7-933550d215e5"/>
    <w:docVar w:name="WAFER_20240822102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102754_GUID" w:val="ffacafeb-fa08-4ab5-a5e1-85c59361c2d1"/>
    <w:docVar w:name="WAFER_20260313102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2223_GUID" w:val="18976a47-69f9-4c9b-bc97-51eecc8228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A23D0-8E75-4D2B-94EA-A73A8ACFE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4458</Words>
  <Characters>26261</Characters>
  <Application>Microsoft Office Word</Application>
  <DocSecurity>0</DocSecurity>
  <Lines>1193</Lines>
  <Paragraphs>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02-n0-00 - 02-o0-01</dc:title>
  <dc:subject/>
  <dc:creator/>
  <cp:keywords/>
  <dc:description/>
  <cp:lastModifiedBy>Master Repository Process</cp:lastModifiedBy>
  <cp:revision>2</cp:revision>
  <cp:lastPrinted>2021-07-27T01:34:00Z</cp:lastPrinted>
  <dcterms:created xsi:type="dcterms:W3CDTF">2026-03-25T01:32:00Z</dcterms:created>
  <dcterms:modified xsi:type="dcterms:W3CDTF">2026-03-25T01:32:00Z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CommencementDate">
    <vt:lpwstr>20260319</vt:lpwstr>
  </property>
  <property fmtid="{D5CDD505-2E9C-101B-9397-08002B2CF9AE}" pid="8" name="CommencementAsAt">
    <vt:filetime>2026-03-18T16:00:00Z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02-n0-00</vt:lpwstr>
  </property>
  <property fmtid="{D5CDD505-2E9C-101B-9397-08002B2CF9AE}" pid="12" name="FromAsAtDate">
    <vt:lpwstr>01 Sep 2024</vt:lpwstr>
  </property>
  <property fmtid="{D5CDD505-2E9C-101B-9397-08002B2CF9AE}" pid="13" name="ToSuffix">
    <vt:lpwstr>02-o0-01</vt:lpwstr>
  </property>
  <property fmtid="{D5CDD505-2E9C-101B-9397-08002B2CF9AE}" pid="14" name="ToAsAtDate">
    <vt:lpwstr>19 Mar 2026</vt:lpwstr>
  </property>
</Properties>
</file>