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00-aw0-00</w:t>
      </w:r>
      <w:r>
        <w:fldChar w:fldCharType="end"/>
      </w:r>
      <w:r>
        <w:t>] and [</w:t>
      </w:r>
      <w:r>
        <w:fldChar w:fldCharType="begin"/>
      </w:r>
      <w:r>
        <w:instrText xml:space="preserve"> DocProperty ToAsAtDate</w:instrText>
      </w:r>
      <w:r>
        <w:fldChar w:fldCharType="separate"/>
      </w:r>
      <w:r>
        <w:t>18 Mar 2026</w:t>
      </w:r>
      <w:r>
        <w:fldChar w:fldCharType="end"/>
      </w:r>
      <w:r>
        <w:t xml:space="preserve">, </w:t>
      </w:r>
      <w:r>
        <w:fldChar w:fldCharType="begin"/>
      </w:r>
      <w:r>
        <w:instrText xml:space="preserve"> DocProperty ToSuffix</w:instrText>
      </w:r>
      <w:r>
        <w:fldChar w:fldCharType="separate"/>
      </w:r>
      <w:r>
        <w:t>00-ax0-00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1" w:name="_Toc224553042"/>
      <w:bookmarkStart w:id="2" w:name="_Toc224553594"/>
      <w:bookmarkStart w:id="3" w:name="_Toc224558317"/>
      <w:bookmarkStart w:id="4" w:name="_Toc201748468"/>
      <w:bookmarkStart w:id="5" w:name="_Toc201748992"/>
      <w:bookmarkStart w:id="6" w:name="_Toc2018300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24558318"/>
      <w:bookmarkStart w:id="8" w:name="_Toc201830066"/>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10" w:name="_Toc224558319"/>
      <w:bookmarkStart w:id="11" w:name="_Toc201830067"/>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2" w:name="_Toc224558320"/>
      <w:bookmarkStart w:id="13" w:name="_Toc201830068"/>
      <w:r>
        <w:rPr>
          <w:rStyle w:val="CharSectno"/>
        </w:rPr>
        <w:t>3</w:t>
      </w:r>
      <w:r>
        <w:t>.</w:t>
      </w:r>
      <w:r>
        <w:tab/>
        <w:t>Terms used</w:t>
      </w:r>
      <w:bookmarkEnd w:id="12"/>
      <w:bookmarkEnd w:id="13"/>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lastRenderedPageBreak/>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tab/>
      </w:r>
      <w:r>
        <w:rPr>
          <w:rStyle w:val="CharDefText"/>
        </w:rPr>
        <w:t>external Territory</w:t>
      </w:r>
      <w:r>
        <w:t xml:space="preserve"> has the meaning given in the </w:t>
      </w:r>
      <w:r>
        <w:rPr>
          <w:i/>
        </w:rPr>
        <w:t>Acts Interpretation Act 1901</w:t>
      </w:r>
      <w:r>
        <w:t xml:space="preserve"> (Commonwealth) section 2B;</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w:t>
      </w:r>
    </w:p>
    <w:p>
      <w:pPr>
        <w:pStyle w:val="Heading5"/>
        <w:spacing w:before="240"/>
      </w:pPr>
      <w:bookmarkStart w:id="14" w:name="_Toc224558321"/>
      <w:bookmarkStart w:id="15" w:name="_Toc201830069"/>
      <w:r>
        <w:rPr>
          <w:rStyle w:val="CharSectno"/>
        </w:rPr>
        <w:t>4</w:t>
      </w:r>
      <w:r>
        <w:t>.</w:t>
      </w:r>
      <w:r>
        <w:tab/>
        <w:t>Novice driver (type 1A)</w:t>
      </w:r>
      <w:bookmarkEnd w:id="14"/>
      <w:bookmarkEnd w:id="15"/>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6" w:name="_Toc224558322"/>
      <w:bookmarkStart w:id="17" w:name="_Toc201830070"/>
      <w:r>
        <w:rPr>
          <w:rStyle w:val="CharSectno"/>
        </w:rPr>
        <w:t>5</w:t>
      </w:r>
      <w:r>
        <w:t>.</w:t>
      </w:r>
      <w:r>
        <w:tab/>
        <w:t>Classes of motor vehicles defined</w:t>
      </w:r>
      <w:bookmarkEnd w:id="16"/>
      <w:bookmarkEnd w:id="17"/>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8" w:name="_Toc224558323"/>
      <w:bookmarkStart w:id="19" w:name="_Toc201830071"/>
      <w:r>
        <w:rPr>
          <w:rStyle w:val="CharSectno"/>
        </w:rPr>
        <w:t>6</w:t>
      </w:r>
      <w:r>
        <w:t>.</w:t>
      </w:r>
      <w:r>
        <w:tab/>
        <w:t>Learner approved motor cycles</w:t>
      </w:r>
      <w:bookmarkEnd w:id="18"/>
      <w:bookmarkEnd w:id="19"/>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keepNext/>
      </w:pPr>
      <w:r>
        <w:tab/>
        <w:t>(3)</w:t>
      </w:r>
      <w:r>
        <w:tab/>
        <w:t>The CEO must ensure that a list of each motor cycle in relation to which an approval under subregulation (1) is in force is published on the Department’s website.</w:t>
      </w:r>
    </w:p>
    <w:p>
      <w:pPr>
        <w:pStyle w:val="Footnotesection"/>
      </w:pPr>
      <w:r>
        <w:tab/>
        <w:t>[Regulation 6 amended: Gazette 19 Oct 2018 p. 4139; SL 2021/93 r. 5; SL 2022/147 r. 5.]</w:t>
      </w:r>
    </w:p>
    <w:p>
      <w:pPr>
        <w:pStyle w:val="Heading2"/>
      </w:pPr>
      <w:bookmarkStart w:id="20" w:name="_Toc224553049"/>
      <w:bookmarkStart w:id="21" w:name="_Toc224553601"/>
      <w:bookmarkStart w:id="22" w:name="_Toc224558324"/>
      <w:bookmarkStart w:id="23" w:name="_Toc201748475"/>
      <w:bookmarkStart w:id="24" w:name="_Toc201748999"/>
      <w:bookmarkStart w:id="25" w:name="_Toc201830072"/>
      <w:r>
        <w:rPr>
          <w:rStyle w:val="CharPartNo"/>
        </w:rPr>
        <w:t>Part 2</w:t>
      </w:r>
      <w:r>
        <w:t> — </w:t>
      </w:r>
      <w:r>
        <w:rPr>
          <w:rStyle w:val="CharPartText"/>
        </w:rPr>
        <w:t>Driver licensing</w:t>
      </w:r>
      <w:bookmarkEnd w:id="20"/>
      <w:bookmarkEnd w:id="21"/>
      <w:bookmarkEnd w:id="22"/>
      <w:bookmarkEnd w:id="23"/>
      <w:bookmarkEnd w:id="24"/>
      <w:bookmarkEnd w:id="25"/>
    </w:p>
    <w:p>
      <w:pPr>
        <w:pStyle w:val="Heading3"/>
      </w:pPr>
      <w:bookmarkStart w:id="26" w:name="_Toc224553050"/>
      <w:bookmarkStart w:id="27" w:name="_Toc224553602"/>
      <w:bookmarkStart w:id="28" w:name="_Toc224558325"/>
      <w:bookmarkStart w:id="29" w:name="_Toc201748476"/>
      <w:bookmarkStart w:id="30" w:name="_Toc201749000"/>
      <w:bookmarkStart w:id="31" w:name="_Toc201830073"/>
      <w:r>
        <w:rPr>
          <w:rStyle w:val="CharDivNo"/>
        </w:rPr>
        <w:t>Division 1</w:t>
      </w:r>
      <w:r>
        <w:t> — </w:t>
      </w:r>
      <w:r>
        <w:rPr>
          <w:rStyle w:val="CharDivText"/>
        </w:rPr>
        <w:t>Drivers’ licences generally</w:t>
      </w:r>
      <w:bookmarkEnd w:id="26"/>
      <w:bookmarkEnd w:id="27"/>
      <w:bookmarkEnd w:id="28"/>
      <w:bookmarkEnd w:id="29"/>
      <w:bookmarkEnd w:id="30"/>
      <w:bookmarkEnd w:id="31"/>
    </w:p>
    <w:p>
      <w:pPr>
        <w:pStyle w:val="Heading5"/>
      </w:pPr>
      <w:bookmarkStart w:id="32" w:name="_Toc224558326"/>
      <w:bookmarkStart w:id="33" w:name="_Toc201830074"/>
      <w:r>
        <w:rPr>
          <w:rStyle w:val="CharSectno"/>
        </w:rPr>
        <w:t>7</w:t>
      </w:r>
      <w:r>
        <w:t>.</w:t>
      </w:r>
      <w:r>
        <w:tab/>
        <w:t>Grant of driver’s licence</w:t>
      </w:r>
      <w:bookmarkEnd w:id="32"/>
      <w:bookmarkEnd w:id="33"/>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34" w:name="_Toc224558327"/>
      <w:bookmarkStart w:id="35" w:name="_Toc201830075"/>
      <w:r>
        <w:rPr>
          <w:rStyle w:val="CharSectno"/>
        </w:rPr>
        <w:t>8</w:t>
      </w:r>
      <w:r>
        <w:t>.</w:t>
      </w:r>
      <w:r>
        <w:tab/>
        <w:t>What a driver’s licence authorises</w:t>
      </w:r>
      <w:bookmarkEnd w:id="34"/>
      <w:bookmarkEnd w:id="35"/>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36" w:name="_Toc224558328"/>
      <w:bookmarkStart w:id="37" w:name="_Toc201830076"/>
      <w:r>
        <w:rPr>
          <w:rStyle w:val="CharSectno"/>
        </w:rPr>
        <w:t>9</w:t>
      </w:r>
      <w:r>
        <w:t>.</w:t>
      </w:r>
      <w:r>
        <w:tab/>
        <w:t>Driver’s licence to be provisional in some cases</w:t>
      </w:r>
      <w:bookmarkEnd w:id="36"/>
      <w:bookmarkEnd w:id="37"/>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38" w:name="_Toc224558329"/>
      <w:bookmarkStart w:id="39" w:name="_Toc201830077"/>
      <w:r>
        <w:rPr>
          <w:rStyle w:val="CharSectno"/>
        </w:rPr>
        <w:t>10</w:t>
      </w:r>
      <w:r>
        <w:t>.</w:t>
      </w:r>
      <w:r>
        <w:tab/>
        <w:t>Novice driver (type 1A) night</w:t>
      </w:r>
      <w:r>
        <w:noBreakHyphen/>
        <w:t>time driving restrictions</w:t>
      </w:r>
      <w:bookmarkEnd w:id="38"/>
      <w:bookmarkEnd w:id="39"/>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on a road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Footnotesection"/>
      </w:pPr>
      <w:r>
        <w:tab/>
        <w:t>[Regulation 10 amended: SL 2024/237 r. 6.]</w:t>
      </w:r>
    </w:p>
    <w:p>
      <w:pPr>
        <w:pStyle w:val="Heading5"/>
      </w:pPr>
      <w:bookmarkStart w:id="40" w:name="_Toc224558330"/>
      <w:bookmarkStart w:id="41" w:name="_Toc201830078"/>
      <w:r>
        <w:rPr>
          <w:rStyle w:val="CharSectno"/>
        </w:rPr>
        <w:t>11</w:t>
      </w:r>
      <w:r>
        <w:t>.</w:t>
      </w:r>
      <w:r>
        <w:tab/>
        <w:t>Novice driver (type 1A) number of passengers restrictions</w:t>
      </w:r>
      <w:bookmarkEnd w:id="40"/>
      <w:bookmarkEnd w:id="41"/>
    </w:p>
    <w:p>
      <w:pPr>
        <w:pStyle w:val="Subsection"/>
      </w:pPr>
      <w:r>
        <w:tab/>
        <w:t>(1)</w:t>
      </w:r>
      <w:r>
        <w:tab/>
        <w:t xml:space="preserve">In this regulation — </w:t>
      </w:r>
    </w:p>
    <w:p>
      <w:pPr>
        <w:pStyle w:val="Defstart"/>
        <w:rPr>
          <w:rStyle w:val="DraftersNotes"/>
          <w:b w:val="0"/>
          <w:bCs/>
        </w:rPr>
      </w:pPr>
      <w:r>
        <w:tab/>
      </w:r>
      <w:r>
        <w:rPr>
          <w:rStyle w:val="CharDefText"/>
        </w:rPr>
        <w:t>additional passenger</w:t>
      </w:r>
      <w:r>
        <w:t>, in relation to a motor vehicle, means each passenger carried in the motor vehicle other than the permitted passenger;</w:t>
      </w:r>
    </w:p>
    <w:p>
      <w:pPr>
        <w:pStyle w:val="Defstart"/>
      </w:pPr>
      <w:r>
        <w:tab/>
      </w:r>
      <w:r>
        <w:rPr>
          <w:rStyle w:val="CharDefText"/>
        </w:rPr>
        <w:t>employment</w:t>
      </w:r>
      <w:r>
        <w:t xml:space="preserve"> includes both paid and unpaid employment;</w:t>
      </w:r>
    </w:p>
    <w:p>
      <w:pPr>
        <w:pStyle w:val="Defstart"/>
      </w:pPr>
      <w:r>
        <w:tab/>
      </w:r>
      <w:r>
        <w:rPr>
          <w:rStyle w:val="CharDefText"/>
        </w:rPr>
        <w:t>immediate family</w:t>
      </w:r>
      <w:r>
        <w:t>, in relation to a person, means a spouse, de facto partner, child, step</w:t>
      </w:r>
      <w:r>
        <w:noBreakHyphen/>
        <w:t>child, grandchild, step</w:t>
      </w:r>
      <w:r>
        <w:noBreakHyphen/>
        <w:t>grandchild, sibling, half</w:t>
      </w:r>
      <w:r>
        <w:noBreakHyphen/>
        <w:t>sibling, step</w:t>
      </w:r>
      <w:r>
        <w:noBreakHyphen/>
        <w:t>sibling, parent, step</w:t>
      </w:r>
      <w:r>
        <w:noBreakHyphen/>
        <w:t>parent, grandparent or step</w:t>
      </w:r>
      <w:r>
        <w:noBreakHyphen/>
        <w:t>grandparent of the person.</w:t>
      </w:r>
    </w:p>
    <w:p>
      <w:pPr>
        <w:pStyle w:val="Subsection"/>
      </w:pPr>
      <w:r>
        <w:tab/>
        <w:t>(2)</w:t>
      </w:r>
      <w:r>
        <w:tab/>
        <w:t xml:space="preserve">In this regulation, despite the definition of </w:t>
      </w:r>
      <w:r>
        <w:rPr>
          <w:b/>
          <w:bCs/>
          <w:i/>
          <w:iCs/>
        </w:rPr>
        <w:t>passenger</w:t>
      </w:r>
      <w:r>
        <w:t xml:space="preserve"> in the </w:t>
      </w:r>
      <w:r>
        <w:rPr>
          <w:i/>
        </w:rPr>
        <w:t>Road Traffic (Administration) Act </w:t>
      </w:r>
      <w:r>
        <w:rPr>
          <w:i/>
          <w:iCs/>
        </w:rPr>
        <w:t>2008</w:t>
      </w:r>
      <w:r>
        <w:t xml:space="preserve"> section 4, a passenger in relation to a motor vehicle includes a co</w:t>
      </w:r>
      <w:r>
        <w:noBreakHyphen/>
        <w:t>driver of the motor vehicle.</w:t>
      </w:r>
    </w:p>
    <w:p>
      <w:pPr>
        <w:pStyle w:val="Subsection"/>
      </w:pPr>
      <w:r>
        <w:tab/>
        <w:t>(3)</w:t>
      </w:r>
      <w:r>
        <w:tab/>
        <w:t xml:space="preserve">A driver’s licence held by a person who is a novice driver (type 1A) does not authorise the person to drive a motor vehicle carrying more than 1 passenger (the </w:t>
      </w:r>
      <w:r>
        <w:rPr>
          <w:rStyle w:val="CharDefText"/>
        </w:rPr>
        <w:t>permitted passenger</w:t>
      </w:r>
      <w:r>
        <w:t xml:space="preserve">) on a road unless — </w:t>
      </w:r>
    </w:p>
    <w:p>
      <w:pPr>
        <w:pStyle w:val="Indenta"/>
      </w:pPr>
      <w:r>
        <w:tab/>
        <w:t>(a)</w:t>
      </w:r>
      <w:r>
        <w:tab/>
        <w:t>at least 1 of the passengers is an experienced driver; or</w:t>
      </w:r>
    </w:p>
    <w:p>
      <w:pPr>
        <w:pStyle w:val="Indenta"/>
      </w:pPr>
      <w:r>
        <w:tab/>
        <w:t>(b)</w:t>
      </w:r>
      <w:r>
        <w:tab/>
        <w:t>each additional passenger is a member of the person’s immediate family; or</w:t>
      </w:r>
    </w:p>
    <w:p>
      <w:pPr>
        <w:pStyle w:val="Indenta"/>
      </w:pPr>
      <w:r>
        <w:tab/>
        <w:t>(c)</w:t>
      </w:r>
      <w:r>
        <w:tab/>
        <w:t xml:space="preserve">the person — </w:t>
      </w:r>
    </w:p>
    <w:p>
      <w:pPr>
        <w:pStyle w:val="Indenti"/>
      </w:pPr>
      <w:r>
        <w:tab/>
        <w:t>(i)</w:t>
      </w:r>
      <w:r>
        <w:tab/>
        <w:t xml:space="preserve">is required to carry each additional passenger for the person’s employment; and </w:t>
      </w:r>
    </w:p>
    <w:p>
      <w:pPr>
        <w:pStyle w:val="Indenti"/>
      </w:pPr>
      <w:r>
        <w:tab/>
        <w:t>(ii)</w:t>
      </w:r>
      <w:r>
        <w:tab/>
        <w:t>is carrying a document stating that fact signed by the person’s employer; and</w:t>
      </w:r>
    </w:p>
    <w:p>
      <w:pPr>
        <w:pStyle w:val="Indenti"/>
      </w:pPr>
      <w:r>
        <w:tab/>
        <w:t>(iii)</w:t>
      </w:r>
      <w:r>
        <w:tab/>
        <w:t>if requested by a police officer, produces the document for inspection.</w:t>
      </w:r>
    </w:p>
    <w:p>
      <w:pPr>
        <w:pStyle w:val="Subsection"/>
        <w:keepNext/>
      </w:pPr>
      <w:r>
        <w:tab/>
        <w:t>(4)</w:t>
      </w:r>
      <w:r>
        <w:tab/>
        <w:t xml:space="preserve">For the purposes of subregulation (3)(a), a passenger in a motor vehicle driven by a novice driver (type 1A) is an </w:t>
      </w:r>
      <w:r>
        <w:rPr>
          <w:rStyle w:val="CharDefText"/>
        </w:rPr>
        <w:t>experienced driver</w:t>
      </w:r>
      <w:r>
        <w:t xml:space="preserve"> if the passenger — </w:t>
      </w:r>
    </w:p>
    <w:p>
      <w:pPr>
        <w:pStyle w:val="Indenta"/>
      </w:pPr>
      <w:r>
        <w:tab/>
        <w:t>(a)</w:t>
      </w:r>
      <w:r>
        <w:tab/>
        <w:t>is authorised to drive a motor vehicle of the class that the novice driver is authorised to drive; and</w:t>
      </w:r>
    </w:p>
    <w:p>
      <w:pPr>
        <w:pStyle w:val="Indenta"/>
      </w:pPr>
      <w:r>
        <w:tab/>
        <w:t>(b)</w:t>
      </w:r>
      <w:r>
        <w:tab/>
        <w:t xml:space="preserve">has held that authorisation for a period of, or periods adding up to, at least 4 years under — </w:t>
      </w:r>
    </w:p>
    <w:p>
      <w:pPr>
        <w:pStyle w:val="Indenti"/>
      </w:pPr>
      <w:r>
        <w:tab/>
        <w:t>(i)</w:t>
      </w:r>
      <w:r>
        <w:tab/>
        <w:t xml:space="preserve">an Australian driver licence, other than a provisional licence; or </w:t>
      </w:r>
    </w:p>
    <w:p>
      <w:pPr>
        <w:pStyle w:val="Indenti"/>
      </w:pPr>
      <w:r>
        <w:tab/>
        <w:t>(ii)</w:t>
      </w:r>
      <w:r>
        <w:tab/>
        <w:t>a foreign driving authorisation, other than a foreign driving authorisation that is substantially equivalent to a provisional licence.</w:t>
      </w:r>
    </w:p>
    <w:p>
      <w:pPr>
        <w:pStyle w:val="Footnotesection"/>
      </w:pPr>
      <w:r>
        <w:tab/>
        <w:t>[Regulation 11 inserted: SL 2024/237 r. 7.]</w:t>
      </w:r>
    </w:p>
    <w:p>
      <w:pPr>
        <w:pStyle w:val="Ednotesection"/>
      </w:pPr>
      <w:r>
        <w:t>[</w:t>
      </w:r>
      <w:r>
        <w:rPr>
          <w:b/>
        </w:rPr>
        <w:t>12.</w:t>
      </w:r>
      <w:r>
        <w:tab/>
        <w:t>Deleted: SL</w:t>
      </w:r>
      <w:r>
        <w:rPr>
          <w:b/>
        </w:rPr>
        <w:t> </w:t>
      </w:r>
      <w:r>
        <w:t>2020/91 r. 7.]</w:t>
      </w:r>
    </w:p>
    <w:p>
      <w:pPr>
        <w:pStyle w:val="Heading5"/>
      </w:pPr>
      <w:bookmarkStart w:id="42" w:name="_Toc224558331"/>
      <w:bookmarkStart w:id="43" w:name="_Toc201830079"/>
      <w:r>
        <w:rPr>
          <w:rStyle w:val="CharSectno"/>
        </w:rPr>
        <w:t>13</w:t>
      </w:r>
      <w:r>
        <w:t>.</w:t>
      </w:r>
      <w:r>
        <w:tab/>
        <w:t>Trailer towing limits</w:t>
      </w:r>
      <w:bookmarkEnd w:id="42"/>
      <w:bookmarkEnd w:id="43"/>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44" w:name="_Toc224558332"/>
      <w:bookmarkStart w:id="45" w:name="_Toc201830080"/>
      <w:r>
        <w:rPr>
          <w:rStyle w:val="CharSectno"/>
        </w:rPr>
        <w:t>14</w:t>
      </w:r>
      <w:r>
        <w:t>.</w:t>
      </w:r>
      <w:r>
        <w:tab/>
        <w:t>Recognition and effect of disqualifications in another jurisdiction</w:t>
      </w:r>
      <w:bookmarkEnd w:id="44"/>
      <w:bookmarkEnd w:id="45"/>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46" w:name="_Toc224553058"/>
      <w:bookmarkStart w:id="47" w:name="_Toc224553610"/>
      <w:bookmarkStart w:id="48" w:name="_Toc224558333"/>
      <w:bookmarkStart w:id="49" w:name="_Toc201748484"/>
      <w:bookmarkStart w:id="50" w:name="_Toc201749008"/>
      <w:bookmarkStart w:id="51" w:name="_Toc201830081"/>
      <w:r>
        <w:rPr>
          <w:rStyle w:val="CharDivNo"/>
        </w:rPr>
        <w:t>Division 2</w:t>
      </w:r>
      <w:r>
        <w:t> — </w:t>
      </w:r>
      <w:r>
        <w:rPr>
          <w:rStyle w:val="CharDivText"/>
        </w:rPr>
        <w:t>Eligibility to hold a driver’s licence</w:t>
      </w:r>
      <w:bookmarkEnd w:id="46"/>
      <w:bookmarkEnd w:id="47"/>
      <w:bookmarkEnd w:id="48"/>
      <w:bookmarkEnd w:id="49"/>
      <w:bookmarkEnd w:id="50"/>
      <w:bookmarkEnd w:id="51"/>
    </w:p>
    <w:p>
      <w:pPr>
        <w:pStyle w:val="Heading5"/>
      </w:pPr>
      <w:bookmarkStart w:id="52" w:name="_Toc224558334"/>
      <w:bookmarkStart w:id="53" w:name="_Toc201830082"/>
      <w:r>
        <w:rPr>
          <w:rStyle w:val="CharSectno"/>
        </w:rPr>
        <w:t>15</w:t>
      </w:r>
      <w:r>
        <w:t>.</w:t>
      </w:r>
      <w:r>
        <w:tab/>
        <w:t>Minimum age for driver’s licence</w:t>
      </w:r>
      <w:bookmarkEnd w:id="52"/>
      <w:bookmarkEnd w:id="53"/>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54" w:name="_Toc224558335"/>
      <w:bookmarkStart w:id="55" w:name="_Toc201830083"/>
      <w:r>
        <w:rPr>
          <w:rStyle w:val="CharSectno"/>
        </w:rPr>
        <w:t>16</w:t>
      </w:r>
      <w:r>
        <w:t>.</w:t>
      </w:r>
      <w:r>
        <w:tab/>
        <w:t>Demonstrating ability to safely drive</w:t>
      </w:r>
      <w:bookmarkEnd w:id="54"/>
      <w:bookmarkEnd w:id="55"/>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56" w:name="_Toc224558336"/>
      <w:bookmarkStart w:id="57" w:name="_Toc201830084"/>
      <w:r>
        <w:rPr>
          <w:rStyle w:val="CharSectno"/>
        </w:rPr>
        <w:t>16A</w:t>
      </w:r>
      <w:r>
        <w:t>.</w:t>
      </w:r>
      <w:r>
        <w:tab/>
        <w:t>New driver’s licence applicant: car licence for person under 25 years of age or restricted motor cycle licence</w:t>
      </w:r>
      <w:bookmarkEnd w:id="56"/>
      <w:bookmarkEnd w:id="57"/>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58" w:name="_Toc224558337"/>
      <w:bookmarkStart w:id="59" w:name="_Toc201830085"/>
      <w:r>
        <w:rPr>
          <w:rStyle w:val="CharSectno"/>
        </w:rPr>
        <w:t>16B</w:t>
      </w:r>
      <w:r>
        <w:t>.</w:t>
      </w:r>
      <w:r>
        <w:tab/>
        <w:t>New driver’s licence applicant: car licence for person 25 years of age and over</w:t>
      </w:r>
      <w:bookmarkEnd w:id="58"/>
      <w:bookmarkEnd w:id="59"/>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60" w:name="_Toc224558338"/>
      <w:bookmarkStart w:id="61" w:name="_Toc201830086"/>
      <w:r>
        <w:rPr>
          <w:rStyle w:val="CharSectno"/>
        </w:rPr>
        <w:t>16BA</w:t>
      </w:r>
      <w:r>
        <w:t>.</w:t>
      </w:r>
      <w:r>
        <w:tab/>
        <w:t>New driver’s licence applicant: moped licence</w:t>
      </w:r>
      <w:bookmarkEnd w:id="60"/>
      <w:bookmarkEnd w:id="61"/>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62" w:name="_Toc224558339"/>
      <w:bookmarkStart w:id="63" w:name="_Toc201830087"/>
      <w:r>
        <w:rPr>
          <w:rStyle w:val="CharSectno"/>
        </w:rPr>
        <w:t>16C</w:t>
      </w:r>
      <w:r>
        <w:t>.</w:t>
      </w:r>
      <w:r>
        <w:tab/>
        <w:t>Other driver’s licence applicant</w:t>
      </w:r>
      <w:bookmarkEnd w:id="62"/>
      <w:bookmarkEnd w:id="63"/>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64" w:name="_Toc224558340"/>
      <w:bookmarkStart w:id="65" w:name="_Toc201830088"/>
      <w:r>
        <w:rPr>
          <w:rStyle w:val="CharSectno"/>
        </w:rPr>
        <w:t>16D</w:t>
      </w:r>
      <w:r>
        <w:t>.</w:t>
      </w:r>
      <w:r>
        <w:tab/>
        <w:t>Tests for recognition of hazards</w:t>
      </w:r>
      <w:bookmarkEnd w:id="64"/>
      <w:bookmarkEnd w:id="65"/>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66" w:name="_Toc224558341"/>
      <w:bookmarkStart w:id="67" w:name="_Toc201830089"/>
      <w:r>
        <w:rPr>
          <w:rStyle w:val="CharSectno"/>
        </w:rPr>
        <w:t>17</w:t>
      </w:r>
      <w:r>
        <w:t>.</w:t>
      </w:r>
      <w:r>
        <w:tab/>
        <w:t>How ability to control motor vehicle can be shown</w:t>
      </w:r>
      <w:bookmarkEnd w:id="66"/>
      <w:bookmarkEnd w:id="67"/>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68" w:name="_Toc224558342"/>
      <w:bookmarkStart w:id="69" w:name="_Toc201830090"/>
      <w:r>
        <w:rPr>
          <w:rStyle w:val="CharSectno"/>
        </w:rPr>
        <w:t>18</w:t>
      </w:r>
      <w:r>
        <w:t>.</w:t>
      </w:r>
      <w:r>
        <w:tab/>
        <w:t>Acceptable evidence of ability to safely drive</w:t>
      </w:r>
      <w:bookmarkEnd w:id="68"/>
      <w:bookmarkEnd w:id="69"/>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70" w:name="_Toc224558343"/>
      <w:bookmarkStart w:id="71" w:name="_Toc201830091"/>
      <w:r>
        <w:rPr>
          <w:rStyle w:val="CharSectno"/>
        </w:rPr>
        <w:t>19</w:t>
      </w:r>
      <w:r>
        <w:t>.</w:t>
      </w:r>
      <w:r>
        <w:tab/>
        <w:t>Evidence as to ability of drivers who are 80 or older to safely drive</w:t>
      </w:r>
      <w:bookmarkEnd w:id="70"/>
      <w:bookmarkEnd w:id="71"/>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72" w:name="_Toc224558344"/>
      <w:bookmarkStart w:id="73" w:name="_Toc201830092"/>
      <w:r>
        <w:rPr>
          <w:rStyle w:val="CharSectno"/>
        </w:rPr>
        <w:t>20</w:t>
      </w:r>
      <w:r>
        <w:t>.</w:t>
      </w:r>
      <w:r>
        <w:tab/>
        <w:t>Demonstrating knowledge of traffic laws and safe driving techniques</w:t>
      </w:r>
      <w:bookmarkEnd w:id="72"/>
      <w:bookmarkEnd w:id="73"/>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74" w:name="_Toc224558345"/>
      <w:bookmarkStart w:id="75" w:name="_Toc201830093"/>
      <w:r>
        <w:rPr>
          <w:rStyle w:val="CharSectno"/>
        </w:rPr>
        <w:t>21</w:t>
      </w:r>
      <w:r>
        <w:t>.</w:t>
      </w:r>
      <w:r>
        <w:tab/>
        <w:t>Driver’s licence a prerequisite for driver’s licence to drive particular vehicles</w:t>
      </w:r>
      <w:bookmarkEnd w:id="74"/>
      <w:bookmarkEnd w:id="75"/>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76" w:name="_Toc224558346"/>
      <w:bookmarkStart w:id="77" w:name="_Toc201830094"/>
      <w:r>
        <w:rPr>
          <w:rStyle w:val="CharSectno"/>
        </w:rPr>
        <w:t>22</w:t>
      </w:r>
      <w:r>
        <w:t>.</w:t>
      </w:r>
      <w:r>
        <w:tab/>
        <w:t>Waiving certain requirements in special cases</w:t>
      </w:r>
      <w:bookmarkEnd w:id="76"/>
      <w:bookmarkEnd w:id="77"/>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78" w:name="_Toc224553072"/>
      <w:bookmarkStart w:id="79" w:name="_Toc224553624"/>
      <w:bookmarkStart w:id="80" w:name="_Toc224558347"/>
      <w:bookmarkStart w:id="81" w:name="_Toc201748498"/>
      <w:bookmarkStart w:id="82" w:name="_Toc201749022"/>
      <w:bookmarkStart w:id="83" w:name="_Toc201830095"/>
      <w:r>
        <w:rPr>
          <w:rStyle w:val="CharDivNo"/>
        </w:rPr>
        <w:t>Division 3</w:t>
      </w:r>
      <w:r>
        <w:t> — </w:t>
      </w:r>
      <w:r>
        <w:rPr>
          <w:rStyle w:val="CharDivText"/>
        </w:rPr>
        <w:t>Applying for grant or variation of driver’s licence</w:t>
      </w:r>
      <w:bookmarkEnd w:id="78"/>
      <w:bookmarkEnd w:id="79"/>
      <w:bookmarkEnd w:id="80"/>
      <w:bookmarkEnd w:id="81"/>
      <w:bookmarkEnd w:id="82"/>
      <w:bookmarkEnd w:id="83"/>
    </w:p>
    <w:p>
      <w:pPr>
        <w:pStyle w:val="Heading5"/>
      </w:pPr>
      <w:bookmarkStart w:id="84" w:name="_Toc224558348"/>
      <w:bookmarkStart w:id="85" w:name="_Toc201830096"/>
      <w:r>
        <w:rPr>
          <w:rStyle w:val="CharSectno"/>
        </w:rPr>
        <w:t>23</w:t>
      </w:r>
      <w:r>
        <w:t>.</w:t>
      </w:r>
      <w:r>
        <w:tab/>
        <w:t>Applying for driver’s licence</w:t>
      </w:r>
      <w:bookmarkEnd w:id="84"/>
      <w:bookmarkEnd w:id="85"/>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86" w:name="_Toc224558349"/>
      <w:bookmarkStart w:id="87" w:name="_Toc201830097"/>
      <w:r>
        <w:rPr>
          <w:rStyle w:val="CharSectno"/>
        </w:rPr>
        <w:t>24</w:t>
      </w:r>
      <w:r>
        <w:t>.</w:t>
      </w:r>
      <w:r>
        <w:tab/>
        <w:t>Grant of licence</w:t>
      </w:r>
      <w:bookmarkEnd w:id="86"/>
      <w:bookmarkEnd w:id="87"/>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88" w:name="_Toc224558350"/>
      <w:bookmarkStart w:id="89" w:name="_Toc201830098"/>
      <w:r>
        <w:rPr>
          <w:rStyle w:val="CharSectno"/>
        </w:rPr>
        <w:t>25</w:t>
      </w:r>
      <w:r>
        <w:t>.</w:t>
      </w:r>
      <w:r>
        <w:tab/>
        <w:t>Some grounds for refusing to grant driver’s licence</w:t>
      </w:r>
      <w:bookmarkEnd w:id="88"/>
      <w:bookmarkEnd w:id="89"/>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90" w:name="_Toc224558351"/>
      <w:bookmarkStart w:id="91" w:name="_Toc201830099"/>
      <w:r>
        <w:rPr>
          <w:rStyle w:val="CharSectno"/>
        </w:rPr>
        <w:t>27</w:t>
      </w:r>
      <w:r>
        <w:t>.</w:t>
      </w:r>
      <w:r>
        <w:tab/>
        <w:t>Driving tests</w:t>
      </w:r>
      <w:bookmarkEnd w:id="90"/>
      <w:bookmarkEnd w:id="91"/>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92" w:name="_Toc224558352"/>
      <w:bookmarkStart w:id="93" w:name="_Toc201830100"/>
      <w:r>
        <w:rPr>
          <w:rStyle w:val="CharSectno"/>
        </w:rPr>
        <w:t>28</w:t>
      </w:r>
      <w:r>
        <w:t>.</w:t>
      </w:r>
      <w:r>
        <w:tab/>
        <w:t>Varying driver’s licence</w:t>
      </w:r>
      <w:bookmarkEnd w:id="92"/>
      <w:bookmarkEnd w:id="93"/>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94" w:name="_Toc224558353"/>
      <w:bookmarkStart w:id="95" w:name="_Toc201830101"/>
      <w:r>
        <w:rPr>
          <w:rStyle w:val="CharSectno"/>
        </w:rPr>
        <w:t>29</w:t>
      </w:r>
      <w:r>
        <w:t>.</w:t>
      </w:r>
      <w:r>
        <w:tab/>
        <w:t>Surrender of driver’s licence</w:t>
      </w:r>
      <w:bookmarkEnd w:id="94"/>
      <w:bookmarkEnd w:id="95"/>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96" w:name="_Toc224553079"/>
      <w:bookmarkStart w:id="97" w:name="_Toc224553631"/>
      <w:bookmarkStart w:id="98" w:name="_Toc224558354"/>
      <w:bookmarkStart w:id="99" w:name="_Toc201748505"/>
      <w:bookmarkStart w:id="100" w:name="_Toc201749029"/>
      <w:bookmarkStart w:id="101" w:name="_Toc201830102"/>
      <w:r>
        <w:rPr>
          <w:rStyle w:val="CharDivNo"/>
        </w:rPr>
        <w:t>Division 4</w:t>
      </w:r>
      <w:r>
        <w:t> — </w:t>
      </w:r>
      <w:r>
        <w:rPr>
          <w:rStyle w:val="CharDivText"/>
        </w:rPr>
        <w:t>Driver’s licence documents</w:t>
      </w:r>
      <w:bookmarkEnd w:id="96"/>
      <w:bookmarkEnd w:id="97"/>
      <w:bookmarkEnd w:id="98"/>
      <w:bookmarkEnd w:id="99"/>
      <w:bookmarkEnd w:id="100"/>
      <w:bookmarkEnd w:id="101"/>
    </w:p>
    <w:p>
      <w:pPr>
        <w:pStyle w:val="Heading5"/>
      </w:pPr>
      <w:bookmarkStart w:id="102" w:name="_Toc224558355"/>
      <w:bookmarkStart w:id="103" w:name="_Toc201830103"/>
      <w:r>
        <w:rPr>
          <w:rStyle w:val="CharSectno"/>
        </w:rPr>
        <w:t>30</w:t>
      </w:r>
      <w:r>
        <w:t>.</w:t>
      </w:r>
      <w:r>
        <w:tab/>
        <w:t>Issue and form of driver’s licence document</w:t>
      </w:r>
      <w:bookmarkEnd w:id="102"/>
      <w:bookmarkEnd w:id="103"/>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104" w:name="_Toc224558356"/>
      <w:bookmarkStart w:id="105" w:name="_Toc201830104"/>
      <w:r>
        <w:rPr>
          <w:rStyle w:val="CharSectno"/>
        </w:rPr>
        <w:t>31</w:t>
      </w:r>
      <w:r>
        <w:t>.</w:t>
      </w:r>
      <w:r>
        <w:tab/>
        <w:t>Replacing driver’s licence document</w:t>
      </w:r>
      <w:bookmarkEnd w:id="104"/>
      <w:bookmarkEnd w:id="105"/>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keepNext/>
      </w:pPr>
      <w:r>
        <w:tab/>
        <w:t>(5)</w:t>
      </w:r>
      <w:r>
        <w:tab/>
        <w:t>A person must comply with a requirement under subregulation (4).</w:t>
      </w:r>
    </w:p>
    <w:p>
      <w:pPr>
        <w:pStyle w:val="Penstart"/>
        <w:keepNex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106" w:name="_Toc224558357"/>
      <w:bookmarkStart w:id="107" w:name="_Toc201830105"/>
      <w:r>
        <w:rPr>
          <w:rStyle w:val="CharSectno"/>
        </w:rPr>
        <w:t>32</w:t>
      </w:r>
      <w:r>
        <w:t>.</w:t>
      </w:r>
      <w:r>
        <w:tab/>
        <w:t>Return of driver’s licence document to CEO</w:t>
      </w:r>
      <w:bookmarkEnd w:id="106"/>
      <w:bookmarkEnd w:id="107"/>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108" w:name="_Toc224553083"/>
      <w:bookmarkStart w:id="109" w:name="_Toc224553635"/>
      <w:bookmarkStart w:id="110" w:name="_Toc224558358"/>
      <w:bookmarkStart w:id="111" w:name="_Toc201748509"/>
      <w:bookmarkStart w:id="112" w:name="_Toc201749033"/>
      <w:bookmarkStart w:id="113" w:name="_Toc201830106"/>
      <w:r>
        <w:rPr>
          <w:rStyle w:val="CharDivNo"/>
        </w:rPr>
        <w:t>Division 5</w:t>
      </w:r>
      <w:r>
        <w:t> — </w:t>
      </w:r>
      <w:r>
        <w:rPr>
          <w:rStyle w:val="CharDivText"/>
        </w:rPr>
        <w:t>Other provisions about drivers’ licences</w:t>
      </w:r>
      <w:bookmarkEnd w:id="108"/>
      <w:bookmarkEnd w:id="109"/>
      <w:bookmarkEnd w:id="110"/>
      <w:bookmarkEnd w:id="111"/>
      <w:bookmarkEnd w:id="112"/>
      <w:bookmarkEnd w:id="113"/>
    </w:p>
    <w:p>
      <w:pPr>
        <w:pStyle w:val="Heading5"/>
      </w:pPr>
      <w:bookmarkStart w:id="114" w:name="_Toc224558359"/>
      <w:bookmarkStart w:id="115" w:name="_Toc201830107"/>
      <w:r>
        <w:rPr>
          <w:rStyle w:val="CharSectno"/>
        </w:rPr>
        <w:t>33</w:t>
      </w:r>
      <w:r>
        <w:t>.</w:t>
      </w:r>
      <w:r>
        <w:tab/>
        <w:t>Conditions on licences</w:t>
      </w:r>
      <w:bookmarkEnd w:id="114"/>
      <w:bookmarkEnd w:id="115"/>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116" w:name="_Toc224558360"/>
      <w:bookmarkStart w:id="117" w:name="_Toc201830108"/>
      <w:r>
        <w:rPr>
          <w:rStyle w:val="CharSectno"/>
        </w:rPr>
        <w:t>34</w:t>
      </w:r>
      <w:r>
        <w:t>.</w:t>
      </w:r>
      <w:r>
        <w:tab/>
        <w:t>Procedures about conditions</w:t>
      </w:r>
      <w:bookmarkEnd w:id="116"/>
      <w:bookmarkEnd w:id="117"/>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18" w:name="_Toc224558361"/>
      <w:bookmarkStart w:id="119" w:name="_Toc201830109"/>
      <w:r>
        <w:rPr>
          <w:rStyle w:val="CharSectno"/>
        </w:rPr>
        <w:t>35</w:t>
      </w:r>
      <w:r>
        <w:t>.</w:t>
      </w:r>
      <w:r>
        <w:tab/>
        <w:t>Effect of breaching condition</w:t>
      </w:r>
      <w:bookmarkEnd w:id="118"/>
      <w:bookmarkEnd w:id="119"/>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120" w:name="_Toc224558362"/>
      <w:bookmarkStart w:id="121" w:name="_Toc201830110"/>
      <w:r>
        <w:rPr>
          <w:rStyle w:val="CharSectno"/>
        </w:rPr>
        <w:t>36</w:t>
      </w:r>
      <w:r>
        <w:t>.</w:t>
      </w:r>
      <w:r>
        <w:tab/>
        <w:t>Form and display of P plates</w:t>
      </w:r>
      <w:bookmarkEnd w:id="120"/>
      <w:bookmarkEnd w:id="121"/>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122" w:name="_Toc224558363"/>
      <w:bookmarkStart w:id="123" w:name="_Toc201830111"/>
      <w:r>
        <w:rPr>
          <w:rStyle w:val="CharSectno"/>
        </w:rPr>
        <w:t>37</w:t>
      </w:r>
      <w:r>
        <w:t>.</w:t>
      </w:r>
      <w:r>
        <w:tab/>
        <w:t>Duration of driver’s licence</w:t>
      </w:r>
      <w:bookmarkEnd w:id="122"/>
      <w:bookmarkEnd w:id="123"/>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124" w:name="_Toc224558364"/>
      <w:bookmarkStart w:id="125" w:name="_Toc201830112"/>
      <w:r>
        <w:rPr>
          <w:rStyle w:val="CharSectno"/>
        </w:rPr>
        <w:t>38</w:t>
      </w:r>
      <w:r>
        <w:t>.</w:t>
      </w:r>
      <w:r>
        <w:tab/>
        <w:t>Grant of driver’s licence by way of renewal</w:t>
      </w:r>
      <w:bookmarkEnd w:id="124"/>
      <w:bookmarkEnd w:id="125"/>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126" w:name="_Toc224558365"/>
      <w:bookmarkStart w:id="127" w:name="_Toc201830113"/>
      <w:r>
        <w:rPr>
          <w:rStyle w:val="CharSectno"/>
        </w:rPr>
        <w:t>39</w:t>
      </w:r>
      <w:r>
        <w:t>.</w:t>
      </w:r>
      <w:r>
        <w:tab/>
        <w:t>Renewal application made after driver’s licence expires</w:t>
      </w:r>
      <w:bookmarkEnd w:id="126"/>
      <w:bookmarkEnd w:id="127"/>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28" w:name="_Toc224558366"/>
      <w:bookmarkStart w:id="129" w:name="_Toc201830114"/>
      <w:r>
        <w:rPr>
          <w:rStyle w:val="CharSectno"/>
        </w:rPr>
        <w:t>40</w:t>
      </w:r>
      <w:r>
        <w:t>.</w:t>
      </w:r>
      <w:r>
        <w:tab/>
        <w:t>Change of personal details</w:t>
      </w:r>
      <w:bookmarkEnd w:id="128"/>
      <w:bookmarkEnd w:id="129"/>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keepNext/>
      </w:pPr>
      <w:r>
        <w:tab/>
        <w:t>(b)</w:t>
      </w:r>
      <w:r>
        <w:tab/>
        <w:t>for a subsequent offence, a fine of 8 PU.</w:t>
      </w:r>
    </w:p>
    <w:p>
      <w:pPr>
        <w:pStyle w:val="Penstart"/>
        <w:keepNext/>
      </w:pPr>
      <w:r>
        <w:tab/>
        <w:t>Modified penalty for this subregulation: 1 PU.</w:t>
      </w:r>
    </w:p>
    <w:p>
      <w:pPr>
        <w:pStyle w:val="Footnotesection"/>
      </w:pPr>
      <w:r>
        <w:tab/>
        <w:t>[Regulation 40 amended: Gazette 19 Aug 2016 p. 3575.]</w:t>
      </w:r>
    </w:p>
    <w:p>
      <w:pPr>
        <w:pStyle w:val="Heading5"/>
      </w:pPr>
      <w:bookmarkStart w:id="130" w:name="_Toc224558367"/>
      <w:bookmarkStart w:id="131" w:name="_Toc201830115"/>
      <w:r>
        <w:rPr>
          <w:rStyle w:val="CharSectno"/>
        </w:rPr>
        <w:t>41</w:t>
      </w:r>
      <w:r>
        <w:t>.</w:t>
      </w:r>
      <w:r>
        <w:tab/>
        <w:t>CEO’s powers for suspending or cancelling driver’s licence</w:t>
      </w:r>
      <w:bookmarkEnd w:id="130"/>
      <w:bookmarkEnd w:id="131"/>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keepNext/>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132" w:name="_Toc224553093"/>
      <w:bookmarkStart w:id="133" w:name="_Toc224553645"/>
      <w:bookmarkStart w:id="134" w:name="_Toc224558368"/>
      <w:bookmarkStart w:id="135" w:name="_Toc201748519"/>
      <w:bookmarkStart w:id="136" w:name="_Toc201749043"/>
      <w:bookmarkStart w:id="137" w:name="_Toc201830116"/>
      <w:r>
        <w:rPr>
          <w:rStyle w:val="CharPartNo"/>
        </w:rPr>
        <w:t>Part 3</w:t>
      </w:r>
      <w:r>
        <w:rPr>
          <w:rStyle w:val="CharDivNo"/>
        </w:rPr>
        <w:t> </w:t>
      </w:r>
      <w:r>
        <w:t>—</w:t>
      </w:r>
      <w:r>
        <w:rPr>
          <w:rStyle w:val="CharDivText"/>
        </w:rPr>
        <w:t> </w:t>
      </w:r>
      <w:r>
        <w:rPr>
          <w:rStyle w:val="CharPartText"/>
        </w:rPr>
        <w:t>Learner drivers</w:t>
      </w:r>
      <w:bookmarkEnd w:id="132"/>
      <w:bookmarkEnd w:id="133"/>
      <w:bookmarkEnd w:id="134"/>
      <w:bookmarkEnd w:id="135"/>
      <w:bookmarkEnd w:id="136"/>
      <w:bookmarkEnd w:id="137"/>
    </w:p>
    <w:p>
      <w:pPr>
        <w:pStyle w:val="Heading5"/>
        <w:rPr>
          <w:b w:val="0"/>
          <w:i/>
        </w:rPr>
      </w:pPr>
      <w:bookmarkStart w:id="138" w:name="_Toc224558369"/>
      <w:bookmarkStart w:id="139" w:name="_Toc201830117"/>
      <w:r>
        <w:rPr>
          <w:rStyle w:val="CharSectno"/>
        </w:rPr>
        <w:t>42</w:t>
      </w:r>
      <w:r>
        <w:t>.</w:t>
      </w:r>
      <w:r>
        <w:tab/>
        <w:t>What a learner’s permit authorises</w:t>
      </w:r>
      <w:bookmarkEnd w:id="138"/>
      <w:bookmarkEnd w:id="139"/>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140" w:name="_Toc224558370"/>
      <w:bookmarkStart w:id="141" w:name="_Toc201830118"/>
      <w:r>
        <w:rPr>
          <w:rStyle w:val="CharSectno"/>
        </w:rPr>
        <w:t>43</w:t>
      </w:r>
      <w:r>
        <w:t>.</w:t>
      </w:r>
      <w:r>
        <w:tab/>
        <w:t>Who may give driving instruction</w:t>
      </w:r>
      <w:bookmarkEnd w:id="140"/>
      <w:bookmarkEnd w:id="141"/>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142" w:name="_Toc224558371"/>
      <w:bookmarkStart w:id="143" w:name="_Toc201830119"/>
      <w:r>
        <w:rPr>
          <w:rStyle w:val="CharSectno"/>
        </w:rPr>
        <w:t>44</w:t>
      </w:r>
      <w:r>
        <w:t>.</w:t>
      </w:r>
      <w:r>
        <w:tab/>
        <w:t>Minimum age for learner’s permit</w:t>
      </w:r>
      <w:bookmarkEnd w:id="142"/>
      <w:bookmarkEnd w:id="143"/>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144" w:name="_Toc224558372"/>
      <w:bookmarkStart w:id="145" w:name="_Toc201830120"/>
      <w:r>
        <w:rPr>
          <w:rStyle w:val="CharSectno"/>
        </w:rPr>
        <w:t>45</w:t>
      </w:r>
      <w:r>
        <w:t>.</w:t>
      </w:r>
      <w:r>
        <w:tab/>
        <w:t>Demonstrating knowledge of traffic laws and safe driving techniques</w:t>
      </w:r>
      <w:bookmarkEnd w:id="144"/>
      <w:bookmarkEnd w:id="145"/>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146" w:name="_Toc224558373"/>
      <w:bookmarkStart w:id="147" w:name="_Toc201830121"/>
      <w:r>
        <w:rPr>
          <w:rStyle w:val="CharSectno"/>
        </w:rPr>
        <w:t>46</w:t>
      </w:r>
      <w:r>
        <w:t>.</w:t>
      </w:r>
      <w:r>
        <w:tab/>
        <w:t>Driver’s licence a prerequisite for learner’s permit for particular vehicles</w:t>
      </w:r>
      <w:bookmarkEnd w:id="146"/>
      <w:bookmarkEnd w:id="147"/>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48" w:name="_Toc224558374"/>
      <w:bookmarkStart w:id="149" w:name="_Toc201830122"/>
      <w:r>
        <w:rPr>
          <w:rStyle w:val="CharSectno"/>
        </w:rPr>
        <w:t>47</w:t>
      </w:r>
      <w:r>
        <w:t>.</w:t>
      </w:r>
      <w:r>
        <w:tab/>
        <w:t>Conditions on learner’s permit</w:t>
      </w:r>
      <w:bookmarkEnd w:id="148"/>
      <w:bookmarkEnd w:id="149"/>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50" w:name="_Toc224558375"/>
      <w:bookmarkStart w:id="151" w:name="_Toc201830123"/>
      <w:r>
        <w:rPr>
          <w:rStyle w:val="CharSectno"/>
        </w:rPr>
        <w:t>48</w:t>
      </w:r>
      <w:r>
        <w:t>.</w:t>
      </w:r>
      <w:r>
        <w:tab/>
        <w:t>Effect of breaching condition</w:t>
      </w:r>
      <w:bookmarkEnd w:id="150"/>
      <w:bookmarkEnd w:id="151"/>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52" w:name="_Toc224558376"/>
      <w:bookmarkStart w:id="153" w:name="_Toc201830124"/>
      <w:r>
        <w:rPr>
          <w:rStyle w:val="CharSectno"/>
        </w:rPr>
        <w:t>49</w:t>
      </w:r>
      <w:r>
        <w:t>.</w:t>
      </w:r>
      <w:r>
        <w:tab/>
        <w:t>Form and display of L plates</w:t>
      </w:r>
      <w:bookmarkEnd w:id="152"/>
      <w:bookmarkEnd w:id="153"/>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154" w:name="_Toc224558377"/>
      <w:bookmarkStart w:id="155" w:name="_Toc201830125"/>
      <w:r>
        <w:rPr>
          <w:rStyle w:val="CharSectno"/>
        </w:rPr>
        <w:t>50</w:t>
      </w:r>
      <w:r>
        <w:t>.</w:t>
      </w:r>
      <w:r>
        <w:tab/>
        <w:t>Applying for learner’s permit</w:t>
      </w:r>
      <w:bookmarkEnd w:id="154"/>
      <w:bookmarkEnd w:id="155"/>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156" w:name="_Toc224558378"/>
      <w:bookmarkStart w:id="157" w:name="_Toc201830126"/>
      <w:r>
        <w:rPr>
          <w:rStyle w:val="CharSectno"/>
        </w:rPr>
        <w:t>51</w:t>
      </w:r>
      <w:r>
        <w:t>.</w:t>
      </w:r>
      <w:r>
        <w:tab/>
        <w:t>Issue and form of learner’s permit document</w:t>
      </w:r>
      <w:bookmarkEnd w:id="156"/>
      <w:bookmarkEnd w:id="157"/>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158" w:name="_Toc224558379"/>
      <w:bookmarkStart w:id="159" w:name="_Toc201830127"/>
      <w:r>
        <w:rPr>
          <w:rStyle w:val="CharSectno"/>
        </w:rPr>
        <w:t>52</w:t>
      </w:r>
      <w:r>
        <w:t>.</w:t>
      </w:r>
      <w:r>
        <w:tab/>
        <w:t>Replacing learner’s permit document</w:t>
      </w:r>
      <w:bookmarkEnd w:id="158"/>
      <w:bookmarkEnd w:id="159"/>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160" w:name="_Toc224558380"/>
      <w:bookmarkStart w:id="161" w:name="_Toc201830128"/>
      <w:r>
        <w:rPr>
          <w:rStyle w:val="CharSectno"/>
        </w:rPr>
        <w:t>53</w:t>
      </w:r>
      <w:r>
        <w:t>.</w:t>
      </w:r>
      <w:r>
        <w:tab/>
        <w:t>CEO’s powers for suspending learner’s permit</w:t>
      </w:r>
      <w:bookmarkEnd w:id="160"/>
      <w:bookmarkEnd w:id="161"/>
    </w:p>
    <w:p>
      <w:pPr>
        <w:pStyle w:val="Subsection"/>
      </w:pPr>
      <w:r>
        <w:tab/>
      </w:r>
      <w:r>
        <w:tab/>
        <w:t>The CEO may suspend a learner’s permit by notice in writing given to the permit holder.</w:t>
      </w:r>
    </w:p>
    <w:p>
      <w:pPr>
        <w:pStyle w:val="Heading2"/>
      </w:pPr>
      <w:bookmarkStart w:id="162" w:name="_Toc224553106"/>
      <w:bookmarkStart w:id="163" w:name="_Toc224553658"/>
      <w:bookmarkStart w:id="164" w:name="_Toc224558381"/>
      <w:bookmarkStart w:id="165" w:name="_Toc201748532"/>
      <w:bookmarkStart w:id="166" w:name="_Toc201749056"/>
      <w:bookmarkStart w:id="167" w:name="_Toc201830129"/>
      <w:r>
        <w:rPr>
          <w:rStyle w:val="CharPartNo"/>
        </w:rPr>
        <w:t>Part 3A</w:t>
      </w:r>
      <w:r>
        <w:rPr>
          <w:rStyle w:val="CharDivNo"/>
        </w:rPr>
        <w:t> </w:t>
      </w:r>
      <w:r>
        <w:t>—</w:t>
      </w:r>
      <w:r>
        <w:rPr>
          <w:rStyle w:val="CharDivText"/>
        </w:rPr>
        <w:t> </w:t>
      </w:r>
      <w:r>
        <w:rPr>
          <w:rStyle w:val="CharPartText"/>
        </w:rPr>
        <w:t>Loss of authorisation to drive</w:t>
      </w:r>
      <w:bookmarkEnd w:id="162"/>
      <w:bookmarkEnd w:id="163"/>
      <w:bookmarkEnd w:id="164"/>
      <w:bookmarkEnd w:id="165"/>
      <w:bookmarkEnd w:id="166"/>
      <w:bookmarkEnd w:id="167"/>
    </w:p>
    <w:p>
      <w:pPr>
        <w:pStyle w:val="Footnoteheading"/>
      </w:pPr>
      <w:r>
        <w:tab/>
        <w:t>[Heading inserted: Gazette 20 Sep 2016 p. 3970.]</w:t>
      </w:r>
    </w:p>
    <w:p>
      <w:pPr>
        <w:pStyle w:val="Heading5"/>
      </w:pPr>
      <w:bookmarkStart w:id="168" w:name="_Toc224558382"/>
      <w:bookmarkStart w:id="169" w:name="_Toc201830130"/>
      <w:r>
        <w:rPr>
          <w:rStyle w:val="CharSectno"/>
        </w:rPr>
        <w:t>53A</w:t>
      </w:r>
      <w:r>
        <w:t>.</w:t>
      </w:r>
      <w:r>
        <w:tab/>
        <w:t>Terms used</w:t>
      </w:r>
      <w:bookmarkEnd w:id="168"/>
      <w:bookmarkEnd w:id="169"/>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170" w:name="_Toc224558383"/>
      <w:bookmarkStart w:id="171" w:name="_Toc201830131"/>
      <w:r>
        <w:rPr>
          <w:rStyle w:val="CharSectno"/>
        </w:rPr>
        <w:t>53B</w:t>
      </w:r>
      <w:r>
        <w:t>.</w:t>
      </w:r>
      <w:r>
        <w:tab/>
        <w:t>Effect of disqualification: cancellation</w:t>
      </w:r>
      <w:bookmarkEnd w:id="170"/>
      <w:bookmarkEnd w:id="171"/>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172" w:name="_Toc224558384"/>
      <w:bookmarkStart w:id="173" w:name="_Toc201830132"/>
      <w:r>
        <w:rPr>
          <w:rStyle w:val="CharSectno"/>
        </w:rPr>
        <w:t>53C</w:t>
      </w:r>
      <w:r>
        <w:t>.</w:t>
      </w:r>
      <w:r>
        <w:tab/>
        <w:t>Effect of disqualification: suspension</w:t>
      </w:r>
      <w:bookmarkEnd w:id="172"/>
      <w:bookmarkEnd w:id="173"/>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174" w:name="_Toc224553110"/>
      <w:bookmarkStart w:id="175" w:name="_Toc224553662"/>
      <w:bookmarkStart w:id="176" w:name="_Toc224558385"/>
      <w:bookmarkStart w:id="177" w:name="_Toc201748536"/>
      <w:bookmarkStart w:id="178" w:name="_Toc201749060"/>
      <w:bookmarkStart w:id="179" w:name="_Toc201830133"/>
      <w:r>
        <w:rPr>
          <w:rStyle w:val="CharPartNo"/>
        </w:rPr>
        <w:t>Part 4</w:t>
      </w:r>
      <w:r>
        <w:rPr>
          <w:rStyle w:val="CharDivNo"/>
        </w:rPr>
        <w:t> </w:t>
      </w:r>
      <w:r>
        <w:t>—</w:t>
      </w:r>
      <w:r>
        <w:rPr>
          <w:rStyle w:val="CharDivText"/>
        </w:rPr>
        <w:t> </w:t>
      </w:r>
      <w:r>
        <w:rPr>
          <w:rStyle w:val="CharPartText"/>
        </w:rPr>
        <w:t>Other matters about driver authorisations</w:t>
      </w:r>
      <w:bookmarkEnd w:id="174"/>
      <w:bookmarkEnd w:id="175"/>
      <w:bookmarkEnd w:id="176"/>
      <w:bookmarkEnd w:id="177"/>
      <w:bookmarkEnd w:id="178"/>
      <w:bookmarkEnd w:id="179"/>
    </w:p>
    <w:p>
      <w:pPr>
        <w:pStyle w:val="Heading5"/>
      </w:pPr>
      <w:bookmarkStart w:id="180" w:name="_Toc224558386"/>
      <w:bookmarkStart w:id="181" w:name="_Toc201830134"/>
      <w:r>
        <w:rPr>
          <w:rStyle w:val="CharSectno"/>
        </w:rPr>
        <w:t>53D</w:t>
      </w:r>
      <w:r>
        <w:t>.</w:t>
      </w:r>
      <w:r>
        <w:tab/>
        <w:t>Disclosure of identifying information to prescribed persons</w:t>
      </w:r>
      <w:bookmarkEnd w:id="180"/>
      <w:bookmarkEnd w:id="181"/>
    </w:p>
    <w:p>
      <w:pPr>
        <w:pStyle w:val="Subsection"/>
      </w:pPr>
      <w:r>
        <w:tab/>
      </w:r>
      <w:r>
        <w:tab/>
        <w:t xml:space="preserve">For the purposes of the definition of </w:t>
      </w:r>
      <w:r>
        <w:rPr>
          <w:b/>
          <w:i/>
        </w:rPr>
        <w:t>prescribed person</w:t>
      </w:r>
      <w:r>
        <w:t xml:space="preserve"> in section 11C(1), the persons are — </w:t>
      </w:r>
    </w:p>
    <w:p>
      <w:pPr>
        <w:pStyle w:val="Indenta"/>
      </w:pPr>
      <w:r>
        <w:tab/>
        <w:t>(a)</w:t>
      </w:r>
      <w:r>
        <w:tab/>
        <w:t>the Secretary of the Attorney</w:t>
      </w:r>
      <w:r>
        <w:noBreakHyphen/>
        <w:t>General’s Department of the Commonwealth; and</w:t>
      </w:r>
    </w:p>
    <w:p>
      <w:pPr>
        <w:pStyle w:val="Indenta"/>
      </w:pPr>
      <w:r>
        <w:tab/>
        <w:t>(b)</w:t>
      </w:r>
      <w:r>
        <w:tab/>
        <w:t xml:space="preserve">an APS employee, as defined in the </w:t>
      </w:r>
      <w:r>
        <w:rPr>
          <w:i/>
        </w:rPr>
        <w:t>Public Service Act 1999</w:t>
      </w:r>
      <w:r>
        <w:t xml:space="preserve"> (Commonwealth) section 7, in the Attorney</w:t>
      </w:r>
      <w:r>
        <w:noBreakHyphen/>
        <w:t>General’s Department of the Commonwealth nominated by the Secretary of the Attorney</w:t>
      </w:r>
      <w:r>
        <w:noBreakHyphen/>
        <w:t>General’s Department of the Commonwealth to the CEO.</w:t>
      </w:r>
    </w:p>
    <w:p>
      <w:pPr>
        <w:pStyle w:val="Footnotesection"/>
      </w:pPr>
      <w:r>
        <w:tab/>
        <w:t>[Regulation 53D inserted: SL 2022/148 r. 4; amended: SL 2023/166 r. 6.]</w:t>
      </w:r>
    </w:p>
    <w:p>
      <w:pPr>
        <w:pStyle w:val="Heading5"/>
      </w:pPr>
      <w:bookmarkStart w:id="182" w:name="_Toc224558387"/>
      <w:bookmarkStart w:id="183" w:name="_Toc201830135"/>
      <w:r>
        <w:rPr>
          <w:rStyle w:val="CharSectno"/>
        </w:rPr>
        <w:t>54</w:t>
      </w:r>
      <w:r>
        <w:t>.</w:t>
      </w:r>
      <w:r>
        <w:tab/>
        <w:t>Disclosure of photographs</w:t>
      </w:r>
      <w:bookmarkEnd w:id="182"/>
      <w:bookmarkEnd w:id="183"/>
    </w:p>
    <w:p>
      <w:pPr>
        <w:pStyle w:val="Subsection"/>
      </w:pPr>
      <w:r>
        <w:tab/>
      </w:r>
      <w:r>
        <w:tab/>
        <w:t xml:space="preserve">For the definition of </w:t>
      </w:r>
      <w:r>
        <w:rPr>
          <w:b/>
          <w:i/>
        </w:rPr>
        <w:t>law enforcement official</w:t>
      </w:r>
      <w:r>
        <w:t xml:space="preserve"> in section 11E(1),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keepNext/>
      </w:pPr>
      <w:r>
        <w:tab/>
        <w:t>[(d)-(h)</w:t>
      </w:r>
      <w:r>
        <w:tab/>
        <w:t>deleted]</w:t>
      </w:r>
    </w:p>
    <w:p>
      <w:pPr>
        <w:pStyle w:val="Footnotesection"/>
      </w:pPr>
      <w:r>
        <w:tab/>
        <w:t>[Regulation 54 amended: Gazette 26 Jun 2015 p. 2275; 29 Mar 2019 p. 975</w:t>
      </w:r>
      <w:r>
        <w:noBreakHyphen/>
        <w:t>6; SL 2022/148 r. 5.]</w:t>
      </w:r>
    </w:p>
    <w:p>
      <w:pPr>
        <w:pStyle w:val="Heading5"/>
        <w:rPr>
          <w:b w:val="0"/>
          <w:i/>
        </w:rPr>
      </w:pPr>
      <w:bookmarkStart w:id="184" w:name="_Toc224558388"/>
      <w:bookmarkStart w:id="185" w:name="_Toc201830136"/>
      <w:r>
        <w:rPr>
          <w:rStyle w:val="CharSectno"/>
        </w:rPr>
        <w:t>55</w:t>
      </w:r>
      <w:r>
        <w:t>.</w:t>
      </w:r>
      <w:r>
        <w:tab/>
        <w:t>Certain motor vehicles may be driven without licence</w:t>
      </w:r>
      <w:bookmarkEnd w:id="184"/>
      <w:bookmarkEnd w:id="185"/>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tab/>
        <w:t>[Regulation 55 amended: SL 2021/199 r. 5.]</w:t>
      </w:r>
    </w:p>
    <w:p>
      <w:pPr>
        <w:pStyle w:val="Heading5"/>
        <w:rPr>
          <w:b w:val="0"/>
          <w:i/>
        </w:rPr>
      </w:pPr>
      <w:bookmarkStart w:id="186" w:name="_Toc224558389"/>
      <w:bookmarkStart w:id="187" w:name="_Toc201830137"/>
      <w:r>
        <w:rPr>
          <w:rStyle w:val="CharSectno"/>
        </w:rPr>
        <w:t>56</w:t>
      </w:r>
      <w:r>
        <w:t>.</w:t>
      </w:r>
      <w:r>
        <w:tab/>
        <w:t>Australian driver licence may authorise learning to drive</w:t>
      </w:r>
      <w:bookmarkEnd w:id="186"/>
      <w:bookmarkEnd w:id="187"/>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188" w:name="_Toc224558390"/>
      <w:bookmarkStart w:id="189" w:name="_Toc201830138"/>
      <w:r>
        <w:rPr>
          <w:rStyle w:val="CharSectno"/>
        </w:rPr>
        <w:t>57</w:t>
      </w:r>
      <w:r>
        <w:t>.</w:t>
      </w:r>
      <w:r>
        <w:tab/>
        <w:t>CEO may permit certain driving without licence</w:t>
      </w:r>
      <w:bookmarkEnd w:id="188"/>
      <w:bookmarkEnd w:id="189"/>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90" w:name="_Toc224558391"/>
      <w:bookmarkStart w:id="191" w:name="_Toc201830139"/>
      <w:r>
        <w:rPr>
          <w:rStyle w:val="CharSectno"/>
        </w:rPr>
        <w:t>58</w:t>
      </w:r>
      <w:r>
        <w:t>.</w:t>
      </w:r>
      <w:r>
        <w:tab/>
        <w:t>Foreign driving authorisation may not prevent grant of driver’s licence</w:t>
      </w:r>
      <w:bookmarkEnd w:id="190"/>
      <w:bookmarkEnd w:id="191"/>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192" w:name="_Toc224558392"/>
      <w:bookmarkStart w:id="193" w:name="_Toc201830140"/>
      <w:r>
        <w:rPr>
          <w:rStyle w:val="CharSectno"/>
        </w:rPr>
        <w:t>59</w:t>
      </w:r>
      <w:r>
        <w:t>.</w:t>
      </w:r>
      <w:r>
        <w:tab/>
        <w:t>Recognition of other Australian jurisdictions’ driving authorisations: general</w:t>
      </w:r>
      <w:bookmarkEnd w:id="192"/>
      <w:bookmarkEnd w:id="193"/>
    </w:p>
    <w:p>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pPr>
        <w:pStyle w:val="Subsection"/>
      </w:pPr>
      <w:r>
        <w:tab/>
        <w:t>(3)</w:t>
      </w:r>
      <w:r>
        <w:tab/>
        <w:t>Despite subregulation (1), another jurisdiction’s driving authorisation must not be recognised under that subregulation in any period during which it is recognised under regulation 60A(2) or 60B(2).</w:t>
      </w:r>
    </w:p>
    <w:p>
      <w:pPr>
        <w:pStyle w:val="Subsection"/>
      </w:pPr>
      <w:r>
        <w:tab/>
        <w:t>(4)</w:t>
      </w:r>
      <w:r>
        <w:tab/>
        <w:t>Subregulation (3) does not prevent another jurisdiction’s driving authorisation from being recognised under subregulation (1) after the end of any period during which it is recognised under regulation 60A(2) or 60B(2).</w:t>
      </w:r>
    </w:p>
    <w:p>
      <w:pPr>
        <w:pStyle w:val="Footnotesection"/>
      </w:pPr>
      <w:r>
        <w:tab/>
        <w:t>[Regulation 59 amended: SL 2022/147 r. 6.]</w:t>
      </w:r>
    </w:p>
    <w:p>
      <w:pPr>
        <w:pStyle w:val="Heading5"/>
        <w:rPr>
          <w:b w:val="0"/>
          <w:i/>
        </w:rPr>
      </w:pPr>
      <w:bookmarkStart w:id="194" w:name="_Toc224558393"/>
      <w:bookmarkStart w:id="195" w:name="_Toc201830141"/>
      <w:r>
        <w:rPr>
          <w:rStyle w:val="CharSectno"/>
        </w:rPr>
        <w:t>60</w:t>
      </w:r>
      <w:r>
        <w:t>.</w:t>
      </w:r>
      <w:r>
        <w:tab/>
        <w:t>Recognition of foreign driving authorisations: general</w:t>
      </w:r>
      <w:bookmarkEnd w:id="194"/>
      <w:bookmarkEnd w:id="195"/>
    </w:p>
    <w:p>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pPr>
        <w:pStyle w:val="Subsection"/>
        <w:keepNext/>
      </w:pPr>
      <w:r>
        <w:tab/>
        <w:t>(2)</w:t>
      </w:r>
      <w:r>
        <w:tab/>
        <w:t xml:space="preserve">In subregulation (1) — </w:t>
      </w:r>
    </w:p>
    <w:p>
      <w:pPr>
        <w:pStyle w:val="Defstart"/>
      </w:pPr>
      <w:r>
        <w:rPr>
          <w:b/>
        </w:rPr>
        <w:tab/>
      </w:r>
      <w:r>
        <w:rPr>
          <w:rStyle w:val="CharDefText"/>
        </w:rPr>
        <w:t>foreign law</w:t>
      </w:r>
      <w:r>
        <w:t xml:space="preserve"> means the law of an external Territory or the law of another country.</w:t>
      </w:r>
    </w:p>
    <w:p>
      <w:pPr>
        <w:pStyle w:val="Subsection"/>
      </w:pPr>
      <w:r>
        <w:tab/>
        <w:t>(3)</w:t>
      </w:r>
      <w:r>
        <w:tab/>
        <w:t>Subregulation (1) does not apply to an authorisation to drive a vehicle solely for the purpose of learning to drive it unless it is granted under a law of an external Territory or of New Zealand.</w:t>
      </w:r>
    </w:p>
    <w:p>
      <w:pPr>
        <w:pStyle w:val="Subsection"/>
      </w:pPr>
      <w:r>
        <w:tab/>
        <w:t>(4)</w:t>
      </w:r>
      <w:r>
        <w:tab/>
        <w:t>If the CEO recognises a foreign driving authorisation under subregulation (1), the CEO must also recognise any condition to which the authorisation is subject that is capable of applying in this State.</w:t>
      </w:r>
    </w:p>
    <w:p>
      <w:pPr>
        <w:pStyle w:val="Subsection"/>
      </w:pPr>
      <w:r>
        <w:tab/>
        <w:t>(5)</w:t>
      </w:r>
      <w:r>
        <w:tab/>
        <w:t>Despite subregulation (1), a foreign driving authorisation must not be recognised under that subregulation in any period during which it is recognised under regulation 60A(3) or 60B(3).</w:t>
      </w:r>
    </w:p>
    <w:p>
      <w:pPr>
        <w:pStyle w:val="Subsection"/>
        <w:keepNext/>
      </w:pPr>
      <w:r>
        <w:tab/>
        <w:t>(6)</w:t>
      </w:r>
      <w:r>
        <w:tab/>
        <w:t>Subregulation (5) does not prevent a foreign driving authorisation from being recognised under subregulation (1) after the end of any period during which it is recognised under regulation 60A(3) or 60B(3).</w:t>
      </w:r>
    </w:p>
    <w:p>
      <w:pPr>
        <w:pStyle w:val="Footnotesection"/>
      </w:pPr>
      <w:r>
        <w:tab/>
        <w:t>[Regulation 60 amended: SL 2022/147 r. 7.]</w:t>
      </w:r>
    </w:p>
    <w:p>
      <w:pPr>
        <w:pStyle w:val="Heading5"/>
      </w:pPr>
      <w:bookmarkStart w:id="196" w:name="_Toc224558394"/>
      <w:bookmarkStart w:id="197" w:name="_Toc201830142"/>
      <w:r>
        <w:rPr>
          <w:rStyle w:val="CharSectno"/>
        </w:rPr>
        <w:t>60A</w:t>
      </w:r>
      <w:r>
        <w:t>.</w:t>
      </w:r>
      <w:r>
        <w:tab/>
        <w:t>Temporary extended recognition of other Australian jurisdictions’ and foreign heavy vehicle driving authorisations</w:t>
      </w:r>
      <w:bookmarkEnd w:id="196"/>
      <w:bookmarkEnd w:id="197"/>
    </w:p>
    <w:p>
      <w:pPr>
        <w:pStyle w:val="Subsection"/>
        <w:keepNext/>
      </w:pPr>
      <w:r>
        <w:tab/>
        <w:t>(1)</w:t>
      </w:r>
      <w:r>
        <w:tab/>
        <w:t xml:space="preserve">In this regulation — </w:t>
      </w:r>
    </w:p>
    <w:p>
      <w:pPr>
        <w:pStyle w:val="Defstart"/>
        <w:keepNext/>
      </w:pPr>
      <w:r>
        <w:tab/>
      </w:r>
      <w:r>
        <w:rPr>
          <w:rStyle w:val="CharDefText"/>
        </w:rPr>
        <w:t>heavy vehicle extended recognition period</w:t>
      </w:r>
      <w:r>
        <w:t xml:space="preserve"> means the period — </w:t>
      </w:r>
    </w:p>
    <w:p>
      <w:pPr>
        <w:pStyle w:val="Defpara"/>
      </w:pPr>
      <w:r>
        <w:tab/>
        <w:t>(a)</w:t>
      </w:r>
      <w:r>
        <w:tab/>
        <w:t xml:space="preserve">beginning on the day on which the </w:t>
      </w:r>
      <w:r>
        <w:rPr>
          <w:i/>
        </w:rPr>
        <w:t>Road Traffic (Authorisation to Drive) Amendment Regulations 2022</w:t>
      </w:r>
      <w:r>
        <w:t xml:space="preserve"> regulation 8 comes into operation; and</w:t>
      </w:r>
    </w:p>
    <w:p>
      <w:pPr>
        <w:pStyle w:val="Defpara"/>
      </w:pPr>
      <w:r>
        <w:tab/>
        <w:t>(b)</w:t>
      </w:r>
      <w:r>
        <w:tab/>
        <w:t xml:space="preserve">ending on — </w:t>
      </w:r>
    </w:p>
    <w:p>
      <w:pPr>
        <w:pStyle w:val="Defsubpara"/>
      </w:pPr>
      <w:r>
        <w:tab/>
        <w:t>(i)</w:t>
      </w:r>
      <w:r>
        <w:tab/>
        <w:t>28 February 2023; or</w:t>
      </w:r>
    </w:p>
    <w:p>
      <w:pPr>
        <w:pStyle w:val="Defsubpara"/>
      </w:pPr>
      <w:r>
        <w:tab/>
        <w:t>(ii)</w:t>
      </w:r>
      <w:r>
        <w:tab/>
        <w:t>a later day, which must not be later than 31 August 2024, approved by the CEO by notice published on the Department’s website.</w:t>
      </w:r>
    </w:p>
    <w:p>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pPr>
        <w:pStyle w:val="Subsection"/>
      </w:pPr>
      <w:r>
        <w:tab/>
        <w:t>(3)</w:t>
      </w:r>
      <w:r>
        <w:tab/>
        <w:t xml:space="preserve">During the heavy vehicle extended recognition period, the CEO — </w:t>
      </w:r>
    </w:p>
    <w:p>
      <w:pPr>
        <w:pStyle w:val="Indenta"/>
      </w:pPr>
      <w:r>
        <w:tab/>
        <w:t>(a)</w:t>
      </w:r>
      <w:r>
        <w:tab/>
        <w:t>must recognise under this paragraph foreign driving authorisations of New Zealand that authorise the driving of vehicles that have a GVM of more than 4.5 t; and</w:t>
      </w:r>
    </w:p>
    <w:p>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pPr>
        <w:pStyle w:val="Subsection"/>
        <w:keepNext/>
      </w:pPr>
      <w:r>
        <w:tab/>
        <w:t>(4)</w:t>
      </w:r>
      <w:r>
        <w:tab/>
        <w:t>The recognition of foreign driving authorisations of a country or external Territory under subregulation (3)(b) may be limited to foreign driving authorisations granted on or after a date specified in the notice.</w:t>
      </w:r>
    </w:p>
    <w:p>
      <w:pPr>
        <w:pStyle w:val="Footnotesection"/>
      </w:pPr>
      <w:r>
        <w:tab/>
        <w:t>[Regulation 60A inserted: SL 2022/147 r. 8.]</w:t>
      </w:r>
    </w:p>
    <w:p>
      <w:pPr>
        <w:pStyle w:val="Heading5"/>
      </w:pPr>
      <w:bookmarkStart w:id="198" w:name="_Toc224558395"/>
      <w:bookmarkStart w:id="199" w:name="_Toc201830143"/>
      <w:r>
        <w:rPr>
          <w:rStyle w:val="CharSectno"/>
        </w:rPr>
        <w:t>60B</w:t>
      </w:r>
      <w:r>
        <w:t>.</w:t>
      </w:r>
      <w:r>
        <w:tab/>
        <w:t>Extended recognition of other Australian jurisdictions’ and foreign driving authorisations following emergency declaration</w:t>
      </w:r>
      <w:bookmarkEnd w:id="198"/>
      <w:bookmarkEnd w:id="199"/>
    </w:p>
    <w:p>
      <w:pPr>
        <w:pStyle w:val="Subsection"/>
        <w:keepNext/>
      </w:pPr>
      <w:r>
        <w:tab/>
        <w:t>(1)</w:t>
      </w:r>
      <w:r>
        <w:tab/>
        <w:t xml:space="preserve">The CEO may exercise the CEO’s powers under either or both of subregulations (2) and (3) if — </w:t>
      </w:r>
    </w:p>
    <w:p>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pPr>
        <w:pStyle w:val="Indenti"/>
      </w:pPr>
      <w:r>
        <w:tab/>
        <w:t>(i)</w:t>
      </w:r>
      <w:r>
        <w:tab/>
        <w:t xml:space="preserve">an emergency situation declaration under the </w:t>
      </w:r>
      <w:r>
        <w:rPr>
          <w:i/>
        </w:rPr>
        <w:t>Emergency Management Act 2005</w:t>
      </w:r>
      <w:r>
        <w:t xml:space="preserve"> section 50;</w:t>
      </w:r>
    </w:p>
    <w:p>
      <w:pPr>
        <w:pStyle w:val="Indenti"/>
        <w:keepNext/>
      </w:pPr>
      <w:r>
        <w:tab/>
        <w:t>(ii)</w:t>
      </w:r>
      <w:r>
        <w:tab/>
        <w:t xml:space="preserve">a state of emergency declaration under the </w:t>
      </w:r>
      <w:r>
        <w:rPr>
          <w:i/>
        </w:rPr>
        <w:t>Emergency Management Act 2005</w:t>
      </w:r>
      <w:r>
        <w:t xml:space="preserve"> section 56;</w:t>
      </w:r>
    </w:p>
    <w:p>
      <w:pPr>
        <w:pStyle w:val="Indenta"/>
      </w:pPr>
      <w:r>
        <w:tab/>
      </w:r>
      <w:r>
        <w:tab/>
        <w:t>and</w:t>
      </w:r>
    </w:p>
    <w:p>
      <w:pPr>
        <w:pStyle w:val="Indenta"/>
        <w:keepNext/>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emergency or the response to the emergency; or</w:t>
      </w:r>
    </w:p>
    <w:p>
      <w:pPr>
        <w:pStyle w:val="Indenti"/>
      </w:pPr>
      <w:r>
        <w:tab/>
        <w:t>(ii)</w:t>
      </w:r>
      <w:r>
        <w:tab/>
        <w:t>as a result of impediments to the administrative processes involved in the grant of drivers’ licences that have arisen in connection with the emergency or the response to the emergency.</w:t>
      </w:r>
    </w:p>
    <w:p>
      <w:pPr>
        <w:pStyle w:val="Ednotesubsection"/>
      </w:pPr>
      <w:r>
        <w:tab/>
        <w:t>[(1A)</w:t>
      </w:r>
      <w:r>
        <w:tab/>
        <w:t>deleted]</w:t>
      </w:r>
    </w:p>
    <w:p>
      <w:pPr>
        <w:pStyle w:val="Subsection"/>
        <w:keepNext/>
      </w:pPr>
      <w:r>
        <w:tab/>
        <w:t>(2)</w:t>
      </w:r>
      <w:r>
        <w:tab/>
        <w:t xml:space="preserve">The CEO may, by notice published on the Department’s website, recognise under this subregulation — </w:t>
      </w:r>
    </w:p>
    <w:p>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pPr>
        <w:pStyle w:val="Indenta"/>
      </w:pPr>
      <w:r>
        <w:tab/>
        <w:t>(b)</w:t>
      </w:r>
      <w:r>
        <w:tab/>
        <w:t>other jurisdictions’ driving authorisations that authorise the driving of vehicles of a class specified in the notice.</w:t>
      </w:r>
    </w:p>
    <w:p>
      <w:pPr>
        <w:pStyle w:val="Subsection"/>
        <w:keepNext/>
      </w:pPr>
      <w:r>
        <w:tab/>
        <w:t>(3)</w:t>
      </w:r>
      <w:r>
        <w:tab/>
        <w:t xml:space="preserve">The CEO may, by notice published on the Department’s website, recognise under this subregulation — </w:t>
      </w:r>
    </w:p>
    <w:p>
      <w:pPr>
        <w:pStyle w:val="Indenta"/>
      </w:pPr>
      <w:r>
        <w:tab/>
        <w:t>(a)</w:t>
      </w:r>
      <w:r>
        <w:tab/>
        <w:t>all foreign driving authorisations of 1 or more countries or external Territories specified in the notice; or</w:t>
      </w:r>
    </w:p>
    <w:p>
      <w:pPr>
        <w:pStyle w:val="Indenta"/>
      </w:pPr>
      <w:r>
        <w:tab/>
        <w:t>(b)</w:t>
      </w:r>
      <w:r>
        <w:tab/>
        <w:t>foreign driving authorisations of 1 or more countries or external Territories specified in the notice that authorise the driving of vehicles of a class specified in the notice.</w:t>
      </w:r>
    </w:p>
    <w:p>
      <w:pPr>
        <w:pStyle w:val="Subsection"/>
      </w:pPr>
      <w:r>
        <w:tab/>
        <w:t>(4)</w:t>
      </w:r>
      <w:r>
        <w:tab/>
        <w:t>The recognition of foreign driving authorisations of a country or external Territory under subregulation (3)(a) or (b) may be limited to foreign driving authorisations granted on or after a date specified in the notice.</w:t>
      </w:r>
    </w:p>
    <w:p>
      <w:pPr>
        <w:pStyle w:val="Subsection"/>
        <w:keepNext/>
      </w:pPr>
      <w:r>
        <w:tab/>
        <w:t>(5)</w:t>
      </w:r>
      <w:r>
        <w:tab/>
        <w:t xml:space="preserve">A notice under subregulation (2) or (3) (a </w:t>
      </w:r>
      <w:r>
        <w:rPr>
          <w:rStyle w:val="CharDefText"/>
        </w:rPr>
        <w:t>notice of recognition</w:t>
      </w:r>
      <w:r>
        <w:t xml:space="preserve">) must specify — </w:t>
      </w:r>
    </w:p>
    <w:p>
      <w:pPr>
        <w:pStyle w:val="Indenta"/>
      </w:pPr>
      <w:r>
        <w:tab/>
        <w:t>(a)</w:t>
      </w:r>
      <w:r>
        <w:tab/>
        <w:t>the emergency declaration to which it relates; and</w:t>
      </w:r>
    </w:p>
    <w:p>
      <w:pPr>
        <w:pStyle w:val="Indenta"/>
      </w:pPr>
      <w:r>
        <w:tab/>
        <w:t>(b)</w:t>
      </w:r>
      <w:r>
        <w:tab/>
        <w:t>the period for which it has effect, which must not be longer than 18 months.</w:t>
      </w:r>
    </w:p>
    <w:p>
      <w:pPr>
        <w:pStyle w:val="Subsection"/>
        <w:keepNext/>
      </w:pPr>
      <w:r>
        <w:tab/>
        <w:t>(6)</w:t>
      </w:r>
      <w:r>
        <w:tab/>
        <w:t xml:space="preserve">The CEO may, by notice published on the Department’s website — </w:t>
      </w:r>
    </w:p>
    <w:p>
      <w:pPr>
        <w:pStyle w:val="Indenta"/>
      </w:pPr>
      <w:r>
        <w:tab/>
        <w:t>(a)</w:t>
      </w:r>
      <w:r>
        <w:tab/>
        <w:t>if the period specified under subregulation (5)(b) in a notice of recognition is less than 18 months — extend the period, but not so that the period becomes longer than 18 months; or</w:t>
      </w:r>
    </w:p>
    <w:p>
      <w:pPr>
        <w:pStyle w:val="Indenta"/>
      </w:pPr>
      <w:r>
        <w:tab/>
        <w:t>(b)</w:t>
      </w:r>
      <w:r>
        <w:tab/>
        <w:t>revoke a notice of recognition.</w:t>
      </w:r>
    </w:p>
    <w:p>
      <w:pPr>
        <w:pStyle w:val="Subsection"/>
        <w:keepNext/>
      </w:pPr>
      <w:r>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pPr>
        <w:pStyle w:val="Footnotesection"/>
      </w:pPr>
      <w:r>
        <w:tab/>
        <w:t>[Regulation 60B inserted: SL 2022/147 r. 8; amended: SL 2022/179 r. 4 and 5.]</w:t>
      </w:r>
    </w:p>
    <w:p>
      <w:pPr>
        <w:pStyle w:val="Heading5"/>
      </w:pPr>
      <w:bookmarkStart w:id="200" w:name="_Toc224558396"/>
      <w:bookmarkStart w:id="201" w:name="_Toc201830144"/>
      <w:r>
        <w:rPr>
          <w:rStyle w:val="CharSectno"/>
        </w:rPr>
        <w:t>60C</w:t>
      </w:r>
      <w:r>
        <w:t>.</w:t>
      </w:r>
      <w:r>
        <w:tab/>
        <w:t>Provisions about extended recognition under r. 60A and 60B</w:t>
      </w:r>
      <w:bookmarkEnd w:id="200"/>
      <w:bookmarkEnd w:id="201"/>
    </w:p>
    <w:p>
      <w:pPr>
        <w:pStyle w:val="Subsection"/>
        <w:keepNext/>
      </w:pPr>
      <w:r>
        <w:tab/>
        <w:t>(1)</w:t>
      </w:r>
      <w:r>
        <w:tab/>
        <w:t xml:space="preserve">The CEO must not recognise foreign driving authorisations granted under a law of a country or external Territory under regulation 60A(3)(b) or 60B(3) unless the CEO is satisfied that — </w:t>
      </w:r>
    </w:p>
    <w:p>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pPr>
        <w:pStyle w:val="Indenta"/>
      </w:pPr>
      <w:r>
        <w:tab/>
        <w:t>(b)</w:t>
      </w:r>
      <w:r>
        <w:tab/>
        <w:t>the driving conditions in the country or external Territory are sufficiently similar to those in this State.</w:t>
      </w:r>
    </w:p>
    <w:p>
      <w:pPr>
        <w:pStyle w:val="Subsection"/>
        <w:keepNext/>
      </w:pPr>
      <w:r>
        <w:tab/>
        <w:t>(2)</w:t>
      </w:r>
      <w:r>
        <w:tab/>
        <w:t>If the CEO recognises a driving authorisation under regulation 60A or 60B, the CEO must also recognise any condition to which the authorisation is subject that is capable of applying in this State.</w:t>
      </w:r>
    </w:p>
    <w:p>
      <w:pPr>
        <w:pStyle w:val="Footnotesection"/>
      </w:pPr>
      <w:r>
        <w:tab/>
        <w:t>[Regulation 60C inserted: SL 2022/147 r. 8.]</w:t>
      </w:r>
    </w:p>
    <w:p>
      <w:pPr>
        <w:pStyle w:val="Heading5"/>
      </w:pPr>
      <w:bookmarkStart w:id="202" w:name="_Toc224558397"/>
      <w:bookmarkStart w:id="203" w:name="_Toc201830145"/>
      <w:r>
        <w:rPr>
          <w:rStyle w:val="CharSectno"/>
        </w:rPr>
        <w:t>61</w:t>
      </w:r>
      <w:r>
        <w:t>.</w:t>
      </w:r>
      <w:r>
        <w:tab/>
        <w:t>Effect of recognition under r. 59, 60, 60A or 60B</w:t>
      </w:r>
      <w:bookmarkEnd w:id="202"/>
      <w:bookmarkEnd w:id="203"/>
    </w:p>
    <w:p>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pPr>
        <w:pStyle w:val="Subsection"/>
        <w:keepNext/>
      </w:pPr>
      <w:r>
        <w:tab/>
        <w:t>(2)</w:t>
      </w:r>
      <w:r>
        <w:tab/>
        <w:t xml:space="preserve">However, a driving authorisation recognised under regulation 59, 60, 60A or 60B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keepNext/>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keepNext/>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pPr>
        <w:pStyle w:val="Footnotesection"/>
      </w:pPr>
      <w:r>
        <w:tab/>
        <w:t>[Regulation 61 amended: Gazette 19 Aug 2016 p. 3574; SL 2022/147 r. 9.]</w:t>
      </w:r>
    </w:p>
    <w:p>
      <w:pPr>
        <w:pStyle w:val="Heading5"/>
      </w:pPr>
      <w:bookmarkStart w:id="204" w:name="_Toc224558398"/>
      <w:bookmarkStart w:id="205" w:name="_Toc201830146"/>
      <w:r>
        <w:rPr>
          <w:rStyle w:val="CharSectno"/>
        </w:rPr>
        <w:t>62</w:t>
      </w:r>
      <w:r>
        <w:t>.</w:t>
      </w:r>
      <w:r>
        <w:tab/>
        <w:t>Excluding person from being authorised by r. 61</w:t>
      </w:r>
      <w:bookmarkEnd w:id="204"/>
      <w:bookmarkEnd w:id="205"/>
    </w:p>
    <w:p>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pPr>
        <w:pStyle w:val="Subsection"/>
        <w:keepNext/>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keepNext/>
      </w:pPr>
      <w:r>
        <w:tab/>
        <w:t>(b)</w:t>
      </w:r>
      <w:r>
        <w:tab/>
        <w:t>the person is not sufficiently able to safely drive motor vehicles as regulation 61 would authorise.</w:t>
      </w:r>
    </w:p>
    <w:p>
      <w:pPr>
        <w:pStyle w:val="Footnotesection"/>
      </w:pPr>
      <w:r>
        <w:tab/>
        <w:t>[Regulation 62 amended: SL 2022/147 r. 10.]</w:t>
      </w:r>
    </w:p>
    <w:p>
      <w:pPr>
        <w:pStyle w:val="Heading5"/>
      </w:pPr>
      <w:bookmarkStart w:id="206" w:name="_Toc224558399"/>
      <w:bookmarkStart w:id="207" w:name="_Toc201830147"/>
      <w:r>
        <w:rPr>
          <w:rStyle w:val="CharSectno"/>
        </w:rPr>
        <w:t>63</w:t>
      </w:r>
      <w:r>
        <w:t>.</w:t>
      </w:r>
      <w:r>
        <w:tab/>
        <w:t>Other jurisdiction’s driving authorisation document, Defence Force card, to be carried and produced</w:t>
      </w:r>
      <w:bookmarkEnd w:id="206"/>
      <w:bookmarkEnd w:id="207"/>
    </w:p>
    <w:p>
      <w:pPr>
        <w:pStyle w:val="Subsection"/>
        <w:keepNext/>
      </w:pPr>
      <w:r>
        <w:tab/>
      </w:r>
      <w:r>
        <w:tab/>
        <w:t xml:space="preserve">A person whose authority to drive depends on another jurisdiction’s driving authorisation must — </w:t>
      </w:r>
    </w:p>
    <w:p>
      <w:pPr>
        <w:pStyle w:val="Indenta"/>
        <w:keepNext/>
      </w:pPr>
      <w:r>
        <w:tab/>
        <w:t>(a)</w:t>
      </w:r>
      <w:r>
        <w:tab/>
        <w:t xml:space="preserve">while driving a motor vehicle on a road, carry — </w:t>
      </w:r>
    </w:p>
    <w:p>
      <w:pPr>
        <w:pStyle w:val="Indenti"/>
      </w:pPr>
      <w:r>
        <w:tab/>
        <w:t>(i)</w:t>
      </w:r>
      <w:r>
        <w:tab/>
        <w:t>the official document that is evidence of the authorisation; and</w:t>
      </w:r>
    </w:p>
    <w:p>
      <w:pPr>
        <w:pStyle w:val="Indenti"/>
        <w:keepNext/>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keepNext/>
      </w:pPr>
      <w:r>
        <w:tab/>
        <w:t>(b)</w:t>
      </w:r>
      <w:r>
        <w:tab/>
        <w:t>produce that document or card for inspection if directed to do so by a police officer.</w:t>
      </w:r>
    </w:p>
    <w:p>
      <w:pPr>
        <w:pStyle w:val="Penstart"/>
        <w:keepNex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keepNext/>
      </w:pPr>
      <w:r>
        <w:tab/>
        <w:t>Modified penalty: 3 PU.</w:t>
      </w:r>
    </w:p>
    <w:p>
      <w:pPr>
        <w:pStyle w:val="Footnotesection"/>
      </w:pPr>
      <w:r>
        <w:tab/>
        <w:t>[Regulation 63 amended: Gazette 19 Aug 2016 p. 3574.]</w:t>
      </w:r>
    </w:p>
    <w:p>
      <w:pPr>
        <w:pStyle w:val="Heading5"/>
      </w:pPr>
      <w:bookmarkStart w:id="208" w:name="_Toc224558400"/>
      <w:bookmarkStart w:id="209" w:name="_Toc201830148"/>
      <w:r>
        <w:rPr>
          <w:rStyle w:val="CharSectno"/>
        </w:rPr>
        <w:t>64</w:t>
      </w:r>
      <w:r>
        <w:t>.</w:t>
      </w:r>
      <w:r>
        <w:tab/>
        <w:t>Duty to reveal things that might impair ability to drive</w:t>
      </w:r>
      <w:bookmarkEnd w:id="208"/>
      <w:bookmarkEnd w:id="209"/>
    </w:p>
    <w:p>
      <w:pPr>
        <w:pStyle w:val="Subsection"/>
        <w:keepNext/>
      </w:pPr>
      <w:r>
        <w:tab/>
        <w:t>(1)</w:t>
      </w:r>
      <w:r>
        <w:tab/>
        <w:t xml:space="preserve">In this regulation — </w:t>
      </w:r>
    </w:p>
    <w:p>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keepNext/>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keepNext/>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keepNex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210" w:name="_Toc224553126"/>
      <w:bookmarkStart w:id="211" w:name="_Toc224553678"/>
      <w:bookmarkStart w:id="212" w:name="_Toc224558401"/>
      <w:bookmarkStart w:id="213" w:name="_Toc201748552"/>
      <w:bookmarkStart w:id="214" w:name="_Toc201749076"/>
      <w:bookmarkStart w:id="215" w:name="_Toc201830149"/>
      <w:r>
        <w:rPr>
          <w:rStyle w:val="CharPartNo"/>
        </w:rPr>
        <w:t>Part 5</w:t>
      </w:r>
      <w:r>
        <w:rPr>
          <w:rStyle w:val="CharDivNo"/>
        </w:rPr>
        <w:t> </w:t>
      </w:r>
      <w:r>
        <w:t>—</w:t>
      </w:r>
      <w:r>
        <w:rPr>
          <w:rStyle w:val="CharDivText"/>
        </w:rPr>
        <w:t> </w:t>
      </w:r>
      <w:r>
        <w:rPr>
          <w:rStyle w:val="CharPartText"/>
        </w:rPr>
        <w:t>Demerit point scheme</w:t>
      </w:r>
      <w:bookmarkEnd w:id="210"/>
      <w:bookmarkEnd w:id="211"/>
      <w:bookmarkEnd w:id="212"/>
      <w:bookmarkEnd w:id="213"/>
      <w:bookmarkEnd w:id="214"/>
      <w:bookmarkEnd w:id="215"/>
    </w:p>
    <w:p>
      <w:pPr>
        <w:pStyle w:val="Heading5"/>
        <w:rPr>
          <w:b w:val="0"/>
          <w:i/>
        </w:rPr>
      </w:pPr>
      <w:bookmarkStart w:id="216" w:name="_Toc224558402"/>
      <w:bookmarkStart w:id="217" w:name="_Toc201830150"/>
      <w:r>
        <w:rPr>
          <w:rStyle w:val="CharSectno"/>
        </w:rPr>
        <w:t>65</w:t>
      </w:r>
      <w:r>
        <w:t>.</w:t>
      </w:r>
      <w:r>
        <w:tab/>
        <w:t xml:space="preserve">Demerit point offences in WA and demerit points: </w:t>
      </w:r>
      <w:r>
        <w:rPr>
          <w:i/>
        </w:rPr>
        <w:t>Road Traffic Act 1974</w:t>
      </w:r>
      <w:bookmarkEnd w:id="216"/>
      <w:bookmarkEnd w:id="217"/>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Borders>
              <w:bottom w:val="single" w:sz="4" w:space="0" w:color="auto"/>
            </w:tcBorders>
          </w:tcPr>
          <w:p>
            <w:pPr>
              <w:pStyle w:val="TableNAm"/>
              <w:jc w:val="center"/>
              <w:rPr>
                <w:b/>
                <w:bCs/>
              </w:rPr>
            </w:pPr>
            <w:r>
              <w:rPr>
                <w:b/>
                <w:bCs/>
              </w:rPr>
              <w:t xml:space="preserve">Provision of </w:t>
            </w:r>
            <w:r>
              <w:rPr>
                <w:b/>
                <w:bCs/>
                <w:i/>
              </w:rPr>
              <w:t>Road Traffic Act 1974</w:t>
            </w:r>
          </w:p>
        </w:tc>
        <w:tc>
          <w:tcPr>
            <w:tcW w:w="2693" w:type="dxa"/>
            <w:tcBorders>
              <w:bottom w:val="single" w:sz="4" w:space="0" w:color="auto"/>
            </w:tcBorders>
          </w:tcPr>
          <w:p>
            <w:pPr>
              <w:pStyle w:val="TableNAm"/>
              <w:jc w:val="center"/>
              <w:rPr>
                <w:b/>
                <w:bCs/>
              </w:rPr>
            </w:pPr>
            <w:r>
              <w:rPr>
                <w:b/>
                <w:bCs/>
              </w:rPr>
              <w:t>Description of offence</w:t>
            </w:r>
          </w:p>
        </w:tc>
        <w:tc>
          <w:tcPr>
            <w:tcW w:w="1843" w:type="dxa"/>
            <w:tcBorders>
              <w:bottom w:val="single" w:sz="4" w:space="0" w:color="auto"/>
            </w:tcBorders>
          </w:tcPr>
          <w:p>
            <w:pPr>
              <w:pStyle w:val="TableNAm"/>
              <w:jc w:val="center"/>
              <w:rPr>
                <w:b/>
                <w:bCs/>
              </w:rPr>
            </w:pPr>
            <w:r>
              <w:rPr>
                <w:b/>
                <w:bCs/>
              </w:rPr>
              <w:t>Number of demerit points applying to the offence</w:t>
            </w:r>
          </w:p>
        </w:tc>
      </w:tr>
      <w:tr>
        <w:trPr>
          <w:cantSplit/>
          <w:trHeight w:val="2007"/>
        </w:trPr>
        <w:tc>
          <w:tcPr>
            <w:tcW w:w="1673" w:type="dxa"/>
            <w:tcBorders>
              <w:bottom w:val="nil"/>
            </w:tcBorders>
          </w:tcPr>
          <w:p>
            <w:pPr>
              <w:pStyle w:val="TableNAm"/>
            </w:pPr>
            <w:r>
              <w:t>s. 49(1)</w:t>
            </w:r>
          </w:p>
        </w:tc>
        <w:tc>
          <w:tcPr>
            <w:tcW w:w="2693" w:type="dxa"/>
            <w:tcBorders>
              <w:bottom w:val="nil"/>
            </w:tcBorders>
          </w:tcPr>
          <w:p>
            <w:pPr>
              <w:pStyle w:val="TableNAm"/>
            </w:pPr>
            <w:r>
              <w:t xml:space="preserve">A first offence of driving while not authorised, other than if the </w:t>
            </w:r>
            <w:r>
              <w:rPr>
                <w:i/>
              </w:rPr>
              <w:t>Road Traffic Act 1974</w:t>
            </w:r>
            <w:r>
              <w:t xml:space="preserve"> s. 49(3) applies, if the driving is by a novice driver (type 1A) and the offence — </w:t>
            </w:r>
          </w:p>
        </w:tc>
        <w:tc>
          <w:tcPr>
            <w:tcW w:w="1843" w:type="dxa"/>
            <w:tcBorders>
              <w:bottom w:val="nil"/>
            </w:tcBorders>
            <w:vAlign w:val="bottom"/>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ind w:left="567" w:hanging="567"/>
            </w:pPr>
            <w:r>
              <w:t>(a)</w:t>
            </w:r>
            <w:r>
              <w:tab/>
              <w:t>occurs between midnight and the following 5 a.m.</w:t>
            </w:r>
          </w:p>
        </w:tc>
        <w:tc>
          <w:tcPr>
            <w:tcW w:w="1843" w:type="dxa"/>
            <w:tcBorders>
              <w:top w:val="nil"/>
              <w:bottom w:val="nil"/>
            </w:tcBorders>
            <w:vAlign w:val="bottom"/>
          </w:tcPr>
          <w:p>
            <w:pPr>
              <w:pStyle w:val="TableNAm"/>
              <w:jc w:val="center"/>
            </w:pPr>
            <w:r>
              <w:t>2</w:t>
            </w:r>
          </w:p>
        </w:tc>
      </w:tr>
      <w:tr>
        <w:trPr>
          <w:cantSplit/>
        </w:trPr>
        <w:tc>
          <w:tcPr>
            <w:tcW w:w="1673" w:type="dxa"/>
            <w:tcBorders>
              <w:top w:val="nil"/>
            </w:tcBorders>
          </w:tcPr>
          <w:p>
            <w:pPr>
              <w:pStyle w:val="TableNAm"/>
            </w:pPr>
          </w:p>
        </w:tc>
        <w:tc>
          <w:tcPr>
            <w:tcW w:w="2693" w:type="dxa"/>
            <w:tcBorders>
              <w:top w:val="nil"/>
            </w:tcBorders>
          </w:tcPr>
          <w:p>
            <w:pPr>
              <w:pStyle w:val="TableNAm"/>
              <w:ind w:left="567" w:hanging="567"/>
            </w:pPr>
            <w:r>
              <w:t>(b)</w:t>
            </w:r>
            <w:r>
              <w:tab/>
              <w:t>relates to the number of passengers carried in a motor vehicle</w:t>
            </w:r>
          </w:p>
        </w:tc>
        <w:tc>
          <w:tcPr>
            <w:tcW w:w="1843" w:type="dxa"/>
            <w:tcBorders>
              <w:top w:val="nil"/>
            </w:tcBorders>
            <w:vAlign w:val="bottom"/>
          </w:tcPr>
          <w:p>
            <w:pPr>
              <w:pStyle w:val="TableNAm"/>
              <w:jc w:val="center"/>
            </w:pPr>
            <w: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vAlign w:val="bottom"/>
          </w:tcPr>
          <w:p>
            <w:pPr>
              <w:pStyle w:val="TableNAm"/>
              <w:jc w:val="center"/>
            </w:pPr>
            <w:r>
              <w:t>6</w:t>
            </w:r>
          </w:p>
        </w:tc>
      </w:tr>
      <w:tr>
        <w:trPr>
          <w:cantSplit/>
        </w:trPr>
        <w:tc>
          <w:tcPr>
            <w:tcW w:w="1673" w:type="dxa"/>
          </w:tcPr>
          <w:p>
            <w:pPr>
              <w:pStyle w:val="TableNAm"/>
            </w:pPr>
            <w:r>
              <w:t>s. 62</w:t>
            </w:r>
          </w:p>
        </w:tc>
        <w:tc>
          <w:tcPr>
            <w:tcW w:w="2693" w:type="dxa"/>
          </w:tcPr>
          <w:p>
            <w:pPr>
              <w:pStyle w:val="TableNAm"/>
            </w:pPr>
            <w:r>
              <w:t>Careless driving</w:t>
            </w:r>
          </w:p>
        </w:tc>
        <w:tc>
          <w:tcPr>
            <w:tcW w:w="1843" w:type="dxa"/>
            <w:vAlign w:val="bottom"/>
          </w:tcPr>
          <w:p>
            <w:pPr>
              <w:pStyle w:val="TableNAm"/>
              <w:jc w:val="center"/>
            </w:pPr>
            <w:r>
              <w:t>3</w:t>
            </w:r>
          </w:p>
        </w:tc>
      </w:tr>
      <w:tr>
        <w:trPr>
          <w:cantSplit/>
        </w:trPr>
        <w:tc>
          <w:tcPr>
            <w:tcW w:w="1673" w:type="dxa"/>
            <w:tcBorders>
              <w:bottom w:val="single" w:sz="4" w:space="0" w:color="auto"/>
            </w:tcBorders>
          </w:tcPr>
          <w:p>
            <w:pPr>
              <w:pStyle w:val="TableNAm"/>
            </w:pPr>
            <w:r>
              <w:t>s. 62A</w:t>
            </w:r>
          </w:p>
        </w:tc>
        <w:tc>
          <w:tcPr>
            <w:tcW w:w="2693" w:type="dxa"/>
            <w:tcBorders>
              <w:bottom w:val="single" w:sz="4" w:space="0" w:color="auto"/>
            </w:tcBorders>
          </w:tcPr>
          <w:p>
            <w:pPr>
              <w:pStyle w:val="TableNAm"/>
            </w:pPr>
            <w:r>
              <w:t>Causing excessive noise, smoke</w:t>
            </w:r>
          </w:p>
        </w:tc>
        <w:tc>
          <w:tcPr>
            <w:tcW w:w="1843" w:type="dxa"/>
            <w:tcBorders>
              <w:bottom w:val="single" w:sz="4" w:space="0" w:color="auto"/>
            </w:tcBorders>
            <w:vAlign w:val="bottom"/>
          </w:tcPr>
          <w:p>
            <w:pPr>
              <w:pStyle w:val="TableNAm"/>
              <w:jc w:val="center"/>
            </w:pPr>
            <w:r>
              <w:t>3</w:t>
            </w:r>
          </w:p>
        </w:tc>
      </w:tr>
      <w:tr>
        <w:trPr>
          <w:cantSplit/>
        </w:trPr>
        <w:tc>
          <w:tcPr>
            <w:tcW w:w="1673" w:type="dxa"/>
            <w:tcBorders>
              <w:bottom w:val="nil"/>
            </w:tcBorders>
          </w:tcPr>
          <w:p>
            <w:pPr>
              <w:pStyle w:val="TableNAm"/>
            </w:pPr>
            <w:r>
              <w:t>s. 64AA</w:t>
            </w:r>
          </w:p>
        </w:tc>
        <w:tc>
          <w:tcPr>
            <w:tcW w:w="2693" w:type="dxa"/>
            <w:tcBorders>
              <w:bottom w:val="nil"/>
            </w:tcBorders>
          </w:tcPr>
          <w:p>
            <w:pPr>
              <w:pStyle w:val="TableNAm"/>
            </w:pPr>
            <w:r>
              <w:t>A first offence of driving or attempting to drive a motor vehicle while having a blood alcohol content —</w:t>
            </w:r>
          </w:p>
        </w:tc>
        <w:tc>
          <w:tcPr>
            <w:tcW w:w="1843" w:type="dxa"/>
            <w:tcBorders>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of or above 0.05 g but less than 0.06 g of alcohol per 100 mL of blood —</w:t>
            </w:r>
          </w:p>
        </w:tc>
        <w:tc>
          <w:tcPr>
            <w:tcW w:w="1843" w:type="dxa"/>
            <w:tcBorders>
              <w:top w:val="nil"/>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pPr>
              <w:pStyle w:val="TableNAm"/>
              <w:jc w:val="center"/>
            </w:pPr>
            <w:r>
              <w:t>6</w:t>
            </w: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(ii)</w:t>
            </w:r>
            <w:r>
              <w:tab/>
              <w:t>other than during a holiday period</w:t>
            </w:r>
          </w:p>
        </w:tc>
        <w:tc>
          <w:tcPr>
            <w:tcW w:w="1843" w:type="dxa"/>
            <w:tcBorders>
              <w:top w:val="nil"/>
              <w:bottom w:val="nil"/>
            </w:tcBorders>
            <w:vAlign w:val="bottom"/>
          </w:tcPr>
          <w:p>
            <w:pPr>
              <w:pStyle w:val="TableNAm"/>
              <w:jc w:val="center"/>
            </w:pPr>
            <w:r>
              <w:t>3</w:t>
            </w:r>
          </w:p>
        </w:tc>
      </w:tr>
      <w:tr>
        <w:trPr>
          <w:cantSplit/>
        </w:trPr>
        <w:tc>
          <w:tcPr>
            <w:tcW w:w="1673" w:type="dxa"/>
            <w:tcBorders>
              <w:top w:val="nil"/>
              <w:bottom w:val="nil"/>
            </w:tcBorders>
          </w:tcPr>
          <w:p>
            <w:pPr>
              <w:pStyle w:val="TableNAm"/>
              <w:keepNext/>
            </w:pPr>
          </w:p>
        </w:tc>
        <w:tc>
          <w:tcPr>
            <w:tcW w:w="2693" w:type="dxa"/>
            <w:tcBorders>
              <w:top w:val="nil"/>
              <w:bottom w:val="nil"/>
            </w:tcBorders>
          </w:tcPr>
          <w:p>
            <w:pPr>
              <w:pStyle w:val="TableNAm"/>
              <w:keepNext/>
              <w:tabs>
                <w:tab w:val="clear" w:pos="567"/>
                <w:tab w:val="left" w:pos="459"/>
              </w:tabs>
              <w:ind w:left="459" w:hanging="459"/>
            </w:pPr>
            <w:r>
              <w:t>(b)</w:t>
            </w:r>
            <w:r>
              <w:tab/>
              <w:t>of or above 0.06 g but less than 0.07 g of alcohol per 100 mL of blood —</w:t>
            </w:r>
          </w:p>
        </w:tc>
        <w:tc>
          <w:tcPr>
            <w:tcW w:w="1843" w:type="dxa"/>
            <w:tcBorders>
              <w:top w:val="nil"/>
              <w:bottom w:val="nil"/>
            </w:tcBorders>
          </w:tcPr>
          <w:p>
            <w:pPr>
              <w:pStyle w:val="TableNAm"/>
              <w:keepNext/>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pPr>
              <w:pStyle w:val="TableNAm"/>
              <w:jc w:val="center"/>
            </w:pPr>
            <w:r>
              <w:t>8</w:t>
            </w: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(ii)</w:t>
            </w:r>
            <w:r>
              <w:tab/>
              <w:t>other than during a holiday period</w:t>
            </w:r>
          </w:p>
        </w:tc>
        <w:tc>
          <w:tcPr>
            <w:tcW w:w="1843" w:type="dxa"/>
            <w:tcBorders>
              <w:top w:val="nil"/>
              <w:bottom w:val="nil"/>
            </w:tcBorders>
            <w:vAlign w:val="bottom"/>
          </w:tcPr>
          <w:p>
            <w:pPr>
              <w:pStyle w:val="TableNAm"/>
              <w:jc w:val="center"/>
            </w:pPr>
            <w:r>
              <w:t>4</w:t>
            </w: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(c)</w:t>
            </w:r>
            <w:r>
              <w:tab/>
              <w:t>of or above 0.07 g of alcohol per 100 mL of blood —</w:t>
            </w:r>
          </w:p>
        </w:tc>
        <w:tc>
          <w:tcPr>
            <w:tcW w:w="1843" w:type="dxa"/>
            <w:tcBorders>
              <w:top w:val="nil"/>
              <w:bottom w:val="nil"/>
            </w:tcBorders>
            <w:vAlign w:val="bottom"/>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pPr>
              <w:pStyle w:val="TableNAm"/>
              <w:jc w:val="center"/>
            </w:pPr>
            <w:r>
              <w:t>10</w:t>
            </w:r>
          </w:p>
        </w:tc>
      </w:tr>
      <w:tr>
        <w:trPr>
          <w:cantSplit/>
        </w:trPr>
        <w:tc>
          <w:tcPr>
            <w:tcW w:w="1673" w:type="dxa"/>
            <w:tcBorders>
              <w:top w:val="nil"/>
            </w:tcBorders>
          </w:tcPr>
          <w:p>
            <w:pPr>
              <w:pStyle w:val="TableNAm"/>
            </w:pPr>
          </w:p>
        </w:tc>
        <w:tc>
          <w:tcPr>
            <w:tcW w:w="2693" w:type="dxa"/>
            <w:tcBorders>
              <w:top w:val="nil"/>
            </w:tcBorders>
          </w:tcPr>
          <w:p>
            <w:pPr>
              <w:pStyle w:val="TableNAm"/>
              <w:tabs>
                <w:tab w:val="clear" w:pos="567"/>
                <w:tab w:val="left" w:pos="459"/>
                <w:tab w:val="left" w:pos="884"/>
              </w:tabs>
              <w:ind w:left="884" w:hanging="884"/>
            </w:pPr>
            <w:r>
              <w:tab/>
              <w:t>(ii)</w:t>
            </w:r>
            <w:r>
              <w:tab/>
              <w:t>other than during a holiday period</w:t>
            </w:r>
          </w:p>
        </w:tc>
        <w:tc>
          <w:tcPr>
            <w:tcW w:w="1843" w:type="dxa"/>
            <w:tcBorders>
              <w:top w:val="nil"/>
            </w:tcBorders>
            <w:vAlign w:val="bottom"/>
          </w:tcPr>
          <w:p>
            <w:pPr>
              <w:pStyle w:val="TableNAm"/>
              <w:jc w:val="center"/>
            </w:pPr>
            <w:r>
              <w:t>5</w:t>
            </w:r>
          </w:p>
        </w:tc>
      </w:tr>
      <w:tr>
        <w:trPr>
          <w:cantSplit/>
        </w:trPr>
        <w:tc>
          <w:tcPr>
            <w:tcW w:w="1673" w:type="dxa"/>
            <w:tcBorders>
              <w:bottom w:val="single" w:sz="4" w:space="0" w:color="auto"/>
            </w:tcBorders>
          </w:tcPr>
          <w:p>
            <w:pPr>
              <w:pStyle w:val="TableNAm"/>
            </w:pPr>
            <w:r>
              <w:t>s. 64AAA</w:t>
            </w:r>
          </w:p>
        </w:tc>
        <w:tc>
          <w:tcPr>
            <w:tcW w:w="2693" w:type="dxa"/>
            <w:tcBorders>
              <w:bottom w:val="single" w:sz="4" w:space="0" w:color="auto"/>
            </w:tcBorders>
          </w:tcPr>
          <w:p>
            <w:pPr>
              <w:pStyle w:val="TableNAm"/>
            </w:pPr>
            <w:r>
              <w:t>Driving or attempting to drive a motor vehicle while having any blood alcohol content</w:t>
            </w:r>
          </w:p>
        </w:tc>
        <w:tc>
          <w:tcPr>
            <w:tcW w:w="1843" w:type="dxa"/>
            <w:tcBorders>
              <w:bottom w:val="single" w:sz="4" w:space="0" w:color="auto"/>
            </w:tcBorders>
            <w:vAlign w:val="bottom"/>
          </w:tcPr>
          <w:p>
            <w:pPr>
              <w:pStyle w:val="TableNAm"/>
              <w:jc w:val="center"/>
            </w:pPr>
            <w:r>
              <w:t>3</w:t>
            </w:r>
          </w:p>
        </w:tc>
      </w:tr>
      <w:tr>
        <w:trPr>
          <w:cantSplit/>
        </w:trPr>
        <w:tc>
          <w:tcPr>
            <w:tcW w:w="1673" w:type="dxa"/>
            <w:tcBorders>
              <w:bottom w:val="nil"/>
            </w:tcBorders>
          </w:tcPr>
          <w:p>
            <w:pPr>
              <w:pStyle w:val="TableNAm"/>
            </w:pPr>
            <w:r>
              <w:t>s. 64AC</w:t>
            </w:r>
          </w:p>
        </w:tc>
        <w:tc>
          <w:tcPr>
            <w:tcW w:w="2693" w:type="dxa"/>
            <w:tcBorders>
              <w:bottom w:val="nil"/>
            </w:tcBorders>
          </w:tcPr>
          <w:p>
            <w:pPr>
              <w:pStyle w:val="TableNAm"/>
              <w:rPr>
                <w:rStyle w:val="DraftersNotes"/>
              </w:rPr>
            </w:pPr>
            <w:r>
              <w:t>A first offence of driving or attempting to drive a motor vehicle while a prescribed illicit drug is present in the person’s oral fluid or blood —</w:t>
            </w:r>
          </w:p>
        </w:tc>
        <w:tc>
          <w:tcPr>
            <w:tcW w:w="1843" w:type="dxa"/>
            <w:tcBorders>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pPr>
              <w:pStyle w:val="TableNAm"/>
              <w:jc w:val="center"/>
            </w:pPr>
            <w:r>
              <w:t>6</w:t>
            </w:r>
          </w:p>
        </w:tc>
      </w:tr>
      <w:tr>
        <w:trPr>
          <w:cantSplit/>
        </w:trPr>
        <w:tc>
          <w:tcPr>
            <w:tcW w:w="1673" w:type="dxa"/>
            <w:tcBorders>
              <w:top w:val="nil"/>
              <w:bottom w:val="single" w:sz="4" w:space="0" w:color="auto"/>
            </w:tcBorders>
          </w:tcPr>
          <w:p>
            <w:pPr>
              <w:pStyle w:val="TableNAm"/>
            </w:pPr>
          </w:p>
        </w:tc>
        <w:tc>
          <w:tcPr>
            <w:tcW w:w="2693" w:type="dxa"/>
            <w:tcBorders>
              <w:top w:val="nil"/>
              <w:bottom w:val="single" w:sz="4" w:space="0" w:color="auto"/>
            </w:tcBorders>
          </w:tcPr>
          <w:p>
            <w:pPr>
              <w:pStyle w:val="TableNAm"/>
              <w:tabs>
                <w:tab w:val="clear" w:pos="567"/>
                <w:tab w:val="left" w:pos="459"/>
              </w:tabs>
              <w:ind w:left="459" w:hanging="459"/>
            </w:pPr>
            <w:r>
              <w:t>(b)</w:t>
            </w:r>
            <w:r>
              <w:tab/>
              <w:t>other than during a holiday period</w:t>
            </w:r>
          </w:p>
        </w:tc>
        <w:tc>
          <w:tcPr>
            <w:tcW w:w="1843" w:type="dxa"/>
            <w:tcBorders>
              <w:top w:val="nil"/>
              <w:bottom w:val="single" w:sz="4" w:space="0" w:color="auto"/>
            </w:tcBorders>
            <w:vAlign w:val="bottom"/>
          </w:tcPr>
          <w:p>
            <w:pPr>
              <w:pStyle w:val="TableNAm"/>
              <w:jc w:val="center"/>
            </w:pPr>
            <w:r>
              <w:t>3</w:t>
            </w:r>
          </w:p>
        </w:tc>
      </w:tr>
      <w:tr>
        <w:trPr>
          <w:cantSplit/>
        </w:trPr>
        <w:tc>
          <w:tcPr>
            <w:tcW w:w="1673" w:type="dxa"/>
            <w:tcBorders>
              <w:bottom w:val="nil"/>
            </w:tcBorders>
          </w:tcPr>
          <w:p>
            <w:pPr>
              <w:pStyle w:val="TableNAm"/>
            </w:pPr>
            <w:r>
              <w:t>s. 67AB</w:t>
            </w:r>
          </w:p>
        </w:tc>
        <w:tc>
          <w:tcPr>
            <w:tcW w:w="2693" w:type="dxa"/>
            <w:tcBorders>
              <w:bottom w:val="nil"/>
            </w:tcBorders>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Borders>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pPr>
              <w:pStyle w:val="TableNAm"/>
              <w:jc w:val="center"/>
            </w:pPr>
            <w:r>
              <w:t>6</w:t>
            </w:r>
          </w:p>
        </w:tc>
      </w:tr>
      <w:tr>
        <w:trPr>
          <w:cantSplit/>
        </w:trPr>
        <w:tc>
          <w:tcPr>
            <w:tcW w:w="1673" w:type="dxa"/>
            <w:tcBorders>
              <w:top w:val="nil"/>
              <w:bottom w:val="single" w:sz="4" w:space="0" w:color="auto"/>
            </w:tcBorders>
          </w:tcPr>
          <w:p>
            <w:pPr>
              <w:pStyle w:val="TableNAm"/>
            </w:pPr>
          </w:p>
        </w:tc>
        <w:tc>
          <w:tcPr>
            <w:tcW w:w="2693" w:type="dxa"/>
            <w:tcBorders>
              <w:top w:val="nil"/>
              <w:bottom w:val="single" w:sz="4" w:space="0" w:color="auto"/>
            </w:tcBorders>
          </w:tcPr>
          <w:p>
            <w:pPr>
              <w:pStyle w:val="TableNAm"/>
              <w:tabs>
                <w:tab w:val="clear" w:pos="567"/>
                <w:tab w:val="left" w:pos="459"/>
              </w:tabs>
              <w:ind w:left="459" w:hanging="459"/>
            </w:pPr>
            <w:r>
              <w:t>(b)</w:t>
            </w:r>
            <w:r>
              <w:tab/>
              <w:t>other than during a holiday period</w:t>
            </w:r>
          </w:p>
        </w:tc>
        <w:tc>
          <w:tcPr>
            <w:tcW w:w="1843" w:type="dxa"/>
            <w:tcBorders>
              <w:top w:val="nil"/>
              <w:bottom w:val="single" w:sz="4" w:space="0" w:color="auto"/>
            </w:tcBorders>
            <w:vAlign w:val="bottom"/>
          </w:tcPr>
          <w:p>
            <w:pPr>
              <w:pStyle w:val="TableNAm"/>
              <w:jc w:val="center"/>
            </w:pPr>
            <w:r>
              <w:t>3</w:t>
            </w:r>
          </w:p>
        </w:tc>
      </w:tr>
      <w:tr>
        <w:trPr>
          <w:cantSplit/>
        </w:trPr>
        <w:tc>
          <w:tcPr>
            <w:tcW w:w="1673" w:type="dxa"/>
            <w:tcBorders>
              <w:top w:val="single" w:sz="4" w:space="0" w:color="auto"/>
              <w:bottom w:val="nil"/>
            </w:tcBorders>
          </w:tcPr>
          <w:p>
            <w:pPr>
              <w:pStyle w:val="TableNAm"/>
            </w:pPr>
            <w:r>
              <w:t>s. 81G(2)</w:t>
            </w:r>
          </w:p>
        </w:tc>
        <w:tc>
          <w:tcPr>
            <w:tcW w:w="2693" w:type="dxa"/>
            <w:tcBorders>
              <w:top w:val="single" w:sz="4" w:space="0" w:color="auto"/>
              <w:bottom w:val="nil"/>
            </w:tcBorders>
          </w:tcPr>
          <w:p>
            <w:pPr>
              <w:pStyle w:val="TableNAm"/>
            </w:pPr>
            <w:r>
              <w:t>Driving a motor vehicle, on a road, that has a radar detector fitted to, within or on the vehicle —</w:t>
            </w:r>
          </w:p>
        </w:tc>
        <w:tc>
          <w:tcPr>
            <w:tcW w:w="1843" w:type="dxa"/>
            <w:tcBorders>
              <w:top w:val="single" w:sz="4" w:space="0" w:color="auto"/>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pPr>
              <w:pStyle w:val="TableNAm"/>
              <w:jc w:val="center"/>
            </w:pPr>
            <w:r>
              <w:t>14</w:t>
            </w:r>
          </w:p>
        </w:tc>
      </w:tr>
      <w:tr>
        <w:trPr>
          <w:cantSplit/>
        </w:trPr>
        <w:tc>
          <w:tcPr>
            <w:tcW w:w="1673" w:type="dxa"/>
            <w:tcBorders>
              <w:top w:val="nil"/>
            </w:tcBorders>
          </w:tcPr>
          <w:p>
            <w:pPr>
              <w:pStyle w:val="TableNAm"/>
            </w:pPr>
          </w:p>
        </w:tc>
        <w:tc>
          <w:tcPr>
            <w:tcW w:w="2693" w:type="dxa"/>
            <w:tcBorders>
              <w:top w:val="nil"/>
            </w:tcBorders>
          </w:tcPr>
          <w:p>
            <w:pPr>
              <w:pStyle w:val="TableNAm"/>
              <w:tabs>
                <w:tab w:val="clear" w:pos="567"/>
                <w:tab w:val="left" w:pos="459"/>
              </w:tabs>
              <w:ind w:left="459" w:hanging="459"/>
            </w:pPr>
            <w:r>
              <w:t>(b)</w:t>
            </w:r>
            <w:r>
              <w:tab/>
              <w:t>other than during a holiday period</w:t>
            </w:r>
          </w:p>
        </w:tc>
        <w:tc>
          <w:tcPr>
            <w:tcW w:w="1843" w:type="dxa"/>
            <w:tcBorders>
              <w:top w:val="nil"/>
            </w:tcBorders>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 SL 2024/237 r. 8.]</w:t>
      </w:r>
    </w:p>
    <w:p>
      <w:pPr>
        <w:pStyle w:val="Heading5"/>
        <w:keepNext w:val="0"/>
        <w:keepLines w:val="0"/>
        <w:rPr>
          <w:b w:val="0"/>
          <w:i/>
        </w:rPr>
      </w:pPr>
      <w:bookmarkStart w:id="218" w:name="_Toc224558403"/>
      <w:bookmarkStart w:id="219" w:name="_Toc201830151"/>
      <w:r>
        <w:rPr>
          <w:rStyle w:val="CharSectno"/>
        </w:rPr>
        <w:t>66</w:t>
      </w:r>
      <w:r>
        <w:t>.</w:t>
      </w:r>
      <w:r>
        <w:tab/>
        <w:t xml:space="preserve">Demerit point offences in WA and demerit points: </w:t>
      </w:r>
      <w:r>
        <w:rPr>
          <w:i/>
        </w:rPr>
        <w:t>Road Traffic (Vehicles) Act 2012</w:t>
      </w:r>
      <w:bookmarkEnd w:id="218"/>
      <w:bookmarkEnd w:id="219"/>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220" w:name="_Toc224558404"/>
      <w:bookmarkStart w:id="221" w:name="_Toc201830152"/>
      <w:r>
        <w:rPr>
          <w:rStyle w:val="CharSectno"/>
        </w:rPr>
        <w:t>67</w:t>
      </w:r>
      <w:r>
        <w:t>.</w:t>
      </w:r>
      <w:r>
        <w:tab/>
        <w:t>Holiday periods</w:t>
      </w:r>
      <w:bookmarkEnd w:id="220"/>
      <w:bookmarkEnd w:id="221"/>
    </w:p>
    <w:p>
      <w:pPr>
        <w:pStyle w:val="Subsection"/>
        <w:keepNext/>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222" w:name="_Toc224558405"/>
      <w:bookmarkStart w:id="223" w:name="_Toc201830153"/>
      <w:r>
        <w:rPr>
          <w:rStyle w:val="CharSectno"/>
        </w:rPr>
        <w:t>68</w:t>
      </w:r>
      <w:r>
        <w:t>.</w:t>
      </w:r>
      <w:r>
        <w:tab/>
        <w:t>Some consequences of removing demerit points from register</w:t>
      </w:r>
      <w:bookmarkEnd w:id="222"/>
      <w:bookmarkEnd w:id="223"/>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224" w:name="_Toc224558406"/>
      <w:bookmarkStart w:id="225" w:name="_Toc201830154"/>
      <w:r>
        <w:rPr>
          <w:rStyle w:val="CharSectno"/>
        </w:rPr>
        <w:t>69</w:t>
      </w:r>
      <w:r>
        <w:t>.</w:t>
      </w:r>
      <w:r>
        <w:tab/>
        <w:t>Alternative to giving certain notices personally</w:t>
      </w:r>
      <w:bookmarkEnd w:id="224"/>
      <w:bookmarkEnd w:id="225"/>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226" w:name="_Toc224553132"/>
      <w:bookmarkStart w:id="227" w:name="_Toc224553684"/>
      <w:bookmarkStart w:id="228" w:name="_Toc224558407"/>
      <w:bookmarkStart w:id="229" w:name="_Toc201748558"/>
      <w:bookmarkStart w:id="230" w:name="_Toc201749082"/>
      <w:bookmarkStart w:id="231" w:name="_Toc201830155"/>
      <w:r>
        <w:rPr>
          <w:rStyle w:val="CharPartNo"/>
        </w:rPr>
        <w:t>Part 5A</w:t>
      </w:r>
      <w:r>
        <w:rPr>
          <w:b w:val="0"/>
        </w:rPr>
        <w:t> </w:t>
      </w:r>
      <w:r>
        <w:t>—</w:t>
      </w:r>
      <w:r>
        <w:rPr>
          <w:b w:val="0"/>
        </w:rPr>
        <w:t> </w:t>
      </w:r>
      <w:r>
        <w:rPr>
          <w:rStyle w:val="CharPartText"/>
        </w:rPr>
        <w:t>Alcohol interlock scheme</w:t>
      </w:r>
      <w:bookmarkEnd w:id="226"/>
      <w:bookmarkEnd w:id="227"/>
      <w:bookmarkEnd w:id="228"/>
      <w:bookmarkEnd w:id="229"/>
      <w:bookmarkEnd w:id="230"/>
      <w:bookmarkEnd w:id="231"/>
    </w:p>
    <w:p>
      <w:pPr>
        <w:pStyle w:val="Footnoteheading"/>
      </w:pPr>
      <w:r>
        <w:tab/>
        <w:t>[Heading inserted: Gazette 20 Sep 2016 p. 3971.]</w:t>
      </w:r>
    </w:p>
    <w:p>
      <w:pPr>
        <w:pStyle w:val="Heading3"/>
      </w:pPr>
      <w:bookmarkStart w:id="232" w:name="_Toc224553133"/>
      <w:bookmarkStart w:id="233" w:name="_Toc224553685"/>
      <w:bookmarkStart w:id="234" w:name="_Toc224558408"/>
      <w:bookmarkStart w:id="235" w:name="_Toc201748559"/>
      <w:bookmarkStart w:id="236" w:name="_Toc201749083"/>
      <w:bookmarkStart w:id="237" w:name="_Toc201830156"/>
      <w:r>
        <w:rPr>
          <w:rStyle w:val="CharDivNo"/>
        </w:rPr>
        <w:t>Division 1</w:t>
      </w:r>
      <w:r>
        <w:t> — </w:t>
      </w:r>
      <w:r>
        <w:rPr>
          <w:rStyle w:val="CharDivText"/>
        </w:rPr>
        <w:t>Preliminary</w:t>
      </w:r>
      <w:bookmarkEnd w:id="232"/>
      <w:bookmarkEnd w:id="233"/>
      <w:bookmarkEnd w:id="234"/>
      <w:bookmarkEnd w:id="235"/>
      <w:bookmarkEnd w:id="236"/>
      <w:bookmarkEnd w:id="237"/>
    </w:p>
    <w:p>
      <w:pPr>
        <w:pStyle w:val="Footnoteheading"/>
      </w:pPr>
      <w:r>
        <w:tab/>
        <w:t>[Heading inserted: Gazette 20 Sep 2016 p. 3971.]</w:t>
      </w:r>
    </w:p>
    <w:p>
      <w:pPr>
        <w:pStyle w:val="Heading5"/>
      </w:pPr>
      <w:bookmarkStart w:id="238" w:name="_Toc224558409"/>
      <w:bookmarkStart w:id="239" w:name="_Toc201830157"/>
      <w:r>
        <w:rPr>
          <w:rStyle w:val="CharSectno"/>
        </w:rPr>
        <w:t>69A</w:t>
      </w:r>
      <w:r>
        <w:t>.</w:t>
      </w:r>
      <w:r>
        <w:tab/>
        <w:t>Terms used</w:t>
      </w:r>
      <w:bookmarkEnd w:id="238"/>
      <w:bookmarkEnd w:id="239"/>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240" w:name="_Toc224553135"/>
      <w:bookmarkStart w:id="241" w:name="_Toc224553687"/>
      <w:bookmarkStart w:id="242" w:name="_Toc224558410"/>
      <w:bookmarkStart w:id="243" w:name="_Toc201748561"/>
      <w:bookmarkStart w:id="244" w:name="_Toc201749085"/>
      <w:bookmarkStart w:id="245" w:name="_Toc201830158"/>
      <w:r>
        <w:rPr>
          <w:rStyle w:val="CharDivNo"/>
        </w:rPr>
        <w:t>Division 2</w:t>
      </w:r>
      <w:r>
        <w:t> — </w:t>
      </w:r>
      <w:r>
        <w:rPr>
          <w:rStyle w:val="CharDivText"/>
        </w:rPr>
        <w:t>Consequences of being an alcohol offender</w:t>
      </w:r>
      <w:bookmarkEnd w:id="240"/>
      <w:bookmarkEnd w:id="241"/>
      <w:bookmarkEnd w:id="242"/>
      <w:bookmarkEnd w:id="243"/>
      <w:bookmarkEnd w:id="244"/>
      <w:bookmarkEnd w:id="245"/>
    </w:p>
    <w:p>
      <w:pPr>
        <w:pStyle w:val="Footnoteheading"/>
      </w:pPr>
      <w:r>
        <w:tab/>
        <w:t>[Heading inserted: Gazette 20 Sep 2016 p. 3972.]</w:t>
      </w:r>
    </w:p>
    <w:p>
      <w:pPr>
        <w:pStyle w:val="Heading5"/>
      </w:pPr>
      <w:bookmarkStart w:id="246" w:name="_Toc224558411"/>
      <w:bookmarkStart w:id="247" w:name="_Toc201830159"/>
      <w:r>
        <w:rPr>
          <w:rStyle w:val="CharSectno"/>
        </w:rPr>
        <w:t>69B</w:t>
      </w:r>
      <w:r>
        <w:t>.</w:t>
      </w:r>
      <w:r>
        <w:tab/>
        <w:t>Extension of RTA section 49 to certain alcohol offenders</w:t>
      </w:r>
      <w:bookmarkEnd w:id="246"/>
      <w:bookmarkEnd w:id="247"/>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248" w:name="_Toc224558412"/>
      <w:bookmarkStart w:id="249" w:name="_Toc201830160"/>
      <w:r>
        <w:rPr>
          <w:rStyle w:val="CharSectno"/>
        </w:rPr>
        <w:t>69C</w:t>
      </w:r>
      <w:r>
        <w:t>.</w:t>
      </w:r>
      <w:r>
        <w:tab/>
        <w:t>Extension of RTA section 64A offence to alcohol offenders</w:t>
      </w:r>
      <w:bookmarkEnd w:id="248"/>
      <w:bookmarkEnd w:id="249"/>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250" w:name="_Toc224558413"/>
      <w:bookmarkStart w:id="251" w:name="_Toc201830161"/>
      <w:r>
        <w:rPr>
          <w:rStyle w:val="CharSectno"/>
        </w:rPr>
        <w:t>69D</w:t>
      </w:r>
      <w:r>
        <w:t>.</w:t>
      </w:r>
      <w:r>
        <w:tab/>
        <w:t>Endorsement of driver’s licence</w:t>
      </w:r>
      <w:bookmarkEnd w:id="250"/>
      <w:bookmarkEnd w:id="251"/>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252" w:name="_Toc224558414"/>
      <w:bookmarkStart w:id="253" w:name="_Toc201830162"/>
      <w:r>
        <w:rPr>
          <w:rStyle w:val="CharSectno"/>
        </w:rPr>
        <w:t>69E</w:t>
      </w:r>
      <w:r>
        <w:t>.</w:t>
      </w:r>
      <w:r>
        <w:tab/>
        <w:t>Exempt persons</w:t>
      </w:r>
      <w:bookmarkEnd w:id="252"/>
      <w:bookmarkEnd w:id="253"/>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254" w:name="_Toc224558415"/>
      <w:bookmarkStart w:id="255" w:name="_Toc201830163"/>
      <w:r>
        <w:rPr>
          <w:rStyle w:val="CharSectno"/>
        </w:rPr>
        <w:t>69F</w:t>
      </w:r>
      <w:r>
        <w:t>.</w:t>
      </w:r>
      <w:r>
        <w:tab/>
        <w:t>Cancellation of alcohol interlock condition</w:t>
      </w:r>
      <w:bookmarkEnd w:id="254"/>
      <w:bookmarkEnd w:id="255"/>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256" w:name="_Toc224553141"/>
      <w:bookmarkStart w:id="257" w:name="_Toc224553693"/>
      <w:bookmarkStart w:id="258" w:name="_Toc224558416"/>
      <w:bookmarkStart w:id="259" w:name="_Toc201748567"/>
      <w:bookmarkStart w:id="260" w:name="_Toc201749091"/>
      <w:bookmarkStart w:id="261" w:name="_Toc201830164"/>
      <w:r>
        <w:rPr>
          <w:rStyle w:val="CharDivNo"/>
        </w:rPr>
        <w:t>Division 3</w:t>
      </w:r>
      <w:r>
        <w:t> — </w:t>
      </w:r>
      <w:r>
        <w:rPr>
          <w:rStyle w:val="CharDivText"/>
        </w:rPr>
        <w:t>Accreditations and approvals for the purposes of the alcohol interlock scheme</w:t>
      </w:r>
      <w:bookmarkEnd w:id="256"/>
      <w:bookmarkEnd w:id="257"/>
      <w:bookmarkEnd w:id="258"/>
      <w:bookmarkEnd w:id="259"/>
      <w:bookmarkEnd w:id="260"/>
      <w:bookmarkEnd w:id="261"/>
    </w:p>
    <w:p>
      <w:pPr>
        <w:pStyle w:val="Footnoteheading"/>
      </w:pPr>
      <w:r>
        <w:tab/>
        <w:t>[Heading inserted: Gazette 20 Sep 2016 p. 3973.]</w:t>
      </w:r>
    </w:p>
    <w:p>
      <w:pPr>
        <w:pStyle w:val="Heading5"/>
      </w:pPr>
      <w:bookmarkStart w:id="262" w:name="_Toc224558417"/>
      <w:bookmarkStart w:id="263" w:name="_Toc201830165"/>
      <w:r>
        <w:rPr>
          <w:rStyle w:val="CharSectno"/>
        </w:rPr>
        <w:t>69G</w:t>
      </w:r>
      <w:r>
        <w:t>.</w:t>
      </w:r>
      <w:r>
        <w:tab/>
        <w:t>Accreditation of service providers</w:t>
      </w:r>
      <w:bookmarkEnd w:id="262"/>
      <w:bookmarkEnd w:id="263"/>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264" w:name="_Toc224558418"/>
      <w:bookmarkStart w:id="265" w:name="_Toc201830166"/>
      <w:r>
        <w:rPr>
          <w:rStyle w:val="CharSectno"/>
        </w:rPr>
        <w:t>69H</w:t>
      </w:r>
      <w:r>
        <w:t>.</w:t>
      </w:r>
      <w:r>
        <w:tab/>
        <w:t>Approval of interlock contract terms</w:t>
      </w:r>
      <w:bookmarkEnd w:id="264"/>
      <w:bookmarkEnd w:id="265"/>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266" w:name="_Toc224558419"/>
      <w:bookmarkStart w:id="267" w:name="_Toc201830167"/>
      <w:r>
        <w:rPr>
          <w:rStyle w:val="CharSectno"/>
        </w:rPr>
        <w:t>69I</w:t>
      </w:r>
      <w:r>
        <w:t>.</w:t>
      </w:r>
      <w:r>
        <w:tab/>
        <w:t>Approval of alcohol interlocks</w:t>
      </w:r>
      <w:bookmarkEnd w:id="266"/>
      <w:bookmarkEnd w:id="267"/>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268" w:name="_Toc224558420"/>
      <w:bookmarkStart w:id="269" w:name="_Toc201830168"/>
      <w:r>
        <w:rPr>
          <w:rStyle w:val="CharSectno"/>
        </w:rPr>
        <w:t>69J</w:t>
      </w:r>
      <w:r>
        <w:t>.</w:t>
      </w:r>
      <w:r>
        <w:tab/>
        <w:t>Alcohol assessment and treatment</w:t>
      </w:r>
      <w:bookmarkEnd w:id="268"/>
      <w:bookmarkEnd w:id="269"/>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270" w:name="_Toc224553146"/>
      <w:bookmarkStart w:id="271" w:name="_Toc224553698"/>
      <w:bookmarkStart w:id="272" w:name="_Toc224558421"/>
      <w:bookmarkStart w:id="273" w:name="_Toc201748572"/>
      <w:bookmarkStart w:id="274" w:name="_Toc201749096"/>
      <w:bookmarkStart w:id="275" w:name="_Toc201830169"/>
      <w:r>
        <w:rPr>
          <w:rStyle w:val="CharDivNo"/>
        </w:rPr>
        <w:t>Division 4</w:t>
      </w:r>
      <w:r>
        <w:t> — </w:t>
      </w:r>
      <w:r>
        <w:rPr>
          <w:rStyle w:val="CharDivText"/>
        </w:rPr>
        <w:t>Restricted driving period</w:t>
      </w:r>
      <w:bookmarkEnd w:id="270"/>
      <w:bookmarkEnd w:id="271"/>
      <w:bookmarkEnd w:id="272"/>
      <w:bookmarkEnd w:id="273"/>
      <w:bookmarkEnd w:id="274"/>
      <w:bookmarkEnd w:id="275"/>
    </w:p>
    <w:p>
      <w:pPr>
        <w:pStyle w:val="Footnoteheading"/>
      </w:pPr>
      <w:r>
        <w:tab/>
        <w:t>[Heading inserted: Gazette 20 Sep 2016 p. 3977.]</w:t>
      </w:r>
    </w:p>
    <w:p>
      <w:pPr>
        <w:pStyle w:val="Heading5"/>
      </w:pPr>
      <w:bookmarkStart w:id="276" w:name="_Toc224558422"/>
      <w:bookmarkStart w:id="277" w:name="_Toc201830170"/>
      <w:r>
        <w:rPr>
          <w:rStyle w:val="CharSectno"/>
        </w:rPr>
        <w:t>69K</w:t>
      </w:r>
      <w:r>
        <w:t>.</w:t>
      </w:r>
      <w:r>
        <w:tab/>
        <w:t>Terms used</w:t>
      </w:r>
      <w:bookmarkEnd w:id="276"/>
      <w:bookmarkEnd w:id="277"/>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278" w:name="_Toc224558423"/>
      <w:bookmarkStart w:id="279" w:name="_Toc201830171"/>
      <w:r>
        <w:rPr>
          <w:rStyle w:val="CharSectno"/>
        </w:rPr>
        <w:t>69L</w:t>
      </w:r>
      <w:r>
        <w:t>.</w:t>
      </w:r>
      <w:r>
        <w:tab/>
        <w:t>Start of restricted driving period</w:t>
      </w:r>
      <w:bookmarkEnd w:id="278"/>
      <w:bookmarkEnd w:id="279"/>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280" w:name="_Toc224558424"/>
      <w:bookmarkStart w:id="281" w:name="_Toc201830172"/>
      <w:r>
        <w:rPr>
          <w:rStyle w:val="CharSectno"/>
        </w:rPr>
        <w:t>69M</w:t>
      </w:r>
      <w:r>
        <w:t>.</w:t>
      </w:r>
      <w:r>
        <w:tab/>
        <w:t>Inspection obligation</w:t>
      </w:r>
      <w:bookmarkEnd w:id="280"/>
      <w:bookmarkEnd w:id="281"/>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282" w:name="_Toc224558425"/>
      <w:bookmarkStart w:id="283" w:name="_Toc201830173"/>
      <w:r>
        <w:rPr>
          <w:rStyle w:val="CharSectno"/>
        </w:rPr>
        <w:t>69N</w:t>
      </w:r>
      <w:r>
        <w:t>.</w:t>
      </w:r>
      <w:r>
        <w:tab/>
        <w:t>Alcohol assessment and treatment during restricted driving period</w:t>
      </w:r>
      <w:bookmarkEnd w:id="282"/>
      <w:bookmarkEnd w:id="283"/>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284" w:name="_Toc224558426"/>
      <w:bookmarkStart w:id="285" w:name="_Toc201830174"/>
      <w:r>
        <w:rPr>
          <w:rStyle w:val="CharSectno"/>
        </w:rPr>
        <w:t>69O</w:t>
      </w:r>
      <w:r>
        <w:t>.</w:t>
      </w:r>
      <w:r>
        <w:tab/>
        <w:t>Termination and restart of restricted driving period</w:t>
      </w:r>
      <w:bookmarkEnd w:id="284"/>
      <w:bookmarkEnd w:id="285"/>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286" w:name="_Toc224558427"/>
      <w:bookmarkStart w:id="287" w:name="_Toc201830175"/>
      <w:r>
        <w:rPr>
          <w:rStyle w:val="CharSectno"/>
        </w:rPr>
        <w:t>69P</w:t>
      </w:r>
      <w:r>
        <w:t>.</w:t>
      </w:r>
      <w:r>
        <w:tab/>
        <w:t>Termination of restricted driving period without restart</w:t>
      </w:r>
      <w:bookmarkEnd w:id="286"/>
      <w:bookmarkEnd w:id="287"/>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288" w:name="_Toc224553153"/>
      <w:bookmarkStart w:id="289" w:name="_Toc224553705"/>
      <w:bookmarkStart w:id="290" w:name="_Toc224558428"/>
      <w:bookmarkStart w:id="291" w:name="_Toc201748579"/>
      <w:bookmarkStart w:id="292" w:name="_Toc201749103"/>
      <w:bookmarkStart w:id="293" w:name="_Toc201830176"/>
      <w:r>
        <w:rPr>
          <w:rStyle w:val="CharDivNo"/>
        </w:rPr>
        <w:t>Division 5</w:t>
      </w:r>
      <w:r>
        <w:t> — </w:t>
      </w:r>
      <w:r>
        <w:rPr>
          <w:rStyle w:val="CharDivText"/>
        </w:rPr>
        <w:t>Demonstrating separation of drinking and driving behaviour</w:t>
      </w:r>
      <w:bookmarkEnd w:id="288"/>
      <w:bookmarkEnd w:id="289"/>
      <w:bookmarkEnd w:id="290"/>
      <w:bookmarkEnd w:id="291"/>
      <w:bookmarkEnd w:id="292"/>
      <w:bookmarkEnd w:id="293"/>
    </w:p>
    <w:p>
      <w:pPr>
        <w:pStyle w:val="Footnoteheading"/>
      </w:pPr>
      <w:r>
        <w:tab/>
        <w:t>[Heading inserted: Gazette 20 Sep 2016 p. 3980.]</w:t>
      </w:r>
    </w:p>
    <w:p>
      <w:pPr>
        <w:pStyle w:val="Heading5"/>
      </w:pPr>
      <w:bookmarkStart w:id="294" w:name="_Toc224558429"/>
      <w:bookmarkStart w:id="295" w:name="_Toc201830177"/>
      <w:r>
        <w:rPr>
          <w:rStyle w:val="CharSectno"/>
        </w:rPr>
        <w:t>69Q</w:t>
      </w:r>
      <w:r>
        <w:t>.</w:t>
      </w:r>
      <w:r>
        <w:tab/>
        <w:t>Demonstrating the separation of drinking and driving behaviour</w:t>
      </w:r>
      <w:bookmarkEnd w:id="294"/>
      <w:bookmarkEnd w:id="295"/>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296" w:name="_Toc224553155"/>
      <w:bookmarkStart w:id="297" w:name="_Toc224553707"/>
      <w:bookmarkStart w:id="298" w:name="_Toc224558430"/>
      <w:bookmarkStart w:id="299" w:name="_Toc201748581"/>
      <w:bookmarkStart w:id="300" w:name="_Toc201749105"/>
      <w:bookmarkStart w:id="301" w:name="_Toc201830178"/>
      <w:r>
        <w:rPr>
          <w:rStyle w:val="CharDivNo"/>
        </w:rPr>
        <w:t>Division 6</w:t>
      </w:r>
      <w:r>
        <w:t> — </w:t>
      </w:r>
      <w:r>
        <w:rPr>
          <w:rStyle w:val="CharDivText"/>
        </w:rPr>
        <w:t>Miscellaneous</w:t>
      </w:r>
      <w:bookmarkEnd w:id="296"/>
      <w:bookmarkEnd w:id="297"/>
      <w:bookmarkEnd w:id="298"/>
      <w:bookmarkEnd w:id="299"/>
      <w:bookmarkEnd w:id="300"/>
      <w:bookmarkEnd w:id="301"/>
    </w:p>
    <w:p>
      <w:pPr>
        <w:pStyle w:val="Footnoteheading"/>
      </w:pPr>
      <w:r>
        <w:tab/>
        <w:t>[Heading inserted: Gazette 20 Sep 2016 p. 3981.]</w:t>
      </w:r>
    </w:p>
    <w:p>
      <w:pPr>
        <w:pStyle w:val="Heading5"/>
      </w:pPr>
      <w:bookmarkStart w:id="302" w:name="_Toc224558431"/>
      <w:bookmarkStart w:id="303" w:name="_Toc201830179"/>
      <w:r>
        <w:rPr>
          <w:rStyle w:val="CharSectno"/>
        </w:rPr>
        <w:t>69R</w:t>
      </w:r>
      <w:r>
        <w:t>.</w:t>
      </w:r>
      <w:r>
        <w:tab/>
        <w:t>Offences</w:t>
      </w:r>
      <w:bookmarkEnd w:id="302"/>
      <w:bookmarkEnd w:id="303"/>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304" w:name="_Toc224553157"/>
      <w:bookmarkStart w:id="305" w:name="_Toc224553709"/>
      <w:bookmarkStart w:id="306" w:name="_Toc224558432"/>
      <w:bookmarkStart w:id="307" w:name="_Toc201748583"/>
      <w:bookmarkStart w:id="308" w:name="_Toc201749107"/>
      <w:bookmarkStart w:id="309" w:name="_Toc201830180"/>
      <w:r>
        <w:rPr>
          <w:rStyle w:val="CharPartNo"/>
        </w:rPr>
        <w:t>Part 6</w:t>
      </w:r>
      <w:r>
        <w:rPr>
          <w:rStyle w:val="CharDivNo"/>
        </w:rPr>
        <w:t> </w:t>
      </w:r>
      <w:r>
        <w:t>—</w:t>
      </w:r>
      <w:r>
        <w:rPr>
          <w:rStyle w:val="CharDivText"/>
        </w:rPr>
        <w:t> </w:t>
      </w:r>
      <w:r>
        <w:rPr>
          <w:rStyle w:val="CharPartText"/>
        </w:rPr>
        <w:t>Notification and reconsideration of reviewable decisions</w:t>
      </w:r>
      <w:bookmarkEnd w:id="304"/>
      <w:bookmarkEnd w:id="305"/>
      <w:bookmarkEnd w:id="306"/>
      <w:bookmarkEnd w:id="307"/>
      <w:bookmarkEnd w:id="308"/>
      <w:bookmarkEnd w:id="309"/>
    </w:p>
    <w:p>
      <w:pPr>
        <w:pStyle w:val="Heading5"/>
      </w:pPr>
      <w:bookmarkStart w:id="310" w:name="_Toc224558433"/>
      <w:bookmarkStart w:id="311" w:name="_Toc201830181"/>
      <w:r>
        <w:rPr>
          <w:rStyle w:val="CharSectno"/>
        </w:rPr>
        <w:t>70</w:t>
      </w:r>
      <w:r>
        <w:t>.</w:t>
      </w:r>
      <w:r>
        <w:tab/>
        <w:t>Term used: reviewable decision</w:t>
      </w:r>
      <w:bookmarkEnd w:id="310"/>
      <w:bookmarkEnd w:id="311"/>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312" w:name="_Toc224558434"/>
      <w:bookmarkStart w:id="313" w:name="_Toc201830182"/>
      <w:r>
        <w:rPr>
          <w:rStyle w:val="CharSectno"/>
        </w:rPr>
        <w:t>71</w:t>
      </w:r>
      <w:r>
        <w:t>.</w:t>
      </w:r>
      <w:r>
        <w:tab/>
        <w:t>CEO to notify affected person</w:t>
      </w:r>
      <w:bookmarkEnd w:id="312"/>
      <w:bookmarkEnd w:id="313"/>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314" w:name="_Toc224558435"/>
      <w:bookmarkStart w:id="315" w:name="_Toc201830183"/>
      <w:r>
        <w:rPr>
          <w:rStyle w:val="CharSectno"/>
        </w:rPr>
        <w:t>72</w:t>
      </w:r>
      <w:r>
        <w:t>.</w:t>
      </w:r>
      <w:r>
        <w:tab/>
        <w:t>Reconsideration of reviewable decisions</w:t>
      </w:r>
      <w:bookmarkEnd w:id="314"/>
      <w:bookmarkEnd w:id="315"/>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316" w:name="_Toc224553161"/>
      <w:bookmarkStart w:id="317" w:name="_Toc224553713"/>
      <w:bookmarkStart w:id="318" w:name="_Toc224558436"/>
      <w:bookmarkStart w:id="319" w:name="_Toc201748587"/>
      <w:bookmarkStart w:id="320" w:name="_Toc201749111"/>
      <w:bookmarkStart w:id="321" w:name="_Toc201830184"/>
      <w:r>
        <w:rPr>
          <w:rStyle w:val="CharPartNo"/>
        </w:rPr>
        <w:t>Part 7</w:t>
      </w:r>
      <w:r>
        <w:rPr>
          <w:rStyle w:val="CharDivNo"/>
        </w:rPr>
        <w:t> </w:t>
      </w:r>
      <w:r>
        <w:t>—</w:t>
      </w:r>
      <w:r>
        <w:rPr>
          <w:rStyle w:val="CharDivText"/>
        </w:rPr>
        <w:t> </w:t>
      </w:r>
      <w:r>
        <w:rPr>
          <w:rStyle w:val="CharPartText"/>
        </w:rPr>
        <w:t>Fees</w:t>
      </w:r>
      <w:bookmarkEnd w:id="316"/>
      <w:bookmarkEnd w:id="317"/>
      <w:bookmarkEnd w:id="318"/>
      <w:bookmarkEnd w:id="319"/>
      <w:bookmarkEnd w:id="320"/>
      <w:bookmarkEnd w:id="321"/>
    </w:p>
    <w:p>
      <w:pPr>
        <w:pStyle w:val="Heading5"/>
        <w:spacing w:before="200"/>
      </w:pPr>
      <w:bookmarkStart w:id="322" w:name="_Toc224558437"/>
      <w:bookmarkStart w:id="323" w:name="_Toc201830185"/>
      <w:r>
        <w:rPr>
          <w:rStyle w:val="CharSectno"/>
        </w:rPr>
        <w:t>73</w:t>
      </w:r>
      <w:r>
        <w:t>.</w:t>
      </w:r>
      <w:r>
        <w:tab/>
        <w:t>Fee for replacement driver’s licence document, learner’s permit document</w:t>
      </w:r>
      <w:bookmarkEnd w:id="322"/>
      <w:bookmarkEnd w:id="323"/>
    </w:p>
    <w:p>
      <w:pPr>
        <w:pStyle w:val="Subsection"/>
      </w:pPr>
      <w:r>
        <w:tab/>
        <w:t>(1)</w:t>
      </w:r>
      <w:r>
        <w:tab/>
        <w:t>A fee of $33.30 is payable for the issue under regulation 31(1) of a replacement driver’s licence document (including for an extraordinary licence).</w:t>
      </w:r>
    </w:p>
    <w:p>
      <w:pPr>
        <w:pStyle w:val="Subsection"/>
      </w:pPr>
      <w:r>
        <w:tab/>
        <w:t>(2)</w:t>
      </w:r>
      <w:r>
        <w:tab/>
        <w:t>A fee of $33.30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 SL 2023/45 r. 21; SL 2024/58 r. 6.]</w:t>
      </w:r>
    </w:p>
    <w:p>
      <w:pPr>
        <w:pStyle w:val="Heading5"/>
      </w:pPr>
      <w:bookmarkStart w:id="324" w:name="_Toc224558438"/>
      <w:bookmarkStart w:id="325" w:name="_Toc201830186"/>
      <w:r>
        <w:rPr>
          <w:rStyle w:val="CharSectno"/>
        </w:rPr>
        <w:t>73A</w:t>
      </w:r>
      <w:r>
        <w:t>.</w:t>
      </w:r>
      <w:r>
        <w:tab/>
        <w:t>Power to reduce, waive or refund fee payable under r. 73</w:t>
      </w:r>
      <w:bookmarkEnd w:id="324"/>
      <w:bookmarkEnd w:id="325"/>
    </w:p>
    <w:p>
      <w:pPr>
        <w:pStyle w:val="Subsection"/>
      </w:pPr>
      <w:r>
        <w:tab/>
        <w:t>(1)</w:t>
      </w:r>
      <w:r>
        <w:tab/>
        <w:t>The CEO may reduce, waive or refund, in whole or in part, a fee payable by a person, or a class of persons, under regulation 73(1) or (2).</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rPr>
          <w:rStyle w:val="CharSectno"/>
        </w:rPr>
      </w:pPr>
      <w:r>
        <w:rPr>
          <w:rStyle w:val="CharSectno"/>
        </w:rPr>
        <w:tab/>
        <w:t>[Regulation 73A inserted: SL 2022/181 r. 4.]</w:t>
      </w:r>
    </w:p>
    <w:p>
      <w:pPr>
        <w:pStyle w:val="Heading5"/>
        <w:spacing w:before="200"/>
      </w:pPr>
      <w:bookmarkStart w:id="326" w:name="_Toc224558439"/>
      <w:bookmarkStart w:id="327" w:name="_Toc201830187"/>
      <w:r>
        <w:rPr>
          <w:rStyle w:val="CharSectno"/>
        </w:rPr>
        <w:t>74</w:t>
      </w:r>
      <w:r>
        <w:t>.</w:t>
      </w:r>
      <w:r>
        <w:tab/>
        <w:t>Fees for drivers’ licences</w:t>
      </w:r>
      <w:bookmarkEnd w:id="326"/>
      <w:bookmarkEnd w:id="327"/>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328" w:name="_Toc224558440"/>
      <w:bookmarkStart w:id="329" w:name="_Toc201830188"/>
      <w:r>
        <w:rPr>
          <w:rStyle w:val="CharSectno"/>
        </w:rPr>
        <w:t>75</w:t>
      </w:r>
      <w:r>
        <w:t>.</w:t>
      </w:r>
      <w:r>
        <w:tab/>
        <w:t>Fees for first grant of driver’s licence after cessation of provisional licence</w:t>
      </w:r>
      <w:bookmarkEnd w:id="328"/>
      <w:bookmarkEnd w:id="329"/>
    </w:p>
    <w:p>
      <w:pPr>
        <w:pStyle w:val="Subsection"/>
      </w:pPr>
      <w:r>
        <w:tab/>
        <w:t>(1A)</w:t>
      </w:r>
      <w:r>
        <w:tab/>
        <w:t xml:space="preserve">In this regulation — </w:t>
      </w:r>
    </w:p>
    <w:p>
      <w:pPr>
        <w:pStyle w:val="Defstart"/>
      </w:pPr>
      <w:r>
        <w:tab/>
      </w:r>
      <w:r>
        <w:rPr>
          <w:rStyle w:val="CharDefText"/>
        </w:rPr>
        <w:t>motor vehicle offence</w:t>
      </w:r>
      <w:r>
        <w:t xml:space="preserve"> means an offence under a road law of which the driving of a motor vehicle on a road is an element.</w:t>
      </w:r>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 motor vehicle offence; or</w:t>
      </w:r>
    </w:p>
    <w:p>
      <w:pPr>
        <w:pStyle w:val="Indenti"/>
      </w:pPr>
      <w:r>
        <w:tab/>
        <w:t>(ii)</w:t>
      </w:r>
      <w:r>
        <w:tab/>
        <w:t>paid a modified penalty in relation to an infringement notice for a motor vehicle offence.</w:t>
      </w:r>
    </w:p>
    <w:p>
      <w:pPr>
        <w:pStyle w:val="Subsection"/>
      </w:pPr>
      <w:r>
        <w:tab/>
        <w:t>(2)</w:t>
      </w:r>
      <w:r>
        <w:tab/>
      </w:r>
      <w:r>
        <w:rPr>
          <w:sz w:val="23"/>
          <w:szCs w:val="23"/>
        </w:rPr>
        <w:t>On the grant to the person of a driver’s licence for a period of 1 year, by way of renewal of the person’s current licence, no fee is payable.</w:t>
      </w:r>
    </w:p>
    <w:p>
      <w:pPr>
        <w:pStyle w:val="Subsection"/>
      </w:pPr>
      <w:r>
        <w:tab/>
        <w:t>(3)</w:t>
      </w:r>
      <w:r>
        <w:tab/>
        <w:t xml:space="preserve">Subregulation (4) applies if — </w:t>
      </w:r>
    </w:p>
    <w:p>
      <w:pPr>
        <w:pStyle w:val="Indenta"/>
      </w:pPr>
      <w:r>
        <w:tab/>
        <w:t>(a)</w:t>
      </w:r>
      <w:r>
        <w:tab/>
        <w:t>the person is granted a driver’s licence for a period of 1 year in the circumstances mentioned in subregulation (2); and</w:t>
      </w:r>
    </w:p>
    <w:p>
      <w:pPr>
        <w:pStyle w:val="Indenta"/>
      </w:pPr>
      <w:r>
        <w:tab/>
        <w:t>(b)</w:t>
      </w:r>
      <w:r>
        <w:tab/>
        <w:t xml:space="preserve">for a period of 1 year after the person is granted the licence, the person has not — </w:t>
      </w:r>
    </w:p>
    <w:p>
      <w:pPr>
        <w:pStyle w:val="Indenti"/>
      </w:pPr>
      <w:r>
        <w:tab/>
        <w:t>(i)</w:t>
      </w:r>
      <w:r>
        <w:tab/>
        <w:t>been convicted of a motor vehicle offence; or</w:t>
      </w:r>
    </w:p>
    <w:p>
      <w:pPr>
        <w:pStyle w:val="Indenti"/>
      </w:pPr>
      <w:r>
        <w:tab/>
        <w:t>(ii)</w:t>
      </w:r>
      <w:r>
        <w:tab/>
        <w:t>paid a modified penalty in relation to an infringement notice for a motor vehicle offence.</w:t>
      </w:r>
    </w:p>
    <w:p>
      <w:pPr>
        <w:pStyle w:val="Subsection"/>
      </w:pPr>
      <w:r>
        <w:tab/>
        <w:t>(4)</w:t>
      </w:r>
      <w:r>
        <w:tab/>
        <w:t xml:space="preserve">On the grant of a driver’s licence to the person, by way of renewal of the person’s driver’s licence granted in the circumstances mentioned in subregulation (2) — </w:t>
      </w:r>
    </w:p>
    <w:p>
      <w:pPr>
        <w:pStyle w:val="Indenta"/>
      </w:pPr>
      <w:r>
        <w:tab/>
        <w:t>(a)</w:t>
      </w:r>
      <w:r>
        <w:tab/>
        <w:t>if the licence is for a period of 1 year — no fee is payable; and</w:t>
      </w:r>
    </w:p>
    <w:p>
      <w:pPr>
        <w:pStyle w:val="Indenta"/>
      </w:pPr>
      <w:r>
        <w:tab/>
        <w:t>(b)</w:t>
      </w:r>
      <w:r>
        <w:tab/>
        <w:t>if the licence is for a period of more than 1 year — the fee for the licence must be reduced by $100.</w:t>
      </w:r>
    </w:p>
    <w:p>
      <w:pPr>
        <w:pStyle w:val="Footnotesection"/>
      </w:pPr>
      <w:r>
        <w:tab/>
        <w:t>[Regulation 75 amended: SL 2024/237 r. 9.]</w:t>
      </w:r>
    </w:p>
    <w:p>
      <w:pPr>
        <w:pStyle w:val="Heading5"/>
      </w:pPr>
      <w:bookmarkStart w:id="330" w:name="_Toc224558441"/>
      <w:bookmarkStart w:id="331" w:name="_Toc201830189"/>
      <w:r>
        <w:rPr>
          <w:rStyle w:val="CharSectno"/>
        </w:rPr>
        <w:t>76</w:t>
      </w:r>
      <w:r>
        <w:t>.</w:t>
      </w:r>
      <w:r>
        <w:tab/>
        <w:t>Exemption from fee for taking or resitting theory test</w:t>
      </w:r>
      <w:bookmarkEnd w:id="330"/>
      <w:bookmarkEnd w:id="331"/>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keepNext/>
        <w:keepLines/>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332" w:name="_Toc224558442"/>
      <w:bookmarkStart w:id="333" w:name="_Toc201830190"/>
      <w:r>
        <w:rPr>
          <w:rStyle w:val="CharSectno"/>
        </w:rPr>
        <w:t>77</w:t>
      </w:r>
      <w:r>
        <w:t>.</w:t>
      </w:r>
      <w:r>
        <w:tab/>
        <w:t>Fees for extraordinary licences</w:t>
      </w:r>
      <w:bookmarkEnd w:id="332"/>
      <w:bookmarkEnd w:id="333"/>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$21.45;</w:t>
      </w:r>
    </w:p>
    <w:p>
      <w:pPr>
        <w:pStyle w:val="Indenta"/>
      </w:pPr>
      <w:r>
        <w:tab/>
        <w:t>(b)</w:t>
      </w:r>
      <w:r>
        <w:tab/>
        <w:t>if the licence is granted for a period exceeding 6 months — $42.90.</w:t>
      </w:r>
    </w:p>
    <w:p>
      <w:pPr>
        <w:pStyle w:val="Footnotesection"/>
      </w:pPr>
      <w:r>
        <w:tab/>
        <w:t>[Regulation 77 amended: Gazette 27 May 2015 p. 1874; 27 May 2016 p. 1551; 26 May 2017 p. 2642; 25 May 2018 p. 1643; SL 2021/92 r. 8; SL 2022/67 r. 8; SL 2023/45 r. 22; SL 2024/58 r. 7.]</w:t>
      </w:r>
    </w:p>
    <w:p>
      <w:pPr>
        <w:pStyle w:val="Heading5"/>
        <w:spacing w:before="260"/>
      </w:pPr>
      <w:bookmarkStart w:id="334" w:name="_Toc224558443"/>
      <w:bookmarkStart w:id="335" w:name="_Toc201830191"/>
      <w:r>
        <w:rPr>
          <w:rStyle w:val="CharSectno"/>
        </w:rPr>
        <w:t>77A</w:t>
      </w:r>
      <w:r>
        <w:t>.</w:t>
      </w:r>
      <w:r>
        <w:tab/>
        <w:t>Additional fees for licences endorsed with alcohol interlock condition</w:t>
      </w:r>
      <w:bookmarkEnd w:id="334"/>
      <w:bookmarkEnd w:id="335"/>
    </w:p>
    <w:p>
      <w:pPr>
        <w:pStyle w:val="Subsection"/>
        <w:spacing w:before="200"/>
      </w:pPr>
      <w:r>
        <w:tab/>
        <w:t>(1)</w:t>
      </w:r>
      <w:r>
        <w:tab/>
        <w:t>On the grant of an extraordinary licence endorsed with condition I a further fee of $231.40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$231.40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 SL 2023/45 r. 23; SL 2024/58 r. 8; SL 2025/65 r. 6.]</w:t>
      </w:r>
    </w:p>
    <w:p>
      <w:pPr>
        <w:pStyle w:val="Heading5"/>
      </w:pPr>
      <w:bookmarkStart w:id="336" w:name="_Toc224558444"/>
      <w:bookmarkStart w:id="337" w:name="_Toc201830192"/>
      <w:r>
        <w:rPr>
          <w:rStyle w:val="CharSectno"/>
        </w:rPr>
        <w:t>78</w:t>
      </w:r>
      <w:r>
        <w:t>.</w:t>
      </w:r>
      <w:r>
        <w:tab/>
        <w:t>Fee exemption for certain seniors and veterans</w:t>
      </w:r>
      <w:bookmarkEnd w:id="336"/>
      <w:bookmarkEnd w:id="337"/>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338" w:name="_Toc224558445"/>
      <w:bookmarkStart w:id="339" w:name="_Toc201830193"/>
      <w:r>
        <w:rPr>
          <w:rStyle w:val="CharSectno"/>
        </w:rPr>
        <w:t>79</w:t>
      </w:r>
      <w:r>
        <w:t>.</w:t>
      </w:r>
      <w:r>
        <w:tab/>
        <w:t>Reduced fees for certain card holders</w:t>
      </w:r>
      <w:bookmarkEnd w:id="338"/>
      <w:bookmarkEnd w:id="339"/>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340" w:name="_Toc224558446"/>
      <w:bookmarkStart w:id="341" w:name="_Toc201830194"/>
      <w:r>
        <w:rPr>
          <w:rStyle w:val="CharSectno"/>
        </w:rPr>
        <w:t>80</w:t>
      </w:r>
      <w:r>
        <w:t>.</w:t>
      </w:r>
      <w:r>
        <w:tab/>
        <w:t>Exemption for drivers of motorised wheelchairs</w:t>
      </w:r>
      <w:bookmarkEnd w:id="340"/>
      <w:bookmarkEnd w:id="341"/>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342" w:name="_Toc224558447"/>
      <w:bookmarkStart w:id="343" w:name="_Toc201830195"/>
      <w:r>
        <w:rPr>
          <w:rStyle w:val="CharSectno"/>
        </w:rPr>
        <w:t>81</w:t>
      </w:r>
      <w:r>
        <w:t>.</w:t>
      </w:r>
      <w:r>
        <w:tab/>
        <w:t>Power to give refund</w:t>
      </w:r>
      <w:bookmarkEnd w:id="342"/>
      <w:bookmarkEnd w:id="343"/>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rPr>
          <w:b w:val="0"/>
          <w:bCs/>
        </w:rPr>
      </w:pPr>
      <w:bookmarkStart w:id="344" w:name="_Toc224553173"/>
      <w:bookmarkStart w:id="345" w:name="_Toc224553725"/>
      <w:bookmarkStart w:id="346" w:name="_Toc224558448"/>
      <w:bookmarkStart w:id="347" w:name="_Toc201748599"/>
      <w:bookmarkStart w:id="348" w:name="_Toc201749123"/>
      <w:bookmarkStart w:id="349" w:name="_Toc201830196"/>
      <w:r>
        <w:rPr>
          <w:rStyle w:val="CharPartNo"/>
        </w:rPr>
        <w:t>Part 8</w:t>
      </w:r>
      <w:r>
        <w:t> — </w:t>
      </w:r>
      <w:r>
        <w:rPr>
          <w:rStyle w:val="CharPartText"/>
        </w:rPr>
        <w:t>Transitional provisions</w:t>
      </w:r>
      <w:bookmarkEnd w:id="344"/>
      <w:bookmarkEnd w:id="345"/>
      <w:bookmarkEnd w:id="346"/>
      <w:bookmarkEnd w:id="347"/>
      <w:bookmarkEnd w:id="348"/>
      <w:bookmarkEnd w:id="349"/>
    </w:p>
    <w:p>
      <w:pPr>
        <w:pStyle w:val="Footnoteheading"/>
      </w:pPr>
      <w:r>
        <w:tab/>
        <w:t>[Heading amended: SL 2024/237 r. 10.]</w:t>
      </w:r>
    </w:p>
    <w:p>
      <w:pPr>
        <w:pStyle w:val="Heading3"/>
      </w:pPr>
      <w:bookmarkStart w:id="350" w:name="_Toc224553174"/>
      <w:bookmarkStart w:id="351" w:name="_Toc224553726"/>
      <w:bookmarkStart w:id="352" w:name="_Toc224558449"/>
      <w:bookmarkStart w:id="353" w:name="_Toc201748600"/>
      <w:bookmarkStart w:id="354" w:name="_Toc201749124"/>
      <w:bookmarkStart w:id="355" w:name="_Toc201830197"/>
      <w:r>
        <w:rPr>
          <w:rStyle w:val="CharDivNo"/>
        </w:rPr>
        <w:t>Division 1</w:t>
      </w:r>
      <w:r>
        <w:t> — </w:t>
      </w:r>
      <w:r>
        <w:rPr>
          <w:rStyle w:val="CharDivText"/>
        </w:rPr>
        <w:t xml:space="preserve">Transitional provisions for </w:t>
      </w:r>
      <w:r>
        <w:rPr>
          <w:rStyle w:val="CharDivText"/>
          <w:i/>
        </w:rPr>
        <w:t>Road Traffic (Authorisation to Drive) Regulations 2014</w:t>
      </w:r>
      <w:bookmarkEnd w:id="350"/>
      <w:bookmarkEnd w:id="351"/>
      <w:bookmarkEnd w:id="352"/>
      <w:bookmarkEnd w:id="353"/>
      <w:bookmarkEnd w:id="354"/>
      <w:bookmarkEnd w:id="355"/>
    </w:p>
    <w:p>
      <w:pPr>
        <w:pStyle w:val="Footnoteheading"/>
      </w:pPr>
      <w:r>
        <w:tab/>
        <w:t>[Heading inserted: SL 2024/237 r. 11.]</w:t>
      </w:r>
    </w:p>
    <w:p>
      <w:pPr>
        <w:pStyle w:val="Heading5"/>
      </w:pPr>
      <w:bookmarkStart w:id="356" w:name="_Toc224558450"/>
      <w:bookmarkStart w:id="357" w:name="_Toc201830198"/>
      <w:r>
        <w:rPr>
          <w:rStyle w:val="CharSectno"/>
        </w:rPr>
        <w:t>82</w:t>
      </w:r>
      <w:r>
        <w:t>.</w:t>
      </w:r>
      <w:r>
        <w:tab/>
        <w:t>Terms used</w:t>
      </w:r>
      <w:bookmarkEnd w:id="356"/>
      <w:bookmarkEnd w:id="357"/>
    </w:p>
    <w:p>
      <w:pPr>
        <w:pStyle w:val="Subsection"/>
      </w:pPr>
      <w:r>
        <w:tab/>
      </w:r>
      <w:r>
        <w:tab/>
        <w:t>In this Division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Footnotesection"/>
      </w:pPr>
      <w:r>
        <w:tab/>
        <w:t>[Regulation 82 amended: SL 2024/237 r. 12.]</w:t>
      </w:r>
    </w:p>
    <w:p>
      <w:pPr>
        <w:pStyle w:val="Heading5"/>
      </w:pPr>
      <w:bookmarkStart w:id="358" w:name="_Toc224558451"/>
      <w:bookmarkStart w:id="359" w:name="_Toc201830199"/>
      <w:r>
        <w:rPr>
          <w:rStyle w:val="CharSectno"/>
        </w:rPr>
        <w:t>83</w:t>
      </w:r>
      <w:r>
        <w:t>.</w:t>
      </w:r>
      <w:r>
        <w:tab/>
        <w:t xml:space="preserve">Application of </w:t>
      </w:r>
      <w:r>
        <w:rPr>
          <w:i/>
        </w:rPr>
        <w:t>Interpretation Act 1984</w:t>
      </w:r>
      <w:bookmarkEnd w:id="358"/>
      <w:bookmarkEnd w:id="359"/>
    </w:p>
    <w:p>
      <w:pPr>
        <w:pStyle w:val="Subsection"/>
      </w:pPr>
      <w:r>
        <w:tab/>
      </w:r>
      <w:r>
        <w:tab/>
        <w:t xml:space="preserve">The provisions of this Division do not prejudice or affect the application of the </w:t>
      </w:r>
      <w:r>
        <w:rPr>
          <w:i/>
        </w:rPr>
        <w:t xml:space="preserve">Interpretation Act 1984 </w:t>
      </w:r>
      <w:r>
        <w:t>to and in relation to the repeal of the former regulations.</w:t>
      </w:r>
    </w:p>
    <w:p>
      <w:pPr>
        <w:pStyle w:val="Footnotesection"/>
      </w:pPr>
      <w:r>
        <w:tab/>
        <w:t>[Regulation 83 amended: SL 2024/237 r. 13.]</w:t>
      </w:r>
    </w:p>
    <w:p>
      <w:pPr>
        <w:pStyle w:val="Heading5"/>
      </w:pPr>
      <w:bookmarkStart w:id="360" w:name="_Toc224558452"/>
      <w:bookmarkStart w:id="361" w:name="_Toc201830200"/>
      <w:r>
        <w:rPr>
          <w:rStyle w:val="CharSectno"/>
        </w:rPr>
        <w:t>84</w:t>
      </w:r>
      <w:r>
        <w:t>.</w:t>
      </w:r>
      <w:r>
        <w:tab/>
        <w:t>Driver’s licences</w:t>
      </w:r>
      <w:bookmarkEnd w:id="360"/>
      <w:bookmarkEnd w:id="361"/>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362" w:name="_Toc224558453"/>
      <w:bookmarkStart w:id="363" w:name="_Toc201830201"/>
      <w:r>
        <w:rPr>
          <w:rStyle w:val="CharSectno"/>
        </w:rPr>
        <w:t>85</w:t>
      </w:r>
      <w:r>
        <w:t>.</w:t>
      </w:r>
      <w:r>
        <w:tab/>
        <w:t>Applications</w:t>
      </w:r>
      <w:bookmarkEnd w:id="362"/>
      <w:bookmarkEnd w:id="363"/>
    </w:p>
    <w:p>
      <w:pPr>
        <w:pStyle w:val="Subsection"/>
        <w:keepNext/>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364" w:name="_Toc224558454"/>
      <w:bookmarkStart w:id="365" w:name="_Toc201830202"/>
      <w:r>
        <w:rPr>
          <w:rStyle w:val="CharSectno"/>
        </w:rPr>
        <w:t>86</w:t>
      </w:r>
      <w:r>
        <w:t>.</w:t>
      </w:r>
      <w:r>
        <w:tab/>
        <w:t>Waivers</w:t>
      </w:r>
      <w:bookmarkEnd w:id="364"/>
      <w:bookmarkEnd w:id="365"/>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366" w:name="_Toc224558455"/>
      <w:bookmarkStart w:id="367" w:name="_Toc201830203"/>
      <w:r>
        <w:rPr>
          <w:rStyle w:val="CharSectno"/>
        </w:rPr>
        <w:t>87</w:t>
      </w:r>
      <w:r>
        <w:t>.</w:t>
      </w:r>
      <w:r>
        <w:tab/>
        <w:t>Drivers’ licence documents, learners’ permit documents</w:t>
      </w:r>
      <w:bookmarkEnd w:id="366"/>
      <w:bookmarkEnd w:id="367"/>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368" w:name="_Toc224558456"/>
      <w:bookmarkStart w:id="369" w:name="_Toc201830204"/>
      <w:r>
        <w:rPr>
          <w:rStyle w:val="CharSectno"/>
        </w:rPr>
        <w:t>88</w:t>
      </w:r>
      <w:r>
        <w:t>.</w:t>
      </w:r>
      <w:r>
        <w:tab/>
        <w:t>Notices</w:t>
      </w:r>
      <w:bookmarkEnd w:id="368"/>
      <w:bookmarkEnd w:id="369"/>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370" w:name="_Toc224558457"/>
      <w:bookmarkStart w:id="371" w:name="_Toc201830205"/>
      <w:r>
        <w:rPr>
          <w:rStyle w:val="CharSectno"/>
        </w:rPr>
        <w:t>89</w:t>
      </w:r>
      <w:r>
        <w:t>.</w:t>
      </w:r>
      <w:r>
        <w:tab/>
        <w:t>Permits to drive without licence</w:t>
      </w:r>
      <w:bookmarkEnd w:id="370"/>
      <w:bookmarkEnd w:id="371"/>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372" w:name="_Toc224558458"/>
      <w:bookmarkStart w:id="373" w:name="_Toc201830206"/>
      <w:r>
        <w:rPr>
          <w:rStyle w:val="CharSectno"/>
        </w:rPr>
        <w:t>90</w:t>
      </w:r>
      <w:r>
        <w:t>.</w:t>
      </w:r>
      <w:r>
        <w:tab/>
        <w:t>Reviews, reconsiderations of decisions</w:t>
      </w:r>
      <w:bookmarkEnd w:id="372"/>
      <w:bookmarkEnd w:id="373"/>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374" w:name="_Toc224558459"/>
      <w:bookmarkStart w:id="375" w:name="_Toc201830207"/>
      <w:r>
        <w:rPr>
          <w:rStyle w:val="CharSectno"/>
        </w:rPr>
        <w:t>91</w:t>
      </w:r>
      <w:r>
        <w:t>.</w:t>
      </w:r>
      <w:r>
        <w:tab/>
        <w:t>Notices as to who may administer theory tests</w:t>
      </w:r>
      <w:bookmarkEnd w:id="374"/>
      <w:bookmarkEnd w:id="375"/>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376" w:name="_Toc224558460"/>
      <w:bookmarkStart w:id="377" w:name="_Toc201830208"/>
      <w:r>
        <w:rPr>
          <w:rStyle w:val="CharSectno"/>
        </w:rPr>
        <w:t>93</w:t>
      </w:r>
      <w:r>
        <w:t>.</w:t>
      </w:r>
      <w:r>
        <w:tab/>
        <w:t>Status of certain demerit points recorded before 30 June 2008</w:t>
      </w:r>
      <w:bookmarkEnd w:id="376"/>
      <w:bookmarkEnd w:id="377"/>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Pr>
        <w:pStyle w:val="Heading3"/>
      </w:pPr>
      <w:bookmarkStart w:id="378" w:name="_Toc224553186"/>
      <w:bookmarkStart w:id="379" w:name="_Toc224553738"/>
      <w:bookmarkStart w:id="380" w:name="_Toc224558461"/>
      <w:bookmarkStart w:id="381" w:name="_Toc201748612"/>
      <w:bookmarkStart w:id="382" w:name="_Toc201749136"/>
      <w:bookmarkStart w:id="383" w:name="_Toc201830209"/>
      <w:r>
        <w:rPr>
          <w:rStyle w:val="CharDivNo"/>
        </w:rPr>
        <w:t>Division 2</w:t>
      </w:r>
      <w:r>
        <w:t> — </w:t>
      </w:r>
      <w:r>
        <w:rPr>
          <w:rStyle w:val="CharDivText"/>
        </w:rPr>
        <w:t xml:space="preserve">Transitional provision for </w:t>
      </w:r>
      <w:r>
        <w:rPr>
          <w:rStyle w:val="CharDivText"/>
          <w:i/>
        </w:rPr>
        <w:t>Transport Regulations Amendment (Road Traffic) Regulations 2024</w:t>
      </w:r>
      <w:bookmarkEnd w:id="378"/>
      <w:bookmarkEnd w:id="379"/>
      <w:bookmarkEnd w:id="380"/>
      <w:bookmarkEnd w:id="381"/>
      <w:bookmarkEnd w:id="382"/>
      <w:bookmarkEnd w:id="383"/>
    </w:p>
    <w:p>
      <w:pPr>
        <w:pStyle w:val="Footnoteheading"/>
      </w:pPr>
      <w:r>
        <w:tab/>
        <w:t>[Heading inserted: SL 2024/237 r. 14.]</w:t>
      </w:r>
    </w:p>
    <w:p>
      <w:pPr>
        <w:pStyle w:val="Heading5"/>
      </w:pPr>
      <w:bookmarkStart w:id="384" w:name="_Toc224558462"/>
      <w:bookmarkStart w:id="385" w:name="_Toc201830210"/>
      <w:r>
        <w:rPr>
          <w:rStyle w:val="CharSectno"/>
        </w:rPr>
        <w:t>94</w:t>
      </w:r>
      <w:r>
        <w:t>.</w:t>
      </w:r>
      <w:r>
        <w:tab/>
        <w:t>Transitional provision for novice driver (type 1A) number of passengers restrictions</w:t>
      </w:r>
      <w:bookmarkEnd w:id="384"/>
      <w:bookmarkEnd w:id="385"/>
    </w:p>
    <w:p>
      <w:pPr>
        <w:pStyle w:val="Subsection"/>
      </w:pPr>
      <w:r>
        <w:tab/>
      </w:r>
      <w:r>
        <w:tab/>
        <w:t xml:space="preserve">Regulation 11 applies in relation to a driver’s licence granted to a person who is a novice driver (type 1A) regardless of whether the licence was granted before, on or after regulation 7 of the </w:t>
      </w:r>
      <w:r>
        <w:rPr>
          <w:i/>
        </w:rPr>
        <w:t>Transport Regulations Amendment (Road Traffic) Regulations 2024</w:t>
      </w:r>
      <w:r>
        <w:t xml:space="preserve"> came into operation.</w:t>
      </w:r>
    </w:p>
    <w:p>
      <w:pPr>
        <w:pStyle w:val="Footnotesection"/>
      </w:pPr>
      <w:r>
        <w:tab/>
        <w:t>[Regulation 94 inserted: SL 2024/237 r. 14.]</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86" w:name="_Toc224553188"/>
      <w:bookmarkStart w:id="387" w:name="_Toc224553740"/>
      <w:bookmarkStart w:id="388" w:name="_Toc224558463"/>
      <w:bookmarkStart w:id="389" w:name="_Toc201748614"/>
      <w:bookmarkStart w:id="390" w:name="_Toc201749138"/>
      <w:bookmarkStart w:id="391" w:name="_Toc201830211"/>
      <w:r>
        <w:rPr>
          <w:rStyle w:val="CharSchNo"/>
        </w:rPr>
        <w:t>Schedule 1</w:t>
      </w:r>
      <w:r>
        <w:rPr>
          <w:rStyle w:val="CharSDivNo"/>
        </w:rPr>
        <w:t> </w:t>
      </w:r>
      <w:r>
        <w:t>—</w:t>
      </w:r>
      <w:r>
        <w:rPr>
          <w:rStyle w:val="CharSDivText"/>
        </w:rPr>
        <w:t> </w:t>
      </w:r>
      <w:r>
        <w:rPr>
          <w:rStyle w:val="CharSchText"/>
        </w:rPr>
        <w:t>Classes of motor vehicles</w:t>
      </w:r>
      <w:bookmarkEnd w:id="386"/>
      <w:bookmarkEnd w:id="387"/>
      <w:bookmarkEnd w:id="388"/>
      <w:bookmarkEnd w:id="389"/>
      <w:bookmarkEnd w:id="390"/>
      <w:bookmarkEnd w:id="391"/>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392" w:name="_Toc224553189"/>
      <w:bookmarkStart w:id="393" w:name="_Toc224553741"/>
      <w:bookmarkStart w:id="394" w:name="_Toc224558464"/>
      <w:bookmarkStart w:id="395" w:name="_Toc201748615"/>
      <w:bookmarkStart w:id="396" w:name="_Toc201749139"/>
      <w:bookmarkStart w:id="397" w:name="_Toc201830212"/>
      <w:r>
        <w:rPr>
          <w:rStyle w:val="CharSchNo"/>
        </w:rPr>
        <w:t>Schedule 2</w:t>
      </w:r>
      <w:r>
        <w:rPr>
          <w:rStyle w:val="CharSDivNo"/>
        </w:rPr>
        <w:t> </w:t>
      </w:r>
      <w:r>
        <w:t>—</w:t>
      </w:r>
      <w:r>
        <w:rPr>
          <w:rStyle w:val="CharSDivText"/>
        </w:rPr>
        <w:t> </w:t>
      </w:r>
      <w:r>
        <w:rPr>
          <w:rStyle w:val="CharSchText"/>
        </w:rPr>
        <w:t>Classes of authorisation to drive</w:t>
      </w:r>
      <w:bookmarkEnd w:id="392"/>
      <w:bookmarkEnd w:id="393"/>
      <w:bookmarkEnd w:id="394"/>
      <w:bookmarkEnd w:id="395"/>
      <w:bookmarkEnd w:id="396"/>
      <w:bookmarkEnd w:id="397"/>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399" w:name="_Toc224553190"/>
      <w:bookmarkStart w:id="400" w:name="_Toc224553742"/>
      <w:bookmarkStart w:id="401" w:name="_Toc224558465"/>
      <w:bookmarkStart w:id="402" w:name="_Toc201748616"/>
      <w:bookmarkStart w:id="403" w:name="_Toc201749140"/>
      <w:bookmarkStart w:id="404" w:name="_Toc201830213"/>
      <w:r>
        <w:rPr>
          <w:rStyle w:val="CharSchNo"/>
        </w:rPr>
        <w:t>Schedule 4</w:t>
      </w:r>
      <w:r>
        <w:rPr>
          <w:rStyle w:val="CharSDivNo"/>
        </w:rPr>
        <w:t> </w:t>
      </w:r>
      <w:r>
        <w:t>—</w:t>
      </w:r>
      <w:r>
        <w:rPr>
          <w:rStyle w:val="CharSDivText"/>
        </w:rPr>
        <w:t> </w:t>
      </w:r>
      <w:r>
        <w:rPr>
          <w:rStyle w:val="CharSchText"/>
        </w:rPr>
        <w:t>Trailer towing limits</w:t>
      </w:r>
      <w:bookmarkEnd w:id="399"/>
      <w:bookmarkEnd w:id="400"/>
      <w:bookmarkEnd w:id="401"/>
      <w:bookmarkEnd w:id="402"/>
      <w:bookmarkEnd w:id="403"/>
      <w:bookmarkEnd w:id="404"/>
    </w:p>
    <w:p>
      <w:pPr>
        <w:pStyle w:val="yShoulderClause"/>
      </w:pPr>
      <w:r>
        <w:t>[r. 5 and 13]</w:t>
      </w:r>
    </w:p>
    <w:p>
      <w:pPr>
        <w:pStyle w:val="yHeading5"/>
      </w:pPr>
      <w:bookmarkStart w:id="405" w:name="_Toc224558466"/>
      <w:bookmarkStart w:id="406" w:name="_Toc201830214"/>
      <w:r>
        <w:rPr>
          <w:rStyle w:val="CharSClsNo"/>
        </w:rPr>
        <w:t>1</w:t>
      </w:r>
      <w:r>
        <w:t>.</w:t>
      </w:r>
      <w:r>
        <w:tab/>
        <w:t>Limits for motor vehicle of class C or LR</w:t>
      </w:r>
      <w:bookmarkEnd w:id="405"/>
      <w:bookmarkEnd w:id="406"/>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407" w:name="_Toc224558467"/>
      <w:bookmarkStart w:id="408" w:name="_Toc201830215"/>
      <w:r>
        <w:rPr>
          <w:rStyle w:val="CharSClsNo"/>
        </w:rPr>
        <w:t>2</w:t>
      </w:r>
      <w:r>
        <w:t>.</w:t>
      </w:r>
      <w:r>
        <w:tab/>
        <w:t>Limits for motor vehicle of class MR</w:t>
      </w:r>
      <w:bookmarkEnd w:id="407"/>
      <w:bookmarkEnd w:id="408"/>
    </w:p>
    <w:p>
      <w:pPr>
        <w:pStyle w:val="ySubsection"/>
      </w:pPr>
      <w:r>
        <w:tab/>
      </w:r>
      <w:r>
        <w:tab/>
        <w:t>A motor vehicle of class MR may be used to tow one trailer that has a GVM of 9 t or less, and no other trailer.</w:t>
      </w:r>
    </w:p>
    <w:p>
      <w:pPr>
        <w:pStyle w:val="yHeading5"/>
      </w:pPr>
      <w:bookmarkStart w:id="409" w:name="_Toc224558468"/>
      <w:bookmarkStart w:id="410" w:name="_Toc201830216"/>
      <w:r>
        <w:rPr>
          <w:rStyle w:val="CharSClsNo"/>
        </w:rPr>
        <w:t>3</w:t>
      </w:r>
      <w:r>
        <w:t>.</w:t>
      </w:r>
      <w:r>
        <w:tab/>
        <w:t>Limits for motor vehicle of class HR</w:t>
      </w:r>
      <w:bookmarkEnd w:id="409"/>
      <w:bookmarkEnd w:id="410"/>
    </w:p>
    <w:p>
      <w:pPr>
        <w:pStyle w:val="ySubsection"/>
      </w:pPr>
      <w:r>
        <w:tab/>
      </w:r>
      <w:r>
        <w:tab/>
        <w:t>A motor vehicle of class HR may be used to tow one trailer that has a GVM of 9 t or less, and no other trailer.</w:t>
      </w:r>
    </w:p>
    <w:p>
      <w:pPr>
        <w:pStyle w:val="yHeading5"/>
      </w:pPr>
      <w:bookmarkStart w:id="411" w:name="_Toc224558469"/>
      <w:bookmarkStart w:id="412" w:name="_Toc201830217"/>
      <w:r>
        <w:rPr>
          <w:rStyle w:val="CharSClsNo"/>
        </w:rPr>
        <w:t>4</w:t>
      </w:r>
      <w:r>
        <w:t>.</w:t>
      </w:r>
      <w:r>
        <w:tab/>
        <w:t>Limits for motor vehicle of class HC</w:t>
      </w:r>
      <w:bookmarkEnd w:id="411"/>
      <w:bookmarkEnd w:id="412"/>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13" w:name="_Toc224553195"/>
      <w:bookmarkStart w:id="414" w:name="_Toc224553747"/>
      <w:bookmarkStart w:id="415" w:name="_Toc224558470"/>
      <w:bookmarkStart w:id="416" w:name="_Toc201748621"/>
      <w:bookmarkStart w:id="417" w:name="_Toc201749145"/>
      <w:bookmarkStart w:id="418" w:name="_Toc201830218"/>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413"/>
      <w:bookmarkEnd w:id="414"/>
      <w:bookmarkEnd w:id="415"/>
      <w:bookmarkEnd w:id="416"/>
      <w:bookmarkEnd w:id="417"/>
      <w:bookmarkEnd w:id="418"/>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419" w:name="_Toc224553196"/>
      <w:bookmarkStart w:id="420" w:name="_Toc224553748"/>
      <w:bookmarkStart w:id="421" w:name="_Toc224558471"/>
      <w:bookmarkStart w:id="422" w:name="_Toc201748622"/>
      <w:bookmarkStart w:id="423" w:name="_Toc201749146"/>
      <w:bookmarkStart w:id="424" w:name="_Toc201830219"/>
      <w:r>
        <w:rPr>
          <w:rStyle w:val="CharSchNo"/>
        </w:rPr>
        <w:t>Schedule 6</w:t>
      </w:r>
      <w:r>
        <w:rPr>
          <w:rStyle w:val="CharSDivNo"/>
        </w:rPr>
        <w:t> </w:t>
      </w:r>
      <w:r>
        <w:t>—</w:t>
      </w:r>
      <w:r>
        <w:rPr>
          <w:rStyle w:val="CharSDivText"/>
        </w:rPr>
        <w:t> </w:t>
      </w:r>
      <w:r>
        <w:rPr>
          <w:rStyle w:val="CharSchText"/>
        </w:rPr>
        <w:t>Licence prerequisites for drivers’ licences</w:t>
      </w:r>
      <w:bookmarkEnd w:id="419"/>
      <w:bookmarkEnd w:id="420"/>
      <w:bookmarkEnd w:id="421"/>
      <w:bookmarkEnd w:id="422"/>
      <w:bookmarkEnd w:id="423"/>
      <w:bookmarkEnd w:id="424"/>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425" w:name="_Toc224553197"/>
      <w:bookmarkStart w:id="426" w:name="_Toc224553749"/>
      <w:bookmarkStart w:id="427" w:name="_Toc224558472"/>
      <w:bookmarkStart w:id="428" w:name="_Toc201748623"/>
      <w:bookmarkStart w:id="429" w:name="_Toc201749147"/>
      <w:bookmarkStart w:id="430" w:name="_Toc201830220"/>
      <w:r>
        <w:rPr>
          <w:rStyle w:val="CharSchNo"/>
        </w:rPr>
        <w:t>Schedule 7</w:t>
      </w:r>
      <w:r>
        <w:rPr>
          <w:rStyle w:val="CharSDivNo"/>
        </w:rPr>
        <w:t> </w:t>
      </w:r>
      <w:r>
        <w:t>—</w:t>
      </w:r>
      <w:r>
        <w:rPr>
          <w:rStyle w:val="CharSDivText"/>
        </w:rPr>
        <w:t> </w:t>
      </w:r>
      <w:r>
        <w:rPr>
          <w:rStyle w:val="CharSchText"/>
        </w:rPr>
        <w:t>Notations to indicate certain conditions apply</w:t>
      </w:r>
      <w:bookmarkEnd w:id="425"/>
      <w:bookmarkEnd w:id="426"/>
      <w:bookmarkEnd w:id="427"/>
      <w:bookmarkEnd w:id="428"/>
      <w:bookmarkEnd w:id="429"/>
      <w:bookmarkEnd w:id="430"/>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431" w:name="_Toc224553198"/>
      <w:bookmarkStart w:id="432" w:name="_Toc224553750"/>
      <w:bookmarkStart w:id="433" w:name="_Toc224558473"/>
      <w:bookmarkStart w:id="434" w:name="_Toc201748624"/>
      <w:bookmarkStart w:id="435" w:name="_Toc201749148"/>
      <w:bookmarkStart w:id="436" w:name="_Toc201830221"/>
      <w:r>
        <w:rPr>
          <w:rStyle w:val="CharSchNo"/>
        </w:rPr>
        <w:t>Schedule 8</w:t>
      </w:r>
      <w:r>
        <w:rPr>
          <w:rStyle w:val="CharSDivNo"/>
        </w:rPr>
        <w:t> </w:t>
      </w:r>
      <w:r>
        <w:t>—</w:t>
      </w:r>
      <w:r>
        <w:rPr>
          <w:rStyle w:val="CharSDivText"/>
        </w:rPr>
        <w:t> </w:t>
      </w:r>
      <w:r>
        <w:rPr>
          <w:rStyle w:val="CharSchText"/>
        </w:rPr>
        <w:t>Licence prerequisites for learners’ permits</w:t>
      </w:r>
      <w:bookmarkEnd w:id="431"/>
      <w:bookmarkEnd w:id="432"/>
      <w:bookmarkEnd w:id="433"/>
      <w:bookmarkEnd w:id="434"/>
      <w:bookmarkEnd w:id="435"/>
      <w:bookmarkEnd w:id="436"/>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437" w:name="_Toc224553199"/>
      <w:bookmarkStart w:id="438" w:name="_Toc224553751"/>
      <w:bookmarkStart w:id="439" w:name="_Toc224558474"/>
      <w:bookmarkStart w:id="440" w:name="_Toc201748625"/>
      <w:bookmarkStart w:id="441" w:name="_Toc201749149"/>
      <w:bookmarkStart w:id="442" w:name="_Toc201830222"/>
      <w:r>
        <w:rPr>
          <w:rStyle w:val="CharSchNo"/>
        </w:rPr>
        <w:t>Schedule 9</w:t>
      </w:r>
      <w:r>
        <w:t> — </w:t>
      </w:r>
      <w:r>
        <w:rPr>
          <w:rStyle w:val="CharSchText"/>
        </w:rPr>
        <w:t>Fees relating to drivers’ licences</w:t>
      </w:r>
      <w:bookmarkEnd w:id="437"/>
      <w:bookmarkEnd w:id="438"/>
      <w:bookmarkEnd w:id="439"/>
      <w:bookmarkEnd w:id="440"/>
      <w:bookmarkEnd w:id="441"/>
      <w:bookmarkEnd w:id="442"/>
    </w:p>
    <w:p>
      <w:pPr>
        <w:pStyle w:val="yShoulderClause"/>
      </w:pPr>
      <w:r>
        <w:t>[r. 74, 76 and 79]</w:t>
      </w:r>
    </w:p>
    <w:p>
      <w:pPr>
        <w:pStyle w:val="yFootnoteheading"/>
      </w:pPr>
      <w:r>
        <w:tab/>
        <w:t>[Heading inserted: SL 2023/45 r. 24.]</w:t>
      </w:r>
    </w:p>
    <w:p>
      <w:pPr>
        <w:pStyle w:val="yHeading5"/>
      </w:pPr>
      <w:bookmarkStart w:id="443" w:name="_Toc224558475"/>
      <w:bookmarkStart w:id="444" w:name="_Toc201830223"/>
      <w:r>
        <w:tab/>
        <w:t>Terms used</w:t>
      </w:r>
      <w:bookmarkEnd w:id="443"/>
      <w:bookmarkEnd w:id="444"/>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813" w:type="dxa"/>
        <w:tblInd w:w="284" w:type="dxa"/>
        <w:tblCellMar>
          <w:right w:w="170" w:type="dxa"/>
        </w:tblCellMar>
        <w:tblLook w:val="0000" w:firstRow="0" w:lastRow="0" w:firstColumn="0" w:lastColumn="0" w:noHBand="0" w:noVBand="0"/>
      </w:tblPr>
      <w:tblGrid>
        <w:gridCol w:w="553"/>
        <w:gridCol w:w="4541"/>
        <w:gridCol w:w="1719"/>
      </w:tblGrid>
      <w:tr>
        <w:trPr>
          <w:cantSplit/>
        </w:trPr>
        <w:tc>
          <w:tcPr>
            <w:tcW w:w="549" w:type="dxa"/>
            <w:noWrap/>
          </w:tcPr>
          <w:p>
            <w:pPr>
              <w:pStyle w:val="yTableNAm"/>
            </w:pPr>
          </w:p>
        </w:tc>
        <w:tc>
          <w:tcPr>
            <w:tcW w:w="4544" w:type="dxa"/>
            <w:noWrap/>
          </w:tcPr>
          <w:p>
            <w:pPr>
              <w:pStyle w:val="yTableNAm"/>
            </w:pPr>
          </w:p>
        </w:tc>
        <w:tc>
          <w:tcPr>
            <w:tcW w:w="1720" w:type="dxa"/>
            <w:noWrap/>
          </w:tcPr>
          <w:p>
            <w:pPr>
              <w:pStyle w:val="yTableNAm"/>
              <w:jc w:val="center"/>
            </w:pPr>
            <w:r>
              <w:t>$</w:t>
            </w:r>
          </w:p>
        </w:tc>
      </w:tr>
      <w:tr>
        <w:trPr>
          <w:cantSplit/>
        </w:trPr>
        <w:tc>
          <w:tcPr>
            <w:tcW w:w="549" w:type="dxa"/>
            <w:noWrap/>
          </w:tcPr>
          <w:p>
            <w:pPr>
              <w:pStyle w:val="yTableNAm"/>
              <w:rPr>
                <w:rStyle w:val="DraftersNotes"/>
              </w:rPr>
            </w:pPr>
            <w:r>
              <w:t>1.</w:t>
            </w:r>
          </w:p>
        </w:tc>
        <w:tc>
          <w:tcPr>
            <w:tcW w:w="4544" w:type="dxa"/>
            <w:noWrap/>
          </w:tcPr>
          <w:p>
            <w:pPr>
              <w:pStyle w:val="yTableNAm"/>
            </w:pPr>
            <w:r>
              <w:t xml:space="preserve">Fee to take a theory test for the first time </w:t>
            </w:r>
          </w:p>
        </w:tc>
        <w:tc>
          <w:tcPr>
            <w:tcW w:w="1720" w:type="dxa"/>
            <w:noWrap/>
            <w:vAlign w:val="bottom"/>
          </w:tcPr>
          <w:p>
            <w:pPr>
              <w:pStyle w:val="yTableNAm"/>
              <w:tabs>
                <w:tab w:val="clear" w:pos="567"/>
              </w:tabs>
              <w:ind w:right="255"/>
              <w:jc w:val="right"/>
            </w:pPr>
            <w:r>
              <w:rPr>
                <w:szCs w:val="22"/>
              </w:rPr>
              <w:t>22.40</w:t>
            </w:r>
          </w:p>
        </w:tc>
      </w:tr>
      <w:tr>
        <w:trPr>
          <w:cantSplit/>
        </w:trPr>
        <w:tc>
          <w:tcPr>
            <w:tcW w:w="549" w:type="dxa"/>
            <w:noWrap/>
          </w:tcPr>
          <w:p>
            <w:pPr>
              <w:pStyle w:val="yTableNAm"/>
              <w:rPr>
                <w:rStyle w:val="DraftersNotes"/>
              </w:rPr>
            </w:pPr>
            <w:r>
              <w:t>2.</w:t>
            </w:r>
          </w:p>
        </w:tc>
        <w:tc>
          <w:tcPr>
            <w:tcW w:w="4544" w:type="dxa"/>
            <w:noWrap/>
          </w:tcPr>
          <w:p>
            <w:pPr>
              <w:pStyle w:val="yTableNAm"/>
            </w:pPr>
            <w:r>
              <w:t xml:space="preserve">Fee to resit a theory test </w:t>
            </w:r>
          </w:p>
        </w:tc>
        <w:tc>
          <w:tcPr>
            <w:tcW w:w="1720" w:type="dxa"/>
            <w:noWrap/>
            <w:vAlign w:val="bottom"/>
          </w:tcPr>
          <w:p>
            <w:pPr>
              <w:pStyle w:val="yTableNAm"/>
              <w:tabs>
                <w:tab w:val="clear" w:pos="567"/>
              </w:tabs>
              <w:ind w:right="255"/>
              <w:jc w:val="right"/>
            </w:pPr>
            <w:r>
              <w:rPr>
                <w:szCs w:val="22"/>
              </w:rPr>
              <w:t>19.20</w:t>
            </w:r>
          </w:p>
        </w:tc>
      </w:tr>
      <w:tr>
        <w:trPr>
          <w:cantSplit/>
        </w:trPr>
        <w:tc>
          <w:tcPr>
            <w:tcW w:w="549" w:type="dxa"/>
            <w:noWrap/>
          </w:tcPr>
          <w:p>
            <w:pPr>
              <w:pStyle w:val="yTableNAm"/>
            </w:pPr>
            <w:r>
              <w:t>3.</w:t>
            </w:r>
          </w:p>
        </w:tc>
        <w:tc>
          <w:tcPr>
            <w:tcW w:w="4544" w:type="dxa"/>
            <w:noWrap/>
          </w:tcPr>
          <w:p>
            <w:pPr>
              <w:pStyle w:val="yTableNAm"/>
            </w:pPr>
            <w:r>
              <w:t>Application for a driver’s licence —</w:t>
            </w:r>
          </w:p>
        </w:tc>
        <w:tc>
          <w:tcPr>
            <w:tcW w:w="1720" w:type="dxa"/>
            <w:noWrap/>
            <w:vAlign w:val="bottom"/>
          </w:tcPr>
          <w:p>
            <w:pPr>
              <w:pStyle w:val="yTableNAm"/>
              <w:tabs>
                <w:tab w:val="clear" w:pos="567"/>
              </w:tabs>
              <w:ind w:right="255"/>
              <w:jc w:val="right"/>
            </w:pPr>
          </w:p>
        </w:tc>
      </w:tr>
      <w:tr>
        <w:trPr>
          <w:cantSplit/>
        </w:trPr>
        <w:tc>
          <w:tcPr>
            <w:tcW w:w="549" w:type="dxa"/>
            <w:noWrap/>
          </w:tcPr>
          <w:p>
            <w:pPr>
              <w:pStyle w:val="yTableNAm"/>
            </w:pPr>
          </w:p>
        </w:tc>
        <w:tc>
          <w:tcPr>
            <w:tcW w:w="4544" w:type="dxa"/>
            <w:noWrap/>
          </w:tcPr>
          <w:p>
            <w:pPr>
              <w:pStyle w:val="yTableNAm"/>
              <w:tabs>
                <w:tab w:val="clear" w:pos="567"/>
                <w:tab w:val="left" w:pos="454"/>
              </w:tabs>
            </w:pPr>
            <w:r>
              <w:t>(a)</w:t>
            </w:r>
            <w:r>
              <w:tab/>
              <w:t>including 1 practical driving assessment —</w:t>
            </w:r>
          </w:p>
        </w:tc>
        <w:tc>
          <w:tcPr>
            <w:tcW w:w="1720" w:type="dxa"/>
            <w:noWrap/>
            <w:vAlign w:val="bottom"/>
          </w:tcPr>
          <w:p>
            <w:pPr>
              <w:pStyle w:val="yTableNAm"/>
              <w:tabs>
                <w:tab w:val="clear" w:pos="567"/>
              </w:tabs>
              <w:ind w:right="255"/>
              <w:jc w:val="right"/>
            </w:pPr>
          </w:p>
        </w:tc>
      </w:tr>
      <w:tr>
        <w:trPr>
          <w:cantSplit/>
        </w:trPr>
        <w:tc>
          <w:tcPr>
            <w:tcW w:w="549" w:type="dxa"/>
            <w:noWrap/>
          </w:tcPr>
          <w:p>
            <w:pPr>
              <w:pStyle w:val="yTableNAm"/>
            </w:pPr>
          </w:p>
        </w:tc>
        <w:tc>
          <w:tcPr>
            <w:tcW w:w="4544" w:type="dxa"/>
            <w:noWrap/>
          </w:tcPr>
          <w:p>
            <w:pPr>
              <w:pStyle w:val="yTableNAm"/>
              <w:ind w:left="1140" w:hanging="1140"/>
            </w:pPr>
            <w:r>
              <w:tab/>
              <w:t>(i)</w:t>
            </w:r>
            <w:r>
              <w:tab/>
              <w:t>if the motor vehicle is not of class HC or MC</w:t>
            </w:r>
          </w:p>
        </w:tc>
        <w:tc>
          <w:tcPr>
            <w:tcW w:w="1720" w:type="dxa"/>
            <w:noWrap/>
            <w:vAlign w:val="bottom"/>
          </w:tcPr>
          <w:p>
            <w:pPr>
              <w:pStyle w:val="yTableNAm"/>
              <w:tabs>
                <w:tab w:val="clear" w:pos="567"/>
              </w:tabs>
              <w:ind w:right="255"/>
              <w:jc w:val="right"/>
            </w:pPr>
            <w:r>
              <w:rPr>
                <w:szCs w:val="22"/>
              </w:rPr>
              <w:t>150.80</w:t>
            </w:r>
          </w:p>
        </w:tc>
      </w:tr>
      <w:tr>
        <w:trPr>
          <w:cantSplit/>
        </w:trPr>
        <w:tc>
          <w:tcPr>
            <w:tcW w:w="549" w:type="dxa"/>
            <w:noWrap/>
          </w:tcPr>
          <w:p>
            <w:pPr>
              <w:pStyle w:val="yTableNAm"/>
            </w:pPr>
          </w:p>
        </w:tc>
        <w:tc>
          <w:tcPr>
            <w:tcW w:w="4544" w:type="dxa"/>
            <w:noWrap/>
          </w:tcPr>
          <w:p>
            <w:pPr>
              <w:pStyle w:val="yTableNAm"/>
              <w:ind w:left="1140" w:hanging="1140"/>
            </w:pPr>
            <w:r>
              <w:tab/>
              <w:t>(ii)</w:t>
            </w:r>
            <w:r>
              <w:tab/>
              <w:t>if the motor vehicle is of class HC or MC</w:t>
            </w:r>
          </w:p>
        </w:tc>
        <w:tc>
          <w:tcPr>
            <w:tcW w:w="1720" w:type="dxa"/>
            <w:noWrap/>
            <w:vAlign w:val="bottom"/>
          </w:tcPr>
          <w:p>
            <w:pPr>
              <w:pStyle w:val="yTableNAm"/>
              <w:tabs>
                <w:tab w:val="clear" w:pos="567"/>
              </w:tabs>
              <w:ind w:right="255"/>
              <w:jc w:val="right"/>
            </w:pPr>
            <w:r>
              <w:rPr>
                <w:szCs w:val="22"/>
              </w:rPr>
              <w:t>337.20</w:t>
            </w:r>
          </w:p>
        </w:tc>
      </w:tr>
      <w:tr>
        <w:trPr>
          <w:cantSplit/>
        </w:trPr>
        <w:tc>
          <w:tcPr>
            <w:tcW w:w="549" w:type="dxa"/>
            <w:noWrap/>
          </w:tcPr>
          <w:p>
            <w:pPr>
              <w:pStyle w:val="yTableNAm"/>
            </w:pPr>
          </w:p>
        </w:tc>
        <w:tc>
          <w:tcPr>
            <w:tcW w:w="4544" w:type="dxa"/>
            <w:noWrap/>
          </w:tcPr>
          <w:p>
            <w:pPr>
              <w:pStyle w:val="yTableNAm"/>
              <w:tabs>
                <w:tab w:val="clear" w:pos="567"/>
                <w:tab w:val="left" w:pos="454"/>
              </w:tabs>
              <w:ind w:left="454" w:hanging="454"/>
            </w:pPr>
            <w:r>
              <w:t>(b)</w:t>
            </w:r>
            <w:r>
              <w:tab/>
              <w:t>if the motor vehicle is of class MC (in which case a practical driving assessment is conducted by someone other than the CEO) or if a practical driving assessment is not required</w:t>
            </w:r>
          </w:p>
        </w:tc>
        <w:tc>
          <w:tcPr>
            <w:tcW w:w="1720" w:type="dxa"/>
            <w:noWrap/>
            <w:vAlign w:val="bottom"/>
          </w:tcPr>
          <w:p>
            <w:pPr>
              <w:pStyle w:val="yTableNAm"/>
              <w:tabs>
                <w:tab w:val="clear" w:pos="567"/>
              </w:tabs>
              <w:ind w:right="255"/>
              <w:jc w:val="right"/>
            </w:pPr>
            <w:r>
              <w:rPr>
                <w:szCs w:val="22"/>
              </w:rPr>
              <w:t>63.50</w:t>
            </w:r>
          </w:p>
        </w:tc>
      </w:tr>
      <w:tr>
        <w:trPr>
          <w:cantSplit/>
        </w:trPr>
        <w:tc>
          <w:tcPr>
            <w:tcW w:w="549" w:type="dxa"/>
            <w:noWrap/>
          </w:tcPr>
          <w:p>
            <w:pPr>
              <w:pStyle w:val="yTableNAm"/>
            </w:pPr>
            <w:r>
              <w:t>4.</w:t>
            </w:r>
          </w:p>
        </w:tc>
        <w:tc>
          <w:tcPr>
            <w:tcW w:w="4544" w:type="dxa"/>
            <w:noWrap/>
          </w:tcPr>
          <w:p>
            <w:pPr>
              <w:pStyle w:val="yTableNAm"/>
              <w:ind w:left="1140" w:hanging="1140"/>
            </w:pPr>
            <w:r>
              <w:t>Each additional practical driving assessment —</w:t>
            </w:r>
          </w:p>
        </w:tc>
        <w:tc>
          <w:tcPr>
            <w:tcW w:w="1720" w:type="dxa"/>
            <w:noWrap/>
            <w:vAlign w:val="bottom"/>
          </w:tcPr>
          <w:p>
            <w:pPr>
              <w:pStyle w:val="yTableNAm"/>
              <w:tabs>
                <w:tab w:val="clear" w:pos="567"/>
              </w:tabs>
              <w:ind w:right="255"/>
              <w:jc w:val="right"/>
            </w:pPr>
          </w:p>
        </w:tc>
      </w:tr>
      <w:tr>
        <w:trPr>
          <w:cantSplit/>
        </w:trPr>
        <w:tc>
          <w:tcPr>
            <w:tcW w:w="549" w:type="dxa"/>
            <w:noWrap/>
          </w:tcPr>
          <w:p>
            <w:pPr>
              <w:pStyle w:val="yTableNAm"/>
            </w:pPr>
          </w:p>
        </w:tc>
        <w:tc>
          <w:tcPr>
            <w:tcW w:w="4544" w:type="dxa"/>
            <w:noWrap/>
          </w:tcPr>
          <w:p>
            <w:pPr>
              <w:pStyle w:val="yTableNAm"/>
              <w:tabs>
                <w:tab w:val="clear" w:pos="567"/>
                <w:tab w:val="left" w:pos="454"/>
              </w:tabs>
              <w:ind w:left="454" w:hanging="454"/>
            </w:pPr>
            <w:r>
              <w:t>(a)</w:t>
            </w:r>
            <w:r>
              <w:tab/>
              <w:t xml:space="preserve">if the motor vehicle is not of class HC or MC </w:t>
            </w:r>
          </w:p>
        </w:tc>
        <w:tc>
          <w:tcPr>
            <w:tcW w:w="1720" w:type="dxa"/>
            <w:noWrap/>
            <w:vAlign w:val="bottom"/>
          </w:tcPr>
          <w:p>
            <w:pPr>
              <w:pStyle w:val="yTableNAm"/>
              <w:tabs>
                <w:tab w:val="clear" w:pos="567"/>
              </w:tabs>
              <w:ind w:right="255"/>
              <w:jc w:val="right"/>
            </w:pPr>
            <w:r>
              <w:rPr>
                <w:szCs w:val="22"/>
              </w:rPr>
              <w:t>120.50</w:t>
            </w:r>
          </w:p>
        </w:tc>
      </w:tr>
      <w:tr>
        <w:trPr>
          <w:cantSplit/>
        </w:trPr>
        <w:tc>
          <w:tcPr>
            <w:tcW w:w="549" w:type="dxa"/>
            <w:noWrap/>
          </w:tcPr>
          <w:p>
            <w:pPr>
              <w:pStyle w:val="yTableNAm"/>
            </w:pPr>
          </w:p>
        </w:tc>
        <w:tc>
          <w:tcPr>
            <w:tcW w:w="4544" w:type="dxa"/>
            <w:noWrap/>
          </w:tcPr>
          <w:p>
            <w:pPr>
              <w:pStyle w:val="yTableNAm"/>
              <w:tabs>
                <w:tab w:val="clear" w:pos="567"/>
                <w:tab w:val="left" w:pos="454"/>
              </w:tabs>
              <w:ind w:left="454" w:hanging="454"/>
            </w:pPr>
            <w:r>
              <w:t>(b)</w:t>
            </w:r>
            <w:r>
              <w:tab/>
              <w:t xml:space="preserve">if the motor vehicle is of class HC or MC </w:t>
            </w:r>
          </w:p>
        </w:tc>
        <w:tc>
          <w:tcPr>
            <w:tcW w:w="1720" w:type="dxa"/>
            <w:noWrap/>
            <w:vAlign w:val="bottom"/>
          </w:tcPr>
          <w:p>
            <w:pPr>
              <w:pStyle w:val="yTableNAm"/>
              <w:tabs>
                <w:tab w:val="clear" w:pos="567"/>
              </w:tabs>
              <w:ind w:right="255"/>
              <w:jc w:val="right"/>
            </w:pPr>
            <w:r>
              <w:rPr>
                <w:szCs w:val="22"/>
              </w:rPr>
              <w:t>300.50</w:t>
            </w:r>
          </w:p>
        </w:tc>
      </w:tr>
      <w:tr>
        <w:trPr>
          <w:cantSplit/>
        </w:trPr>
        <w:tc>
          <w:tcPr>
            <w:tcW w:w="6813" w:type="dxa"/>
            <w:gridSpan w:val="3"/>
            <w:noWrap/>
          </w:tcPr>
          <w:p>
            <w:pPr>
              <w:pStyle w:val="yEdnoteitem"/>
              <w:tabs>
                <w:tab w:val="clear" w:pos="2765"/>
                <w:tab w:val="clear" w:pos="3053"/>
              </w:tabs>
              <w:ind w:left="607" w:hanging="607"/>
            </w:pPr>
            <w:r>
              <w:t>[5.</w:t>
            </w:r>
            <w:r>
              <w:tab/>
              <w:t>deleted]</w:t>
            </w:r>
          </w:p>
        </w:tc>
      </w:tr>
      <w:tr>
        <w:trPr>
          <w:cantSplit/>
        </w:trPr>
        <w:tc>
          <w:tcPr>
            <w:tcW w:w="549" w:type="dxa"/>
            <w:noWrap/>
          </w:tcPr>
          <w:p>
            <w:pPr>
              <w:pStyle w:val="yTableNAm"/>
              <w:rPr>
                <w:rStyle w:val="DraftersNotes"/>
              </w:rPr>
            </w:pPr>
            <w:r>
              <w:t>6.</w:t>
            </w:r>
          </w:p>
        </w:tc>
        <w:tc>
          <w:tcPr>
            <w:tcW w:w="4544" w:type="dxa"/>
            <w:noWrap/>
          </w:tcPr>
          <w:p>
            <w:pPr>
              <w:pStyle w:val="yTableNAm"/>
            </w:pPr>
            <w:r>
              <w:t>Grant of a driver’s licence whether or not by way of renewal —</w:t>
            </w:r>
          </w:p>
        </w:tc>
        <w:tc>
          <w:tcPr>
            <w:tcW w:w="1720" w:type="dxa"/>
            <w:noWrap/>
            <w:vAlign w:val="bottom"/>
          </w:tcPr>
          <w:p>
            <w:pPr>
              <w:pStyle w:val="yTableNAm"/>
              <w:tabs>
                <w:tab w:val="clear" w:pos="567"/>
              </w:tabs>
              <w:ind w:right="255"/>
              <w:jc w:val="right"/>
            </w:pPr>
          </w:p>
        </w:tc>
      </w:tr>
      <w:tr>
        <w:trPr>
          <w:cantSplit/>
        </w:trPr>
        <w:tc>
          <w:tcPr>
            <w:tcW w:w="549" w:type="dxa"/>
            <w:noWrap/>
          </w:tcPr>
          <w:p>
            <w:pPr>
              <w:pStyle w:val="yTableNAm"/>
            </w:pPr>
          </w:p>
        </w:tc>
        <w:tc>
          <w:tcPr>
            <w:tcW w:w="4544" w:type="dxa"/>
            <w:noWrap/>
          </w:tcPr>
          <w:p>
            <w:pPr>
              <w:pStyle w:val="yTableNAm"/>
              <w:tabs>
                <w:tab w:val="clear" w:pos="567"/>
                <w:tab w:val="left" w:pos="455"/>
              </w:tabs>
              <w:ind w:left="455" w:hanging="455"/>
            </w:pPr>
            <w:r>
              <w:tab/>
              <w:t>(a)</w:t>
            </w:r>
            <w:r>
              <w:tab/>
              <w:t>for one year</w:t>
            </w:r>
          </w:p>
        </w:tc>
        <w:tc>
          <w:tcPr>
            <w:tcW w:w="1720" w:type="dxa"/>
            <w:noWrap/>
            <w:vAlign w:val="bottom"/>
          </w:tcPr>
          <w:p>
            <w:pPr>
              <w:pStyle w:val="yTableNAm"/>
              <w:tabs>
                <w:tab w:val="clear" w:pos="567"/>
              </w:tabs>
              <w:ind w:right="255"/>
              <w:jc w:val="right"/>
            </w:pPr>
            <w:r>
              <w:rPr>
                <w:szCs w:val="22"/>
              </w:rPr>
              <w:t>48.20</w:t>
            </w:r>
          </w:p>
        </w:tc>
      </w:tr>
      <w:tr>
        <w:trPr>
          <w:cantSplit/>
        </w:trPr>
        <w:tc>
          <w:tcPr>
            <w:tcW w:w="549" w:type="dxa"/>
            <w:noWrap/>
          </w:tcPr>
          <w:p>
            <w:pPr>
              <w:pStyle w:val="yTableNAm"/>
            </w:pPr>
          </w:p>
        </w:tc>
        <w:tc>
          <w:tcPr>
            <w:tcW w:w="4544" w:type="dxa"/>
            <w:noWrap/>
          </w:tcPr>
          <w:p>
            <w:pPr>
              <w:pStyle w:val="yTableNAm"/>
              <w:tabs>
                <w:tab w:val="clear" w:pos="567"/>
                <w:tab w:val="left" w:pos="455"/>
              </w:tabs>
              <w:ind w:left="455" w:hanging="455"/>
            </w:pPr>
            <w:r>
              <w:tab/>
              <w:t>(b)</w:t>
            </w:r>
            <w:r>
              <w:tab/>
              <w:t>for 5 years</w:t>
            </w:r>
          </w:p>
        </w:tc>
        <w:tc>
          <w:tcPr>
            <w:tcW w:w="1720" w:type="dxa"/>
            <w:noWrap/>
            <w:vAlign w:val="bottom"/>
          </w:tcPr>
          <w:p>
            <w:pPr>
              <w:pStyle w:val="yTableNAm"/>
              <w:tabs>
                <w:tab w:val="clear" w:pos="567"/>
              </w:tabs>
              <w:ind w:right="255"/>
              <w:jc w:val="right"/>
            </w:pPr>
            <w:r>
              <w:rPr>
                <w:szCs w:val="22"/>
              </w:rPr>
              <w:t>168.00</w:t>
            </w:r>
          </w:p>
        </w:tc>
      </w:tr>
      <w:tr>
        <w:trPr>
          <w:cantSplit/>
        </w:trPr>
        <w:tc>
          <w:tcPr>
            <w:tcW w:w="549" w:type="dxa"/>
            <w:noWrap/>
          </w:tcPr>
          <w:p>
            <w:pPr>
              <w:pStyle w:val="yTableNAm"/>
            </w:pPr>
          </w:p>
        </w:tc>
        <w:tc>
          <w:tcPr>
            <w:tcW w:w="4544" w:type="dxa"/>
            <w:noWrap/>
          </w:tcPr>
          <w:p>
            <w:pPr>
              <w:pStyle w:val="yTableNAm"/>
              <w:tabs>
                <w:tab w:val="clear" w:pos="567"/>
                <w:tab w:val="left" w:pos="455"/>
              </w:tabs>
              <w:ind w:left="455" w:hanging="455"/>
            </w:pPr>
            <w:r>
              <w:tab/>
              <w:t>(c)</w:t>
            </w:r>
            <w:r>
              <w:tab/>
              <w:t>for any other period</w:t>
            </w:r>
          </w:p>
        </w:tc>
        <w:tc>
          <w:tcPr>
            <w:tcW w:w="1720" w:type="dxa"/>
            <w:noWrap/>
          </w:tcPr>
          <w:p>
            <w:pPr>
              <w:pStyle w:val="yTableNAm"/>
              <w:jc w:val="center"/>
            </w:pPr>
            <w:r>
              <w:t>for each year or part of a year, 20% of the fee under par. (b)</w:t>
            </w:r>
          </w:p>
        </w:tc>
      </w:tr>
      <w:tr>
        <w:trPr>
          <w:cantSplit/>
        </w:trPr>
        <w:tc>
          <w:tcPr>
            <w:tcW w:w="549" w:type="dxa"/>
            <w:noWrap/>
          </w:tcPr>
          <w:p>
            <w:pPr>
              <w:pStyle w:val="yTableNAm"/>
              <w:rPr>
                <w:rStyle w:val="DraftersNotes"/>
              </w:rPr>
            </w:pPr>
            <w:r>
              <w:t>7.</w:t>
            </w:r>
          </w:p>
        </w:tc>
        <w:tc>
          <w:tcPr>
            <w:tcW w:w="4544" w:type="dxa"/>
            <w:noWrap/>
          </w:tcPr>
          <w:p>
            <w:pPr>
              <w:pStyle w:val="yTableNAm"/>
            </w:pPr>
            <w:r>
              <w:t xml:space="preserve">First car hazard perception test in respect of a driver’s licence application </w:t>
            </w:r>
          </w:p>
        </w:tc>
        <w:tc>
          <w:tcPr>
            <w:tcW w:w="1720" w:type="dxa"/>
            <w:noWrap/>
            <w:vAlign w:val="bottom"/>
          </w:tcPr>
          <w:p>
            <w:pPr>
              <w:pStyle w:val="yTableNAm"/>
              <w:tabs>
                <w:tab w:val="clear" w:pos="567"/>
              </w:tabs>
              <w:ind w:right="255"/>
              <w:jc w:val="right"/>
            </w:pPr>
            <w:r>
              <w:rPr>
                <w:szCs w:val="22"/>
              </w:rPr>
              <w:t>29.90</w:t>
            </w:r>
          </w:p>
        </w:tc>
      </w:tr>
      <w:tr>
        <w:trPr>
          <w:cantSplit/>
        </w:trPr>
        <w:tc>
          <w:tcPr>
            <w:tcW w:w="549" w:type="dxa"/>
            <w:noWrap/>
          </w:tcPr>
          <w:p>
            <w:pPr>
              <w:pStyle w:val="yTableNAm"/>
            </w:pPr>
            <w:r>
              <w:t>8.</w:t>
            </w:r>
          </w:p>
        </w:tc>
        <w:tc>
          <w:tcPr>
            <w:tcW w:w="4544" w:type="dxa"/>
            <w:noWrap/>
          </w:tcPr>
          <w:p>
            <w:pPr>
              <w:pStyle w:val="yTableNAm"/>
            </w:pPr>
            <w:r>
              <w:t>First motor cycle hazard perception test in respect of a driver’s licence application</w:t>
            </w:r>
          </w:p>
        </w:tc>
        <w:tc>
          <w:tcPr>
            <w:tcW w:w="1720" w:type="dxa"/>
            <w:noWrap/>
            <w:vAlign w:val="bottom"/>
          </w:tcPr>
          <w:p>
            <w:pPr>
              <w:pStyle w:val="yTableNAm"/>
              <w:tabs>
                <w:tab w:val="clear" w:pos="567"/>
              </w:tabs>
              <w:ind w:right="255"/>
              <w:jc w:val="right"/>
            </w:pPr>
            <w:r>
              <w:rPr>
                <w:szCs w:val="22"/>
              </w:rPr>
              <w:t>29.90</w:t>
            </w:r>
          </w:p>
        </w:tc>
      </w:tr>
      <w:tr>
        <w:trPr>
          <w:cantSplit/>
        </w:trPr>
        <w:tc>
          <w:tcPr>
            <w:tcW w:w="549" w:type="dxa"/>
            <w:noWrap/>
          </w:tcPr>
          <w:p>
            <w:pPr>
              <w:pStyle w:val="yTableNAm"/>
            </w:pPr>
            <w:r>
              <w:t>9.</w:t>
            </w:r>
          </w:p>
        </w:tc>
        <w:tc>
          <w:tcPr>
            <w:tcW w:w="4544" w:type="dxa"/>
            <w:noWrap/>
          </w:tcPr>
          <w:p>
            <w:pPr>
              <w:pStyle w:val="yTableNAm"/>
            </w:pPr>
            <w:r>
              <w:t xml:space="preserve">Each additional hazard perception test in respect of a driver’s licence application </w:t>
            </w:r>
          </w:p>
        </w:tc>
        <w:tc>
          <w:tcPr>
            <w:tcW w:w="1720" w:type="dxa"/>
            <w:noWrap/>
            <w:vAlign w:val="bottom"/>
          </w:tcPr>
          <w:p>
            <w:pPr>
              <w:pStyle w:val="yTableNAm"/>
              <w:tabs>
                <w:tab w:val="clear" w:pos="567"/>
              </w:tabs>
              <w:ind w:right="255"/>
              <w:jc w:val="right"/>
            </w:pPr>
            <w:r>
              <w:rPr>
                <w:szCs w:val="22"/>
              </w:rPr>
              <w:t>24.10</w:t>
            </w:r>
          </w:p>
        </w:tc>
      </w:tr>
      <w:tr>
        <w:trPr>
          <w:cantSplit/>
        </w:trPr>
        <w:tc>
          <w:tcPr>
            <w:tcW w:w="549" w:type="dxa"/>
            <w:noWrap/>
          </w:tcPr>
          <w:p>
            <w:pPr>
              <w:pStyle w:val="yTableNAm"/>
              <w:rPr>
                <w:rStyle w:val="DraftersNotes"/>
              </w:rPr>
            </w:pPr>
            <w:r>
              <w:t>10.</w:t>
            </w:r>
          </w:p>
        </w:tc>
        <w:tc>
          <w:tcPr>
            <w:tcW w:w="4544" w:type="dxa"/>
            <w:noWrap/>
          </w:tcPr>
          <w:p>
            <w:pPr>
              <w:pStyle w:val="yTableNAm"/>
              <w:rPr>
                <w:rStyle w:val="DraftersNotes"/>
              </w:rPr>
            </w:pPr>
            <w:r>
              <w:t xml:space="preserve">Fee for </w:t>
            </w:r>
            <w:r>
              <w:rPr>
                <w:szCs w:val="22"/>
              </w:rPr>
              <w:t>hard copy version of</w:t>
            </w:r>
            <w:r>
              <w:t xml:space="preserve"> logbook referred to in regulation 16A(2)(b)(ii)</w:t>
            </w:r>
          </w:p>
        </w:tc>
        <w:tc>
          <w:tcPr>
            <w:tcW w:w="1720" w:type="dxa"/>
            <w:noWrap/>
            <w:vAlign w:val="bottom"/>
          </w:tcPr>
          <w:p>
            <w:pPr>
              <w:pStyle w:val="yTableNAm"/>
              <w:tabs>
                <w:tab w:val="clear" w:pos="567"/>
              </w:tabs>
              <w:ind w:right="255"/>
              <w:jc w:val="right"/>
            </w:pPr>
            <w:r>
              <w:t>10.70</w:t>
            </w:r>
          </w:p>
        </w:tc>
      </w:tr>
      <w:tr>
        <w:trPr>
          <w:cantSplit/>
        </w:trPr>
        <w:tc>
          <w:tcPr>
            <w:tcW w:w="549" w:type="dxa"/>
            <w:noWrap/>
          </w:tcPr>
          <w:p>
            <w:pPr>
              <w:pStyle w:val="yTableNAm"/>
              <w:keepNext/>
              <w:rPr>
                <w:rStyle w:val="DraftersNotes"/>
              </w:rPr>
            </w:pPr>
            <w:r>
              <w:t>11.</w:t>
            </w:r>
          </w:p>
        </w:tc>
        <w:tc>
          <w:tcPr>
            <w:tcW w:w="4544" w:type="dxa"/>
            <w:noWrap/>
          </w:tcPr>
          <w:p>
            <w:pPr>
              <w:pStyle w:val="yTableNAm"/>
              <w:keepNext/>
            </w:pPr>
            <w:r>
              <w:t xml:space="preserve">Copy of excessive demerit points notice as defined in section 40(1) previously given to a person </w:t>
            </w:r>
          </w:p>
        </w:tc>
        <w:tc>
          <w:tcPr>
            <w:tcW w:w="1720" w:type="dxa"/>
            <w:noWrap/>
            <w:vAlign w:val="bottom"/>
          </w:tcPr>
          <w:p>
            <w:pPr>
              <w:pStyle w:val="yTableNAm"/>
              <w:keepNext/>
              <w:tabs>
                <w:tab w:val="clear" w:pos="567"/>
              </w:tabs>
              <w:ind w:right="255"/>
              <w:jc w:val="right"/>
            </w:pPr>
            <w:r>
              <w:t>23.30</w:t>
            </w:r>
          </w:p>
        </w:tc>
      </w:tr>
    </w:tbl>
    <w:p>
      <w:pPr>
        <w:pStyle w:val="yFootnotesection"/>
      </w:pPr>
      <w:r>
        <w:tab/>
        <w:t>[Schedule 9 inserted: SL 2023/45 r. 24; amended: SL 2024/58 r. 9; SL 2025/65 r. 7.]</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544" w:gutter="0"/>
          <w:cols w:space="720"/>
          <w:noEndnote/>
          <w:docGrid w:linePitch="326"/>
        </w:sectPr>
      </w:pPr>
    </w:p>
    <w:p>
      <w:pPr>
        <w:pStyle w:val="nHeading2"/>
      </w:pPr>
      <w:bookmarkStart w:id="445" w:name="_Toc224553201"/>
      <w:bookmarkStart w:id="446" w:name="_Toc224553753"/>
      <w:bookmarkStart w:id="447" w:name="_Toc224558476"/>
      <w:bookmarkStart w:id="448" w:name="_Toc201748627"/>
      <w:bookmarkStart w:id="449" w:name="_Toc201749151"/>
      <w:bookmarkStart w:id="450" w:name="_Toc201830224"/>
      <w:r>
        <w:t>Notes</w:t>
      </w:r>
      <w:bookmarkEnd w:id="445"/>
      <w:bookmarkEnd w:id="446"/>
      <w:bookmarkEnd w:id="447"/>
      <w:bookmarkEnd w:id="448"/>
      <w:bookmarkEnd w:id="449"/>
      <w:bookmarkEnd w:id="450"/>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w:t>
      </w:r>
      <w:ins w:id="451" w:author="Master Repository Process" w:date="2026-03-17T15:34:00Z">
        <w:r>
          <w:t xml:space="preserve"> For provisions that have not yet come into operation see the uncommenced provisions table.</w:t>
        </w:r>
      </w:ins>
    </w:p>
    <w:p>
      <w:pPr>
        <w:pStyle w:val="nHeading3"/>
      </w:pPr>
      <w:bookmarkStart w:id="452" w:name="_Toc224558477"/>
      <w:bookmarkStart w:id="453" w:name="_Toc201830225"/>
      <w:r>
        <w:t>Compilation table</w:t>
      </w:r>
      <w:bookmarkEnd w:id="452"/>
      <w:bookmarkEnd w:id="45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nil"/>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pPr>
              <w:pStyle w:val="nTable"/>
              <w:keepNext/>
              <w:spacing w:after="40"/>
            </w:pPr>
            <w:r>
              <w:t>SL 2022/67 3 Jun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2022</w:t>
            </w:r>
          </w:p>
        </w:tc>
        <w:tc>
          <w:tcPr>
            <w:tcW w:w="1276" w:type="dxa"/>
            <w:tcBorders>
              <w:top w:val="nil"/>
              <w:bottom w:val="nil"/>
            </w:tcBorders>
          </w:tcPr>
          <w:p>
            <w:pPr>
              <w:pStyle w:val="nTable"/>
              <w:keepNext/>
              <w:spacing w:after="40"/>
            </w:pPr>
            <w:r>
              <w:t>SL 2022/147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pPr>
              <w:pStyle w:val="nTable"/>
              <w:keepNext/>
              <w:spacing w:after="40"/>
            </w:pPr>
            <w:r>
              <w:t>SL 2022/148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 xml:space="preserve">Road Traffic (Authorisation to Drive) Amendment Regulations (No. 3) 2022 </w:t>
            </w:r>
          </w:p>
        </w:tc>
        <w:tc>
          <w:tcPr>
            <w:tcW w:w="1276" w:type="dxa"/>
            <w:tcBorders>
              <w:top w:val="nil"/>
              <w:bottom w:val="nil"/>
            </w:tcBorders>
          </w:tcPr>
          <w:p>
            <w:pPr>
              <w:pStyle w:val="nTable"/>
              <w:keepNext/>
              <w:spacing w:after="40"/>
            </w:pPr>
            <w:r>
              <w:t>SL 2022/179 2 Nov 2022</w:t>
            </w:r>
          </w:p>
        </w:tc>
        <w:tc>
          <w:tcPr>
            <w:tcW w:w="2693" w:type="dxa"/>
            <w:tcBorders>
              <w:top w:val="nil"/>
              <w:bottom w:val="nil"/>
            </w:tcBorders>
          </w:tcPr>
          <w:p>
            <w:pPr>
              <w:pStyle w:val="nTable"/>
              <w:keepNext/>
              <w:spacing w:after="40"/>
            </w:pPr>
            <w:r>
              <w:t>Pt. 1: 2 Nov 2022 (see r. 2(a));</w:t>
            </w:r>
            <w:r>
              <w:br/>
              <w:t>Pt. 2: 3 Nov 2022 (see r. 2(b) and SL 2022/175 cl. 2);</w:t>
            </w:r>
            <w:r>
              <w:br/>
              <w:t>Pt. 3: 3 Nov 2024 (see r. 2(c) and SL 2022/175 cl. 2)</w:t>
            </w:r>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 Waiver and Refund) Regulations 2022 </w:t>
            </w:r>
            <w:r>
              <w:t>Pt. 2</w:t>
            </w:r>
          </w:p>
        </w:tc>
        <w:tc>
          <w:tcPr>
            <w:tcW w:w="1276" w:type="dxa"/>
            <w:tcBorders>
              <w:top w:val="nil"/>
              <w:bottom w:val="nil"/>
            </w:tcBorders>
            <w:shd w:val="clear" w:color="auto" w:fill="auto"/>
          </w:tcPr>
          <w:p>
            <w:pPr>
              <w:pStyle w:val="nTable"/>
              <w:keepNext/>
              <w:spacing w:after="40"/>
            </w:pPr>
            <w:r>
              <w:t>SL 2022/181 4 Nov 2022</w:t>
            </w:r>
          </w:p>
        </w:tc>
        <w:tc>
          <w:tcPr>
            <w:tcW w:w="2693" w:type="dxa"/>
            <w:tcBorders>
              <w:top w:val="nil"/>
              <w:bottom w:val="nil"/>
            </w:tcBorders>
            <w:shd w:val="clear" w:color="auto" w:fill="auto"/>
          </w:tcPr>
          <w:p>
            <w:pPr>
              <w:pStyle w:val="nTable"/>
              <w:keepNext/>
              <w:spacing w:after="40"/>
            </w:pPr>
            <w:r>
              <w:t>5 Nov 2022 (see r. 2(b))</w:t>
            </w:r>
          </w:p>
        </w:tc>
      </w:tr>
      <w:tr>
        <w:trPr>
          <w:cantSplit/>
        </w:trPr>
        <w:tc>
          <w:tcPr>
            <w:tcW w:w="3118" w:type="dxa"/>
            <w:tcBorders>
              <w:top w:val="nil"/>
              <w:bottom w:val="nil"/>
            </w:tcBorders>
            <w:shd w:val="clear" w:color="auto" w:fill="auto"/>
          </w:tcPr>
          <w:p>
            <w:pPr>
              <w:pStyle w:val="nTable"/>
              <w:keepNext/>
              <w:widowControl w:val="0"/>
              <w:spacing w:after="40"/>
              <w:rPr>
                <w:i/>
              </w:rPr>
            </w:pPr>
            <w:r>
              <w:rPr>
                <w:i/>
              </w:rPr>
              <w:t>Transport Regulations Amendment (Fees and Charges) Regulations 2023</w:t>
            </w:r>
            <w:r>
              <w:t xml:space="preserve"> Pt. 7</w:t>
            </w:r>
          </w:p>
        </w:tc>
        <w:tc>
          <w:tcPr>
            <w:tcW w:w="1276" w:type="dxa"/>
            <w:tcBorders>
              <w:top w:val="nil"/>
              <w:bottom w:val="nil"/>
            </w:tcBorders>
            <w:shd w:val="clear" w:color="auto" w:fill="auto"/>
          </w:tcPr>
          <w:p>
            <w:pPr>
              <w:pStyle w:val="nTable"/>
              <w:keepNext/>
              <w:spacing w:after="40"/>
            </w:pPr>
            <w:r>
              <w:t>SL 2023/45 19 May 2023</w:t>
            </w:r>
          </w:p>
        </w:tc>
        <w:tc>
          <w:tcPr>
            <w:tcW w:w="2693" w:type="dxa"/>
            <w:tcBorders>
              <w:top w:val="nil"/>
              <w:bottom w:val="nil"/>
            </w:tcBorders>
            <w:shd w:val="clear" w:color="auto" w:fill="auto"/>
          </w:tcPr>
          <w:p>
            <w:pPr>
              <w:pStyle w:val="nTable"/>
              <w:keepNext/>
              <w:spacing w:after="40"/>
            </w:pPr>
            <w:r>
              <w:t>1 Jul 2023 (see r. 2(c))</w:t>
            </w:r>
          </w:p>
        </w:tc>
      </w:tr>
      <w:tr>
        <w:trPr>
          <w:cantSplit/>
        </w:trPr>
        <w:tc>
          <w:tcPr>
            <w:tcW w:w="3118" w:type="dxa"/>
            <w:tcBorders>
              <w:top w:val="nil"/>
              <w:bottom w:val="nil"/>
            </w:tcBorders>
            <w:shd w:val="clear" w:color="auto" w:fill="auto"/>
          </w:tcPr>
          <w:p>
            <w:pPr>
              <w:pStyle w:val="nTable"/>
              <w:keepNext/>
              <w:widowControl w:val="0"/>
              <w:spacing w:after="40"/>
            </w:pPr>
            <w:r>
              <w:rPr>
                <w:i/>
              </w:rPr>
              <w:t xml:space="preserve">Transport Regulations Amendment (Identity Matching Services) Regulations 2023 </w:t>
            </w:r>
            <w:r>
              <w:t>Pt. 3</w:t>
            </w:r>
          </w:p>
        </w:tc>
        <w:tc>
          <w:tcPr>
            <w:tcW w:w="1276" w:type="dxa"/>
            <w:tcBorders>
              <w:top w:val="nil"/>
              <w:bottom w:val="nil"/>
            </w:tcBorders>
            <w:shd w:val="clear" w:color="auto" w:fill="auto"/>
          </w:tcPr>
          <w:p>
            <w:pPr>
              <w:pStyle w:val="nTable"/>
              <w:keepNext/>
              <w:spacing w:after="40"/>
            </w:pPr>
            <w:r>
              <w:t>SL 2023/166 1 Nov 2023</w:t>
            </w:r>
          </w:p>
        </w:tc>
        <w:tc>
          <w:tcPr>
            <w:tcW w:w="2693" w:type="dxa"/>
            <w:tcBorders>
              <w:top w:val="nil"/>
              <w:bottom w:val="nil"/>
            </w:tcBorders>
            <w:shd w:val="clear" w:color="auto" w:fill="auto"/>
          </w:tcPr>
          <w:p>
            <w:pPr>
              <w:pStyle w:val="nTable"/>
              <w:keepNext/>
              <w:spacing w:after="40"/>
            </w:pPr>
            <w:r>
              <w:t>2 Nov 2023 (see r. 2(b))</w:t>
            </w:r>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(Fees and Charges) Regulations 2024 </w:t>
            </w:r>
            <w:r>
              <w:rPr>
                <w:iCs/>
              </w:rPr>
              <w:t>Pt. 3</w:t>
            </w:r>
          </w:p>
        </w:tc>
        <w:tc>
          <w:tcPr>
            <w:tcW w:w="1276" w:type="dxa"/>
            <w:tcBorders>
              <w:top w:val="nil"/>
              <w:bottom w:val="nil"/>
            </w:tcBorders>
            <w:shd w:val="clear" w:color="auto" w:fill="auto"/>
          </w:tcPr>
          <w:p>
            <w:pPr>
              <w:pStyle w:val="nTable"/>
              <w:keepNext/>
              <w:spacing w:after="40"/>
            </w:pPr>
            <w:r>
              <w:t>SL 2024/58 1 May 2024</w:t>
            </w:r>
          </w:p>
        </w:tc>
        <w:tc>
          <w:tcPr>
            <w:tcW w:w="2693" w:type="dxa"/>
            <w:tcBorders>
              <w:top w:val="nil"/>
              <w:bottom w:val="nil"/>
            </w:tcBorders>
            <w:shd w:val="clear" w:color="auto" w:fill="auto"/>
          </w:tcPr>
          <w:p>
            <w:pPr>
              <w:pStyle w:val="nTable"/>
              <w:keepNext/>
              <w:spacing w:after="40"/>
            </w:pPr>
            <w:r>
              <w:t>1 Jul 2024 (see r. 2(c))</w:t>
            </w:r>
          </w:p>
        </w:tc>
      </w:tr>
      <w:tr>
        <w:trPr>
          <w:cantSplit/>
        </w:trPr>
        <w:tc>
          <w:tcPr>
            <w:tcW w:w="3118" w:type="dxa"/>
            <w:tcBorders>
              <w:top w:val="nil"/>
              <w:bottom w:val="nil"/>
            </w:tcBorders>
            <w:shd w:val="clear" w:color="auto" w:fill="auto"/>
          </w:tcPr>
          <w:p>
            <w:pPr>
              <w:pStyle w:val="nTable"/>
              <w:keepNext/>
              <w:keepLines/>
              <w:spacing w:after="40"/>
              <w:rPr>
                <w:iCs/>
              </w:rPr>
            </w:pPr>
            <w:r>
              <w:rPr>
                <w:i/>
              </w:rPr>
              <w:t>Transport Regulations Amendment (Road Traffic) Regulations 2024</w:t>
            </w:r>
            <w:r>
              <w:rPr>
                <w:iCs/>
              </w:rPr>
              <w:t xml:space="preserve"> Pt. 3</w:t>
            </w:r>
          </w:p>
        </w:tc>
        <w:tc>
          <w:tcPr>
            <w:tcW w:w="1276" w:type="dxa"/>
            <w:tcBorders>
              <w:top w:val="nil"/>
              <w:bottom w:val="nil"/>
            </w:tcBorders>
            <w:shd w:val="clear" w:color="auto" w:fill="auto"/>
          </w:tcPr>
          <w:p>
            <w:pPr>
              <w:pStyle w:val="nTable"/>
              <w:keepNext/>
              <w:keepLines/>
              <w:spacing w:after="40"/>
            </w:pPr>
            <w:r>
              <w:t>SL 2024/237 27 Nov 2024</w:t>
            </w:r>
          </w:p>
        </w:tc>
        <w:tc>
          <w:tcPr>
            <w:tcW w:w="2693" w:type="dxa"/>
            <w:tcBorders>
              <w:top w:val="nil"/>
              <w:bottom w:val="nil"/>
            </w:tcBorders>
            <w:shd w:val="clear" w:color="auto" w:fill="auto"/>
          </w:tcPr>
          <w:p>
            <w:pPr>
              <w:pStyle w:val="nTable"/>
              <w:keepNext/>
              <w:keepLines/>
              <w:spacing w:after="40"/>
            </w:pPr>
            <w:r>
              <w:t>1 Dec 2024 (see r. 2(b))</w:t>
            </w:r>
          </w:p>
        </w:tc>
      </w:tr>
      <w:tr>
        <w:trPr>
          <w:cantSplit/>
        </w:trPr>
        <w:tc>
          <w:tcPr>
            <w:tcW w:w="3118" w:type="dxa"/>
            <w:tcBorders>
              <w:top w:val="nil"/>
              <w:bottom w:val="single" w:sz="4" w:space="0" w:color="auto"/>
            </w:tcBorders>
            <w:shd w:val="clear" w:color="auto" w:fill="auto"/>
          </w:tcPr>
          <w:p>
            <w:pPr>
              <w:pStyle w:val="nTable"/>
              <w:keepNext/>
              <w:keepLines/>
              <w:spacing w:after="40"/>
              <w:rPr>
                <w:i/>
              </w:rPr>
            </w:pPr>
            <w:r>
              <w:rPr>
                <w:i/>
              </w:rPr>
              <w:t>Transport Regulations Amendment (Fees and Charges) Regulations 2025</w:t>
            </w:r>
            <w:r>
              <w:rPr>
                <w:iCs/>
              </w:rPr>
              <w:t xml:space="preserve"> Pt. 3</w:t>
            </w:r>
          </w:p>
        </w:tc>
        <w:tc>
          <w:tcPr>
            <w:tcW w:w="1276" w:type="dxa"/>
            <w:tcBorders>
              <w:top w:val="nil"/>
              <w:bottom w:val="single" w:sz="4" w:space="0" w:color="auto"/>
            </w:tcBorders>
            <w:shd w:val="clear" w:color="auto" w:fill="auto"/>
          </w:tcPr>
          <w:p>
            <w:pPr>
              <w:pStyle w:val="nTable"/>
              <w:keepNext/>
              <w:keepLines/>
              <w:spacing w:after="40"/>
            </w:pPr>
            <w:r>
              <w:t>SL 2025/65 30 Apr 2025</w:t>
            </w:r>
          </w:p>
        </w:tc>
        <w:tc>
          <w:tcPr>
            <w:tcW w:w="2693" w:type="dxa"/>
            <w:tcBorders>
              <w:top w:val="nil"/>
              <w:bottom w:val="single" w:sz="4" w:space="0" w:color="auto"/>
            </w:tcBorders>
            <w:shd w:val="clear" w:color="auto" w:fill="auto"/>
          </w:tcPr>
          <w:p>
            <w:pPr>
              <w:pStyle w:val="nTable"/>
              <w:keepNext/>
              <w:keepLines/>
              <w:spacing w:after="40"/>
            </w:pPr>
            <w:r>
              <w:t>1 Jul 2025 (see r. 2(c))</w:t>
            </w:r>
          </w:p>
        </w:tc>
      </w:tr>
    </w:tbl>
    <w:p>
      <w:pPr>
        <w:keepNext/>
        <w:keepLines/>
      </w:pPr>
    </w:p>
    <w:p>
      <w:pPr>
        <w:rPr>
          <w:del w:id="454" w:author="Master Repository Process" w:date="2026-03-17T15:34:00Z"/>
        </w:rPr>
        <w:sectPr>
          <w:headerReference w:type="even" r:id="rId31"/>
          <w:headerReference w:type="default" r:id="rId32"/>
          <w:pgSz w:w="11907" w:h="16840" w:code="9"/>
          <w:pgMar w:top="2376" w:right="2404" w:bottom="3544" w:left="2404" w:header="720" w:footer="3544" w:gutter="0"/>
          <w:cols w:space="720"/>
          <w:noEndnote/>
          <w:docGrid w:linePitch="326"/>
        </w:sectPr>
      </w:pPr>
      <w:bookmarkStart w:id="455" w:name="_Toc224558478"/>
    </w:p>
    <w:p>
      <w:pPr>
        <w:pStyle w:val="nHeading3"/>
        <w:rPr>
          <w:ins w:id="456" w:author="Master Repository Process" w:date="2026-03-17T15:34:00Z"/>
        </w:rPr>
      </w:pPr>
      <w:ins w:id="457" w:author="Master Repository Process" w:date="2026-03-17T15:34:00Z">
        <w:r>
          <w:t>Uncommenced provisions table</w:t>
        </w:r>
        <w:bookmarkEnd w:id="455"/>
      </w:ins>
    </w:p>
    <w:p>
      <w:pPr>
        <w:pStyle w:val="nStatement"/>
        <w:keepNext/>
        <w:spacing w:after="240"/>
        <w:rPr>
          <w:ins w:id="458" w:author="Master Repository Process" w:date="2026-03-17T15:34:00Z"/>
        </w:rPr>
      </w:pPr>
      <w:ins w:id="459" w:author="Master Repository Process" w:date="2026-03-17T15:3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60" w:author="Master Repository Process" w:date="2026-03-17T15:34:00Z"/>
        </w:trPr>
        <w:tc>
          <w:tcPr>
            <w:tcW w:w="3118" w:type="dxa"/>
          </w:tcPr>
          <w:p>
            <w:pPr>
              <w:pStyle w:val="nTable"/>
              <w:spacing w:after="40"/>
              <w:rPr>
                <w:ins w:id="461" w:author="Master Repository Process" w:date="2026-03-17T15:34:00Z"/>
                <w:b/>
              </w:rPr>
            </w:pPr>
            <w:ins w:id="462" w:author="Master Repository Process" w:date="2026-03-17T15:34:00Z">
              <w:r>
                <w:rPr>
                  <w:b/>
                </w:rPr>
                <w:t>Citation</w:t>
              </w:r>
            </w:ins>
          </w:p>
        </w:tc>
        <w:tc>
          <w:tcPr>
            <w:tcW w:w="1276" w:type="dxa"/>
          </w:tcPr>
          <w:p>
            <w:pPr>
              <w:pStyle w:val="nTable"/>
              <w:spacing w:after="40"/>
              <w:rPr>
                <w:ins w:id="463" w:author="Master Repository Process" w:date="2026-03-17T15:34:00Z"/>
                <w:b/>
              </w:rPr>
            </w:pPr>
            <w:ins w:id="464" w:author="Master Repository Process" w:date="2026-03-17T15:34:00Z">
              <w:r>
                <w:rPr>
                  <w:b/>
                </w:rPr>
                <w:t>Published</w:t>
              </w:r>
            </w:ins>
          </w:p>
        </w:tc>
        <w:tc>
          <w:tcPr>
            <w:tcW w:w="2693" w:type="dxa"/>
          </w:tcPr>
          <w:p>
            <w:pPr>
              <w:pStyle w:val="nTable"/>
              <w:spacing w:after="40"/>
              <w:rPr>
                <w:ins w:id="465" w:author="Master Repository Process" w:date="2026-03-17T15:34:00Z"/>
                <w:b/>
              </w:rPr>
            </w:pPr>
            <w:ins w:id="466" w:author="Master Repository Process" w:date="2026-03-17T15:34:00Z">
              <w:r>
                <w:rPr>
                  <w:b/>
                </w:rPr>
                <w:t>Commencement</w:t>
              </w:r>
            </w:ins>
          </w:p>
        </w:tc>
      </w:tr>
      <w:tr>
        <w:trPr>
          <w:ins w:id="467" w:author="Master Repository Process" w:date="2026-03-17T15:34:00Z"/>
        </w:trPr>
        <w:tc>
          <w:tcPr>
            <w:tcW w:w="3118" w:type="dxa"/>
          </w:tcPr>
          <w:p>
            <w:pPr>
              <w:pStyle w:val="nTable"/>
              <w:spacing w:after="40"/>
              <w:rPr>
                <w:ins w:id="468" w:author="Master Repository Process" w:date="2026-03-17T15:34:00Z"/>
                <w:iCs/>
              </w:rPr>
            </w:pPr>
            <w:ins w:id="469" w:author="Master Repository Process" w:date="2026-03-17T15:34:00Z">
              <w:r>
                <w:rPr>
                  <w:i/>
                </w:rPr>
                <w:t>Road Traffic (Authorisation to Drive) Amendment Regulations 2026</w:t>
              </w:r>
              <w:r>
                <w:rPr>
                  <w:iCs/>
                </w:rPr>
                <w:t xml:space="preserve"> r. 3-6</w:t>
              </w:r>
            </w:ins>
          </w:p>
        </w:tc>
        <w:tc>
          <w:tcPr>
            <w:tcW w:w="1276" w:type="dxa"/>
          </w:tcPr>
          <w:p>
            <w:pPr>
              <w:pStyle w:val="nTable"/>
              <w:spacing w:after="40"/>
              <w:rPr>
                <w:ins w:id="470" w:author="Master Repository Process" w:date="2026-03-17T15:34:00Z"/>
              </w:rPr>
            </w:pPr>
            <w:ins w:id="471" w:author="Master Repository Process" w:date="2026-03-17T15:34:00Z">
              <w:r>
                <w:t>SL 2026/32 18 Mar 2026</w:t>
              </w:r>
            </w:ins>
          </w:p>
        </w:tc>
        <w:tc>
          <w:tcPr>
            <w:tcW w:w="2693" w:type="dxa"/>
          </w:tcPr>
          <w:p>
            <w:pPr>
              <w:pStyle w:val="nTable"/>
              <w:spacing w:after="40"/>
              <w:rPr>
                <w:ins w:id="472" w:author="Master Repository Process" w:date="2026-03-17T15:34:00Z"/>
              </w:rPr>
            </w:pPr>
            <w:ins w:id="473" w:author="Master Repository Process" w:date="2026-03-17T15:34:00Z">
              <w:r>
                <w:t>1 Apr 2026 (see r. 2(b))</w:t>
              </w:r>
            </w:ins>
          </w:p>
        </w:tc>
      </w:tr>
    </w:tbl>
    <w:p>
      <w:pPr>
        <w:rPr>
          <w:ins w:id="474" w:author="Master Repository Process" w:date="2026-03-17T15:34:00Z"/>
        </w:rPr>
        <w:sectPr>
          <w:headerReference w:type="even" r:id="rId33"/>
          <w:headerReference w:type="default" r:id="rId34"/>
          <w:pgSz w:w="11907" w:h="16840" w:code="9"/>
          <w:pgMar w:top="2376" w:right="2404" w:bottom="3544" w:left="2404" w:header="720" w:footer="3544" w:gutter="0"/>
          <w:cols w:space="720"/>
          <w:noEndnote/>
          <w:docGrid w:linePitch="326"/>
        </w:sectPr>
      </w:pPr>
    </w:p>
    <w:p>
      <w:ins w:id="476" w:author="Master Repository Process" w:date="2026-03-17T15:34:00Z">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7424670</wp:posOffset>
                  </wp:positionV>
                  <wp:extent cx="127000" cy="731413"/>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731413"/>
                          </a:xfrm>
                          <a:prstGeom prst="rect">
                            <a:avLst/>
                          </a:prstGeom>
                          <a:solidFill>
                            <a:srgbClr val="FFFFFF"/>
                          </a:solidFill>
                          <a:ln w="6350">
                            <a:noFill/>
                          </a:ln>
                        </wps:spPr>
                        <wps:txbx>
                          <w:txbxContent>
                            <w:p>
                              <w:pPr>
                                <w:ind w:left="2835" w:right="2268"/>
                                <w:rPr>
                                  <w:ins w:id="477" w:author="Master Repository Process" w:date="2026-03-17T15:34:00Z"/>
                                  <w:sz w:val="16"/>
                                </w:rPr>
                              </w:pPr>
                              <w:ins w:id="478" w:author="Master Repository Process" w:date="2026-03-17T15: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479" w:author="Master Repository Process" w:date="2026-03-17T15:34:00Z"/>
                                  <w:sz w:val="16"/>
                                </w:rPr>
                              </w:pPr>
                              <w:ins w:id="480" w:author="Master Repository Process" w:date="2026-03-17T15: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81" w:author="Master Repository Process" w:date="2026-03-17T15:34:00Z"/>
                                  <w:sz w:val="16"/>
                                </w:rPr>
                              </w:pPr>
                              <w:ins w:id="482" w:author="Master Repository Process" w:date="2026-03-17T15: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483" w:author="Master Repository Process" w:date="2026-03-17T15:34:00Z"/>
                                  <w:rFonts w:ascii="Arial" w:hAnsi="Arial" w:cs="Arial"/>
                                  <w:sz w:val="12"/>
                                </w:rPr>
                              </w:pPr>
                              <w:ins w:id="484" w:author="Master Repository Process" w:date="2026-03-17T15:34: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4.6pt;width:10pt;height:57.6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i15PgIAAHgEAAAOAAAAZHJzL2Uyb0RvYy54bWysVE1vGjEQvVfqf7B8L7t8JKQrlogSUVVC&#10;SSRS5Wy8XrBke1zbsEt/fcfehdC0p6oczNgzHs97b2Zn961W5Cicl2BKOhzklAjDoZJmV9LvL6tP&#10;d5T4wEzFFBhR0pPw9H7+8cOssYUYwR5UJRzBJMYXjS3pPgRbZJnne6GZH4AVBp01OM0Cbt0uqxxr&#10;MLtW2SjPb7MGXGUdcOE9nj50TjpP+eta8PBU114EokqKtYW0urRu45rNZ6zYOWb3kvdlsH+oQjNp&#10;8NFLqgcWGDk4+UcqLbkDD3UYcNAZ1LXkImFANMP8HZrNnlmRsCA53l5o8v8vLX88PjsiK9SOEsM0&#10;SrQ4hD04GU6RnMb6AmM2FqNC+wXaGNifezyMmNva6fiPaAj6kebThVrRBsLjpdE0z9HD0TUdDyfD&#10;ccySvV22zoevAjSJRkkdKpcIZce1D13oOSS+5UHJaiWVShu32y6VI0eGKq/Sr8/+W5gypCnp7fgm&#10;T5kNxPtdamWwmIi1wxSt0G7bHugWqhPid9C1j7d8JbHKNfPhmTnsFwSGMxCecKkV4CPQW5QglT//&#10;dh7jUUb0UtJg/5XU/zgwJyhR3wwK/Hk4mcSGTZvJzXSEG3ft2V57zEEvAcGjiFhdMmN8UGezdqBf&#10;cVQW8VV0McPx7ZKGs7kM3VTgqHGxWKQgbFHLwtpsLI+pI9VRg5f2lTnbCxVQ4Uc4dyor3unVxcab&#10;BrCxoJZJzEhwx2rPO7Z3aod+FOP8XO9T1NsHY/4LAAD//wMAUEsDBBQABgAIAAAAIQAzyMK33gAA&#10;AAkBAAAPAAAAZHJzL2Rvd25yZXYueG1sTI/BTsMwEETvSPyDtUjcqNNQqjSNU1VInKoeCFA4uvGS&#10;RI3XwXba8PcsJzjuzGrmTbGZbC/O6EPnSMF8loBAqp3pqFHw+vJ0l4EIUZPRvSNU8I0BNuX1VaFz&#10;4y70jOcqNoJDKORaQRvjkEsZ6hatDjM3ILH36bzVkU/fSOP1hcNtL9MkWUqrO+KGVg/42GJ9qkar&#10;4GPfPewPu+17ViVj9fY17U73B6/U7c20XYOIOMW/Z/jFZ3QomenoRjJB9Ap4SGR1vlylINjnNhBH&#10;VtJssQBZFvL/gvIHAAD//wMAUEsBAi0AFAAGAAgAAAAhALaDOJL+AAAA4QEAABMAAAAAAAAAAAAA&#10;AAAAAAAAAFtDb250ZW50X1R5cGVzXS54bWxQSwECLQAUAAYACAAAACEAOP0h/9YAAACUAQAACwAA&#10;AAAAAAAAAAAAAAAvAQAAX3JlbHMvLnJlbHNQSwECLQAUAAYACAAAACEAeAIteT4CAAB4BAAADgAA&#10;AAAAAAAAAAAAAAAuAgAAZHJzL2Uyb0RvYy54bWxQSwECLQAUAAYACAAAACEAM8jCt94AAAAJAQAA&#10;DwAAAAAAAAAAAAAAAACYBAAAZHJzL2Rvd25yZXYueG1sUEsFBgAAAAAEAAQA8wAAAKMFAAAAAA==&#10;" stroked="f" strokeweight=".5pt">
                  <v:textbox>
                    <w:txbxContent>
                      <w:p>
                        <w:pPr>
                          <w:ind w:left="2835" w:right="2268"/>
                          <w:rPr>
                            <w:ins w:id="485" w:author="Master Repository Process" w:date="2026-03-17T15:34:00Z"/>
                            <w:sz w:val="16"/>
                          </w:rPr>
                        </w:pPr>
                        <w:ins w:id="486" w:author="Master Repository Process" w:date="2026-03-17T15: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487" w:author="Master Repository Process" w:date="2026-03-17T15:34:00Z"/>
                            <w:sz w:val="16"/>
                          </w:rPr>
                        </w:pPr>
                        <w:ins w:id="488" w:author="Master Repository Process" w:date="2026-03-17T15: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89" w:author="Master Repository Process" w:date="2026-03-17T15:34:00Z"/>
                            <w:sz w:val="16"/>
                          </w:rPr>
                        </w:pPr>
                        <w:ins w:id="490" w:author="Master Repository Process" w:date="2026-03-17T15: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491" w:author="Master Repository Process" w:date="2026-03-17T15:34:00Z"/>
                            <w:rFonts w:ascii="Arial" w:hAnsi="Arial" w:cs="Arial"/>
                            <w:sz w:val="12"/>
                          </w:rPr>
                        </w:pPr>
                        <w:ins w:id="492" w:author="Master Repository Process" w:date="2026-03-17T15:34: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00-ax0-00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98" w:name="Schedule"/>
    <w:bookmarkEnd w:id="3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75" w:name="Compilation"/>
    <w:bookmarkEnd w:id="47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3" w:name="Coversheet"/>
    <w:bookmarkEnd w:id="4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16112900"/>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 w:name="WAFER_20221102155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5514_GUID" w:val="caae87f1-bf47-465d-93d5-7f5947f0575e"/>
    <w:docVar w:name="WAFER_2023051614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32_GUID" w:val="5801c05e-166f-4b1b-a5f8-19a28fe16da0"/>
    <w:docVar w:name="WAFER_2023062911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239_GUID" w:val="8a69a38a-9ab8-4b72-a415-7ec1184f0e54"/>
    <w:docVar w:name="WAFER_20231027141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333_GUID" w:val="cf6ad5b4-24d8-4b7c-9b78-9a79e3645134"/>
    <w:docVar w:name="WAFER_20231228140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54_GUID" w:val="36b5cfe7-7737-479a-9425-bc56ad4b18d5"/>
    <w:docVar w:name="WAFER_2023122814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819_GUID" w:val="589c5b4f-cac3-4eea-838c-aea58b33105f"/>
    <w:docVar w:name="WAFER_2024042909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4036_GUID" w:val="1269832f-0a2e-4dbc-8e4d-d4314b22a310"/>
    <w:docVar w:name="WAFER_20240625142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2014_GUID" w:val="3464d249-3766-4e21-b02d-fdefeb43228f"/>
    <w:docVar w:name="WAFER_20241028164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64847_GUID" w:val="561a83b6-98b0-4510-aee3-61b2ff1f1636"/>
    <w:docVar w:name="WAFER_20241122094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094505_GUID" w:val="d4d6410e-4641-4f23-8a42-48fe06ba31bb"/>
    <w:docVar w:name="WAFER_20250424160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60451_GUID" w:val="ee5946c2-b0fc-452c-bd84-d766243cd1bc"/>
    <w:docVar w:name="WAFER_20250625125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5222_GUID" w:val="752d8fd7-fc1d-41af-8b2a-780d3a68cc01"/>
    <w:docVar w:name="WAFER_2026031611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6112900_GUID" w:val="1f445e90-42dc-4eba-b864-2e61d90627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header" Target="header20.xml"/><Relationship Id="rId21" Type="http://schemas.openxmlformats.org/officeDocument/2006/relationships/footer" Target="foot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24254</Words>
  <Characters>116905</Characters>
  <Application>Microsoft Office Word</Application>
  <DocSecurity>0</DocSecurity>
  <Lines>3438</Lines>
  <Paragraphs>1907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00-aw0-00 - 00-ax0-00</dc:title>
  <dc:subject/>
  <dc:creator/>
  <cp:keywords/>
  <dc:description/>
  <cp:lastModifiedBy>Master Repository Process</cp:lastModifiedBy>
  <cp:revision>2</cp:revision>
  <cp:lastPrinted>2023-06-30T01:30:00Z</cp:lastPrinted>
  <dcterms:created xsi:type="dcterms:W3CDTF">2026-03-17T07:34:00Z</dcterms:created>
  <dcterms:modified xsi:type="dcterms:W3CDTF">2026-03-17T07:35:00Z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20260318</vt:lpwstr>
  </property>
  <property fmtid="{D5CDD505-2E9C-101B-9397-08002B2CF9AE}" pid="5" name="CommencementAsAt">
    <vt:filetime>2026-03-17T16:00:00Z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00-aw0-00</vt:lpwstr>
  </property>
  <property fmtid="{D5CDD505-2E9C-101B-9397-08002B2CF9AE}" pid="9" name="FromAsAtDate">
    <vt:lpwstr>01 Jul 2025</vt:lpwstr>
  </property>
  <property fmtid="{D5CDD505-2E9C-101B-9397-08002B2CF9AE}" pid="10" name="ToSuffix">
    <vt:lpwstr>00-ax0-00</vt:lpwstr>
  </property>
  <property fmtid="{D5CDD505-2E9C-101B-9397-08002B2CF9AE}" pid="11" name="ToAsAtDate">
    <vt:lpwstr>18 Mar 2026</vt:lpwstr>
  </property>
</Properties>
</file>