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(Miscellaneous Provisions)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26 Sep 2025</w:t>
      </w:r>
      <w:r>
        <w:fldChar w:fldCharType="end"/>
      </w:r>
      <w:r>
        <w:t xml:space="preserve">, </w:t>
      </w:r>
      <w:r>
        <w:fldChar w:fldCharType="begin"/>
      </w:r>
      <w:r>
        <w:instrText xml:space="preserve"> DocProperty FromSuffix </w:instrText>
      </w:r>
      <w:r>
        <w:fldChar w:fldCharType="separate"/>
      </w:r>
      <w:r>
        <w:t>17-m0-00</w:t>
      </w:r>
      <w:r>
        <w:fldChar w:fldCharType="end"/>
      </w:r>
      <w:r>
        <w:t>] and [</w:t>
      </w:r>
      <w:r>
        <w:fldChar w:fldCharType="begin"/>
      </w:r>
      <w:r>
        <w:instrText xml:space="preserve"> DocProperty ToAsAtDate</w:instrText>
      </w:r>
      <w:r>
        <w:fldChar w:fldCharType="separate"/>
      </w:r>
      <w:r>
        <w:t>31 Mar 2026</w:t>
      </w:r>
      <w:r>
        <w:fldChar w:fldCharType="end"/>
      </w:r>
      <w:r>
        <w:t xml:space="preserve">, </w:t>
      </w:r>
      <w:r>
        <w:fldChar w:fldCharType="begin"/>
      </w:r>
      <w:r>
        <w:instrText xml:space="preserve"> DocProperty ToSuffix</w:instrText>
      </w:r>
      <w:r>
        <w:fldChar w:fldCharType="separate"/>
      </w:r>
      <w:r>
        <w:t>17-n0-00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pacing w:before="1400" w:after="880"/>
      </w:pPr>
      <w:r>
        <w:t>Health (Miscellaneous Provisions) Act 1911</w:t>
      </w:r>
    </w:p>
    <w:p>
      <w:pPr>
        <w:pStyle w:val="LongTitle"/>
        <w:spacing w:before="400"/>
        <w:rPr>
          <w:snapToGrid w:val="0"/>
        </w:rPr>
      </w:pPr>
      <w:r>
        <w:rPr>
          <w:snapToGrid w:val="0"/>
        </w:rPr>
        <w:t xml:space="preserve">An Act to </w:t>
      </w:r>
      <w:r>
        <w:t>deal</w:t>
      </w:r>
      <w:r>
        <w:rPr>
          <w:bCs/>
        </w:rPr>
        <w:t xml:space="preserve"> with certain matters concerning</w:t>
      </w:r>
      <w:r>
        <w:rPr>
          <w:snapToGrid w:val="0"/>
        </w:rPr>
        <w:t xml:space="preserve"> public health.</w:t>
      </w:r>
    </w:p>
    <w:p>
      <w:pPr>
        <w:pStyle w:val="Footnotelongtitle"/>
      </w:pPr>
      <w:r>
        <w:tab/>
        <w:t>[Long title amended: No. 19 of 2016 s. 4.]</w:t>
      </w:r>
    </w:p>
    <w:p>
      <w:pPr>
        <w:pStyle w:val="Heading2"/>
      </w:pPr>
      <w:bookmarkStart w:id="1" w:name="_Toc225760679"/>
      <w:bookmarkStart w:id="2" w:name="_Toc225761011"/>
      <w:bookmarkStart w:id="3" w:name="_Toc225765706"/>
      <w:bookmarkStart w:id="4" w:name="_Toc209701155"/>
      <w:bookmarkStart w:id="5" w:name="_Toc209702773"/>
      <w:bookmarkStart w:id="6" w:name="_Toc209703105"/>
      <w:bookmarkStart w:id="7" w:name="_Toc209710631"/>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rPr>
          <w:snapToGrid w:val="0"/>
        </w:rPr>
      </w:pPr>
      <w:bookmarkStart w:id="8" w:name="_Toc225765707"/>
      <w:bookmarkStart w:id="9" w:name="_Toc209710632"/>
      <w:r>
        <w:rPr>
          <w:rStyle w:val="CharSectno"/>
        </w:rPr>
        <w:t>1</w:t>
      </w:r>
      <w:r>
        <w:rPr>
          <w:snapToGrid w:val="0"/>
        </w:rPr>
        <w:t>.</w:t>
      </w:r>
      <w:r>
        <w:rPr>
          <w:snapToGrid w:val="0"/>
        </w:rPr>
        <w:tab/>
        <w:t>Short title and commencement</w:t>
      </w:r>
      <w:bookmarkEnd w:id="8"/>
      <w:bookmarkEnd w:id="9"/>
    </w:p>
    <w:p>
      <w:pPr>
        <w:pStyle w:val="Subsection"/>
        <w:rPr>
          <w:snapToGrid w:val="0"/>
        </w:rPr>
      </w:pPr>
      <w:r>
        <w:rPr>
          <w:snapToGrid w:val="0"/>
        </w:rPr>
        <w:tab/>
        <w:t>(1)</w:t>
      </w:r>
      <w:r>
        <w:rPr>
          <w:snapToGrid w:val="0"/>
        </w:rPr>
        <w:tab/>
        <w:t xml:space="preserve">This Act may be cited as the </w:t>
      </w:r>
      <w:r>
        <w:rPr>
          <w:i/>
          <w:snapToGrid w:val="0"/>
        </w:rPr>
        <w:t xml:space="preserve">Health </w:t>
      </w:r>
      <w:r>
        <w:rPr>
          <w:i/>
          <w:iCs/>
        </w:rPr>
        <w:t xml:space="preserve">(Miscellaneous Provisions) </w:t>
      </w:r>
      <w:r>
        <w:rPr>
          <w:i/>
          <w:snapToGrid w:val="0"/>
        </w:rPr>
        <w:t>Act 1911</w:t>
      </w:r>
      <w:r>
        <w:rPr>
          <w:snapToGrid w:val="0"/>
        </w:rPr>
        <w:t>, and shall come into operation on a day to be fixed by proclamation, not being later than 6 months from the passing of this Act.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Footnotesection"/>
      </w:pPr>
      <w:r>
        <w:tab/>
        <w:t>[Section 1 amended: No. 19 of 2016 s. 5.]</w:t>
      </w:r>
    </w:p>
    <w:p>
      <w:pPr>
        <w:pStyle w:val="Ednotesection"/>
        <w:ind w:left="890" w:hanging="890"/>
      </w:pPr>
      <w:r>
        <w:t>[</w:t>
      </w:r>
      <w:r>
        <w:rPr>
          <w:b/>
        </w:rPr>
        <w:t>2.</w:t>
      </w:r>
      <w:r>
        <w:tab/>
        <w:t>Deleted: No. 26 of 1985 s. 3.]</w:t>
      </w:r>
    </w:p>
    <w:p>
      <w:pPr>
        <w:pStyle w:val="Heading5"/>
        <w:rPr>
          <w:snapToGrid w:val="0"/>
        </w:rPr>
      </w:pPr>
      <w:bookmarkStart w:id="10" w:name="_Toc225765708"/>
      <w:bookmarkStart w:id="11" w:name="_Toc209710633"/>
      <w:r>
        <w:rPr>
          <w:rStyle w:val="CharSectno"/>
        </w:rPr>
        <w:t>3</w:t>
      </w:r>
      <w:r>
        <w:rPr>
          <w:snapToGrid w:val="0"/>
        </w:rPr>
        <w:t>.</w:t>
      </w:r>
      <w:r>
        <w:rPr>
          <w:snapToGrid w:val="0"/>
        </w:rPr>
        <w:tab/>
        <w:t>Terms used</w:t>
      </w:r>
      <w:bookmarkEnd w:id="10"/>
      <w:bookmarkEnd w:id="11"/>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(Western Australia) Act 1995</w:t>
      </w:r>
      <w:r>
        <w:t>;</w:t>
      </w:r>
    </w:p>
    <w:p>
      <w:pPr>
        <w:pStyle w:val="Defstart"/>
      </w:pPr>
      <w:r>
        <w:rPr>
          <w:b/>
        </w:rPr>
        <w:tab/>
      </w:r>
      <w:r>
        <w:rPr>
          <w:rStyle w:val="CharDefText"/>
        </w:rPr>
        <w:t>analyst</w:t>
      </w:r>
      <w:r>
        <w:t xml:space="preserve"> means analyst registered under section 203;</w:t>
      </w:r>
    </w:p>
    <w:p>
      <w:pPr>
        <w:pStyle w:val="Defstart"/>
      </w:pPr>
      <w:r>
        <w:tab/>
      </w:r>
      <w:r>
        <w:rPr>
          <w:rStyle w:val="CharDefText"/>
        </w:rPr>
        <w:t>Analytical Committee</w:t>
      </w:r>
      <w:r>
        <w:t xml:space="preserve"> has the meaning given in section 247AA;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Chief Health Officer and includes any buildings, fittings, works, or appliances used or required in connection with the bacteriolytic or aerobic treatment of sewage, and the disposal of effluent or any residue of such treatment;</w:t>
      </w:r>
    </w:p>
    <w:p>
      <w:pPr>
        <w:pStyle w:val="Defstart"/>
      </w:pPr>
      <w:r>
        <w:tab/>
      </w:r>
      <w:r>
        <w:rPr>
          <w:rStyle w:val="CharDefText"/>
        </w:rPr>
        <w:t>authorised officer</w:t>
      </w:r>
      <w:r>
        <w:t xml:space="preserve"> has the meaning given in subsection (2A);</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1 m </w:t>
      </w:r>
      <w:r>
        <w:lastRenderedPageBreak/>
        <w:t>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tab/>
      </w:r>
      <w:r>
        <w:rPr>
          <w:rStyle w:val="CharDefText"/>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 or</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means the flesh of any animal when killed which is intended to be used for the food of man, whether fresh, or prepared by freezing, chilling, preserving, salting, or by any other process;</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w:t>
      </w:r>
      <w:r>
        <w:t xml:space="preserve"> means a person registered under the </w:t>
      </w:r>
      <w:r>
        <w:rPr>
          <w:i/>
        </w:rPr>
        <w:t>Health Practitioner Regulation National Law (Western Australia)</w:t>
      </w:r>
      <w:r>
        <w:t xml:space="preserve"> in the nursing profession;</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in the nursing profession whose registration under that Law is endorsed as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r>
        <w:rPr>
          <w:rStyle w:val="CharDefText"/>
        </w:rPr>
        <w:t>pesticide</w:t>
      </w:r>
      <w:r>
        <w:t xml:space="preserve"> has the same meaning as </w:t>
      </w:r>
      <w:r>
        <w:rPr>
          <w:b/>
          <w:bCs/>
          <w:i/>
          <w:iCs/>
        </w:rPr>
        <w:t>agricultural chemical product</w:t>
      </w:r>
      <w:r>
        <w:t xml:space="preserve"> has in the Agvet Code of Western Australia;</w:t>
      </w:r>
    </w:p>
    <w:p>
      <w:pPr>
        <w:pStyle w:val="Defstart"/>
      </w:pPr>
      <w:r>
        <w:rPr>
          <w:b/>
        </w:rPr>
        <w:tab/>
      </w:r>
      <w:r>
        <w:rPr>
          <w:rStyle w:val="CharDefText"/>
        </w:rPr>
        <w:t>piggery</w:t>
      </w:r>
      <w:r>
        <w:t xml:space="preserve"> means any building, enclosure, or yard in which one or more pigs are kept, bred, reared, or fattened for purposes of trade;</w:t>
      </w:r>
    </w:p>
    <w:p>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pPr>
      <w:r>
        <w:rPr>
          <w:b/>
        </w:rPr>
        <w:tab/>
      </w:r>
      <w:r>
        <w:rPr>
          <w:rStyle w:val="CharDefText"/>
        </w:rPr>
        <w:t xml:space="preserve">premises </w:t>
      </w:r>
      <w:r>
        <w:t>includes messuages, buildings, lands, and hereditaments;</w:t>
      </w:r>
    </w:p>
    <w:p>
      <w:pPr>
        <w:pStyle w:val="Defstart"/>
      </w:pPr>
      <w:r>
        <w:rPr>
          <w:b/>
        </w:rPr>
        <w:tab/>
      </w:r>
      <w:r>
        <w:rPr>
          <w:rStyle w:val="CharDefText"/>
        </w:rPr>
        <w:t>prescribed</w:t>
      </w:r>
      <w:r>
        <w:t xml:space="preserve"> means prescribed by this Act or by any regulation or local law thereunder;</w:t>
      </w:r>
    </w:p>
    <w:p>
      <w:pPr>
        <w:pStyle w:val="Defstart"/>
      </w:pPr>
      <w:r>
        <w:rPr>
          <w:b/>
        </w:rPr>
        <w:tab/>
      </w:r>
      <w:r>
        <w:rPr>
          <w:rStyle w:val="CharDefText"/>
        </w:rPr>
        <w:t>private place</w:t>
      </w:r>
      <w:r>
        <w:t xml:space="preserve"> includes every place other than a public place;</w:t>
      </w:r>
    </w:p>
    <w:p>
      <w:pPr>
        <w:pStyle w:val="Defstart"/>
      </w:pPr>
      <w:r>
        <w:rPr>
          <w:b/>
        </w:rPr>
        <w:tab/>
      </w:r>
      <w:r>
        <w:rPr>
          <w:rStyle w:val="CharDefText"/>
        </w:rPr>
        <w:t>proclamation</w:t>
      </w:r>
      <w:r>
        <w:t xml:space="preserve"> means a proclamation by the Governor published in the </w:t>
      </w:r>
      <w:r>
        <w:rPr>
          <w:i/>
        </w:rPr>
        <w:t>Government Gazette</w:t>
      </w:r>
      <w:r>
        <w:t>;</w:t>
      </w:r>
    </w:p>
    <w:p>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tab/>
      </w:r>
      <w:r>
        <w:rPr>
          <w:rStyle w:val="CharDefText"/>
        </w:rPr>
        <w:t>public place</w:t>
      </w:r>
      <w:r>
        <w:t xml:space="preserve"> includes every place to which the public ordinarily have access, whether by payment of fee or not;</w:t>
      </w:r>
    </w:p>
    <w:p>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 and</w:t>
      </w:r>
    </w:p>
    <w:p>
      <w:pPr>
        <w:pStyle w:val="Defpara"/>
        <w:spacing w:before="60"/>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keepNext/>
        <w:keepLines/>
      </w:pPr>
      <w:r>
        <w:rPr>
          <w:b/>
        </w:rPr>
        <w:tab/>
      </w:r>
      <w:r>
        <w:rPr>
          <w:rStyle w:val="CharDefText"/>
        </w:rPr>
        <w:t>therapeutic use</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spacing w:before="120"/>
      </w:pPr>
      <w:r>
        <w:tab/>
        <w:t>[(2)</w:t>
      </w:r>
      <w:r>
        <w:tab/>
        <w:t>deleted]</w:t>
      </w:r>
    </w:p>
    <w:p>
      <w:pPr>
        <w:pStyle w:val="Subsection"/>
      </w:pPr>
      <w:r>
        <w:tab/>
        <w:t>(2A)</w:t>
      </w:r>
      <w:r>
        <w:tab/>
        <w:t xml:space="preserve">A reference in a provision of this Act to an </w:t>
      </w:r>
      <w:r>
        <w:rPr>
          <w:rStyle w:val="CharDefText"/>
        </w:rPr>
        <w:t>authorised officer</w:t>
      </w:r>
      <w:r>
        <w:t xml:space="preserve"> is a reference to a person designated as an authorised officer under the </w:t>
      </w:r>
      <w:r>
        <w:rPr>
          <w:i/>
        </w:rPr>
        <w:t>Public Health Act 2016</w:t>
      </w:r>
      <w:r>
        <w:t xml:space="preserve"> section 24(1) whose designation has effect for the purposes of that provision.</w:t>
      </w:r>
    </w:p>
    <w:p>
      <w:pPr>
        <w:pStyle w:val="Footnotesection"/>
        <w:keepLines w:val="0"/>
      </w:pPr>
      <w:r>
        <w:tab/>
        <w:t>[Section 3 amended: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 No. 13 of 2014 s. 149; No. 17 of 2014 s. 23; No. 19 of 2016 s. 6 and 207; No. 4 of 2018 s. 111.]</w:t>
      </w:r>
    </w:p>
    <w:p>
      <w:pPr>
        <w:pStyle w:val="Ednotesection"/>
        <w:spacing w:before="180"/>
        <w:ind w:left="890" w:hanging="890"/>
      </w:pPr>
      <w:r>
        <w:t>[</w:t>
      </w:r>
      <w:r>
        <w:rPr>
          <w:b/>
        </w:rPr>
        <w:t>4.</w:t>
      </w:r>
      <w:r>
        <w:tab/>
        <w:t>Deleted: No. 14 of 1996 s. 4.]</w:t>
      </w:r>
    </w:p>
    <w:p>
      <w:pPr>
        <w:pStyle w:val="Heading5"/>
        <w:rPr>
          <w:snapToGrid w:val="0"/>
        </w:rPr>
      </w:pPr>
      <w:bookmarkStart w:id="12" w:name="_Toc225765709"/>
      <w:bookmarkStart w:id="13" w:name="_Toc209710634"/>
      <w:r>
        <w:rPr>
          <w:rStyle w:val="CharSectno"/>
        </w:rPr>
        <w:t>5</w:t>
      </w:r>
      <w:r>
        <w:rPr>
          <w:snapToGrid w:val="0"/>
        </w:rPr>
        <w:t>.</w:t>
      </w:r>
      <w:r>
        <w:rPr>
          <w:snapToGrid w:val="0"/>
        </w:rPr>
        <w:tab/>
        <w:t>Savings</w:t>
      </w:r>
      <w:bookmarkEnd w:id="12"/>
      <w:bookmarkEnd w:id="13"/>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Chief Health Officer </w:t>
      </w:r>
      <w:r>
        <w:rPr>
          <w:snapToGrid w:val="0"/>
        </w:rPr>
        <w:t xml:space="preserve">or any local government (with the approval of the Minister) may, if in </w:t>
      </w:r>
      <w:r>
        <w:t>the Chief Health Officer’s</w:t>
      </w:r>
      <w:r>
        <w:rPr>
          <w:snapToGrid w:val="0"/>
        </w:rPr>
        <w:t xml:space="preserve">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the subject of such conviction was sold to him as and for a food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No. 14 of 1996 s. 4; No. 28 of 2006 s. 251; (correction: Gazette 14 Dec 2010 p. 6301); No. 13 of 2014 s. 150; No. 19 of 2016 s. 7.]</w:t>
      </w:r>
    </w:p>
    <w:p>
      <w:pPr>
        <w:pStyle w:val="Heading5"/>
        <w:rPr>
          <w:snapToGrid w:val="0"/>
        </w:rPr>
      </w:pPr>
      <w:bookmarkStart w:id="14" w:name="_Toc225765710"/>
      <w:bookmarkStart w:id="15" w:name="_Toc209710635"/>
      <w:r>
        <w:rPr>
          <w:rStyle w:val="CharSectno"/>
        </w:rPr>
        <w:t>6</w:t>
      </w:r>
      <w:r>
        <w:rPr>
          <w:snapToGrid w:val="0"/>
        </w:rPr>
        <w:t>.</w:t>
      </w:r>
      <w:r>
        <w:rPr>
          <w:snapToGrid w:val="0"/>
        </w:rPr>
        <w:tab/>
        <w:t>Power to suspend operation of Act</w:t>
      </w:r>
      <w:bookmarkEnd w:id="14"/>
      <w:bookmarkEnd w:id="15"/>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16" w:name="_Toc225760684"/>
      <w:bookmarkStart w:id="17" w:name="_Toc225761016"/>
      <w:bookmarkStart w:id="18" w:name="_Toc225765711"/>
      <w:bookmarkStart w:id="19" w:name="_Toc209701160"/>
      <w:bookmarkStart w:id="20" w:name="_Toc209702778"/>
      <w:bookmarkStart w:id="21" w:name="_Toc209703110"/>
      <w:bookmarkStart w:id="22" w:name="_Toc209710636"/>
      <w:r>
        <w:rPr>
          <w:rStyle w:val="CharPartNo"/>
        </w:rPr>
        <w:t>Part II</w:t>
      </w:r>
      <w:r>
        <w:t> — </w:t>
      </w:r>
      <w:r>
        <w:rPr>
          <w:rStyle w:val="CharPartText"/>
        </w:rPr>
        <w:t>Administration</w:t>
      </w:r>
      <w:bookmarkEnd w:id="16"/>
      <w:bookmarkEnd w:id="17"/>
      <w:bookmarkEnd w:id="18"/>
      <w:bookmarkEnd w:id="19"/>
      <w:bookmarkEnd w:id="20"/>
      <w:bookmarkEnd w:id="21"/>
      <w:bookmarkEnd w:id="22"/>
    </w:p>
    <w:p>
      <w:pPr>
        <w:pStyle w:val="Heading3"/>
      </w:pPr>
      <w:bookmarkStart w:id="23" w:name="_Toc225760685"/>
      <w:bookmarkStart w:id="24" w:name="_Toc225761017"/>
      <w:bookmarkStart w:id="25" w:name="_Toc225765712"/>
      <w:bookmarkStart w:id="26" w:name="_Toc209701161"/>
      <w:bookmarkStart w:id="27" w:name="_Toc209702779"/>
      <w:bookmarkStart w:id="28" w:name="_Toc209703111"/>
      <w:bookmarkStart w:id="29" w:name="_Toc209710637"/>
      <w:r>
        <w:rPr>
          <w:rStyle w:val="CharDivNo"/>
        </w:rPr>
        <w:t>Division 1</w:t>
      </w:r>
      <w:r>
        <w:rPr>
          <w:snapToGrid w:val="0"/>
        </w:rPr>
        <w:t> — </w:t>
      </w:r>
      <w:r>
        <w:rPr>
          <w:rStyle w:val="CharDivText"/>
        </w:rPr>
        <w:t>The Minister, CEO and Chief Health Officer</w:t>
      </w:r>
      <w:bookmarkEnd w:id="23"/>
      <w:bookmarkEnd w:id="24"/>
      <w:bookmarkEnd w:id="25"/>
      <w:bookmarkEnd w:id="26"/>
      <w:bookmarkEnd w:id="27"/>
      <w:bookmarkEnd w:id="28"/>
      <w:bookmarkEnd w:id="29"/>
    </w:p>
    <w:p>
      <w:pPr>
        <w:pStyle w:val="Footnoteheading"/>
      </w:pPr>
      <w:r>
        <w:tab/>
        <w:t>[Heading amended: No. 28 of 2006 s. 250; No. 19 of 2016 s. 99.]</w:t>
      </w:r>
    </w:p>
    <w:p>
      <w:pPr>
        <w:pStyle w:val="Heading5"/>
        <w:rPr>
          <w:snapToGrid w:val="0"/>
        </w:rPr>
      </w:pPr>
      <w:bookmarkStart w:id="30" w:name="_Toc225765713"/>
      <w:bookmarkStart w:id="31" w:name="_Toc209710638"/>
      <w:r>
        <w:rPr>
          <w:rStyle w:val="CharSectno"/>
        </w:rPr>
        <w:t>7</w:t>
      </w:r>
      <w:r>
        <w:rPr>
          <w:snapToGrid w:val="0"/>
        </w:rPr>
        <w:t>.</w:t>
      </w:r>
      <w:r>
        <w:rPr>
          <w:snapToGrid w:val="0"/>
        </w:rPr>
        <w:tab/>
        <w:t>Minister</w:t>
      </w:r>
      <w:bookmarkEnd w:id="30"/>
      <w:bookmarkEnd w:id="31"/>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32" w:name="_Toc225765714"/>
      <w:bookmarkStart w:id="33" w:name="_Toc209710639"/>
      <w:r>
        <w:rPr>
          <w:rStyle w:val="CharSectno"/>
        </w:rPr>
        <w:t>8</w:t>
      </w:r>
      <w:r>
        <w:rPr>
          <w:snapToGrid w:val="0"/>
        </w:rPr>
        <w:t>.</w:t>
      </w:r>
      <w:r>
        <w:rPr>
          <w:snapToGrid w:val="0"/>
        </w:rPr>
        <w:tab/>
        <w:t>Minister to be body corporate</w:t>
      </w:r>
      <w:bookmarkEnd w:id="32"/>
      <w:bookmarkEnd w:id="33"/>
    </w:p>
    <w:p>
      <w:pPr>
        <w:pStyle w:val="Subsection"/>
        <w:spacing w:before="120"/>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spacing w:before="120"/>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keepNext/>
        <w:spacing w:before="120"/>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No. 101 of 1976 s. 4; amended: No. 28 of 1984 s. 25.]</w:t>
      </w:r>
    </w:p>
    <w:p>
      <w:pPr>
        <w:pStyle w:val="Ednotesection"/>
      </w:pPr>
      <w:r>
        <w:t>[</w:t>
      </w:r>
      <w:r>
        <w:rPr>
          <w:b/>
        </w:rPr>
        <w:t>9-11.</w:t>
      </w:r>
      <w:r>
        <w:tab/>
        <w:t>Deleted: No. 28 of 1984 s. 26.]</w:t>
      </w:r>
    </w:p>
    <w:p>
      <w:pPr>
        <w:pStyle w:val="Heading5"/>
      </w:pPr>
      <w:bookmarkStart w:id="34" w:name="_Toc225765715"/>
      <w:bookmarkStart w:id="35" w:name="_Toc209710640"/>
      <w:r>
        <w:rPr>
          <w:rStyle w:val="CharSectno"/>
        </w:rPr>
        <w:t>12</w:t>
      </w:r>
      <w:r>
        <w:t>.</w:t>
      </w:r>
      <w:r>
        <w:tab/>
        <w:t>Powers of Chief Health Officer and authorised officers</w:t>
      </w:r>
      <w:bookmarkEnd w:id="34"/>
      <w:bookmarkEnd w:id="35"/>
    </w:p>
    <w:p>
      <w:pPr>
        <w:pStyle w:val="Subsection"/>
      </w:pPr>
      <w:r>
        <w:tab/>
        <w:t>(1)</w:t>
      </w:r>
      <w:r>
        <w:tab/>
        <w:t>The Chief Health Officer, and any authorised officer acting with the Chief Health Officer’s authority, has all the powers of an authorised officer of a local government, and may exercise those powers in any part of the State, and the Chief Health Officer has all the rights and powers that the local government would have in case its authorised officer exercised the power, or to enable its authorised officer to exercise the power.</w:t>
      </w:r>
    </w:p>
    <w:p>
      <w:pPr>
        <w:pStyle w:val="Subsection"/>
      </w:pPr>
      <w:r>
        <w:tab/>
        <w:t>(2)</w:t>
      </w:r>
      <w:r>
        <w:tab/>
        <w:t xml:space="preserve">Any provision of this Act conferring any power on an authorised officer of a local government, or relating to or connected with the exercise or intended exercise, or the consequences of the exercise of any power by an authorised officer of a local government, are to be construed and have effect for the purposes of this section as if — </w:t>
      </w:r>
    </w:p>
    <w:p>
      <w:pPr>
        <w:pStyle w:val="Indenta"/>
      </w:pPr>
      <w:r>
        <w:tab/>
        <w:t>(a)</w:t>
      </w:r>
      <w:r>
        <w:tab/>
        <w:t>the references in the provision to an authorised officer of the local government extended to the Chief Health Officer or any authorised officer acting with the Chief Health Officer’s authority; and</w:t>
      </w:r>
    </w:p>
    <w:p>
      <w:pPr>
        <w:pStyle w:val="Indenta"/>
      </w:pPr>
      <w:r>
        <w:tab/>
        <w:t>(b)</w:t>
      </w:r>
      <w:r>
        <w:tab/>
        <w:t>all references in the provision to a local government extended to the Chief Health Officer.</w:t>
      </w:r>
    </w:p>
    <w:p>
      <w:pPr>
        <w:pStyle w:val="Footnotesection"/>
      </w:pPr>
      <w:r>
        <w:tab/>
        <w:t>[Section 12 inserted: No. 19 of 2016 s. 8.]</w:t>
      </w:r>
    </w:p>
    <w:p>
      <w:pPr>
        <w:pStyle w:val="Heading5"/>
      </w:pPr>
      <w:bookmarkStart w:id="36" w:name="_Toc225765716"/>
      <w:bookmarkStart w:id="37" w:name="_Toc209710641"/>
      <w:r>
        <w:rPr>
          <w:rStyle w:val="CharSectno"/>
        </w:rPr>
        <w:t>13A</w:t>
      </w:r>
      <w:r>
        <w:t>.</w:t>
      </w:r>
      <w:r>
        <w:tab/>
        <w:t>CEO and Chief Health Officer may delegate</w:t>
      </w:r>
      <w:bookmarkEnd w:id="36"/>
      <w:bookmarkEnd w:id="37"/>
    </w:p>
    <w:p>
      <w:pPr>
        <w:pStyle w:val="Subsection"/>
        <w:keepNext/>
      </w:pPr>
      <w:r>
        <w:tab/>
        <w:t>(1)</w:t>
      </w:r>
      <w:r>
        <w:tab/>
        <w:t xml:space="preserve">In this section — </w:t>
      </w:r>
    </w:p>
    <w:p>
      <w:pPr>
        <w:pStyle w:val="Defstart"/>
        <w:keepNext/>
      </w:pPr>
      <w:r>
        <w:tab/>
      </w:r>
      <w:r>
        <w:rPr>
          <w:rStyle w:val="CharDefText"/>
        </w:rPr>
        <w:t>departmental officer</w:t>
      </w:r>
      <w:r>
        <w:t xml:space="preserve"> — </w:t>
      </w:r>
    </w:p>
    <w:p>
      <w:pPr>
        <w:pStyle w:val="Defpara"/>
      </w:pPr>
      <w:r>
        <w:tab/>
        <w:t>(a)</w:t>
      </w:r>
      <w:r>
        <w:tab/>
        <w:t>means a public service officer employed in the Department; and</w:t>
      </w:r>
    </w:p>
    <w:p>
      <w:pPr>
        <w:pStyle w:val="Defpara"/>
        <w:rPr>
          <w:rFonts w:eastAsia="Arial Unicode MS"/>
        </w:rPr>
      </w:pPr>
      <w:r>
        <w:tab/>
        <w:t>(b)</w:t>
      </w:r>
      <w:r>
        <w:tab/>
        <w:t xml:space="preserve">includes </w:t>
      </w:r>
      <w:r>
        <w:rPr>
          <w:rFonts w:eastAsia="Arial Unicode MS"/>
        </w:rPr>
        <w:t xml:space="preserve">a public service officer appointed for the purposes of, or to assist in the administration of, an Act to which the </w:t>
      </w:r>
      <w:r>
        <w:rPr>
          <w:rFonts w:eastAsia="Arial Unicode MS"/>
          <w:i/>
        </w:rPr>
        <w:t>Health Legislation Administration Act 1984</w:t>
      </w:r>
      <w:r>
        <w:rPr>
          <w:rFonts w:eastAsia="Arial Unicode MS"/>
        </w:rPr>
        <w:t xml:space="preserve"> applies under section 4 of that Act;</w:t>
      </w:r>
    </w:p>
    <w:p>
      <w:pPr>
        <w:pStyle w:val="Defstart"/>
      </w:pPr>
      <w:r>
        <w:tab/>
      </w:r>
      <w:r>
        <w:rPr>
          <w:rStyle w:val="CharDefText"/>
        </w:rPr>
        <w:t>employed in the Department</w:t>
      </w:r>
      <w:r>
        <w:t xml:space="preserve"> includes seconded to perform functions or services for, or duties in the service of, the Department.</w:t>
      </w:r>
    </w:p>
    <w:p>
      <w:pPr>
        <w:pStyle w:val="Subsection"/>
        <w:spacing w:before="120"/>
      </w:pPr>
      <w:r>
        <w:tab/>
        <w:t>(2)</w:t>
      </w:r>
      <w:r>
        <w:tab/>
        <w:t>The CEO may delegate to a departmental officer all or any of the functions that the CEO has under this Act, other than this power of delegation.</w:t>
      </w:r>
    </w:p>
    <w:p>
      <w:pPr>
        <w:pStyle w:val="Subsection"/>
        <w:spacing w:before="120"/>
      </w:pPr>
      <w:r>
        <w:tab/>
        <w:t>(3)</w:t>
      </w:r>
      <w:r>
        <w:tab/>
        <w:t>The Chief Health Officer may delegate to a departmental officer all or any of the functions that the Chief Health Officer has under this Act, other than this power of delegation.</w:t>
      </w:r>
    </w:p>
    <w:p>
      <w:pPr>
        <w:pStyle w:val="Subsection"/>
        <w:spacing w:before="120"/>
      </w:pPr>
      <w:r>
        <w:tab/>
        <w:t>(4)</w:t>
      </w:r>
      <w:r>
        <w:tab/>
        <w:t>A delegation made under subsection (2) or (3) may expressly authorise the delegate to further delegate the function to another person.</w:t>
      </w:r>
    </w:p>
    <w:p>
      <w:pPr>
        <w:pStyle w:val="Subsection"/>
        <w:spacing w:before="120"/>
      </w:pPr>
      <w:r>
        <w:tab/>
        <w:t>(5)</w:t>
      </w:r>
      <w:r>
        <w:tab/>
        <w:t>A delegation or subdelegation made under this section must be in writing and signed by the delegator.</w:t>
      </w:r>
    </w:p>
    <w:p>
      <w:pPr>
        <w:pStyle w:val="Subsection"/>
        <w:spacing w:before="120"/>
      </w:pPr>
      <w:r>
        <w:tab/>
        <w:t>(6)</w:t>
      </w:r>
      <w:r>
        <w:tab/>
        <w:t>A person performing a function that has been delegated to the person under, or as authorised under, this section is to be taken to do so in accordance with the terms of the delegation unless the contrary is shown.</w:t>
      </w:r>
    </w:p>
    <w:p>
      <w:pPr>
        <w:pStyle w:val="Subsection"/>
        <w:spacing w:before="120"/>
      </w:pPr>
      <w:r>
        <w:tab/>
        <w:t>(7)</w:t>
      </w:r>
      <w:r>
        <w:tab/>
        <w:t>Nothing in this section limits the ability of the CEO or the Chief Health Officer to act through an officer or agent.</w:t>
      </w:r>
    </w:p>
    <w:p>
      <w:pPr>
        <w:pStyle w:val="Footnotesection"/>
      </w:pPr>
      <w:r>
        <w:tab/>
        <w:t>[Section 13A inserted: No. 19 of 2016 s. 8.]</w:t>
      </w:r>
    </w:p>
    <w:p>
      <w:pPr>
        <w:pStyle w:val="Ednotesection"/>
        <w:spacing w:before="180"/>
        <w:ind w:left="890" w:hanging="890"/>
      </w:pPr>
      <w:r>
        <w:t>[</w:t>
      </w:r>
      <w:r>
        <w:rPr>
          <w:b/>
        </w:rPr>
        <w:t>13, 14.</w:t>
      </w:r>
      <w:r>
        <w:tab/>
        <w:t>Deleted: No. 19 of 2016 s. 212.]</w:t>
      </w:r>
    </w:p>
    <w:p>
      <w:pPr>
        <w:pStyle w:val="Ednotesection"/>
        <w:spacing w:before="180"/>
        <w:ind w:left="890" w:hanging="890"/>
      </w:pPr>
      <w:r>
        <w:t>[</w:t>
      </w:r>
      <w:r>
        <w:rPr>
          <w:b/>
        </w:rPr>
        <w:t>15.</w:t>
      </w:r>
      <w:r>
        <w:tab/>
        <w:t>Deleted: No. 19 of 2016 s. 213.]</w:t>
      </w:r>
    </w:p>
    <w:p>
      <w:pPr>
        <w:pStyle w:val="Heading5"/>
        <w:rPr>
          <w:snapToGrid w:val="0"/>
        </w:rPr>
      </w:pPr>
      <w:bookmarkStart w:id="38" w:name="_Toc225765717"/>
      <w:bookmarkStart w:id="39" w:name="_Toc209710642"/>
      <w:r>
        <w:rPr>
          <w:rStyle w:val="CharSectno"/>
        </w:rPr>
        <w:t>16</w:t>
      </w:r>
      <w:r>
        <w:rPr>
          <w:snapToGrid w:val="0"/>
        </w:rPr>
        <w:t>.</w:t>
      </w:r>
      <w:r>
        <w:rPr>
          <w:snapToGrid w:val="0"/>
        </w:rPr>
        <w:tab/>
        <w:t>Chief Health Officer may act where no local government</w:t>
      </w:r>
      <w:bookmarkEnd w:id="38"/>
      <w:bookmarkEnd w:id="39"/>
    </w:p>
    <w:p>
      <w:pPr>
        <w:pStyle w:val="Subsection"/>
        <w:rPr>
          <w:snapToGrid w:val="0"/>
        </w:rPr>
      </w:pPr>
      <w:r>
        <w:rPr>
          <w:snapToGrid w:val="0"/>
        </w:rPr>
        <w:tab/>
      </w:r>
      <w:r>
        <w:rPr>
          <w:snapToGrid w:val="0"/>
        </w:rPr>
        <w:tab/>
        <w:t xml:space="preserve">The </w:t>
      </w:r>
      <w:r>
        <w:t xml:space="preserve">Chief Health Officer </w:t>
      </w:r>
      <w:r>
        <w:rPr>
          <w:snapToGrid w:val="0"/>
        </w:rPr>
        <w:t>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No. 28 of 1984 s. 45; No. 14 of 1996 s. 4; No. 19 of 2016 s. 100.]</w:t>
      </w:r>
    </w:p>
    <w:p>
      <w:pPr>
        <w:pStyle w:val="Heading5"/>
        <w:spacing w:before="180"/>
        <w:rPr>
          <w:snapToGrid w:val="0"/>
        </w:rPr>
      </w:pPr>
      <w:bookmarkStart w:id="40" w:name="_Toc225765718"/>
      <w:bookmarkStart w:id="41" w:name="_Toc209710643"/>
      <w:r>
        <w:rPr>
          <w:rStyle w:val="CharSectno"/>
        </w:rPr>
        <w:t>17</w:t>
      </w:r>
      <w:r>
        <w:rPr>
          <w:snapToGrid w:val="0"/>
        </w:rPr>
        <w:t>.</w:t>
      </w:r>
      <w:r>
        <w:rPr>
          <w:snapToGrid w:val="0"/>
        </w:rPr>
        <w:tab/>
        <w:t>Expenditure to be paid out of appropriated moneys</w:t>
      </w:r>
      <w:bookmarkEnd w:id="40"/>
      <w:bookmarkEnd w:id="41"/>
    </w:p>
    <w:p>
      <w:pPr>
        <w:pStyle w:val="Subsection"/>
        <w:spacing w:before="100"/>
        <w:rPr>
          <w:snapToGrid w:val="0"/>
        </w:rPr>
      </w:pPr>
      <w:r>
        <w:rPr>
          <w:snapToGrid w:val="0"/>
        </w:rPr>
        <w:tab/>
      </w:r>
      <w:r>
        <w:rPr>
          <w:snapToGrid w:val="0"/>
        </w:rPr>
        <w:tab/>
        <w:t xml:space="preserve">All expenses incurred by the </w:t>
      </w:r>
      <w:r>
        <w:t xml:space="preserve">Chief Health Officer </w:t>
      </w:r>
      <w:r>
        <w:rPr>
          <w:snapToGrid w:val="0"/>
        </w:rPr>
        <w:t>or incurred with sanction of the Governor by any local government may be defrayed out of the moneys that may from time to time be appropriated by Parliament for the purpose.</w:t>
      </w:r>
    </w:p>
    <w:p>
      <w:pPr>
        <w:pStyle w:val="Footnotesection"/>
      </w:pPr>
      <w:r>
        <w:tab/>
        <w:t>[Section 17 amended: No. 28 of 1984 s. 45; No. 14 of 1996 s. 4; No. 19 of 2016 s. 100.]</w:t>
      </w:r>
    </w:p>
    <w:p>
      <w:pPr>
        <w:pStyle w:val="Heading3"/>
        <w:spacing w:before="120"/>
        <w:rPr>
          <w:snapToGrid w:val="0"/>
        </w:rPr>
      </w:pPr>
      <w:bookmarkStart w:id="42" w:name="_Toc225760692"/>
      <w:bookmarkStart w:id="43" w:name="_Toc225761024"/>
      <w:bookmarkStart w:id="44" w:name="_Toc225765719"/>
      <w:bookmarkStart w:id="45" w:name="_Toc209701168"/>
      <w:bookmarkStart w:id="46" w:name="_Toc209702786"/>
      <w:bookmarkStart w:id="47" w:name="_Toc209703118"/>
      <w:bookmarkStart w:id="48" w:name="_Toc209710644"/>
      <w:r>
        <w:rPr>
          <w:rStyle w:val="CharDivNo"/>
        </w:rPr>
        <w:t>Division 2</w:t>
      </w:r>
      <w:r>
        <w:rPr>
          <w:snapToGrid w:val="0"/>
        </w:rPr>
        <w:t> — </w:t>
      </w:r>
      <w:r>
        <w:rPr>
          <w:rStyle w:val="CharDivText"/>
        </w:rPr>
        <w:t>Local governments</w:t>
      </w:r>
      <w:bookmarkEnd w:id="42"/>
      <w:bookmarkEnd w:id="43"/>
      <w:bookmarkEnd w:id="44"/>
      <w:bookmarkEnd w:id="45"/>
      <w:bookmarkEnd w:id="46"/>
      <w:bookmarkEnd w:id="47"/>
      <w:bookmarkEnd w:id="48"/>
    </w:p>
    <w:p>
      <w:pPr>
        <w:pStyle w:val="Footnoteheading"/>
        <w:ind w:left="890" w:hanging="890"/>
        <w:rPr>
          <w:snapToGrid w:val="0"/>
        </w:rPr>
      </w:pPr>
      <w:r>
        <w:rPr>
          <w:snapToGrid w:val="0"/>
        </w:rPr>
        <w:tab/>
        <w:t>[Heading amended: No. 14 of 1996 s. 4.]</w:t>
      </w:r>
    </w:p>
    <w:p>
      <w:pPr>
        <w:pStyle w:val="Ednotesection"/>
        <w:spacing w:before="180"/>
        <w:ind w:left="890" w:hanging="890"/>
      </w:pPr>
      <w:r>
        <w:t>[</w:t>
      </w:r>
      <w:r>
        <w:rPr>
          <w:b/>
        </w:rPr>
        <w:t>18, 19, 19A.</w:t>
      </w:r>
      <w:r>
        <w:tab/>
        <w:t>Deleted: No. 14 of 1996 s. 4.]</w:t>
      </w:r>
    </w:p>
    <w:p>
      <w:pPr>
        <w:pStyle w:val="Ednotesection"/>
        <w:spacing w:before="180"/>
        <w:ind w:left="890" w:hanging="890"/>
      </w:pPr>
      <w:r>
        <w:t>[</w:t>
      </w:r>
      <w:r>
        <w:rPr>
          <w:b/>
        </w:rPr>
        <w:t>20, 21.</w:t>
      </w:r>
      <w:r>
        <w:tab/>
        <w:t>Deleted: No. 57 of 1985 s. 12.]</w:t>
      </w:r>
    </w:p>
    <w:p>
      <w:pPr>
        <w:pStyle w:val="Heading5"/>
        <w:spacing w:before="120"/>
        <w:rPr>
          <w:snapToGrid w:val="0"/>
        </w:rPr>
      </w:pPr>
      <w:bookmarkStart w:id="49" w:name="_Toc225765720"/>
      <w:bookmarkStart w:id="50" w:name="_Toc209710645"/>
      <w:r>
        <w:rPr>
          <w:rStyle w:val="CharSectno"/>
        </w:rPr>
        <w:t>22</w:t>
      </w:r>
      <w:r>
        <w:rPr>
          <w:snapToGrid w:val="0"/>
        </w:rPr>
        <w:t>.</w:t>
      </w:r>
      <w:r>
        <w:rPr>
          <w:snapToGrid w:val="0"/>
        </w:rPr>
        <w:tab/>
        <w:t>Annexation</w:t>
      </w:r>
      <w:bookmarkEnd w:id="49"/>
      <w:bookmarkEnd w:id="50"/>
    </w:p>
    <w:p>
      <w:pPr>
        <w:pStyle w:val="Subsection"/>
        <w:spacing w:before="120"/>
        <w:rPr>
          <w:snapToGrid w:val="0"/>
        </w:rPr>
      </w:pPr>
      <w:r>
        <w:rPr>
          <w:snapToGrid w:val="0"/>
        </w:rPr>
        <w:tab/>
        <w:t>(1)</w:t>
      </w:r>
      <w:r>
        <w:rPr>
          <w:snapToGrid w:val="0"/>
        </w:rPr>
        <w:tab/>
        <w:t xml:space="preserve">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w:t>
      </w:r>
      <w:r>
        <w:t>Chief Health Officer</w:t>
      </w:r>
      <w:r>
        <w:rPr>
          <w:snapToGrid w:val="0"/>
        </w:rPr>
        <w:t xml:space="preserve"> considers necessary as consequential to such removal shall be made as and in the manner the </w:t>
      </w:r>
      <w:r>
        <w:t>Chief Health Officer</w:t>
      </w:r>
      <w:r>
        <w:rPr>
          <w:snapToGrid w:val="0"/>
        </w:rPr>
        <w:t xml:space="preserve">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spacing w:before="100"/>
        <w:ind w:left="890" w:hanging="890"/>
      </w:pPr>
      <w:r>
        <w:tab/>
        <w:t>[Section 22, formerly section 21, renumbered as section 22: No. 38 of 1933 s. 42; amended: No. 25 of 1950 s. 3; No. 28 of 1984 s. 45; No. 14 of 1996 s. 4; No. 19 of 2016 s. 100.]</w:t>
      </w:r>
    </w:p>
    <w:p>
      <w:pPr>
        <w:pStyle w:val="Ednotesection"/>
      </w:pPr>
      <w:r>
        <w:t>[</w:t>
      </w:r>
      <w:r>
        <w:rPr>
          <w:b/>
        </w:rPr>
        <w:t>23, 24.</w:t>
      </w:r>
      <w:r>
        <w:tab/>
        <w:t>Deleted: No. 57 of 1985 s. 12.]</w:t>
      </w:r>
    </w:p>
    <w:p>
      <w:pPr>
        <w:pStyle w:val="Heading5"/>
        <w:rPr>
          <w:snapToGrid w:val="0"/>
        </w:rPr>
      </w:pPr>
      <w:bookmarkStart w:id="51" w:name="_Toc225765721"/>
      <w:bookmarkStart w:id="52" w:name="_Toc209710646"/>
      <w:r>
        <w:rPr>
          <w:rStyle w:val="CharSectno"/>
        </w:rPr>
        <w:t>25</w:t>
      </w:r>
      <w:r>
        <w:rPr>
          <w:snapToGrid w:val="0"/>
        </w:rPr>
        <w:t>.</w:t>
      </w:r>
      <w:r>
        <w:rPr>
          <w:snapToGrid w:val="0"/>
        </w:rPr>
        <w:tab/>
        <w:t>District may include water</w:t>
      </w:r>
      <w:bookmarkEnd w:id="51"/>
      <w:bookmarkEnd w:id="52"/>
    </w:p>
    <w:p>
      <w:pPr>
        <w:pStyle w:val="Subsection"/>
        <w:spacing w:before="18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80"/>
        <w:rPr>
          <w:snapToGrid w:val="0"/>
        </w:rPr>
      </w:pPr>
      <w:r>
        <w:rPr>
          <w:snapToGrid w:val="0"/>
        </w:rPr>
        <w:tab/>
      </w:r>
      <w:r>
        <w:rPr>
          <w:snapToGrid w:val="0"/>
        </w:rPr>
        <w:tab/>
        <w:t>Provided that the Governor may revoke or vary any order made under this section.</w:t>
      </w:r>
    </w:p>
    <w:p>
      <w:pPr>
        <w:pStyle w:val="Footnoteheading"/>
        <w:rPr>
          <w:snapToGrid w:val="0"/>
        </w:rPr>
      </w:pPr>
      <w:r>
        <w:tab/>
        <w:t xml:space="preserve">[Section 25, formerly section 24, renumbered as section 25: No. 38 of 1933 s. 42.] </w:t>
      </w:r>
    </w:p>
    <w:p>
      <w:pPr>
        <w:pStyle w:val="Heading5"/>
        <w:rPr>
          <w:snapToGrid w:val="0"/>
        </w:rPr>
      </w:pPr>
      <w:bookmarkStart w:id="53" w:name="_Toc225765722"/>
      <w:bookmarkStart w:id="54" w:name="_Toc209710647"/>
      <w:r>
        <w:rPr>
          <w:rStyle w:val="CharSectno"/>
        </w:rPr>
        <w:t>26</w:t>
      </w:r>
      <w:r>
        <w:rPr>
          <w:snapToGrid w:val="0"/>
        </w:rPr>
        <w:t>.</w:t>
      </w:r>
      <w:r>
        <w:rPr>
          <w:snapToGrid w:val="0"/>
        </w:rPr>
        <w:tab/>
        <w:t>Powers of local government</w:t>
      </w:r>
      <w:bookmarkEnd w:id="53"/>
      <w:bookmarkEnd w:id="54"/>
    </w:p>
    <w:p>
      <w:pPr>
        <w:pStyle w:val="Subsection"/>
        <w:spacing w:before="18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8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formerly section 25, amended: No. 17 of 1918 s. 5; renumbered as section 26: No. 38 of 1933 s. 42; amended: No. 14 of 1996 s. 4.]</w:t>
      </w:r>
    </w:p>
    <w:p>
      <w:pPr>
        <w:pStyle w:val="Ednotesection"/>
        <w:spacing w:before="180"/>
        <w:ind w:left="890" w:hanging="890"/>
      </w:pPr>
      <w:r>
        <w:t>[</w:t>
      </w:r>
      <w:r>
        <w:rPr>
          <w:b/>
        </w:rPr>
        <w:t>27-34.</w:t>
      </w:r>
      <w:r>
        <w:tab/>
        <w:t>Deleted: No. 19 of 2016 s. 9.]</w:t>
      </w:r>
    </w:p>
    <w:p>
      <w:pPr>
        <w:pStyle w:val="Heading5"/>
        <w:rPr>
          <w:snapToGrid w:val="0"/>
        </w:rPr>
      </w:pPr>
      <w:bookmarkStart w:id="55" w:name="_Toc225765723"/>
      <w:bookmarkStart w:id="56" w:name="_Toc209710648"/>
      <w:r>
        <w:rPr>
          <w:rStyle w:val="CharSectno"/>
        </w:rPr>
        <w:t>35</w:t>
      </w:r>
      <w:r>
        <w:rPr>
          <w:snapToGrid w:val="0"/>
        </w:rPr>
        <w:t>.</w:t>
      </w:r>
      <w:r>
        <w:rPr>
          <w:snapToGrid w:val="0"/>
        </w:rPr>
        <w:tab/>
        <w:t>Proceedings on default of local government</w:t>
      </w:r>
      <w:bookmarkEnd w:id="55"/>
      <w:bookmarkEnd w:id="56"/>
    </w:p>
    <w:p>
      <w:pPr>
        <w:pStyle w:val="Subsection"/>
        <w:spacing w:before="180"/>
        <w:rPr>
          <w:snapToGrid w:val="0"/>
        </w:rPr>
      </w:pPr>
      <w:r>
        <w:rPr>
          <w:snapToGrid w:val="0"/>
        </w:rPr>
        <w:tab/>
        <w:t>(1)</w:t>
      </w:r>
      <w:r>
        <w:rPr>
          <w:snapToGrid w:val="0"/>
        </w:rPr>
        <w:tab/>
        <w:t xml:space="preserve">Where in the opinion of the </w:t>
      </w:r>
      <w:r>
        <w:t>Chief Health Officer</w:t>
      </w:r>
      <w:r>
        <w:rPr>
          <w:snapToGrid w:val="0"/>
        </w:rPr>
        <w:t xml:space="preserve"> any local government has made default in enforcing or carrying out or complying with any provisions of or in the exercise of any power conferred by this Act, or any local law or regulation thereunder, or of any order of the </w:t>
      </w:r>
      <w:r>
        <w:t>Chief Health Officer</w:t>
      </w:r>
      <w:r>
        <w:rPr>
          <w:snapToGrid w:val="0"/>
        </w:rPr>
        <w:t xml:space="preserve">, which it is the duty of such local government to enforce, carry out, comply with, or exercise, the </w:t>
      </w:r>
      <w:r>
        <w:t>Chief Health Officer</w:t>
      </w:r>
      <w:r>
        <w:rPr>
          <w:snapToGrid w:val="0"/>
        </w:rPr>
        <w:t xml:space="preserve"> may make an order limiting a time for the performance of the duty of the local government.</w:t>
      </w:r>
    </w:p>
    <w:p>
      <w:pPr>
        <w:pStyle w:val="Subsection"/>
        <w:spacing w:before="180"/>
        <w:rPr>
          <w:snapToGrid w:val="0"/>
        </w:rPr>
      </w:pPr>
      <w:r>
        <w:rPr>
          <w:snapToGrid w:val="0"/>
        </w:rPr>
        <w:tab/>
        <w:t>(2)</w:t>
      </w:r>
      <w:r>
        <w:rPr>
          <w:snapToGrid w:val="0"/>
        </w:rPr>
        <w:tab/>
        <w:t xml:space="preserve">If such duty is not performed within the time limited in such order, the performance of such duty may be enforced by writ of mandamus, or the </w:t>
      </w:r>
      <w:r>
        <w:t>Chief Health Officer</w:t>
      </w:r>
      <w:r>
        <w:rPr>
          <w:snapToGrid w:val="0"/>
        </w:rPr>
        <w:t xml:space="preserve">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180"/>
        <w:rPr>
          <w:snapToGrid w:val="0"/>
        </w:rPr>
      </w:pPr>
      <w:r>
        <w:rPr>
          <w:snapToGrid w:val="0"/>
        </w:rPr>
        <w:tab/>
        <w:t>(3)</w:t>
      </w:r>
      <w:r>
        <w:rPr>
          <w:snapToGrid w:val="0"/>
        </w:rPr>
        <w:tab/>
        <w:t xml:space="preserve">Any person appointed under this section to perform the duty of a defaulting local government shall, in the performance, and for the purposes of such duty, be invested with all the powers of such local government, and may enter into contracts on its behalf, and the </w:t>
      </w:r>
      <w:r>
        <w:t>Chief Health Officer</w:t>
      </w:r>
      <w:r>
        <w:rPr>
          <w:snapToGrid w:val="0"/>
        </w:rPr>
        <w:t xml:space="preserve"> may, from time to time, remove any person so appointed, and appoint another in his place.</w:t>
      </w:r>
    </w:p>
    <w:p>
      <w:pPr>
        <w:pStyle w:val="Subsection"/>
        <w:spacing w:before="180"/>
        <w:rPr>
          <w:snapToGrid w:val="0"/>
        </w:rPr>
      </w:pPr>
      <w:r>
        <w:rPr>
          <w:snapToGrid w:val="0"/>
        </w:rPr>
        <w:tab/>
        <w:t>(4)</w:t>
      </w:r>
      <w:r>
        <w:rPr>
          <w:snapToGrid w:val="0"/>
        </w:rPr>
        <w:tab/>
        <w:t xml:space="preserve">When the </w:t>
      </w:r>
      <w:r>
        <w:t xml:space="preserve">Chief Health </w:t>
      </w:r>
      <w:r>
        <w:rPr>
          <w:snapToGrid w:val="0"/>
        </w:rPr>
        <w:t xml:space="preserve">Officer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w:t>
      </w:r>
      <w:r>
        <w:t>Chief Health Officer</w:t>
      </w:r>
      <w:r>
        <w:rPr>
          <w:snapToGrid w:val="0"/>
        </w:rPr>
        <w:t xml:space="preserve"> is willing to confirm, then the </w:t>
      </w:r>
      <w:r>
        <w:t>Chief Health Officer</w:t>
      </w:r>
      <w:r>
        <w:rPr>
          <w:snapToGrid w:val="0"/>
        </w:rPr>
        <w:t xml:space="preserve"> may, in lieu of the local government, make such local law as he shall consider ought to be made regarding such matter, and any local law so made by the </w:t>
      </w:r>
      <w:r>
        <w:t>Chief Health Officer</w:t>
      </w:r>
      <w:r>
        <w:rPr>
          <w:snapToGrid w:val="0"/>
        </w:rPr>
        <w:t xml:space="preserve"> shall, subject to section 345, have effect as if made by the local government.</w:t>
      </w:r>
    </w:p>
    <w:p>
      <w:pPr>
        <w:pStyle w:val="Footnotesection"/>
        <w:spacing w:before="80"/>
        <w:ind w:left="890" w:hanging="890"/>
      </w:pPr>
      <w:r>
        <w:tab/>
        <w:t>[Section 35, formerly section 34, amended: No. 17 of 1918 s. 7; renumbered as section 35: No. 38 of 1933 s. 42; amended: No. 28 of 1984 s. 45; No. 14 of 1996 s. 4; No. 19 of 2016 s. 100.]</w:t>
      </w:r>
    </w:p>
    <w:p>
      <w:pPr>
        <w:pStyle w:val="Heading5"/>
        <w:spacing w:before="180"/>
        <w:rPr>
          <w:snapToGrid w:val="0"/>
        </w:rPr>
      </w:pPr>
      <w:bookmarkStart w:id="57" w:name="_Toc225765724"/>
      <w:bookmarkStart w:id="58" w:name="_Toc209710649"/>
      <w:r>
        <w:rPr>
          <w:rStyle w:val="CharSectno"/>
        </w:rPr>
        <w:t>36</w:t>
      </w:r>
      <w:r>
        <w:rPr>
          <w:snapToGrid w:val="0"/>
        </w:rPr>
        <w:t>.</w:t>
      </w:r>
      <w:r>
        <w:rPr>
          <w:snapToGrid w:val="0"/>
        </w:rPr>
        <w:tab/>
        <w:t>Review of orders and decisions of local governments by SAT</w:t>
      </w:r>
      <w:bookmarkEnd w:id="57"/>
      <w:bookmarkEnd w:id="58"/>
    </w:p>
    <w:p>
      <w:pPr>
        <w:pStyle w:val="Subsection"/>
        <w:spacing w:before="120"/>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spacing w:before="120"/>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spacing w:before="80"/>
        <w:ind w:left="890" w:hanging="890"/>
      </w:pPr>
      <w:r>
        <w:tab/>
        <w:t>[Section 36, formerly section 35, renumbered as section 36: No. 38 of 1933 s. 42; amended: No. 14 of 1996 s. 4; No. 55 of 2004 s. 479.]</w:t>
      </w:r>
    </w:p>
    <w:p>
      <w:pPr>
        <w:pStyle w:val="Ednotesection"/>
        <w:spacing w:before="180"/>
      </w:pPr>
      <w:r>
        <w:t>[</w:t>
      </w:r>
      <w:r>
        <w:rPr>
          <w:b/>
        </w:rPr>
        <w:t>37.</w:t>
      </w:r>
      <w:r>
        <w:tab/>
        <w:t>Deleted: No. 55 of 2004 s. 480.]</w:t>
      </w:r>
    </w:p>
    <w:p>
      <w:pPr>
        <w:pStyle w:val="Heading5"/>
        <w:spacing w:before="180"/>
        <w:rPr>
          <w:snapToGrid w:val="0"/>
        </w:rPr>
      </w:pPr>
      <w:bookmarkStart w:id="59" w:name="_Toc225765725"/>
      <w:bookmarkStart w:id="60" w:name="_Toc209710650"/>
      <w:r>
        <w:rPr>
          <w:rStyle w:val="CharSectno"/>
        </w:rPr>
        <w:t>38</w:t>
      </w:r>
      <w:r>
        <w:rPr>
          <w:snapToGrid w:val="0"/>
        </w:rPr>
        <w:t>.</w:t>
      </w:r>
      <w:r>
        <w:rPr>
          <w:snapToGrid w:val="0"/>
        </w:rPr>
        <w:tab/>
        <w:t>Local governments to report annually</w:t>
      </w:r>
      <w:bookmarkEnd w:id="59"/>
      <w:bookmarkEnd w:id="60"/>
    </w:p>
    <w:p>
      <w:pPr>
        <w:pStyle w:val="Subsection"/>
        <w:spacing w:before="150"/>
        <w:rPr>
          <w:snapToGrid w:val="0"/>
        </w:rPr>
      </w:pPr>
      <w:r>
        <w:rPr>
          <w:snapToGrid w:val="0"/>
        </w:rPr>
        <w:tab/>
      </w:r>
      <w:r>
        <w:rPr>
          <w:snapToGrid w:val="0"/>
        </w:rPr>
        <w:tab/>
        <w:t xml:space="preserve">Every local government shall, in the prescribed form, during the month of February in every year, and at such other times as the </w:t>
      </w:r>
      <w:r>
        <w:t>Chief Health Officer</w:t>
      </w:r>
      <w:r>
        <w:rPr>
          <w:snapToGrid w:val="0"/>
        </w:rPr>
        <w:t xml:space="preserve"> may direct, report to the </w:t>
      </w:r>
      <w:r>
        <w:t>Chief Health Officer</w:t>
      </w:r>
      <w:r>
        <w:rPr>
          <w:snapToGrid w:val="0"/>
        </w:rPr>
        <w:t xml:space="preserve"> concerning the sanitary conditions of its district, and all works executed and proceedings taken by the local government.</w:t>
      </w:r>
    </w:p>
    <w:p>
      <w:pPr>
        <w:pStyle w:val="Footnotesection"/>
        <w:spacing w:before="80"/>
        <w:ind w:left="890" w:hanging="890"/>
      </w:pPr>
      <w:r>
        <w:tab/>
        <w:t>[Section 38, formerly section 37, renumbered as section 38: No. 38 of 1933 s. 42; amended: No. 28 of 1984 s. 45; No. 14 of 1996 s. 4; No. 19 of 2016 s. 100.]</w:t>
      </w:r>
    </w:p>
    <w:p>
      <w:pPr>
        <w:pStyle w:val="Heading3"/>
        <w:widowControl w:val="0"/>
        <w:spacing w:before="220"/>
        <w:rPr>
          <w:snapToGrid w:val="0"/>
        </w:rPr>
      </w:pPr>
      <w:bookmarkStart w:id="61" w:name="_Toc225760699"/>
      <w:bookmarkStart w:id="62" w:name="_Toc225761031"/>
      <w:bookmarkStart w:id="63" w:name="_Toc225765726"/>
      <w:bookmarkStart w:id="64" w:name="_Toc209701175"/>
      <w:bookmarkStart w:id="65" w:name="_Toc209702793"/>
      <w:bookmarkStart w:id="66" w:name="_Toc209703125"/>
      <w:bookmarkStart w:id="67" w:name="_Toc209710651"/>
      <w:r>
        <w:rPr>
          <w:rStyle w:val="CharDivNo"/>
        </w:rPr>
        <w:t>Division 3</w:t>
      </w:r>
      <w:r>
        <w:rPr>
          <w:snapToGrid w:val="0"/>
        </w:rPr>
        <w:t> — </w:t>
      </w:r>
      <w:r>
        <w:rPr>
          <w:rStyle w:val="CharDivText"/>
        </w:rPr>
        <w:t>The exercise of ministerial control</w:t>
      </w:r>
      <w:bookmarkEnd w:id="61"/>
      <w:bookmarkEnd w:id="62"/>
      <w:bookmarkEnd w:id="63"/>
      <w:bookmarkEnd w:id="64"/>
      <w:bookmarkEnd w:id="65"/>
      <w:bookmarkEnd w:id="66"/>
      <w:bookmarkEnd w:id="67"/>
    </w:p>
    <w:p>
      <w:pPr>
        <w:pStyle w:val="Heading5"/>
        <w:keepNext w:val="0"/>
        <w:keepLines w:val="0"/>
        <w:widowControl w:val="0"/>
        <w:rPr>
          <w:snapToGrid w:val="0"/>
        </w:rPr>
      </w:pPr>
      <w:bookmarkStart w:id="68" w:name="_Toc225765727"/>
      <w:bookmarkStart w:id="69" w:name="_Toc209710652"/>
      <w:r>
        <w:rPr>
          <w:rStyle w:val="CharSectno"/>
        </w:rPr>
        <w:t>39</w:t>
      </w:r>
      <w:r>
        <w:rPr>
          <w:snapToGrid w:val="0"/>
        </w:rPr>
        <w:t>.</w:t>
      </w:r>
      <w:r>
        <w:rPr>
          <w:snapToGrid w:val="0"/>
        </w:rPr>
        <w:tab/>
        <w:t>Powers of Minister</w:t>
      </w:r>
      <w:bookmarkEnd w:id="68"/>
      <w:bookmarkEnd w:id="69"/>
    </w:p>
    <w:p>
      <w:pPr>
        <w:pStyle w:val="Subsection"/>
        <w:widowControl w:val="0"/>
        <w:spacing w:before="200"/>
        <w:rPr>
          <w:snapToGrid w:val="0"/>
        </w:rPr>
      </w:pPr>
      <w:r>
        <w:rPr>
          <w:snapToGrid w:val="0"/>
        </w:rPr>
        <w:tab/>
        <w:t>(1)</w:t>
      </w:r>
      <w:r>
        <w:rPr>
          <w:snapToGrid w:val="0"/>
        </w:rPr>
        <w:tab/>
        <w:t>All the powers, rights, and authorities vested in the</w:t>
      </w:r>
      <w:r>
        <w:t xml:space="preserve"> CEO</w:t>
      </w:r>
      <w:r>
        <w:rPr>
          <w:snapToGrid w:val="0"/>
        </w:rPr>
        <w:t xml:space="preserve">, </w:t>
      </w:r>
      <w:r>
        <w:t xml:space="preserve">Chief Health Officer </w:t>
      </w:r>
      <w:r>
        <w:rPr>
          <w:snapToGrid w:val="0"/>
        </w:rPr>
        <w:t>or any local government shall, whenever he deems fit, be exercisable by the Minister, and when so exercised shall, if so ordered by the Minister, supersede any act, direction, notice, or order of the</w:t>
      </w:r>
      <w:r>
        <w:t xml:space="preserve"> CEO</w:t>
      </w:r>
      <w:r>
        <w:rPr>
          <w:snapToGrid w:val="0"/>
        </w:rPr>
        <w:t xml:space="preserve">, </w:t>
      </w:r>
      <w:r>
        <w:t xml:space="preserve">Chief Health Officer </w:t>
      </w:r>
      <w:r>
        <w:rPr>
          <w:snapToGrid w:val="0"/>
        </w:rPr>
        <w:t>or local government; and every officer, and employee of the local government (whether a member thereof or not) and the</w:t>
      </w:r>
      <w:r>
        <w:t xml:space="preserve"> CEO</w:t>
      </w:r>
      <w:r>
        <w:rPr>
          <w:snapToGrid w:val="0"/>
        </w:rPr>
        <w:t xml:space="preserve">, </w:t>
      </w:r>
      <w:r>
        <w:t xml:space="preserve">Chief Health Officer </w:t>
      </w:r>
      <w:r>
        <w:rPr>
          <w:snapToGrid w:val="0"/>
        </w:rPr>
        <w:t>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xml:space="preserve">, </w:t>
      </w:r>
      <w:r>
        <w:t xml:space="preserve">Chief Health Officer </w:t>
      </w:r>
      <w:r>
        <w:rPr>
          <w:snapToGrid w:val="0"/>
        </w:rPr>
        <w:t>or local government, whether conferred by Act, regulation, local law, or otherwise.</w:t>
      </w:r>
    </w:p>
    <w:p>
      <w:pPr>
        <w:pStyle w:val="Subsection"/>
        <w:spacing w:before="200"/>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xml:space="preserve">, </w:t>
      </w:r>
      <w:r>
        <w:t xml:space="preserve">Chief Health Officer </w:t>
      </w:r>
      <w:r>
        <w:rPr>
          <w:snapToGrid w:val="0"/>
        </w:rPr>
        <w:t>or local government.</w:t>
      </w:r>
    </w:p>
    <w:p>
      <w:pPr>
        <w:pStyle w:val="Subsection"/>
        <w:spacing w:before="200"/>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keepNext/>
        <w:spacing w:before="200"/>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formerly section 38, renumbered as section 39: No. 38 of 1933 s. 42; amended: No. 28 of 1984 s. 27; No. 14 of 1996 s. 4; No. 28 of 1996 s. 20; No. 28 of 2006 s. 251; No. 19 of 2016 s. 10.]</w:t>
      </w:r>
    </w:p>
    <w:p>
      <w:pPr>
        <w:pStyle w:val="Heading2"/>
      </w:pPr>
      <w:bookmarkStart w:id="70" w:name="_Toc225760701"/>
      <w:bookmarkStart w:id="71" w:name="_Toc225761033"/>
      <w:bookmarkStart w:id="72" w:name="_Toc225765728"/>
      <w:bookmarkStart w:id="73" w:name="_Toc209701177"/>
      <w:bookmarkStart w:id="74" w:name="_Toc209702795"/>
      <w:bookmarkStart w:id="75" w:name="_Toc209703127"/>
      <w:bookmarkStart w:id="76" w:name="_Toc209710653"/>
      <w:r>
        <w:rPr>
          <w:rStyle w:val="CharPartNo"/>
        </w:rPr>
        <w:t>Part III</w:t>
      </w:r>
      <w:r>
        <w:rPr>
          <w:rStyle w:val="CharDivNo"/>
        </w:rPr>
        <w:t> </w:t>
      </w:r>
      <w:r>
        <w:t>—</w:t>
      </w:r>
      <w:r>
        <w:rPr>
          <w:rStyle w:val="CharDivText"/>
        </w:rPr>
        <w:t> </w:t>
      </w:r>
      <w:r>
        <w:rPr>
          <w:rStyle w:val="CharPartText"/>
        </w:rPr>
        <w:t>Financial</w:t>
      </w:r>
      <w:bookmarkEnd w:id="70"/>
      <w:bookmarkEnd w:id="71"/>
      <w:bookmarkEnd w:id="72"/>
      <w:bookmarkEnd w:id="73"/>
      <w:bookmarkEnd w:id="74"/>
      <w:bookmarkEnd w:id="75"/>
      <w:bookmarkEnd w:id="76"/>
    </w:p>
    <w:p>
      <w:pPr>
        <w:pStyle w:val="Heading5"/>
        <w:rPr>
          <w:snapToGrid w:val="0"/>
        </w:rPr>
      </w:pPr>
      <w:bookmarkStart w:id="77" w:name="_Toc225765729"/>
      <w:bookmarkStart w:id="78" w:name="_Toc209710654"/>
      <w:r>
        <w:rPr>
          <w:rStyle w:val="CharSectno"/>
        </w:rPr>
        <w:t>40</w:t>
      </w:r>
      <w:r>
        <w:rPr>
          <w:snapToGrid w:val="0"/>
        </w:rPr>
        <w:t>.</w:t>
      </w:r>
      <w:r>
        <w:rPr>
          <w:snapToGrid w:val="0"/>
        </w:rPr>
        <w:tab/>
        <w:t>Power to levy general health rate</w:t>
      </w:r>
      <w:bookmarkEnd w:id="77"/>
      <w:bookmarkEnd w:id="78"/>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w:t>
      </w:r>
      <w:r>
        <w:rPr>
          <w:snapToGrid w:val="0"/>
          <w:vertAlign w:val="superscript"/>
        </w:rPr>
        <w:t>1</w:t>
      </w:r>
      <w:r>
        <w:rPr>
          <w:snapToGrid w:val="0"/>
        </w:rPr>
        <w:t>/</w:t>
      </w:r>
      <w:r>
        <w:rPr>
          <w:snapToGrid w:val="0"/>
          <w:vertAlign w:val="subscript"/>
        </w:rPr>
        <w:t>3</w:t>
      </w:r>
      <w:r>
        <w:rPr>
          <w:snapToGrid w:val="0"/>
        </w:rPr>
        <w:t xml:space="preserve">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keepNext/>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formerly section 39, renumbered as section 40: No. 38 of 1933 s. 42; amended: No. 25 of 1950 s. 4; No. 113 of 1965 s. 4(1); No. 76 of 1978 s. 50; No. 14 of 1996 s. 4.]</w:t>
      </w:r>
    </w:p>
    <w:p>
      <w:pPr>
        <w:pStyle w:val="Heading5"/>
        <w:rPr>
          <w:snapToGrid w:val="0"/>
        </w:rPr>
      </w:pPr>
      <w:bookmarkStart w:id="79" w:name="_Toc225765730"/>
      <w:bookmarkStart w:id="80" w:name="_Toc209710655"/>
      <w:r>
        <w:rPr>
          <w:rStyle w:val="CharSectno"/>
        </w:rPr>
        <w:t>41</w:t>
      </w:r>
      <w:r>
        <w:rPr>
          <w:snapToGrid w:val="0"/>
        </w:rPr>
        <w:t>.</w:t>
      </w:r>
      <w:r>
        <w:rPr>
          <w:snapToGrid w:val="0"/>
        </w:rPr>
        <w:tab/>
        <w:t>Sanitary rate</w:t>
      </w:r>
      <w:bookmarkEnd w:id="79"/>
      <w:bookmarkEnd w:id="80"/>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keepNext/>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formerly section 40, amended: No. 5 of 1933 s. 2; No. 38 of 1933 s. 2; renumbered as section 41: No. 38 of 1933 s. 42; amended: No. 25 of 1950 s. 5; No. 113 of 1965 s. 4(1); No. 2 of 1975 s. 3; No. 76 of 1978 s. 51; No. 14 of 1996 s. 4; No. 36 of 2007 Sch. 4 cl. 4(2).]</w:t>
      </w:r>
    </w:p>
    <w:p>
      <w:pPr>
        <w:pStyle w:val="Heading5"/>
        <w:keepLines w:val="0"/>
        <w:spacing w:before="180"/>
        <w:rPr>
          <w:snapToGrid w:val="0"/>
        </w:rPr>
      </w:pPr>
      <w:bookmarkStart w:id="81" w:name="_Toc225765731"/>
      <w:bookmarkStart w:id="82" w:name="_Toc209710656"/>
      <w:r>
        <w:rPr>
          <w:rStyle w:val="CharSectno"/>
        </w:rPr>
        <w:t>42</w:t>
      </w:r>
      <w:r>
        <w:rPr>
          <w:snapToGrid w:val="0"/>
        </w:rPr>
        <w:t>.</w:t>
      </w:r>
      <w:r>
        <w:rPr>
          <w:snapToGrid w:val="0"/>
        </w:rPr>
        <w:tab/>
        <w:t>Supplementary rates</w:t>
      </w:r>
      <w:bookmarkEnd w:id="81"/>
      <w:bookmarkEnd w:id="82"/>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formerly section 41, renumbered as section 42: No. 38 of 1933 s. 42; amended: No. 14 of 1996 s. 4.]</w:t>
      </w:r>
    </w:p>
    <w:p>
      <w:pPr>
        <w:pStyle w:val="Ednotesection"/>
      </w:pPr>
      <w:r>
        <w:t>[</w:t>
      </w:r>
      <w:r>
        <w:rPr>
          <w:b/>
        </w:rPr>
        <w:t>43.</w:t>
      </w:r>
      <w:r>
        <w:tab/>
        <w:t>Deleted: No. 57 of 1985 s. 12.]</w:t>
      </w:r>
    </w:p>
    <w:p>
      <w:pPr>
        <w:pStyle w:val="Heading5"/>
        <w:rPr>
          <w:snapToGrid w:val="0"/>
        </w:rPr>
      </w:pPr>
      <w:bookmarkStart w:id="83" w:name="_Toc225765732"/>
      <w:bookmarkStart w:id="84" w:name="_Toc209710657"/>
      <w:r>
        <w:rPr>
          <w:rStyle w:val="CharSectno"/>
        </w:rPr>
        <w:t>44</w:t>
      </w:r>
      <w:r>
        <w:rPr>
          <w:snapToGrid w:val="0"/>
        </w:rPr>
        <w:t>.</w:t>
      </w:r>
      <w:r>
        <w:rPr>
          <w:snapToGrid w:val="0"/>
        </w:rPr>
        <w:tab/>
        <w:t>Borrowing powers</w:t>
      </w:r>
      <w:bookmarkEnd w:id="83"/>
      <w:bookmarkEnd w:id="84"/>
    </w:p>
    <w:p>
      <w:pPr>
        <w:pStyle w:val="Subsection"/>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keepNext/>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formerly section 43, amended: No. 50 of 1926 s. 4; No. 30 of 1932 s. 7; No. 5 of 1933 s. 4; No. 38 of 1933 s. 3; renumbered as section 44: No. 38 of 1933 s. 42; amended: No. 16 of 1935 s. 2; No. 32 of 1937 s. 3; No. 59 of 1991 s. 7; No. 14 of 1996 s. 4.]</w:t>
      </w:r>
    </w:p>
    <w:p>
      <w:pPr>
        <w:pStyle w:val="Heading5"/>
        <w:rPr>
          <w:snapToGrid w:val="0"/>
        </w:rPr>
      </w:pPr>
      <w:bookmarkStart w:id="85" w:name="_Toc225765733"/>
      <w:bookmarkStart w:id="86" w:name="_Toc209710658"/>
      <w:r>
        <w:rPr>
          <w:rStyle w:val="CharSectno"/>
        </w:rPr>
        <w:t>45</w:t>
      </w:r>
      <w:r>
        <w:rPr>
          <w:snapToGrid w:val="0"/>
        </w:rPr>
        <w:t>.</w:t>
      </w:r>
      <w:r>
        <w:rPr>
          <w:snapToGrid w:val="0"/>
        </w:rPr>
        <w:tab/>
        <w:t>Special loan rate</w:t>
      </w:r>
      <w:bookmarkEnd w:id="85"/>
      <w:bookmarkEnd w:id="86"/>
    </w:p>
    <w:p>
      <w:pPr>
        <w:pStyle w:val="Subsection"/>
        <w:rPr>
          <w:snapToGrid w:val="0"/>
        </w:rPr>
      </w:pPr>
      <w:r>
        <w:rPr>
          <w:snapToGrid w:val="0"/>
        </w:rPr>
        <w:tab/>
      </w:r>
      <w:r>
        <w:rPr>
          <w:snapToGrid w:val="0"/>
        </w:rPr>
        <w:tab/>
        <w:t xml:space="preserve">Where in any year it becomes necessary to strike a rate for the purpose of providing the interest and sinking fund of any such loan, the local government shall, under the provisions of the </w:t>
      </w:r>
      <w:r>
        <w:rPr>
          <w:i/>
          <w:snapToGrid w:val="0"/>
        </w:rPr>
        <w:t>Local Government Act 1995</w:t>
      </w:r>
      <w:r>
        <w:rPr>
          <w:snapToGrid w:val="0"/>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No. 38 of 1933 s. 4 and 42; amended: No. 27 of 1994 s. 42; No. 14 of 1996 s. 4.]</w:t>
      </w:r>
    </w:p>
    <w:p>
      <w:pPr>
        <w:pStyle w:val="Heading5"/>
        <w:rPr>
          <w:iCs/>
          <w:snapToGrid w:val="0"/>
        </w:rPr>
      </w:pPr>
      <w:bookmarkStart w:id="87" w:name="_Toc225765734"/>
      <w:bookmarkStart w:id="88" w:name="_Toc209710659"/>
      <w:r>
        <w:rPr>
          <w:rStyle w:val="CharSectno"/>
        </w:rPr>
        <w:t>46</w:t>
      </w:r>
      <w:r>
        <w:rPr>
          <w:snapToGrid w:val="0"/>
        </w:rPr>
        <w:t>.</w:t>
      </w:r>
      <w:r>
        <w:rPr>
          <w:snapToGrid w:val="0"/>
        </w:rPr>
        <w:tab/>
        <w:t xml:space="preserve">Application of rating provisions of </w:t>
      </w:r>
      <w:r>
        <w:rPr>
          <w:i/>
          <w:iCs/>
          <w:snapToGrid w:val="0"/>
        </w:rPr>
        <w:t>Local Government Act 1995</w:t>
      </w:r>
      <w:bookmarkEnd w:id="87"/>
      <w:bookmarkEnd w:id="88"/>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spacing w:before="180"/>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ind w:left="890" w:hanging="890"/>
      </w:pPr>
      <w:r>
        <w:tab/>
        <w:t>[Section 46 inserted: No. 38 of 1933 s. 5 and 42; amended: No. 38 of 1933 s. 5; No. 14 of 1996 s. 4.]</w:t>
      </w:r>
    </w:p>
    <w:p>
      <w:pPr>
        <w:pStyle w:val="Heading5"/>
        <w:keepNext w:val="0"/>
        <w:spacing w:before="180"/>
        <w:rPr>
          <w:snapToGrid w:val="0"/>
        </w:rPr>
      </w:pPr>
      <w:bookmarkStart w:id="89" w:name="_Toc225765735"/>
      <w:bookmarkStart w:id="90" w:name="_Toc209710660"/>
      <w:r>
        <w:rPr>
          <w:rStyle w:val="CharSectno"/>
        </w:rPr>
        <w:t>47</w:t>
      </w:r>
      <w:r>
        <w:rPr>
          <w:snapToGrid w:val="0"/>
        </w:rPr>
        <w:t>.</w:t>
      </w:r>
      <w:r>
        <w:rPr>
          <w:snapToGrid w:val="0"/>
        </w:rPr>
        <w:tab/>
        <w:t>Health rate to be regarded in determining borrowing powers</w:t>
      </w:r>
      <w:bookmarkEnd w:id="89"/>
      <w:bookmarkEnd w:id="90"/>
    </w:p>
    <w:p>
      <w:pPr>
        <w:pStyle w:val="Subsection"/>
        <w:keepLines/>
        <w:spacing w:before="120"/>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ind w:left="890" w:hanging="890"/>
      </w:pPr>
      <w:r>
        <w:tab/>
        <w:t>[Section 47, formerly section 46, renumbered as section 47: No. 38 of 1933 s. 42; amended: No. 14 of 1996 s. 4.]</w:t>
      </w:r>
    </w:p>
    <w:p>
      <w:pPr>
        <w:pStyle w:val="Heading5"/>
        <w:spacing w:before="180"/>
        <w:rPr>
          <w:snapToGrid w:val="0"/>
        </w:rPr>
      </w:pPr>
      <w:bookmarkStart w:id="91" w:name="_Toc225765736"/>
      <w:bookmarkStart w:id="92" w:name="_Toc209710661"/>
      <w:r>
        <w:rPr>
          <w:rStyle w:val="CharSectno"/>
        </w:rPr>
        <w:t>48</w:t>
      </w:r>
      <w:r>
        <w:rPr>
          <w:snapToGrid w:val="0"/>
        </w:rPr>
        <w:t>.</w:t>
      </w:r>
      <w:r>
        <w:rPr>
          <w:snapToGrid w:val="0"/>
        </w:rPr>
        <w:tab/>
        <w:t>Time for giving notice of rate may be extended</w:t>
      </w:r>
      <w:bookmarkEnd w:id="91"/>
      <w:bookmarkEnd w:id="92"/>
    </w:p>
    <w:p>
      <w:pPr>
        <w:pStyle w:val="Subsection"/>
        <w:spacing w:before="120"/>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ind w:left="890" w:hanging="890"/>
      </w:pPr>
      <w:r>
        <w:tab/>
        <w:t>[Section 48, formerly section 47, renumbered as section 48: No. 38 of 1933 s. 42; amended: No. 14 of 1996 s. 4.]</w:t>
      </w:r>
    </w:p>
    <w:p>
      <w:pPr>
        <w:pStyle w:val="Heading5"/>
        <w:spacing w:before="180"/>
        <w:rPr>
          <w:snapToGrid w:val="0"/>
        </w:rPr>
      </w:pPr>
      <w:bookmarkStart w:id="93" w:name="_Toc225765737"/>
      <w:bookmarkStart w:id="94" w:name="_Toc209710662"/>
      <w:r>
        <w:rPr>
          <w:rStyle w:val="CharSectno"/>
        </w:rPr>
        <w:t>49</w:t>
      </w:r>
      <w:r>
        <w:rPr>
          <w:snapToGrid w:val="0"/>
        </w:rPr>
        <w:t>.</w:t>
      </w:r>
      <w:r>
        <w:rPr>
          <w:snapToGrid w:val="0"/>
        </w:rPr>
        <w:tab/>
        <w:t>Accounts and audit</w:t>
      </w:r>
      <w:bookmarkEnd w:id="93"/>
      <w:bookmarkEnd w:id="94"/>
    </w:p>
    <w:p>
      <w:pPr>
        <w:pStyle w:val="Ednotesubsection"/>
        <w:keepNext/>
        <w:spacing w:before="120"/>
      </w:pPr>
      <w:r>
        <w:tab/>
        <w:t>[(1)</w:t>
      </w:r>
      <w:r>
        <w:tab/>
        <w:t>deleted]</w:t>
      </w:r>
    </w:p>
    <w:p>
      <w:pPr>
        <w:pStyle w:val="Subsection"/>
        <w:spacing w:before="120"/>
        <w:rPr>
          <w:snapToGrid w:val="0"/>
        </w:rPr>
      </w:pPr>
      <w:r>
        <w:rPr>
          <w:snapToGrid w:val="0"/>
        </w:rPr>
        <w:tab/>
        <w:t>(2)</w:t>
      </w:r>
      <w:r>
        <w:rPr>
          <w:snapToGrid w:val="0"/>
        </w:rPr>
        <w:tab/>
        <w:t xml:space="preserve">Every local government shall, within one month from the close of its financial year, forward to the </w:t>
      </w:r>
      <w:r>
        <w:t xml:space="preserve">Chief Health Officer </w:t>
      </w:r>
      <w:r>
        <w:rPr>
          <w:snapToGrid w:val="0"/>
        </w:rPr>
        <w:t xml:space="preserve">a full statement of its accounts in the prescribed form, and shall furnish from time to time such information in regard to the state of the accounts and of its liabilities and of its assets as may be required by the </w:t>
      </w:r>
      <w:r>
        <w:t>Chief Health Officer</w:t>
      </w:r>
      <w:r>
        <w:rPr>
          <w:snapToGrid w:val="0"/>
        </w:rPr>
        <w:t>.</w:t>
      </w:r>
    </w:p>
    <w:p>
      <w:pPr>
        <w:pStyle w:val="Footnotesection"/>
        <w:keepLines w:val="0"/>
        <w:ind w:left="890" w:hanging="890"/>
      </w:pPr>
      <w:r>
        <w:tab/>
        <w:t>[Section 49, formerly section 48, renumbered as section 49: No. 38 of 1933 s. 42; amended: No. 28 of 1984 s. 45; No. 14 of 1996 s. 4; No. 19 of 2016 s. 100.]</w:t>
      </w:r>
    </w:p>
    <w:p>
      <w:pPr>
        <w:pStyle w:val="Ednotesection"/>
        <w:spacing w:before="240"/>
      </w:pPr>
      <w:r>
        <w:t>[</w:t>
      </w:r>
      <w:r>
        <w:rPr>
          <w:b/>
        </w:rPr>
        <w:t>50.</w:t>
      </w:r>
      <w:r>
        <w:tab/>
        <w:t>Deleted: No. 57 of 1985 s. 12.]</w:t>
      </w:r>
    </w:p>
    <w:p>
      <w:pPr>
        <w:pStyle w:val="Ednotesection"/>
        <w:spacing w:before="240"/>
      </w:pPr>
      <w:r>
        <w:t>[</w:t>
      </w:r>
      <w:r>
        <w:rPr>
          <w:b/>
        </w:rPr>
        <w:t>51.</w:t>
      </w:r>
      <w:r>
        <w:tab/>
        <w:t>Deleted: No. 14 of 1996 s. 4.]</w:t>
      </w:r>
    </w:p>
    <w:p>
      <w:pPr>
        <w:pStyle w:val="Heading5"/>
        <w:spacing w:before="240"/>
        <w:rPr>
          <w:snapToGrid w:val="0"/>
        </w:rPr>
      </w:pPr>
      <w:bookmarkStart w:id="95" w:name="_Toc225765738"/>
      <w:bookmarkStart w:id="96" w:name="_Toc209710663"/>
      <w:r>
        <w:rPr>
          <w:rStyle w:val="CharSectno"/>
        </w:rPr>
        <w:t>52</w:t>
      </w:r>
      <w:r>
        <w:rPr>
          <w:snapToGrid w:val="0"/>
        </w:rPr>
        <w:t>.</w:t>
      </w:r>
      <w:r>
        <w:rPr>
          <w:snapToGrid w:val="0"/>
        </w:rPr>
        <w:tab/>
        <w:t>Financial adjustment</w:t>
      </w:r>
      <w:bookmarkEnd w:id="95"/>
      <w:bookmarkEnd w:id="96"/>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w:t>
      </w:r>
      <w:r>
        <w:rPr>
          <w:snapToGrid w:val="0"/>
          <w:vertAlign w:val="superscript"/>
        </w:rPr>
        <w:t> 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formerly section 51, renumbered as section 52: No. 38 of 1933 s. 42; amended: No. 14 of 1996 s. 4.]</w:t>
      </w:r>
    </w:p>
    <w:p>
      <w:pPr>
        <w:pStyle w:val="Heading2"/>
      </w:pPr>
      <w:bookmarkStart w:id="97" w:name="_Toc225760712"/>
      <w:bookmarkStart w:id="98" w:name="_Toc225761044"/>
      <w:bookmarkStart w:id="99" w:name="_Toc225765739"/>
      <w:bookmarkStart w:id="100" w:name="_Toc209701188"/>
      <w:bookmarkStart w:id="101" w:name="_Toc209702806"/>
      <w:bookmarkStart w:id="102" w:name="_Toc209703138"/>
      <w:bookmarkStart w:id="103" w:name="_Toc209710664"/>
      <w:r>
        <w:rPr>
          <w:rStyle w:val="CharPartNo"/>
        </w:rPr>
        <w:t>Part IV</w:t>
      </w:r>
      <w:r>
        <w:t> — </w:t>
      </w:r>
      <w:r>
        <w:rPr>
          <w:rStyle w:val="CharPartText"/>
        </w:rPr>
        <w:t>Sanitary provisions</w:t>
      </w:r>
      <w:bookmarkEnd w:id="97"/>
      <w:bookmarkEnd w:id="98"/>
      <w:bookmarkEnd w:id="99"/>
      <w:bookmarkEnd w:id="100"/>
      <w:bookmarkEnd w:id="101"/>
      <w:bookmarkEnd w:id="102"/>
      <w:bookmarkEnd w:id="103"/>
    </w:p>
    <w:p>
      <w:pPr>
        <w:pStyle w:val="Heading3"/>
        <w:rPr>
          <w:snapToGrid w:val="0"/>
        </w:rPr>
      </w:pPr>
      <w:bookmarkStart w:id="104" w:name="_Toc225760713"/>
      <w:bookmarkStart w:id="105" w:name="_Toc225761045"/>
      <w:bookmarkStart w:id="106" w:name="_Toc225765740"/>
      <w:bookmarkStart w:id="107" w:name="_Toc209701189"/>
      <w:bookmarkStart w:id="108" w:name="_Toc209702807"/>
      <w:bookmarkStart w:id="109" w:name="_Toc209703139"/>
      <w:bookmarkStart w:id="110" w:name="_Toc209710665"/>
      <w:r>
        <w:rPr>
          <w:rStyle w:val="CharDivNo"/>
        </w:rPr>
        <w:t>Division 1</w:t>
      </w:r>
      <w:r>
        <w:rPr>
          <w:snapToGrid w:val="0"/>
        </w:rPr>
        <w:t> — </w:t>
      </w:r>
      <w:r>
        <w:rPr>
          <w:rStyle w:val="CharDivText"/>
        </w:rPr>
        <w:t>Sewerage and drainage schemes</w:t>
      </w:r>
      <w:bookmarkEnd w:id="104"/>
      <w:bookmarkEnd w:id="105"/>
      <w:bookmarkEnd w:id="106"/>
      <w:bookmarkEnd w:id="107"/>
      <w:bookmarkEnd w:id="108"/>
      <w:bookmarkEnd w:id="109"/>
      <w:bookmarkEnd w:id="110"/>
    </w:p>
    <w:p>
      <w:pPr>
        <w:pStyle w:val="Footnoteheading"/>
        <w:ind w:left="890" w:hanging="890"/>
        <w:rPr>
          <w:snapToGrid w:val="0"/>
        </w:rPr>
      </w:pPr>
      <w:r>
        <w:rPr>
          <w:snapToGrid w:val="0"/>
        </w:rPr>
        <w:tab/>
        <w:t>[Heading inserted: No. 38 of 1933 s. 42.]</w:t>
      </w:r>
    </w:p>
    <w:p>
      <w:pPr>
        <w:pStyle w:val="Heading5"/>
        <w:rPr>
          <w:snapToGrid w:val="0"/>
        </w:rPr>
      </w:pPr>
      <w:bookmarkStart w:id="111" w:name="_Toc225765741"/>
      <w:bookmarkStart w:id="112" w:name="_Toc209710666"/>
      <w:r>
        <w:rPr>
          <w:rStyle w:val="CharSectno"/>
        </w:rPr>
        <w:t>53</w:t>
      </w:r>
      <w:r>
        <w:rPr>
          <w:snapToGrid w:val="0"/>
        </w:rPr>
        <w:t>.</w:t>
      </w:r>
      <w:r>
        <w:rPr>
          <w:snapToGrid w:val="0"/>
        </w:rPr>
        <w:tab/>
        <w:t>Sewers vested in local government</w:t>
      </w:r>
      <w:bookmarkEnd w:id="111"/>
      <w:bookmarkEnd w:id="112"/>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No. 38 of 1933 s. 10 and 42; amended: No. 14 of 1996 s. 4.]</w:t>
      </w:r>
    </w:p>
    <w:p>
      <w:pPr>
        <w:pStyle w:val="Heading5"/>
        <w:rPr>
          <w:snapToGrid w:val="0"/>
        </w:rPr>
      </w:pPr>
      <w:bookmarkStart w:id="113" w:name="_Toc225765742"/>
      <w:bookmarkStart w:id="114" w:name="_Toc209710667"/>
      <w:r>
        <w:rPr>
          <w:rStyle w:val="CharSectno"/>
        </w:rPr>
        <w:t>54</w:t>
      </w:r>
      <w:r>
        <w:rPr>
          <w:snapToGrid w:val="0"/>
        </w:rPr>
        <w:t>.</w:t>
      </w:r>
      <w:r>
        <w:rPr>
          <w:snapToGrid w:val="0"/>
        </w:rPr>
        <w:tab/>
        <w:t>Power of local government to construct and maintain sewers</w:t>
      </w:r>
      <w:bookmarkEnd w:id="113"/>
      <w:bookmarkEnd w:id="114"/>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ind w:left="890" w:hanging="890"/>
      </w:pPr>
      <w:r>
        <w:tab/>
        <w:t>[Section 54 inserted: No. 38 of 1933 s. 11 and 42; amended: No. 14 of 1996 s. 4; No. 28 of 1996 s. 5.]</w:t>
      </w:r>
    </w:p>
    <w:p>
      <w:pPr>
        <w:pStyle w:val="Heading5"/>
        <w:rPr>
          <w:snapToGrid w:val="0"/>
        </w:rPr>
      </w:pPr>
      <w:bookmarkStart w:id="115" w:name="_Toc225765743"/>
      <w:bookmarkStart w:id="116" w:name="_Toc209710668"/>
      <w:r>
        <w:rPr>
          <w:rStyle w:val="CharSectno"/>
        </w:rPr>
        <w:t>55</w:t>
      </w:r>
      <w:r>
        <w:rPr>
          <w:snapToGrid w:val="0"/>
        </w:rPr>
        <w:t>.</w:t>
      </w:r>
      <w:r>
        <w:rPr>
          <w:snapToGrid w:val="0"/>
        </w:rPr>
        <w:tab/>
        <w:t>Governor</w:t>
      </w:r>
      <w:r>
        <w:rPr>
          <w:snapToGrid w:val="0"/>
          <w:sz w:val="22"/>
        </w:rPr>
        <w:t>’</w:t>
      </w:r>
      <w:r>
        <w:rPr>
          <w:snapToGrid w:val="0"/>
        </w:rPr>
        <w:t>s approval necessary to all schemes</w:t>
      </w:r>
      <w:bookmarkEnd w:id="115"/>
      <w:bookmarkEnd w:id="116"/>
    </w:p>
    <w:p>
      <w:pPr>
        <w:pStyle w:val="Subsection"/>
        <w:rPr>
          <w:snapToGrid w:val="0"/>
        </w:rPr>
      </w:pPr>
      <w:r>
        <w:rPr>
          <w:snapToGrid w:val="0"/>
        </w:rPr>
        <w:tab/>
        <w:t>(1)</w:t>
      </w:r>
      <w:r>
        <w:rPr>
          <w:snapToGrid w:val="0"/>
        </w:rPr>
        <w:tab/>
        <w:t xml:space="preserve">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w:t>
      </w:r>
      <w:r>
        <w:t>Chief Health Officer</w:t>
      </w:r>
      <w:r>
        <w:rPr>
          <w:snapToGrid w:val="0"/>
        </w:rPr>
        <w:t xml:space="preserve">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 xml:space="preserve">The local government or authorities shall forward such general plan and description to the </w:t>
      </w:r>
      <w:r>
        <w:t>Chief Health Officer</w:t>
      </w:r>
      <w:r>
        <w:rPr>
          <w:snapToGrid w:val="0"/>
        </w:rPr>
        <w:t xml:space="preserve">. The </w:t>
      </w:r>
      <w:r>
        <w:t>Chief Health Officer</w:t>
      </w:r>
      <w:r>
        <w:rPr>
          <w:snapToGrid w:val="0"/>
        </w:rPr>
        <w:t xml:space="preserve">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 xml:space="preserve">The local government or authorities concerned, shall, if required by the </w:t>
      </w:r>
      <w:r>
        <w:t>Chief Health Officer</w:t>
      </w:r>
      <w:r>
        <w:rPr>
          <w:snapToGrid w:val="0"/>
        </w:rPr>
        <w:t>,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No. 38 of 1933 s. 12 and 42; amended: No. 113 of 1965 s. 4(1); No. 28 of 1984 s. 45; No. 59 of 1991 s. 8; No. 14 of 1996 s. 4; No. 8 of 2009 s. 71(2); No. 19 of 2016 s. 100.]</w:t>
      </w:r>
    </w:p>
    <w:p>
      <w:pPr>
        <w:pStyle w:val="Heading5"/>
        <w:rPr>
          <w:snapToGrid w:val="0"/>
        </w:rPr>
      </w:pPr>
      <w:bookmarkStart w:id="117" w:name="_Toc225765744"/>
      <w:bookmarkStart w:id="118" w:name="_Toc209710669"/>
      <w:r>
        <w:rPr>
          <w:rStyle w:val="CharSectno"/>
        </w:rPr>
        <w:t>56</w:t>
      </w:r>
      <w:r>
        <w:rPr>
          <w:snapToGrid w:val="0"/>
        </w:rPr>
        <w:t>.</w:t>
      </w:r>
      <w:r>
        <w:rPr>
          <w:snapToGrid w:val="0"/>
        </w:rPr>
        <w:tab/>
        <w:t>Power to do acts preliminary to formulating scheme</w:t>
      </w:r>
      <w:bookmarkEnd w:id="117"/>
      <w:bookmarkEnd w:id="118"/>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No. 38 of 1933 s. 13 and 42; amended: No. 14 of 1996 s. 4; No. 28 of 1996 s. 20.]</w:t>
      </w:r>
    </w:p>
    <w:p>
      <w:pPr>
        <w:pStyle w:val="Heading5"/>
        <w:keepNext w:val="0"/>
        <w:keepLines w:val="0"/>
        <w:rPr>
          <w:snapToGrid w:val="0"/>
        </w:rPr>
      </w:pPr>
      <w:bookmarkStart w:id="119" w:name="_Toc225765745"/>
      <w:bookmarkStart w:id="120" w:name="_Toc209710670"/>
      <w:r>
        <w:rPr>
          <w:rStyle w:val="CharSectno"/>
        </w:rPr>
        <w:t>57</w:t>
      </w:r>
      <w:r>
        <w:rPr>
          <w:snapToGrid w:val="0"/>
        </w:rPr>
        <w:t>.</w:t>
      </w:r>
      <w:r>
        <w:rPr>
          <w:snapToGrid w:val="0"/>
        </w:rPr>
        <w:tab/>
        <w:t>Notice of plans and specifications</w:t>
      </w:r>
      <w:bookmarkEnd w:id="119"/>
      <w:bookmarkEnd w:id="120"/>
    </w:p>
    <w:p>
      <w:pPr>
        <w:pStyle w:val="Subsection"/>
        <w:rPr>
          <w:snapToGrid w:val="0"/>
        </w:rPr>
      </w:pPr>
      <w:r>
        <w:rPr>
          <w:snapToGrid w:val="0"/>
        </w:rPr>
        <w:tab/>
        <w:t>(1)</w:t>
      </w:r>
      <w:r>
        <w:rPr>
          <w:snapToGrid w:val="0"/>
        </w:rPr>
        <w:tab/>
        <w:t xml:space="preserve">A notice stating that the application and general plan and description have been forwarded to the </w:t>
      </w:r>
      <w:r>
        <w:t>Chief Health Officer</w:t>
      </w:r>
      <w:r>
        <w:rPr>
          <w:snapToGrid w:val="0"/>
        </w:rPr>
        <w:t>,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ind w:left="890" w:hanging="890"/>
      </w:pPr>
      <w:r>
        <w:tab/>
        <w:t>[Section 57 inserted: No. 38 of 1933 s. 14 and 42; amended: No. 28 of 1984 s. 45; No. 14 of 1996 s. 4; No. 19 of 2016 s. 100.]</w:t>
      </w:r>
    </w:p>
    <w:p>
      <w:pPr>
        <w:pStyle w:val="Heading5"/>
        <w:rPr>
          <w:snapToGrid w:val="0"/>
        </w:rPr>
      </w:pPr>
      <w:bookmarkStart w:id="121" w:name="_Toc225765746"/>
      <w:bookmarkStart w:id="122" w:name="_Toc209710671"/>
      <w:r>
        <w:rPr>
          <w:rStyle w:val="CharSectno"/>
        </w:rPr>
        <w:t>58</w:t>
      </w:r>
      <w:r>
        <w:rPr>
          <w:snapToGrid w:val="0"/>
        </w:rPr>
        <w:t>.</w:t>
      </w:r>
      <w:r>
        <w:rPr>
          <w:snapToGrid w:val="0"/>
        </w:rPr>
        <w:tab/>
        <w:t>Objections</w:t>
      </w:r>
      <w:bookmarkEnd w:id="121"/>
      <w:bookmarkEnd w:id="122"/>
    </w:p>
    <w:p>
      <w:pPr>
        <w:pStyle w:val="Subsection"/>
        <w:spacing w:before="12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keepNext/>
        <w:spacing w:before="120"/>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ind w:left="890" w:hanging="890"/>
      </w:pPr>
      <w:r>
        <w:tab/>
        <w:t>[Section 58 inserted: No. 38 of 1933 s. 15 and 42; amended: No. 14 of 1996 s. 4.]</w:t>
      </w:r>
    </w:p>
    <w:p>
      <w:pPr>
        <w:pStyle w:val="Heading5"/>
        <w:rPr>
          <w:snapToGrid w:val="0"/>
          <w:spacing w:val="-4"/>
        </w:rPr>
      </w:pPr>
      <w:bookmarkStart w:id="123" w:name="_Toc225765747"/>
      <w:bookmarkStart w:id="124" w:name="_Toc209710672"/>
      <w:r>
        <w:rPr>
          <w:rStyle w:val="CharSectno"/>
        </w:rPr>
        <w:t>59</w:t>
      </w:r>
      <w:r>
        <w:rPr>
          <w:snapToGrid w:val="0"/>
        </w:rPr>
        <w:t>.</w:t>
      </w:r>
      <w:r>
        <w:rPr>
          <w:snapToGrid w:val="0"/>
        </w:rPr>
        <w:tab/>
      </w:r>
      <w:r>
        <w:rPr>
          <w:snapToGrid w:val="0"/>
          <w:spacing w:val="-4"/>
        </w:rPr>
        <w:t>Copies of plans and specifications to be available for inspection</w:t>
      </w:r>
      <w:bookmarkEnd w:id="123"/>
      <w:bookmarkEnd w:id="124"/>
    </w:p>
    <w:p>
      <w:pPr>
        <w:pStyle w:val="Subsection"/>
        <w:rPr>
          <w:snapToGrid w:val="0"/>
        </w:rPr>
      </w:pPr>
      <w:r>
        <w:rPr>
          <w:snapToGrid w:val="0"/>
        </w:rPr>
        <w:tab/>
      </w:r>
      <w:r>
        <w:rPr>
          <w:snapToGrid w:val="0"/>
        </w:rPr>
        <w:tab/>
        <w:t xml:space="preserve">A true copy of the application, and of the general plan and description forwarded to the </w:t>
      </w:r>
      <w:r>
        <w:t>Chief Health Officer</w:t>
      </w:r>
      <w:r>
        <w:rPr>
          <w:snapToGrid w:val="0"/>
        </w:rPr>
        <w:t xml:space="preserve">, shall be deposited for the inspection, without payment, of any person who desires to inspect the same, at the office of the local government and also at the office of the </w:t>
      </w:r>
      <w:r>
        <w:t>Chief Health Officer</w:t>
      </w:r>
      <w:r>
        <w:rPr>
          <w:snapToGrid w:val="0"/>
        </w:rPr>
        <w:t>.</w:t>
      </w:r>
    </w:p>
    <w:p>
      <w:pPr>
        <w:pStyle w:val="Footnotesection"/>
      </w:pPr>
      <w:r>
        <w:tab/>
        <w:t>[Section 59 inserted: No. 38 of 1933 s. 16 and 42; amended: No. 28 of 1984 s. 45; No. 14 of 1996 s. 4; No. 19 of 2016 s. 100.]</w:t>
      </w:r>
    </w:p>
    <w:p>
      <w:pPr>
        <w:pStyle w:val="Heading5"/>
        <w:spacing w:before="180"/>
        <w:rPr>
          <w:snapToGrid w:val="0"/>
        </w:rPr>
      </w:pPr>
      <w:bookmarkStart w:id="125" w:name="_Toc225765748"/>
      <w:bookmarkStart w:id="126" w:name="_Toc209710673"/>
      <w:r>
        <w:rPr>
          <w:rStyle w:val="CharSectno"/>
        </w:rPr>
        <w:t>60</w:t>
      </w:r>
      <w:r>
        <w:rPr>
          <w:snapToGrid w:val="0"/>
        </w:rPr>
        <w:t>.</w:t>
      </w:r>
      <w:r>
        <w:rPr>
          <w:snapToGrid w:val="0"/>
        </w:rPr>
        <w:tab/>
        <w:t>Conditions on which Minister may recommend scheme to Governor</w:t>
      </w:r>
      <w:bookmarkEnd w:id="125"/>
      <w:bookmarkEnd w:id="126"/>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keepNext/>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No. 38 of 1933 s. 17 and 42; amended: No. 16 of 1935 s. 3; No. 14 of 1996 s. 4.]</w:t>
      </w:r>
    </w:p>
    <w:p>
      <w:pPr>
        <w:pStyle w:val="Heading5"/>
        <w:rPr>
          <w:snapToGrid w:val="0"/>
        </w:rPr>
      </w:pPr>
      <w:bookmarkStart w:id="127" w:name="_Toc225765749"/>
      <w:bookmarkStart w:id="128" w:name="_Toc209710674"/>
      <w:r>
        <w:rPr>
          <w:rStyle w:val="CharSectno"/>
        </w:rPr>
        <w:t>61</w:t>
      </w:r>
      <w:r>
        <w:rPr>
          <w:snapToGrid w:val="0"/>
        </w:rPr>
        <w:t>.</w:t>
      </w:r>
      <w:r>
        <w:rPr>
          <w:snapToGrid w:val="0"/>
        </w:rPr>
        <w:tab/>
        <w:t>Apportionment of costs and maintenance of joint schemes</w:t>
      </w:r>
      <w:bookmarkEnd w:id="127"/>
      <w:bookmarkEnd w:id="128"/>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No. 38 of 1933 s. 18 and 42; amended: No. 14 of 1996 s. 4.]</w:t>
      </w:r>
    </w:p>
    <w:p>
      <w:pPr>
        <w:pStyle w:val="Heading5"/>
        <w:rPr>
          <w:snapToGrid w:val="0"/>
        </w:rPr>
      </w:pPr>
      <w:bookmarkStart w:id="129" w:name="_Toc225765750"/>
      <w:bookmarkStart w:id="130" w:name="_Toc209710675"/>
      <w:r>
        <w:rPr>
          <w:rStyle w:val="CharSectno"/>
        </w:rPr>
        <w:t>62</w:t>
      </w:r>
      <w:r>
        <w:rPr>
          <w:snapToGrid w:val="0"/>
        </w:rPr>
        <w:t>.</w:t>
      </w:r>
      <w:r>
        <w:rPr>
          <w:snapToGrid w:val="0"/>
        </w:rPr>
        <w:tab/>
        <w:t>Powers of local government in carrying out works</w:t>
      </w:r>
      <w:bookmarkEnd w:id="129"/>
      <w:bookmarkEnd w:id="130"/>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keepNext/>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0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No. 38 of 1933 s. 19 and 42; amended: No. 14 of 1996 s. 4; No. 31 of 1997 s. 32(1); No. 55 of 2004 s. 481.]</w:t>
      </w:r>
    </w:p>
    <w:p>
      <w:pPr>
        <w:pStyle w:val="MiscellaneousHeading"/>
        <w:keepNext w:val="0"/>
        <w:spacing w:before="120"/>
        <w:rPr>
          <w:i/>
          <w:snapToGrid w:val="0"/>
        </w:rPr>
      </w:pPr>
      <w:r>
        <w:rPr>
          <w:i/>
          <w:snapToGrid w:val="0"/>
        </w:rPr>
        <w:t>Limited or party schemes</w:t>
      </w:r>
    </w:p>
    <w:p>
      <w:pPr>
        <w:pStyle w:val="Footnoteheading"/>
        <w:keepNext/>
        <w:keepLines/>
        <w:spacing w:before="140"/>
        <w:ind w:left="890" w:hanging="890"/>
        <w:rPr>
          <w:snapToGrid w:val="0"/>
        </w:rPr>
      </w:pPr>
      <w:r>
        <w:rPr>
          <w:snapToGrid w:val="0"/>
        </w:rPr>
        <w:tab/>
        <w:t>[Heading inserted: No. 38 of 1933 s. 19.]</w:t>
      </w:r>
    </w:p>
    <w:p>
      <w:pPr>
        <w:pStyle w:val="Heading5"/>
        <w:spacing w:before="120"/>
        <w:rPr>
          <w:snapToGrid w:val="0"/>
        </w:rPr>
      </w:pPr>
      <w:bookmarkStart w:id="131" w:name="_Toc225765751"/>
      <w:bookmarkStart w:id="132" w:name="_Toc209710676"/>
      <w:r>
        <w:rPr>
          <w:rStyle w:val="CharSectno"/>
        </w:rPr>
        <w:t>63</w:t>
      </w:r>
      <w:r>
        <w:rPr>
          <w:snapToGrid w:val="0"/>
        </w:rPr>
        <w:t>.</w:t>
      </w:r>
      <w:r>
        <w:rPr>
          <w:snapToGrid w:val="0"/>
        </w:rPr>
        <w:tab/>
        <w:t>Recovery of cost of limited schemes from owners of premises served</w:t>
      </w:r>
      <w:bookmarkEnd w:id="131"/>
      <w:bookmarkEnd w:id="132"/>
    </w:p>
    <w:p>
      <w:pPr>
        <w:pStyle w:val="Subsection"/>
        <w:spacing w:before="100"/>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keepNext/>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spacing w:before="140"/>
        <w:ind w:left="890" w:hanging="890"/>
      </w:pPr>
      <w:r>
        <w:tab/>
        <w:t>[Section 63 inserted: No. 38 of 1933 s. 20 and 42; amended: No. 14 of 1996 s. 4; No. 55 of 2004 s. 482.]</w:t>
      </w:r>
    </w:p>
    <w:p>
      <w:pPr>
        <w:pStyle w:val="Heading5"/>
        <w:spacing w:before="240"/>
        <w:rPr>
          <w:snapToGrid w:val="0"/>
        </w:rPr>
      </w:pPr>
      <w:bookmarkStart w:id="133" w:name="_Toc225765752"/>
      <w:bookmarkStart w:id="134" w:name="_Toc209710677"/>
      <w:r>
        <w:rPr>
          <w:rStyle w:val="CharSectno"/>
        </w:rPr>
        <w:t>63A</w:t>
      </w:r>
      <w:r>
        <w:rPr>
          <w:snapToGrid w:val="0"/>
        </w:rPr>
        <w:t xml:space="preserve">. </w:t>
      </w:r>
      <w:r>
        <w:rPr>
          <w:snapToGrid w:val="0"/>
        </w:rPr>
        <w:tab/>
        <w:t>Interpretation</w:t>
      </w:r>
      <w:bookmarkEnd w:id="133"/>
      <w:bookmarkEnd w:id="134"/>
    </w:p>
    <w:p>
      <w:pPr>
        <w:pStyle w:val="Subsection"/>
        <w:spacing w:before="180"/>
        <w:rPr>
          <w:snapToGrid w:val="0"/>
        </w:rPr>
      </w:pPr>
      <w:r>
        <w:rPr>
          <w:snapToGrid w:val="0"/>
        </w:rPr>
        <w:tab/>
      </w:r>
      <w:r>
        <w:rPr>
          <w:snapToGrid w:val="0"/>
        </w:rPr>
        <w:tab/>
        <w:t>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a</w:t>
      </w:r>
      <w:r>
        <w:t xml:space="preserve"> licensee as defined in the </w:t>
      </w:r>
      <w:r>
        <w:rPr>
          <w:i/>
          <w:iCs/>
        </w:rPr>
        <w:t xml:space="preserve">Water Services Act 2012 </w:t>
      </w:r>
      <w:r>
        <w:t xml:space="preserve">section 3(1) </w:t>
      </w:r>
      <w:r>
        <w:rPr>
          <w:snapToGrid w:val="0"/>
        </w:rPr>
        <w:t>and notwithstanding that the works or the sewer may not have been actually carried out or constructed by the local government.</w:t>
      </w:r>
    </w:p>
    <w:p>
      <w:pPr>
        <w:pStyle w:val="Footnotesection"/>
        <w:keepLines w:val="0"/>
        <w:spacing w:line="200" w:lineRule="atLeast"/>
        <w:ind w:left="890" w:hanging="890"/>
      </w:pPr>
      <w:r>
        <w:tab/>
        <w:t>[Section 63A inserted: No. 52 of 1968 s. 2; amended: No. 73 of 1995 s. 188; No. 14 of 1996 s. 4; No. 25 of 2012 s. 216.]</w:t>
      </w:r>
    </w:p>
    <w:p>
      <w:pPr>
        <w:pStyle w:val="Heading5"/>
        <w:spacing w:before="180"/>
        <w:rPr>
          <w:snapToGrid w:val="0"/>
        </w:rPr>
      </w:pPr>
      <w:bookmarkStart w:id="135" w:name="_Toc225765753"/>
      <w:bookmarkStart w:id="136" w:name="_Toc209710678"/>
      <w:r>
        <w:rPr>
          <w:rStyle w:val="CharSectno"/>
        </w:rPr>
        <w:t>64</w:t>
      </w:r>
      <w:r>
        <w:rPr>
          <w:snapToGrid w:val="0"/>
        </w:rPr>
        <w:t>.</w:t>
      </w:r>
      <w:r>
        <w:rPr>
          <w:snapToGrid w:val="0"/>
        </w:rPr>
        <w:tab/>
        <w:t>Agreements for recouping costs and paying maintenance in case of limited schemes</w:t>
      </w:r>
      <w:bookmarkEnd w:id="135"/>
      <w:bookmarkEnd w:id="136"/>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keepNext/>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rPr>
        <w:t>Commercial Arbitration Act 2012</w:t>
      </w:r>
      <w: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rPr>
        <w:t>Commercial Arbitration Act 2012</w:t>
      </w:r>
      <w:r>
        <w:rPr>
          <w:snapToGrid w:val="0"/>
        </w:rPr>
        <w:t>, shall apply as if the parties had agreed to a reference of such question.</w:t>
      </w:r>
    </w:p>
    <w:p>
      <w:pPr>
        <w:pStyle w:val="Subsection"/>
        <w:keepLines/>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keepNext/>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spacing w:after="240"/>
        <w:ind w:left="890" w:hanging="890"/>
      </w:pPr>
      <w:r>
        <w:tab/>
        <w:t>[Section 64 inserted: No. 38 of 1933 s. 21 and 42; amended: No. 16 of 1935 s. 4; No. 109 of 1985 s. 3(1); No. 14 of 1996 s. 4; No. 23 of 2012 s. 45.]</w:t>
      </w:r>
    </w:p>
    <w:p>
      <w:pPr>
        <w:pStyle w:val="Heading5"/>
        <w:spacing w:before="180"/>
        <w:rPr>
          <w:snapToGrid w:val="0"/>
        </w:rPr>
      </w:pPr>
      <w:bookmarkStart w:id="137" w:name="_Toc225765754"/>
      <w:bookmarkStart w:id="138" w:name="_Toc209710679"/>
      <w:r>
        <w:rPr>
          <w:rStyle w:val="CharSectno"/>
        </w:rPr>
        <w:t>65</w:t>
      </w:r>
      <w:r>
        <w:rPr>
          <w:snapToGrid w:val="0"/>
        </w:rPr>
        <w:t>.</w:t>
      </w:r>
      <w:r>
        <w:rPr>
          <w:snapToGrid w:val="0"/>
        </w:rPr>
        <w:tab/>
        <w:t>Power to acquire land</w:t>
      </w:r>
      <w:bookmarkEnd w:id="137"/>
      <w:bookmarkEnd w:id="138"/>
    </w:p>
    <w:p>
      <w:pPr>
        <w:pStyle w:val="Subsection"/>
        <w:spacing w:before="180"/>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spacing w:before="180"/>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spacing w:before="80"/>
        <w:ind w:left="890" w:hanging="890"/>
      </w:pPr>
      <w:r>
        <w:tab/>
        <w:t>[Section 65 inserted: No. 38 of 1933 s. 22 and 42; amended: No. 14 of 1996 s. 4; No. 31 of 1997 s. 142.]</w:t>
      </w:r>
    </w:p>
    <w:p>
      <w:pPr>
        <w:pStyle w:val="Heading5"/>
        <w:rPr>
          <w:snapToGrid w:val="0"/>
        </w:rPr>
      </w:pPr>
      <w:bookmarkStart w:id="139" w:name="_Toc225765755"/>
      <w:bookmarkStart w:id="140" w:name="_Toc209710680"/>
      <w:r>
        <w:rPr>
          <w:rStyle w:val="CharSectno"/>
        </w:rPr>
        <w:t>66</w:t>
      </w:r>
      <w:r>
        <w:rPr>
          <w:snapToGrid w:val="0"/>
        </w:rPr>
        <w:t>.</w:t>
      </w:r>
      <w:r>
        <w:rPr>
          <w:snapToGrid w:val="0"/>
        </w:rPr>
        <w:tab/>
        <w:t>Duty of local government where street broken up</w:t>
      </w:r>
      <w:bookmarkEnd w:id="139"/>
      <w:bookmarkEnd w:id="140"/>
    </w:p>
    <w:p>
      <w:pPr>
        <w:pStyle w:val="Subsection"/>
        <w:spacing w:before="180"/>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ind w:left="890" w:hanging="890"/>
      </w:pPr>
      <w:r>
        <w:tab/>
        <w:t>[Section 66 inserted: No. 38 of 1933 s. 23 and 42; amended: No. 14 of 1996 s. 4.]</w:t>
      </w:r>
    </w:p>
    <w:p>
      <w:pPr>
        <w:pStyle w:val="Heading5"/>
        <w:rPr>
          <w:snapToGrid w:val="0"/>
        </w:rPr>
      </w:pPr>
      <w:bookmarkStart w:id="141" w:name="_Toc225765756"/>
      <w:bookmarkStart w:id="142" w:name="_Toc209710681"/>
      <w:r>
        <w:rPr>
          <w:rStyle w:val="CharSectno"/>
        </w:rPr>
        <w:t>67</w:t>
      </w:r>
      <w:r>
        <w:rPr>
          <w:snapToGrid w:val="0"/>
        </w:rPr>
        <w:t>.</w:t>
      </w:r>
      <w:r>
        <w:rPr>
          <w:snapToGrid w:val="0"/>
        </w:rPr>
        <w:tab/>
        <w:t>Interfering with works of other authorities</w:t>
      </w:r>
      <w:bookmarkEnd w:id="141"/>
      <w:bookmarkEnd w:id="142"/>
    </w:p>
    <w:p>
      <w:pPr>
        <w:pStyle w:val="Subsection"/>
        <w:spacing w:before="18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ind w:left="890" w:hanging="890"/>
      </w:pPr>
      <w:r>
        <w:tab/>
        <w:t>[Section 67 inserted: No. 38 of 1933 s. 24 and 42; amended: No. 14 of 1996 s. 4.]</w:t>
      </w:r>
    </w:p>
    <w:p>
      <w:pPr>
        <w:pStyle w:val="Heading5"/>
        <w:rPr>
          <w:snapToGrid w:val="0"/>
        </w:rPr>
      </w:pPr>
      <w:bookmarkStart w:id="143" w:name="_Toc225765757"/>
      <w:bookmarkStart w:id="144" w:name="_Toc209710682"/>
      <w:r>
        <w:rPr>
          <w:rStyle w:val="CharSectno"/>
        </w:rPr>
        <w:t>68</w:t>
      </w:r>
      <w:r>
        <w:rPr>
          <w:snapToGrid w:val="0"/>
        </w:rPr>
        <w:t>.</w:t>
      </w:r>
      <w:r>
        <w:rPr>
          <w:snapToGrid w:val="0"/>
        </w:rPr>
        <w:tab/>
        <w:t>Alteration of sewerage works</w:t>
      </w:r>
      <w:bookmarkEnd w:id="143"/>
      <w:bookmarkEnd w:id="144"/>
    </w:p>
    <w:p>
      <w:pPr>
        <w:pStyle w:val="Subsection"/>
        <w:spacing w:before="180"/>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No. 38 of 1933 s. 25 and 42; amended: No. 14 of 1996 s. 4.]</w:t>
      </w:r>
    </w:p>
    <w:p>
      <w:pPr>
        <w:pStyle w:val="Heading5"/>
        <w:rPr>
          <w:snapToGrid w:val="0"/>
        </w:rPr>
      </w:pPr>
      <w:bookmarkStart w:id="145" w:name="_Toc225765758"/>
      <w:bookmarkStart w:id="146" w:name="_Toc209710683"/>
      <w:r>
        <w:rPr>
          <w:rStyle w:val="CharSectno"/>
        </w:rPr>
        <w:t>69</w:t>
      </w:r>
      <w:r>
        <w:rPr>
          <w:snapToGrid w:val="0"/>
        </w:rPr>
        <w:t>.</w:t>
      </w:r>
      <w:r>
        <w:rPr>
          <w:snapToGrid w:val="0"/>
        </w:rPr>
        <w:tab/>
        <w:t>Ventilating shafts etc. may be attached to walls and buildings</w:t>
      </w:r>
      <w:bookmarkEnd w:id="145"/>
      <w:bookmarkEnd w:id="146"/>
    </w:p>
    <w:p>
      <w:pPr>
        <w:pStyle w:val="Subsection"/>
        <w:spacing w:before="180"/>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 higher than any window or door situated at a distance of 9 m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No. 38 of 1933 s. 26 and 42; amended: No. 94 of 1972 s. 4(1) (as amended: No. 83 of 1973 s. 3); No. 14 of 1996 s. 4.]</w:t>
      </w:r>
    </w:p>
    <w:p>
      <w:pPr>
        <w:pStyle w:val="Heading5"/>
        <w:spacing w:before="180"/>
        <w:rPr>
          <w:snapToGrid w:val="0"/>
        </w:rPr>
      </w:pPr>
      <w:bookmarkStart w:id="147" w:name="_Toc225765759"/>
      <w:bookmarkStart w:id="148" w:name="_Toc209710684"/>
      <w:r>
        <w:rPr>
          <w:rStyle w:val="CharSectno"/>
        </w:rPr>
        <w:t>70</w:t>
      </w:r>
      <w:r>
        <w:rPr>
          <w:snapToGrid w:val="0"/>
        </w:rPr>
        <w:t>.</w:t>
      </w:r>
      <w:r>
        <w:rPr>
          <w:snapToGrid w:val="0"/>
        </w:rPr>
        <w:tab/>
        <w:t>Maps of systems to be kept</w:t>
      </w:r>
      <w:bookmarkEnd w:id="147"/>
      <w:bookmarkEnd w:id="148"/>
    </w:p>
    <w:p>
      <w:pPr>
        <w:pStyle w:val="Subsection"/>
        <w:spacing w:before="120"/>
        <w:rPr>
          <w:snapToGrid w:val="0"/>
        </w:rPr>
      </w:pPr>
      <w:r>
        <w:rPr>
          <w:snapToGrid w:val="0"/>
        </w:rPr>
        <w:tab/>
      </w:r>
      <w:r>
        <w:rPr>
          <w:snapToGrid w:val="0"/>
        </w:rPr>
        <w:tab/>
        <w:t xml:space="preserve">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w:t>
      </w:r>
      <w:r>
        <w:t>Chief Health Officer</w:t>
      </w:r>
      <w:r>
        <w:rPr>
          <w:snapToGrid w:val="0"/>
        </w:rPr>
        <w:t>,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No. 38 of 1933 s. 27 and 42; amended: No. 28 of 1984 s. 45; No. 14 of 1996 s. 4; No. 19 of 2016 s. 100.]</w:t>
      </w:r>
    </w:p>
    <w:p>
      <w:pPr>
        <w:pStyle w:val="Heading5"/>
        <w:rPr>
          <w:snapToGrid w:val="0"/>
        </w:rPr>
      </w:pPr>
      <w:bookmarkStart w:id="149" w:name="_Toc225765760"/>
      <w:bookmarkStart w:id="150" w:name="_Toc209710685"/>
      <w:r>
        <w:rPr>
          <w:rStyle w:val="CharSectno"/>
        </w:rPr>
        <w:t>71</w:t>
      </w:r>
      <w:r>
        <w:rPr>
          <w:snapToGrid w:val="0"/>
        </w:rPr>
        <w:t>.</w:t>
      </w:r>
      <w:r>
        <w:rPr>
          <w:snapToGrid w:val="0"/>
        </w:rPr>
        <w:tab/>
        <w:t>Sewers to be kept cleansed</w:t>
      </w:r>
      <w:bookmarkEnd w:id="149"/>
      <w:bookmarkEnd w:id="150"/>
    </w:p>
    <w:p>
      <w:pPr>
        <w:pStyle w:val="Subsection"/>
        <w:spacing w:before="1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No. 38 of 1933 s. 28 and 42; amended: No. 14 of 1996 s. 4.]</w:t>
      </w:r>
    </w:p>
    <w:p>
      <w:pPr>
        <w:pStyle w:val="Heading3"/>
        <w:spacing w:before="280"/>
        <w:rPr>
          <w:snapToGrid w:val="0"/>
        </w:rPr>
      </w:pPr>
      <w:bookmarkStart w:id="151" w:name="_Toc225760734"/>
      <w:bookmarkStart w:id="152" w:name="_Toc225761066"/>
      <w:bookmarkStart w:id="153" w:name="_Toc225765761"/>
      <w:bookmarkStart w:id="154" w:name="_Toc209701210"/>
      <w:bookmarkStart w:id="155" w:name="_Toc209702828"/>
      <w:bookmarkStart w:id="156" w:name="_Toc209703160"/>
      <w:bookmarkStart w:id="157" w:name="_Toc209710686"/>
      <w:r>
        <w:rPr>
          <w:rStyle w:val="CharDivNo"/>
        </w:rPr>
        <w:t>Division 2</w:t>
      </w:r>
      <w:r>
        <w:rPr>
          <w:snapToGrid w:val="0"/>
        </w:rPr>
        <w:t> — </w:t>
      </w:r>
      <w:r>
        <w:rPr>
          <w:rStyle w:val="CharDivText"/>
        </w:rPr>
        <w:t>Connection of premises to drains and sewers of local government</w:t>
      </w:r>
      <w:bookmarkEnd w:id="151"/>
      <w:bookmarkEnd w:id="152"/>
      <w:bookmarkEnd w:id="153"/>
      <w:bookmarkEnd w:id="154"/>
      <w:bookmarkEnd w:id="155"/>
      <w:bookmarkEnd w:id="156"/>
      <w:bookmarkEnd w:id="157"/>
    </w:p>
    <w:p>
      <w:pPr>
        <w:pStyle w:val="Footnoteheading"/>
        <w:keepNext/>
        <w:keepLines/>
        <w:tabs>
          <w:tab w:val="clear" w:pos="879"/>
          <w:tab w:val="left" w:pos="890"/>
        </w:tabs>
        <w:ind w:left="890" w:hanging="890"/>
      </w:pPr>
      <w:r>
        <w:tab/>
        <w:t>[Heading inserted: No. 38 of 1933 s. 42; amended: No. 14 of 1996 s. 4.]</w:t>
      </w:r>
    </w:p>
    <w:p>
      <w:pPr>
        <w:pStyle w:val="Heading5"/>
        <w:keepNext w:val="0"/>
        <w:keepLines w:val="0"/>
        <w:rPr>
          <w:snapToGrid w:val="0"/>
        </w:rPr>
      </w:pPr>
      <w:bookmarkStart w:id="158" w:name="_Toc225765762"/>
      <w:bookmarkStart w:id="159" w:name="_Toc209710687"/>
      <w:r>
        <w:rPr>
          <w:rStyle w:val="CharSectno"/>
        </w:rPr>
        <w:t>72</w:t>
      </w:r>
      <w:r>
        <w:rPr>
          <w:snapToGrid w:val="0"/>
        </w:rPr>
        <w:t>.</w:t>
      </w:r>
      <w:r>
        <w:rPr>
          <w:snapToGrid w:val="0"/>
        </w:rPr>
        <w:tab/>
        <w:t>Owners or occupiers may be compelled to connect premises when works complete</w:t>
      </w:r>
      <w:bookmarkEnd w:id="158"/>
      <w:bookmarkEnd w:id="159"/>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No. 38 of 1933 s. 29 and 42; amended: No. 14 of 1996 s. 4.]</w:t>
      </w:r>
    </w:p>
    <w:p>
      <w:pPr>
        <w:pStyle w:val="Heading5"/>
        <w:rPr>
          <w:snapToGrid w:val="0"/>
        </w:rPr>
      </w:pPr>
      <w:bookmarkStart w:id="160" w:name="_Toc225765763"/>
      <w:bookmarkStart w:id="161" w:name="_Toc209710688"/>
      <w:r>
        <w:rPr>
          <w:rStyle w:val="CharSectno"/>
        </w:rPr>
        <w:t>73</w:t>
      </w:r>
      <w:r>
        <w:rPr>
          <w:snapToGrid w:val="0"/>
        </w:rPr>
        <w:t>.</w:t>
      </w:r>
      <w:r>
        <w:rPr>
          <w:snapToGrid w:val="0"/>
        </w:rPr>
        <w:tab/>
        <w:t>Notice to owner or occupier to carry out installation of fittings</w:t>
      </w:r>
      <w:bookmarkEnd w:id="160"/>
      <w:bookmarkEnd w:id="161"/>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pPr>
      <w:r>
        <w:tab/>
        <w:t>[Section 73 inserted: No. 38 of 1933 s. 30 and 42; amended: No. 14 of 1996 s. 4.]</w:t>
      </w:r>
    </w:p>
    <w:p>
      <w:pPr>
        <w:pStyle w:val="Heading5"/>
        <w:spacing w:before="180"/>
        <w:rPr>
          <w:snapToGrid w:val="0"/>
        </w:rPr>
      </w:pPr>
      <w:bookmarkStart w:id="162" w:name="_Toc225765764"/>
      <w:bookmarkStart w:id="163" w:name="_Toc209710689"/>
      <w:r>
        <w:rPr>
          <w:rStyle w:val="CharSectno"/>
        </w:rPr>
        <w:t>74</w:t>
      </w:r>
      <w:r>
        <w:rPr>
          <w:snapToGrid w:val="0"/>
        </w:rPr>
        <w:t>.</w:t>
      </w:r>
      <w:r>
        <w:rPr>
          <w:snapToGrid w:val="0"/>
        </w:rPr>
        <w:tab/>
        <w:t>Where local government makes installations it may enter into agreements with persons responsible for payment of cost</w:t>
      </w:r>
      <w:bookmarkEnd w:id="162"/>
      <w:bookmarkEnd w:id="163"/>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No. 38 of 1933 s. 31 and 42; amended: No. 16 of 1935 s. 5; No. 14 of 1996 s. 4.]</w:t>
      </w:r>
    </w:p>
    <w:p>
      <w:pPr>
        <w:pStyle w:val="Heading5"/>
        <w:spacing w:before="180"/>
        <w:rPr>
          <w:snapToGrid w:val="0"/>
        </w:rPr>
      </w:pPr>
      <w:bookmarkStart w:id="164" w:name="_Toc225765765"/>
      <w:bookmarkStart w:id="165" w:name="_Toc209710690"/>
      <w:r>
        <w:rPr>
          <w:rStyle w:val="CharSectno"/>
        </w:rPr>
        <w:t>75</w:t>
      </w:r>
      <w:r>
        <w:rPr>
          <w:snapToGrid w:val="0"/>
        </w:rPr>
        <w:t>.</w:t>
      </w:r>
      <w:r>
        <w:rPr>
          <w:snapToGrid w:val="0"/>
        </w:rPr>
        <w:tab/>
        <w:t>Right of owner or occupier to connect drains with sewer</w:t>
      </w:r>
      <w:bookmarkEnd w:id="164"/>
      <w:bookmarkEnd w:id="165"/>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No. 38 of 1933 s. 32 and 42; amended: No. 14 of 1996 s. 4.]</w:t>
      </w:r>
    </w:p>
    <w:p>
      <w:pPr>
        <w:pStyle w:val="Heading5"/>
        <w:spacing w:before="180"/>
        <w:rPr>
          <w:snapToGrid w:val="0"/>
        </w:rPr>
      </w:pPr>
      <w:bookmarkStart w:id="166" w:name="_Toc225765766"/>
      <w:bookmarkStart w:id="167" w:name="_Toc209710691"/>
      <w:r>
        <w:rPr>
          <w:rStyle w:val="CharSectno"/>
        </w:rPr>
        <w:t>76</w:t>
      </w:r>
      <w:r>
        <w:rPr>
          <w:snapToGrid w:val="0"/>
        </w:rPr>
        <w:t>.</w:t>
      </w:r>
      <w:r>
        <w:rPr>
          <w:snapToGrid w:val="0"/>
        </w:rPr>
        <w:tab/>
        <w:t>Owner or occupier of land outside district may connect sewer on conditions imposed by local government</w:t>
      </w:r>
      <w:bookmarkEnd w:id="166"/>
      <w:bookmarkEnd w:id="167"/>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spacing w:before="80"/>
        <w:ind w:left="890" w:hanging="890"/>
      </w:pPr>
      <w:r>
        <w:tab/>
        <w:t>[Section 76 inserted: No. 38 of 1933 s. 33 and 42; amended: No. 14 of 1996 s. 4.]</w:t>
      </w:r>
    </w:p>
    <w:p>
      <w:pPr>
        <w:pStyle w:val="Heading5"/>
        <w:spacing w:before="180"/>
        <w:rPr>
          <w:snapToGrid w:val="0"/>
        </w:rPr>
      </w:pPr>
      <w:bookmarkStart w:id="168" w:name="_Toc225765767"/>
      <w:bookmarkStart w:id="169" w:name="_Toc209710692"/>
      <w:r>
        <w:rPr>
          <w:rStyle w:val="CharSectno"/>
        </w:rPr>
        <w:t>77</w:t>
      </w:r>
      <w:r>
        <w:rPr>
          <w:snapToGrid w:val="0"/>
        </w:rPr>
        <w:t>.</w:t>
      </w:r>
      <w:r>
        <w:rPr>
          <w:snapToGrid w:val="0"/>
        </w:rPr>
        <w:tab/>
        <w:t>Restrictions on construction or alteration of certain drains and fittings</w:t>
      </w:r>
      <w:bookmarkEnd w:id="168"/>
      <w:bookmarkEnd w:id="169"/>
    </w:p>
    <w:p>
      <w:pPr>
        <w:pStyle w:val="Subsection"/>
        <w:rPr>
          <w:snapToGrid w:val="0"/>
        </w:rPr>
      </w:pPr>
      <w:r>
        <w:rPr>
          <w:snapToGrid w:val="0"/>
        </w:rPr>
        <w:tab/>
      </w:r>
      <w:r>
        <w:rPr>
          <w:snapToGrid w:val="0"/>
        </w:rPr>
        <w:tab/>
        <w:t>A person who constructs or alters any drain or fitting connected with a sewer —</w:t>
      </w:r>
    </w:p>
    <w:p>
      <w:pPr>
        <w:pStyle w:val="Indenta"/>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rPr>
          <w:snapToGrid w:val="0"/>
        </w:rPr>
      </w:pPr>
      <w:r>
        <w:rPr>
          <w:snapToGrid w:val="0"/>
        </w:rPr>
        <w:tab/>
        <w:t>(b)</w:t>
      </w:r>
      <w:r>
        <w:rPr>
          <w:snapToGrid w:val="0"/>
        </w:rPr>
        <w:tab/>
        <w:t>otherwise than in accordance with —</w:t>
      </w:r>
    </w:p>
    <w:p>
      <w:pPr>
        <w:pStyle w:val="Indenti"/>
        <w:rPr>
          <w:snapToGrid w:val="0"/>
        </w:rPr>
      </w:pPr>
      <w:r>
        <w:rPr>
          <w:snapToGrid w:val="0"/>
        </w:rPr>
        <w:tab/>
        <w:t>(i)</w:t>
      </w:r>
      <w:r>
        <w:rPr>
          <w:snapToGrid w:val="0"/>
        </w:rPr>
        <w:tab/>
        <w:t>the conditions laid down in the local laws of the local government; and</w:t>
      </w:r>
    </w:p>
    <w:p>
      <w:pPr>
        <w:pStyle w:val="Indenti"/>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No. 80 of 1987 s. 5; amended: No. 14 of 1996 s. 4.]</w:t>
      </w:r>
    </w:p>
    <w:p>
      <w:pPr>
        <w:pStyle w:val="Heading5"/>
        <w:spacing w:before="180"/>
        <w:rPr>
          <w:snapToGrid w:val="0"/>
        </w:rPr>
      </w:pPr>
      <w:bookmarkStart w:id="170" w:name="_Toc225765768"/>
      <w:bookmarkStart w:id="171" w:name="_Toc209710693"/>
      <w:r>
        <w:rPr>
          <w:rStyle w:val="CharSectno"/>
        </w:rPr>
        <w:t>78</w:t>
      </w:r>
      <w:r>
        <w:rPr>
          <w:snapToGrid w:val="0"/>
        </w:rPr>
        <w:t>.</w:t>
      </w:r>
      <w:r>
        <w:rPr>
          <w:snapToGrid w:val="0"/>
        </w:rPr>
        <w:tab/>
        <w:t>Owner or occupier responsible for cleaning private drains</w:t>
      </w:r>
      <w:bookmarkEnd w:id="170"/>
      <w:bookmarkEnd w:id="171"/>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keepNext/>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ind w:left="890" w:hanging="890"/>
      </w:pPr>
      <w:r>
        <w:tab/>
        <w:t>[Section 78 inserted: No. 38 of 1933 s. 35 and 42; amended: No. 113 of 1965 s. 8(1); No. 80 of 1987 s. 6; No. 14 of 1996 s. 4.]</w:t>
      </w:r>
    </w:p>
    <w:p>
      <w:pPr>
        <w:pStyle w:val="Heading5"/>
        <w:rPr>
          <w:snapToGrid w:val="0"/>
        </w:rPr>
      </w:pPr>
      <w:bookmarkStart w:id="172" w:name="_Toc225765769"/>
      <w:bookmarkStart w:id="173" w:name="_Toc209710694"/>
      <w:r>
        <w:rPr>
          <w:rStyle w:val="CharSectno"/>
        </w:rPr>
        <w:t>79</w:t>
      </w:r>
      <w:r>
        <w:rPr>
          <w:snapToGrid w:val="0"/>
        </w:rPr>
        <w:t>.</w:t>
      </w:r>
      <w:r>
        <w:rPr>
          <w:snapToGrid w:val="0"/>
        </w:rPr>
        <w:tab/>
        <w:t>Obstructing or encroaching on sewers</w:t>
      </w:r>
      <w:bookmarkEnd w:id="172"/>
      <w:bookmarkEnd w:id="173"/>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No. 38 of 1933 s. 36 and 42; amended: No. 113 of 1965 s. 8(1); No. 80 of 1987 s. 7; No. 14 of 1996 s. 4.]</w:t>
      </w:r>
    </w:p>
    <w:p>
      <w:pPr>
        <w:pStyle w:val="Heading5"/>
        <w:rPr>
          <w:snapToGrid w:val="0"/>
        </w:rPr>
      </w:pPr>
      <w:bookmarkStart w:id="174" w:name="_Toc225765770"/>
      <w:bookmarkStart w:id="175" w:name="_Toc209710695"/>
      <w:r>
        <w:rPr>
          <w:rStyle w:val="CharSectno"/>
        </w:rPr>
        <w:t>80</w:t>
      </w:r>
      <w:r>
        <w:rPr>
          <w:snapToGrid w:val="0"/>
        </w:rPr>
        <w:t>.</w:t>
      </w:r>
      <w:r>
        <w:rPr>
          <w:snapToGrid w:val="0"/>
        </w:rPr>
        <w:tab/>
        <w:t>Local government may enforce drainage of undrained houses</w:t>
      </w:r>
      <w:bookmarkEnd w:id="174"/>
      <w:bookmarkEnd w:id="175"/>
    </w:p>
    <w:p>
      <w:pPr>
        <w:pStyle w:val="Subsection"/>
        <w:spacing w:before="120"/>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No. 38 of 1933 s. 37 and 42; amended: No. 94 of 1972 s. 4(1) (as amended: No. 83 of 1973 s. 4); No. 14 of 1996 s. 4.]</w:t>
      </w:r>
    </w:p>
    <w:p>
      <w:pPr>
        <w:pStyle w:val="Heading5"/>
        <w:rPr>
          <w:snapToGrid w:val="0"/>
        </w:rPr>
      </w:pPr>
      <w:bookmarkStart w:id="176" w:name="_Toc225765771"/>
      <w:bookmarkStart w:id="177" w:name="_Toc209710696"/>
      <w:r>
        <w:rPr>
          <w:rStyle w:val="CharSectno"/>
        </w:rPr>
        <w:t>81</w:t>
      </w:r>
      <w:r>
        <w:rPr>
          <w:snapToGrid w:val="0"/>
        </w:rPr>
        <w:t>.</w:t>
      </w:r>
      <w:r>
        <w:rPr>
          <w:snapToGrid w:val="0"/>
        </w:rPr>
        <w:tab/>
        <w:t>Owner may be required to connect premises with public sewer</w:t>
      </w:r>
      <w:bookmarkEnd w:id="176"/>
      <w:bookmarkEnd w:id="177"/>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No. 38 of 1933 s. 38 and 42; amended: No. 8 of 1965 s. 2; No. 94 of 1972 s. 4(1) (as amended: No. 83 of 1973 s. 4); No. 14 of 1996 s. 4.]</w:t>
      </w:r>
    </w:p>
    <w:p>
      <w:pPr>
        <w:pStyle w:val="Heading5"/>
        <w:rPr>
          <w:snapToGrid w:val="0"/>
        </w:rPr>
      </w:pPr>
      <w:bookmarkStart w:id="178" w:name="_Toc225765772"/>
      <w:bookmarkStart w:id="179" w:name="_Toc209710697"/>
      <w:r>
        <w:rPr>
          <w:rStyle w:val="CharSectno"/>
        </w:rPr>
        <w:t>82</w:t>
      </w:r>
      <w:r>
        <w:rPr>
          <w:snapToGrid w:val="0"/>
        </w:rPr>
        <w:t>.</w:t>
      </w:r>
      <w:r>
        <w:rPr>
          <w:snapToGrid w:val="0"/>
        </w:rPr>
        <w:tab/>
        <w:t>Buildings without drains</w:t>
      </w:r>
      <w:bookmarkEnd w:id="178"/>
      <w:bookmarkEnd w:id="179"/>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 or</w:t>
      </w:r>
    </w:p>
    <w:p>
      <w:pPr>
        <w:pStyle w:val="Indenta"/>
        <w:keepNext/>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ind w:left="890" w:hanging="890"/>
      </w:pPr>
      <w:r>
        <w:tab/>
        <w:t>[Section 82 inserted: No. 38 of 1933 s. 39 and 42; amended: No. 113 of 1965 s. 8(1); No. 94 of 1972 s. 4(1) (as amended: No. 83 of 1973 s. 4); No. 80 of 1987 s. 8; No. 14 of 1996 s. 4.]</w:t>
      </w:r>
    </w:p>
    <w:p>
      <w:pPr>
        <w:pStyle w:val="Heading5"/>
        <w:rPr>
          <w:snapToGrid w:val="0"/>
        </w:rPr>
      </w:pPr>
      <w:bookmarkStart w:id="180" w:name="_Toc225765773"/>
      <w:bookmarkStart w:id="181" w:name="_Toc209710698"/>
      <w:r>
        <w:rPr>
          <w:rStyle w:val="CharSectno"/>
        </w:rPr>
        <w:t>82A</w:t>
      </w:r>
      <w:r>
        <w:rPr>
          <w:snapToGrid w:val="0"/>
        </w:rPr>
        <w:t>.</w:t>
      </w:r>
      <w:r>
        <w:rPr>
          <w:snapToGrid w:val="0"/>
        </w:rPr>
        <w:tab/>
        <w:t>Where local government makes connections with sewers it may enter into agreement with person responsible for payment of cost</w:t>
      </w:r>
      <w:bookmarkEnd w:id="180"/>
      <w:bookmarkEnd w:id="181"/>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keepLines/>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No. 29 of 1955 s. 2; amended: No. 38 of 1960 s. 2; No. 14 of 1996 s. 4.]</w:t>
      </w:r>
    </w:p>
    <w:p>
      <w:pPr>
        <w:pStyle w:val="Heading5"/>
        <w:rPr>
          <w:snapToGrid w:val="0"/>
        </w:rPr>
      </w:pPr>
      <w:bookmarkStart w:id="182" w:name="_Toc225765774"/>
      <w:bookmarkStart w:id="183" w:name="_Toc209710699"/>
      <w:r>
        <w:rPr>
          <w:rStyle w:val="CharSectno"/>
        </w:rPr>
        <w:t>83</w:t>
      </w:r>
      <w:r>
        <w:rPr>
          <w:snapToGrid w:val="0"/>
        </w:rPr>
        <w:t>.</w:t>
      </w:r>
      <w:r>
        <w:rPr>
          <w:snapToGrid w:val="0"/>
        </w:rPr>
        <w:tab/>
        <w:t>Making sewers and drains under private land</w:t>
      </w:r>
      <w:bookmarkEnd w:id="182"/>
      <w:bookmarkEnd w:id="183"/>
    </w:p>
    <w:p>
      <w:pPr>
        <w:pStyle w:val="Subsection"/>
        <w:keepNext/>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rPr>
        <w:t>Land Administration Act 1997</w:t>
      </w:r>
      <w:r>
        <w:rPr>
          <w:snapToGrid w:val="0"/>
        </w:rPr>
        <w:t xml:space="preserve"> shall, with the necessary modifications, apply. There shall be payable to such owner in addition to any sum claimable under the last</w:t>
      </w:r>
      <w:r>
        <w:rPr>
          <w:snapToGrid w:val="0"/>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 and</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No. 38 of 1933 s. 40 and 42; amended: No. 14 of 1996 s. 4; No. 31 of 1997 s. 32(2).]</w:t>
      </w:r>
    </w:p>
    <w:p>
      <w:pPr>
        <w:pStyle w:val="Heading5"/>
        <w:rPr>
          <w:snapToGrid w:val="0"/>
        </w:rPr>
      </w:pPr>
      <w:bookmarkStart w:id="184" w:name="_Toc225765775"/>
      <w:bookmarkStart w:id="185" w:name="_Toc209710700"/>
      <w:r>
        <w:rPr>
          <w:rStyle w:val="CharSectno"/>
        </w:rPr>
        <w:t>84</w:t>
      </w:r>
      <w:r>
        <w:rPr>
          <w:snapToGrid w:val="0"/>
        </w:rPr>
        <w:t>.</w:t>
      </w:r>
      <w:r>
        <w:rPr>
          <w:snapToGrid w:val="0"/>
        </w:rPr>
        <w:tab/>
        <w:t>Recovery of expenses incurred by local government</w:t>
      </w:r>
      <w:bookmarkEnd w:id="184"/>
      <w:bookmarkEnd w:id="185"/>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 and</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keepLines/>
        <w:rPr>
          <w:snapToGrid w:val="0"/>
        </w:rPr>
      </w:pPr>
      <w:r>
        <w:rPr>
          <w:snapToGrid w:val="0"/>
        </w:rPr>
        <w:tab/>
        <w:t>(c)</w:t>
      </w:r>
      <w:r>
        <w:rPr>
          <w:snapToGrid w:val="0"/>
        </w:rPr>
        <w:tab/>
        <w:t>as between several owners, in such proportions as the local government may fix,</w:t>
      </w:r>
    </w:p>
    <w:p>
      <w:pPr>
        <w:pStyle w:val="Subsection"/>
        <w:keepNext/>
        <w:keepLines/>
        <w:rPr>
          <w:snapToGrid w:val="0"/>
        </w:rPr>
      </w:pPr>
      <w:r>
        <w:rPr>
          <w:snapToGrid w:val="0"/>
        </w:rPr>
        <w:tab/>
      </w:r>
      <w:r>
        <w:rPr>
          <w:snapToGrid w:val="0"/>
        </w:rPr>
        <w:tab/>
        <w:t>and shall be recoverable in a court of competent jurisdiction.</w:t>
      </w:r>
    </w:p>
    <w:p>
      <w:pPr>
        <w:pStyle w:val="Footnotesection"/>
        <w:ind w:left="890" w:hanging="890"/>
      </w:pPr>
      <w:r>
        <w:tab/>
        <w:t>[Section 84, formerly section 64, renumbered as section 84: No. 38 of 1933 s. 42; amended: No. 14 of 1996 s. 4; No. 59 of 2004 s. 141.]</w:t>
      </w:r>
    </w:p>
    <w:p>
      <w:pPr>
        <w:pStyle w:val="Heading5"/>
        <w:rPr>
          <w:snapToGrid w:val="0"/>
        </w:rPr>
      </w:pPr>
      <w:bookmarkStart w:id="186" w:name="_Toc225765776"/>
      <w:bookmarkStart w:id="187" w:name="_Toc209710701"/>
      <w:r>
        <w:rPr>
          <w:rStyle w:val="CharSectno"/>
        </w:rPr>
        <w:t>85</w:t>
      </w:r>
      <w:r>
        <w:rPr>
          <w:snapToGrid w:val="0"/>
        </w:rPr>
        <w:t>.</w:t>
      </w:r>
      <w:r>
        <w:rPr>
          <w:snapToGrid w:val="0"/>
        </w:rPr>
        <w:tab/>
        <w:t>Dwelling</w:t>
      </w:r>
      <w:r>
        <w:rPr>
          <w:snapToGrid w:val="0"/>
        </w:rPr>
        <w:noBreakHyphen/>
        <w:t>houses on low lying land</w:t>
      </w:r>
      <w:bookmarkEnd w:id="186"/>
      <w:bookmarkEnd w:id="187"/>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ind w:left="890" w:hanging="890"/>
      </w:pPr>
      <w:r>
        <w:tab/>
        <w:t>[Section 85, formerly section 65, renumbered as section 85: No. 38 of 1933 s. 42; amended: No. 14 of 1996 s. 4.]</w:t>
      </w:r>
    </w:p>
    <w:p>
      <w:pPr>
        <w:pStyle w:val="Heading5"/>
        <w:keepLines w:val="0"/>
        <w:rPr>
          <w:snapToGrid w:val="0"/>
        </w:rPr>
      </w:pPr>
      <w:bookmarkStart w:id="188" w:name="_Toc225765777"/>
      <w:bookmarkStart w:id="189" w:name="_Toc209710702"/>
      <w:r>
        <w:rPr>
          <w:rStyle w:val="CharSectno"/>
        </w:rPr>
        <w:t>86</w:t>
      </w:r>
      <w:r>
        <w:rPr>
          <w:snapToGrid w:val="0"/>
        </w:rPr>
        <w:t>.</w:t>
      </w:r>
      <w:r>
        <w:rPr>
          <w:snapToGrid w:val="0"/>
        </w:rPr>
        <w:tab/>
        <w:t>Filling up low lying land</w:t>
      </w:r>
      <w:bookmarkEnd w:id="188"/>
      <w:bookmarkEnd w:id="189"/>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spacing w:before="10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spacing w:before="100"/>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formerly section 66, renumbered as section 86: No. 38 of 1933 s. 42; amended: No. 113 of 1965 s. 8(1); No. 80 of 1987 s. 9; No. 14 of 1996 s. 4.]</w:t>
      </w:r>
    </w:p>
    <w:p>
      <w:pPr>
        <w:pStyle w:val="Heading5"/>
        <w:spacing w:before="120"/>
        <w:rPr>
          <w:snapToGrid w:val="0"/>
        </w:rPr>
      </w:pPr>
      <w:bookmarkStart w:id="190" w:name="_Toc225765778"/>
      <w:bookmarkStart w:id="191" w:name="_Toc209710703"/>
      <w:r>
        <w:rPr>
          <w:rStyle w:val="CharSectno"/>
        </w:rPr>
        <w:t>87</w:t>
      </w:r>
      <w:r>
        <w:rPr>
          <w:snapToGrid w:val="0"/>
        </w:rPr>
        <w:t>.</w:t>
      </w:r>
      <w:r>
        <w:rPr>
          <w:snapToGrid w:val="0"/>
        </w:rPr>
        <w:tab/>
        <w:t>Stagnant water holes</w:t>
      </w:r>
      <w:bookmarkEnd w:id="190"/>
      <w:bookmarkEnd w:id="191"/>
    </w:p>
    <w:p>
      <w:pPr>
        <w:pStyle w:val="Subsection"/>
        <w:spacing w:before="100"/>
        <w:rPr>
          <w:snapToGrid w:val="0"/>
        </w:rPr>
      </w:pPr>
      <w:r>
        <w:rPr>
          <w:snapToGrid w:val="0"/>
        </w:rPr>
        <w:tab/>
      </w:r>
      <w:r>
        <w:rPr>
          <w:snapToGrid w:val="0"/>
        </w:rPr>
        <w:tab/>
        <w:t xml:space="preserve">The local government may, and, if required by the </w:t>
      </w:r>
      <w:r>
        <w:t>Chief Health Officer</w:t>
      </w:r>
      <w:r>
        <w:rPr>
          <w:snapToGrid w:val="0"/>
        </w:rPr>
        <w:t>,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formerly section 67, renumbered as section 87: No. 38 of 1933 s. 42; amended: No. 28 of 1984 s. 45; No. 14 of 1996 s. 4; No. 19 of 2016 s. 100.]</w:t>
      </w:r>
    </w:p>
    <w:p>
      <w:pPr>
        <w:pStyle w:val="Heading5"/>
        <w:rPr>
          <w:snapToGrid w:val="0"/>
        </w:rPr>
      </w:pPr>
      <w:bookmarkStart w:id="192" w:name="_Toc225765779"/>
      <w:bookmarkStart w:id="193" w:name="_Toc209710704"/>
      <w:r>
        <w:rPr>
          <w:rStyle w:val="CharSectno"/>
        </w:rPr>
        <w:t>88</w:t>
      </w:r>
      <w:r>
        <w:rPr>
          <w:snapToGrid w:val="0"/>
        </w:rPr>
        <w:t>.</w:t>
      </w:r>
      <w:r>
        <w:rPr>
          <w:snapToGrid w:val="0"/>
        </w:rPr>
        <w:tab/>
        <w:t>Stagnant water in cellars etc.</w:t>
      </w:r>
      <w:bookmarkEnd w:id="192"/>
      <w:bookmarkEnd w:id="193"/>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ind w:left="890" w:hanging="890"/>
      </w:pPr>
      <w:r>
        <w:tab/>
        <w:t>[Section 88, formerly section 68, renumbered as section 88: No. 38 of 1933 s. 42; amended: No. 14 of 1996 s. 4.]</w:t>
      </w:r>
    </w:p>
    <w:p>
      <w:pPr>
        <w:pStyle w:val="Heading5"/>
        <w:spacing w:before="180"/>
        <w:rPr>
          <w:snapToGrid w:val="0"/>
        </w:rPr>
      </w:pPr>
      <w:bookmarkStart w:id="194" w:name="_Toc225765780"/>
      <w:bookmarkStart w:id="195" w:name="_Toc209710705"/>
      <w:r>
        <w:rPr>
          <w:rStyle w:val="CharSectno"/>
        </w:rPr>
        <w:t>89</w:t>
      </w:r>
      <w:r>
        <w:rPr>
          <w:snapToGrid w:val="0"/>
        </w:rPr>
        <w:t>.</w:t>
      </w:r>
      <w:r>
        <w:rPr>
          <w:snapToGrid w:val="0"/>
        </w:rPr>
        <w:tab/>
        <w:t>Paving and asphalting of cellars</w:t>
      </w:r>
      <w:bookmarkEnd w:id="194"/>
      <w:bookmarkEnd w:id="195"/>
    </w:p>
    <w:p>
      <w:pPr>
        <w:pStyle w:val="Subsection"/>
        <w:spacing w:before="200"/>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keepNext/>
        <w:spacing w:before="200"/>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keepLines w:val="0"/>
        <w:spacing w:before="200"/>
        <w:ind w:left="890" w:hanging="890"/>
      </w:pPr>
      <w:r>
        <w:tab/>
        <w:t>[Section 89, formerly section 69, renumbered as section 89: No. 38 of 1933 s. 42; amended: No. 14 of 1996 s. 4; No. 59 of 2004 s. 141.]</w:t>
      </w:r>
    </w:p>
    <w:p>
      <w:pPr>
        <w:pStyle w:val="Heading5"/>
        <w:spacing w:before="240"/>
        <w:rPr>
          <w:snapToGrid w:val="0"/>
        </w:rPr>
      </w:pPr>
      <w:bookmarkStart w:id="196" w:name="_Toc225765781"/>
      <w:bookmarkStart w:id="197" w:name="_Toc209710706"/>
      <w:r>
        <w:rPr>
          <w:rStyle w:val="CharSectno"/>
        </w:rPr>
        <w:t>90</w:t>
      </w:r>
      <w:r>
        <w:rPr>
          <w:snapToGrid w:val="0"/>
        </w:rPr>
        <w:t>.</w:t>
      </w:r>
      <w:r>
        <w:rPr>
          <w:snapToGrid w:val="0"/>
        </w:rPr>
        <w:tab/>
        <w:t>Brickmaking and other excavations to be fenced</w:t>
      </w:r>
      <w:bookmarkEnd w:id="196"/>
      <w:bookmarkEnd w:id="197"/>
    </w:p>
    <w:p>
      <w:pPr>
        <w:pStyle w:val="Subsection"/>
        <w:spacing w:before="200"/>
        <w:rPr>
          <w:snapToGrid w:val="0"/>
        </w:rPr>
      </w:pPr>
      <w:r>
        <w:rPr>
          <w:snapToGrid w:val="0"/>
        </w:rPr>
        <w:tab/>
      </w:r>
      <w:r>
        <w:rPr>
          <w:snapToGrid w:val="0"/>
        </w:rPr>
        <w:tab/>
        <w:t xml:space="preserve">Any local government may, and, when so required by the </w:t>
      </w:r>
      <w:r>
        <w:t>Chief Health Officer</w:t>
      </w:r>
      <w:r>
        <w:rPr>
          <w:snapToGrid w:val="0"/>
        </w:rPr>
        <w:t>, shall, by order addressed to the owner of any land which has been excavated for brickmaking, quarrying, mining, or other purposes, whether before or after the commencement of this Act,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ind w:left="890" w:hanging="890"/>
      </w:pPr>
      <w:r>
        <w:tab/>
        <w:t>[Section 90, formerly section 70, renumbered as section 90: No. 38 of 1933 s. 42; amended: No. 28 of 1984 s. 45; No. 14 of 1996 s. 4; No. 19 of 2016 s. 100.]</w:t>
      </w:r>
    </w:p>
    <w:p>
      <w:pPr>
        <w:pStyle w:val="Heading5"/>
        <w:rPr>
          <w:snapToGrid w:val="0"/>
        </w:rPr>
      </w:pPr>
      <w:bookmarkStart w:id="198" w:name="_Toc225765782"/>
      <w:bookmarkStart w:id="199" w:name="_Toc209710707"/>
      <w:r>
        <w:rPr>
          <w:rStyle w:val="CharSectno"/>
        </w:rPr>
        <w:t>91</w:t>
      </w:r>
      <w:r>
        <w:rPr>
          <w:snapToGrid w:val="0"/>
        </w:rPr>
        <w:t>.</w:t>
      </w:r>
      <w:r>
        <w:rPr>
          <w:snapToGrid w:val="0"/>
        </w:rPr>
        <w:tab/>
        <w:t>Storm water to be allowed its natural channel</w:t>
      </w:r>
      <w:bookmarkEnd w:id="198"/>
      <w:bookmarkEnd w:id="199"/>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ind w:left="890" w:hanging="890"/>
      </w:pPr>
      <w:r>
        <w:tab/>
        <w:t>[Section 91, formerly section 71, renumbered as section 91: No. 38 of 1933 s. 42; amended: No. 113 of 1965 s. 8(1); No. 80 of 1987 s. 10; No. 14 of 1996 s. 4.]</w:t>
      </w:r>
    </w:p>
    <w:p>
      <w:pPr>
        <w:pStyle w:val="Heading5"/>
        <w:spacing w:before="180"/>
        <w:rPr>
          <w:snapToGrid w:val="0"/>
        </w:rPr>
      </w:pPr>
      <w:bookmarkStart w:id="200" w:name="_Toc225765783"/>
      <w:bookmarkStart w:id="201" w:name="_Toc209710708"/>
      <w:r>
        <w:rPr>
          <w:rStyle w:val="CharSectno"/>
        </w:rPr>
        <w:t>92</w:t>
      </w:r>
      <w:r>
        <w:rPr>
          <w:snapToGrid w:val="0"/>
        </w:rPr>
        <w:t>.</w:t>
      </w:r>
      <w:r>
        <w:rPr>
          <w:snapToGrid w:val="0"/>
        </w:rPr>
        <w:tab/>
        <w:t>Unauthorised building over sewers and under streets</w:t>
      </w:r>
      <w:bookmarkEnd w:id="200"/>
      <w:bookmarkEnd w:id="201"/>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ind w:left="890" w:hanging="890"/>
      </w:pPr>
      <w:r>
        <w:tab/>
        <w:t>[Section 92, formerly section 72, renumbered as section 92: No. 38 of 1933 s. 42; amended: No. 113 of 1965 s. 8(1); No. 80 of 1987 s. 11; No. 14 of 1996 s. 4.]</w:t>
      </w:r>
    </w:p>
    <w:p>
      <w:pPr>
        <w:pStyle w:val="Heading5"/>
        <w:spacing w:before="120"/>
        <w:rPr>
          <w:snapToGrid w:val="0"/>
        </w:rPr>
      </w:pPr>
      <w:bookmarkStart w:id="202" w:name="_Toc225765784"/>
      <w:bookmarkStart w:id="203" w:name="_Toc209710709"/>
      <w:r>
        <w:rPr>
          <w:rStyle w:val="CharSectno"/>
        </w:rPr>
        <w:t>93</w:t>
      </w:r>
      <w:r>
        <w:rPr>
          <w:snapToGrid w:val="0"/>
        </w:rPr>
        <w:t>.</w:t>
      </w:r>
      <w:r>
        <w:rPr>
          <w:snapToGrid w:val="0"/>
        </w:rPr>
        <w:tab/>
        <w:t>Injurious matter not to pass into sewers</w:t>
      </w:r>
      <w:bookmarkEnd w:id="202"/>
      <w:bookmarkEnd w:id="203"/>
    </w:p>
    <w:p>
      <w:pPr>
        <w:pStyle w:val="Subsection"/>
        <w:spacing w:before="10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ind w:left="890" w:hanging="890"/>
      </w:pPr>
      <w:r>
        <w:tab/>
        <w:t>[Section 93, formerly section 73, renumbered as section 93: No. 38 of 1933 s. 42;</w:t>
      </w:r>
      <w:r>
        <w:rPr>
          <w:spacing w:val="-2"/>
        </w:rPr>
        <w:t xml:space="preserve"> </w:t>
      </w:r>
      <w:r>
        <w:t>amended: No. 113 of 1965 s. 8(1); No. 80 of 1987 s. 12; No. 14 of 1996 s. 4.]</w:t>
      </w:r>
    </w:p>
    <w:p>
      <w:pPr>
        <w:pStyle w:val="Heading5"/>
        <w:spacing w:before="120"/>
        <w:rPr>
          <w:snapToGrid w:val="0"/>
        </w:rPr>
      </w:pPr>
      <w:bookmarkStart w:id="204" w:name="_Toc225765785"/>
      <w:bookmarkStart w:id="205" w:name="_Toc209710710"/>
      <w:r>
        <w:rPr>
          <w:rStyle w:val="CharSectno"/>
        </w:rPr>
        <w:t>94</w:t>
      </w:r>
      <w:r>
        <w:rPr>
          <w:snapToGrid w:val="0"/>
        </w:rPr>
        <w:t>.</w:t>
      </w:r>
      <w:r>
        <w:rPr>
          <w:snapToGrid w:val="0"/>
        </w:rPr>
        <w:tab/>
        <w:t>Chemical refuse, steam etc. not to be turned into sewers</w:t>
      </w:r>
      <w:bookmarkEnd w:id="204"/>
      <w:bookmarkEnd w:id="205"/>
    </w:p>
    <w:p>
      <w:pPr>
        <w:pStyle w:val="Subsection"/>
        <w:spacing w:before="10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keepLines w:val="0"/>
        <w:ind w:left="890" w:hanging="890"/>
      </w:pPr>
      <w:r>
        <w:tab/>
        <w:t>[Section 94, formerly section 74, renumbered as section 94:: No. 38 of 1933 s. 42;</w:t>
      </w:r>
      <w:r>
        <w:rPr>
          <w:spacing w:val="-2"/>
        </w:rPr>
        <w:t xml:space="preserve"> </w:t>
      </w:r>
      <w:r>
        <w:t>amended: No. 113 of 1965 s. 8(1); No. 94 of 1972 s. 4(1) (as amended: No. 83 of 1973 s. 4); No. 80 of 1987 s. 13; No. 14 of 1996 s. 4.]</w:t>
      </w:r>
    </w:p>
    <w:p>
      <w:pPr>
        <w:pStyle w:val="Heading3"/>
      </w:pPr>
      <w:bookmarkStart w:id="206" w:name="_Toc225760759"/>
      <w:bookmarkStart w:id="207" w:name="_Toc225761091"/>
      <w:bookmarkStart w:id="208" w:name="_Toc225765786"/>
      <w:bookmarkStart w:id="209" w:name="_Toc209701235"/>
      <w:bookmarkStart w:id="210" w:name="_Toc209702853"/>
      <w:bookmarkStart w:id="211" w:name="_Toc209703185"/>
      <w:bookmarkStart w:id="212" w:name="_Toc209710711"/>
      <w:r>
        <w:rPr>
          <w:rStyle w:val="CharDivNo"/>
        </w:rPr>
        <w:t>Division 3</w:t>
      </w:r>
      <w:r>
        <w:rPr>
          <w:snapToGrid w:val="0"/>
        </w:rPr>
        <w:t> — </w:t>
      </w:r>
      <w:r>
        <w:rPr>
          <w:rStyle w:val="CharDivText"/>
        </w:rPr>
        <w:t>Disposal of sewage</w:t>
      </w:r>
      <w:bookmarkEnd w:id="206"/>
      <w:bookmarkEnd w:id="207"/>
      <w:bookmarkEnd w:id="208"/>
      <w:bookmarkEnd w:id="209"/>
      <w:bookmarkEnd w:id="210"/>
      <w:bookmarkEnd w:id="211"/>
      <w:bookmarkEnd w:id="212"/>
    </w:p>
    <w:p>
      <w:pPr>
        <w:pStyle w:val="Footnoteheading"/>
        <w:keepNext/>
        <w:keepLines/>
        <w:tabs>
          <w:tab w:val="clear" w:pos="879"/>
          <w:tab w:val="left" w:pos="890"/>
        </w:tabs>
        <w:ind w:left="890" w:hanging="890"/>
      </w:pPr>
      <w:r>
        <w:tab/>
        <w:t>[Heading, formerly Divison 2, renumbered as Division 3: </w:t>
      </w:r>
      <w:r>
        <w:rPr>
          <w:snapToGrid w:val="0"/>
        </w:rPr>
        <w:t xml:space="preserve">No. 38 of 1933 </w:t>
      </w:r>
      <w:r>
        <w:t>s. 42.]</w:t>
      </w:r>
    </w:p>
    <w:p>
      <w:pPr>
        <w:pStyle w:val="Heading5"/>
        <w:spacing w:before="240"/>
        <w:rPr>
          <w:snapToGrid w:val="0"/>
        </w:rPr>
      </w:pPr>
      <w:bookmarkStart w:id="213" w:name="_Toc225765787"/>
      <w:bookmarkStart w:id="214" w:name="_Toc209710712"/>
      <w:r>
        <w:rPr>
          <w:rStyle w:val="CharSectno"/>
        </w:rPr>
        <w:t>95</w:t>
      </w:r>
      <w:r>
        <w:rPr>
          <w:snapToGrid w:val="0"/>
        </w:rPr>
        <w:t>.</w:t>
      </w:r>
      <w:r>
        <w:rPr>
          <w:snapToGrid w:val="0"/>
        </w:rPr>
        <w:tab/>
        <w:t>Disposing of sewage</w:t>
      </w:r>
      <w:bookmarkEnd w:id="213"/>
      <w:bookmarkEnd w:id="214"/>
    </w:p>
    <w:p>
      <w:pPr>
        <w:pStyle w:val="Subsection"/>
        <w:spacing w:before="18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120"/>
        <w:rPr>
          <w:snapToGrid w:val="0"/>
        </w:rPr>
      </w:pPr>
      <w:r>
        <w:rPr>
          <w:snapToGrid w:val="0"/>
        </w:rPr>
        <w:tab/>
        <w:t>(1)</w:t>
      </w:r>
      <w:r>
        <w:rPr>
          <w:snapToGrid w:val="0"/>
        </w:rPr>
        <w:tab/>
        <w:t>construct any works in the district or (subject to the provisions of this Act) beyond the district;</w:t>
      </w:r>
    </w:p>
    <w:p>
      <w:pPr>
        <w:pStyle w:val="Indenta"/>
        <w:spacing w:before="12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12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spacing w:before="180"/>
        <w:rPr>
          <w:snapToGrid w:val="0"/>
        </w:rPr>
      </w:pPr>
      <w:r>
        <w:rPr>
          <w:snapToGrid w:val="0"/>
        </w:rPr>
        <w:tab/>
      </w:r>
      <w:r>
        <w:rPr>
          <w:snapToGrid w:val="0"/>
        </w:rPr>
        <w:tab/>
        <w:t>Provided that no nuisance shall be created in the exercise of any of the powers conferred by this section.</w:t>
      </w:r>
    </w:p>
    <w:p>
      <w:pPr>
        <w:pStyle w:val="Footnotesection"/>
        <w:ind w:left="890" w:hanging="890"/>
      </w:pPr>
      <w:r>
        <w:tab/>
        <w:t>[Section 95, formerly section 76, renumbered as section 95: No. 38 of 1933 s. 42; amended: No. 14 of 1996 s. 4.]</w:t>
      </w:r>
    </w:p>
    <w:p>
      <w:pPr>
        <w:pStyle w:val="Heading5"/>
        <w:spacing w:before="240"/>
        <w:rPr>
          <w:snapToGrid w:val="0"/>
        </w:rPr>
      </w:pPr>
      <w:bookmarkStart w:id="215" w:name="_Toc225765788"/>
      <w:bookmarkStart w:id="216" w:name="_Toc209710713"/>
      <w:r>
        <w:rPr>
          <w:rStyle w:val="CharSectno"/>
        </w:rPr>
        <w:t>96</w:t>
      </w:r>
      <w:r>
        <w:rPr>
          <w:snapToGrid w:val="0"/>
        </w:rPr>
        <w:t>.</w:t>
      </w:r>
      <w:r>
        <w:rPr>
          <w:snapToGrid w:val="0"/>
        </w:rPr>
        <w:tab/>
        <w:t>Communication of sewers with sewers of adjoining district</w:t>
      </w:r>
      <w:bookmarkEnd w:id="215"/>
      <w:bookmarkEnd w:id="216"/>
    </w:p>
    <w:p>
      <w:pPr>
        <w:pStyle w:val="Subsection"/>
        <w:spacing w:before="180"/>
        <w:rPr>
          <w:snapToGrid w:val="0"/>
        </w:rPr>
      </w:pPr>
      <w:r>
        <w:rPr>
          <w:snapToGrid w:val="0"/>
        </w:rPr>
        <w:tab/>
      </w:r>
      <w:r>
        <w:rPr>
          <w:snapToGrid w:val="0"/>
        </w:rPr>
        <w:tab/>
        <w:t xml:space="preserve">A local government may, by agreement with the local government of any adjoining district, and with the sanction of the </w:t>
      </w:r>
      <w:r>
        <w:t>Chief Health Officer</w:t>
      </w:r>
      <w:r>
        <w:rPr>
          <w:snapToGrid w:val="0"/>
        </w:rPr>
        <w:t xml:space="preserve">,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rPr>
        <w:t>Commercial Arbitration Act 2012</w:t>
      </w:r>
      <w:r>
        <w:rPr>
          <w:snapToGrid w:val="0"/>
        </w:rPr>
        <w:t>.</w:t>
      </w:r>
    </w:p>
    <w:p>
      <w:pPr>
        <w:pStyle w:val="Footnotesection"/>
        <w:ind w:left="890" w:hanging="890"/>
      </w:pPr>
      <w:r>
        <w:tab/>
        <w:t>[Section 96, formerly section 77, renumbered as section 96: No. 38 of 1933 s. 42; amended: No. 28 of 1984 s. 45; No. 109 of 1985 s. 3(1); No. 14 of 1996 s. 4; No. 23 of 2012 s. 45; No. 19 of 2016 s. 100.]</w:t>
      </w:r>
    </w:p>
    <w:p>
      <w:pPr>
        <w:pStyle w:val="Heading5"/>
        <w:spacing w:before="240"/>
        <w:rPr>
          <w:snapToGrid w:val="0"/>
        </w:rPr>
      </w:pPr>
      <w:bookmarkStart w:id="217" w:name="_Toc225765789"/>
      <w:bookmarkStart w:id="218" w:name="_Toc209710714"/>
      <w:r>
        <w:rPr>
          <w:rStyle w:val="CharSectno"/>
        </w:rPr>
        <w:t>97</w:t>
      </w:r>
      <w:r>
        <w:rPr>
          <w:snapToGrid w:val="0"/>
        </w:rPr>
        <w:t>.</w:t>
      </w:r>
      <w:r>
        <w:rPr>
          <w:snapToGrid w:val="0"/>
        </w:rPr>
        <w:tab/>
        <w:t>Dealing with land appropriated to sewage purposes</w:t>
      </w:r>
      <w:bookmarkEnd w:id="217"/>
      <w:bookmarkEnd w:id="218"/>
    </w:p>
    <w:p>
      <w:pPr>
        <w:pStyle w:val="Subsection"/>
        <w:spacing w:before="180"/>
        <w:rPr>
          <w:snapToGrid w:val="0"/>
        </w:rPr>
      </w:pPr>
      <w:r>
        <w:rPr>
          <w:snapToGrid w:val="0"/>
        </w:rPr>
        <w:tab/>
        <w:t>(1)</w:t>
      </w:r>
      <w:r>
        <w:rPr>
          <w:snapToGrid w:val="0"/>
        </w:rPr>
        <w:tab/>
        <w:t xml:space="preserve">The local government may, subject to the approval of the </w:t>
      </w:r>
      <w:r>
        <w:t>Chief Health Officer</w:t>
      </w:r>
      <w:r>
        <w:rPr>
          <w:snapToGrid w:val="0"/>
        </w:rPr>
        <w:t>, deal with any land held by it for the purpose of receiving, storing, disinfecting, or distributing sewage, in such manner as it deems most profitable —</w:t>
      </w:r>
    </w:p>
    <w:p>
      <w:pPr>
        <w:pStyle w:val="Indenta"/>
        <w:spacing w:before="100"/>
        <w:rPr>
          <w:snapToGrid w:val="0"/>
        </w:rPr>
      </w:pPr>
      <w:r>
        <w:rPr>
          <w:snapToGrid w:val="0"/>
        </w:rPr>
        <w:tab/>
        <w:t>(a)</w:t>
      </w:r>
      <w:r>
        <w:rPr>
          <w:snapToGrid w:val="0"/>
        </w:rPr>
        <w:tab/>
        <w:t>by leasing the same for a period not exceeding 25 years for agricultural purposes; or</w:t>
      </w:r>
    </w:p>
    <w:p>
      <w:pPr>
        <w:pStyle w:val="Indenta"/>
        <w:spacing w:before="100"/>
        <w:rPr>
          <w:snapToGrid w:val="0"/>
        </w:rPr>
      </w:pPr>
      <w:r>
        <w:rPr>
          <w:snapToGrid w:val="0"/>
        </w:rPr>
        <w:tab/>
        <w:t>(b)</w:t>
      </w:r>
      <w:r>
        <w:rPr>
          <w:snapToGrid w:val="0"/>
        </w:rPr>
        <w:tab/>
        <w:t>by contracting with some person to take the whole or a part of the produce of such land; or</w:t>
      </w:r>
    </w:p>
    <w:p>
      <w:pPr>
        <w:pStyle w:val="Indenta"/>
        <w:keepNext/>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 xml:space="preserve">When a local government, with the approval of the </w:t>
      </w:r>
      <w:r>
        <w:t>Chief Health Officer</w:t>
      </w:r>
      <w:r>
        <w:rPr>
          <w:snapToGrid w:val="0"/>
        </w:rPr>
        <w:t>,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formerly section 78, renumbered as section 97: No. 38 of 1933 s. 42; amended: No. 28 of 1984 s. 45; No. 14 of 1996 s. 4; No. 19 of 2016 s. 100.]</w:t>
      </w:r>
    </w:p>
    <w:p>
      <w:pPr>
        <w:pStyle w:val="Heading5"/>
        <w:rPr>
          <w:snapToGrid w:val="0"/>
        </w:rPr>
      </w:pPr>
      <w:bookmarkStart w:id="219" w:name="_Toc225765790"/>
      <w:bookmarkStart w:id="220" w:name="_Toc209710715"/>
      <w:r>
        <w:rPr>
          <w:rStyle w:val="CharSectno"/>
        </w:rPr>
        <w:t>98</w:t>
      </w:r>
      <w:r>
        <w:rPr>
          <w:snapToGrid w:val="0"/>
        </w:rPr>
        <w:t>.</w:t>
      </w:r>
      <w:r>
        <w:rPr>
          <w:snapToGrid w:val="0"/>
        </w:rPr>
        <w:tab/>
        <w:t>Punishment for placing sewage in streets etc.</w:t>
      </w:r>
      <w:bookmarkEnd w:id="219"/>
      <w:bookmarkEnd w:id="220"/>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ind w:left="890" w:hanging="890"/>
      </w:pPr>
      <w:r>
        <w:tab/>
        <w:t>[Section 98, formerly section 79, amended: No. 17 of 1918 s. 8; renumbered as section 98: No. 38 of 1933 s. 42; amended: No. 113 of 1965 s. 8(1); No. 102 of 1973 s. 5; No. 80 of 1987 s. 14.]</w:t>
      </w:r>
    </w:p>
    <w:p>
      <w:pPr>
        <w:pStyle w:val="Heading3"/>
        <w:spacing w:before="200"/>
      </w:pPr>
      <w:bookmarkStart w:id="221" w:name="_Toc225760764"/>
      <w:bookmarkStart w:id="222" w:name="_Toc225761096"/>
      <w:bookmarkStart w:id="223" w:name="_Toc225765791"/>
      <w:bookmarkStart w:id="224" w:name="_Toc209701240"/>
      <w:bookmarkStart w:id="225" w:name="_Toc209702858"/>
      <w:bookmarkStart w:id="226" w:name="_Toc209703190"/>
      <w:bookmarkStart w:id="227" w:name="_Toc209710716"/>
      <w:r>
        <w:rPr>
          <w:rStyle w:val="CharDivNo"/>
        </w:rPr>
        <w:t>Division 4</w:t>
      </w:r>
      <w:r>
        <w:rPr>
          <w:snapToGrid w:val="0"/>
        </w:rPr>
        <w:t> — </w:t>
      </w:r>
      <w:r>
        <w:rPr>
          <w:rStyle w:val="CharDivText"/>
        </w:rPr>
        <w:t>Sanitary conveniences</w:t>
      </w:r>
      <w:bookmarkEnd w:id="221"/>
      <w:bookmarkEnd w:id="222"/>
      <w:bookmarkEnd w:id="223"/>
      <w:bookmarkEnd w:id="224"/>
      <w:bookmarkEnd w:id="225"/>
      <w:bookmarkEnd w:id="226"/>
      <w:bookmarkEnd w:id="227"/>
    </w:p>
    <w:p>
      <w:pPr>
        <w:pStyle w:val="Heading5"/>
        <w:rPr>
          <w:snapToGrid w:val="0"/>
        </w:rPr>
      </w:pPr>
      <w:bookmarkStart w:id="228" w:name="_Toc225765792"/>
      <w:bookmarkStart w:id="229" w:name="_Toc209710717"/>
      <w:r>
        <w:rPr>
          <w:rStyle w:val="CharSectno"/>
        </w:rPr>
        <w:t>99</w:t>
      </w:r>
      <w:r>
        <w:rPr>
          <w:snapToGrid w:val="0"/>
        </w:rPr>
        <w:t>.</w:t>
      </w:r>
      <w:r>
        <w:rPr>
          <w:snapToGrid w:val="0"/>
        </w:rPr>
        <w:tab/>
        <w:t>Houses to have sanitary conveniences</w:t>
      </w:r>
      <w:bookmarkEnd w:id="228"/>
      <w:bookmarkEnd w:id="229"/>
    </w:p>
    <w:p>
      <w:pPr>
        <w:pStyle w:val="Subsection"/>
        <w:spacing w:before="18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spacing w:before="180"/>
      </w:pPr>
      <w:r>
        <w:tab/>
        <w:t>[(2)</w:t>
      </w:r>
      <w:r>
        <w:tab/>
        <w:t>deleted]</w:t>
      </w:r>
    </w:p>
    <w:p>
      <w:pPr>
        <w:pStyle w:val="Subsection"/>
        <w:spacing w:before="18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8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8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8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spacing w:after="480"/>
        <w:ind w:left="890" w:hanging="890"/>
      </w:pPr>
      <w:r>
        <w:tab/>
        <w:t>[Section 99, inserted as section 81: No. 30 of 1932 s. 12; renumbered as section 99: No. 38 of 1933 s. 42; amended: No. 32 of 1937 s. 4; No. 21 of 1944 s. 4; No. 45 of 1954 s. 2; No. 49 of 1962 s. 2; No. 113 of 1965 s. 8(1); No. 80 of 1987 s. 15; No. 59 of 1991 s. 9; No. 14 of 1996 s. 4.]</w:t>
      </w:r>
    </w:p>
    <w:p>
      <w:pPr>
        <w:pStyle w:val="Heading5"/>
        <w:rPr>
          <w:snapToGrid w:val="0"/>
        </w:rPr>
      </w:pPr>
      <w:bookmarkStart w:id="230" w:name="_Toc225765793"/>
      <w:bookmarkStart w:id="231" w:name="_Toc209710718"/>
      <w:r>
        <w:rPr>
          <w:rStyle w:val="CharSectno"/>
        </w:rPr>
        <w:t>100</w:t>
      </w:r>
      <w:r>
        <w:rPr>
          <w:snapToGrid w:val="0"/>
        </w:rPr>
        <w:t>.</w:t>
      </w:r>
      <w:r>
        <w:rPr>
          <w:snapToGrid w:val="0"/>
        </w:rPr>
        <w:tab/>
        <w:t>Provision of apparatus for treatment of sewage</w:t>
      </w:r>
      <w:bookmarkEnd w:id="230"/>
      <w:bookmarkEnd w:id="231"/>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rPr>
      </w:pPr>
      <w:r>
        <w:rPr>
          <w:snapToGrid w:val="0"/>
          <w:spacing w:val="-4"/>
        </w:rPr>
        <w:tab/>
        <w:t>(2)</w:t>
      </w:r>
      <w:r>
        <w:rPr>
          <w:snapToGrid w:val="0"/>
          <w:spacing w:val="-4"/>
        </w:rPr>
        <w:tab/>
      </w:r>
      <w:r>
        <w:rPr>
          <w:snapToGrid w:val="0"/>
        </w:rPr>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keepNext/>
        <w:rPr>
          <w:snapToGrid w:val="0"/>
        </w:rPr>
      </w:pPr>
      <w:r>
        <w:rPr>
          <w:snapToGrid w:val="0"/>
          <w:spacing w:val="-4"/>
        </w:rPr>
        <w:tab/>
        <w:t>(b)</w:t>
      </w:r>
      <w:r>
        <w:rPr>
          <w:snapToGrid w:val="0"/>
          <w:spacing w:val="-4"/>
        </w:rPr>
        <w:tab/>
      </w:r>
      <w:r>
        <w:rPr>
          <w:snapToGrid w:val="0"/>
        </w:rPr>
        <w:t>The reference to the Crown in this section does not imply that the Crown is bound by the other provisions of this Act.</w:t>
      </w:r>
    </w:p>
    <w:p>
      <w:pPr>
        <w:pStyle w:val="Footnotesection"/>
        <w:ind w:left="890" w:hanging="890"/>
      </w:pPr>
      <w:r>
        <w:tab/>
        <w:t>[Section 100, inserted as section 81a: No. 50 of 1926 s. 6; amended: No. 30 of 1932 s. 13; No. 38 of 1933 s. 8; renumbered as section 100: No. 38 of 1933 s. 42; amended: No. 22 of 1959 s. 2; No. 18 of 1964 s. 4; No. 59 of 1991 s. 10; No. 14 of 1996 s. 4.]</w:t>
      </w:r>
    </w:p>
    <w:p>
      <w:pPr>
        <w:pStyle w:val="Heading5"/>
        <w:rPr>
          <w:snapToGrid w:val="0"/>
        </w:rPr>
      </w:pPr>
      <w:bookmarkStart w:id="232" w:name="_Toc225765794"/>
      <w:bookmarkStart w:id="233" w:name="_Toc209710719"/>
      <w:r>
        <w:rPr>
          <w:rStyle w:val="CharSectno"/>
        </w:rPr>
        <w:t>101</w:t>
      </w:r>
      <w:r>
        <w:rPr>
          <w:snapToGrid w:val="0"/>
        </w:rPr>
        <w:t>.</w:t>
      </w:r>
      <w:r>
        <w:rPr>
          <w:snapToGrid w:val="0"/>
        </w:rPr>
        <w:tab/>
        <w:t>Sanitary conveniences for workshops etc.</w:t>
      </w:r>
      <w:bookmarkEnd w:id="232"/>
      <w:bookmarkEnd w:id="233"/>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formerly section 82, renumbered as section 101: No. 38 of 1933 s. 42; amended: No. 18 of 1964 s. 5; No. 113 of 1965 s. 8(1); No. 80 of 1987 s. 16; No. 14 of 1996 s. 4.]</w:t>
      </w:r>
    </w:p>
    <w:p>
      <w:pPr>
        <w:pStyle w:val="Heading5"/>
        <w:keepNext w:val="0"/>
        <w:keepLines w:val="0"/>
        <w:rPr>
          <w:snapToGrid w:val="0"/>
        </w:rPr>
      </w:pPr>
      <w:bookmarkStart w:id="234" w:name="_Toc225765795"/>
      <w:bookmarkStart w:id="235" w:name="_Toc209710720"/>
      <w:r>
        <w:rPr>
          <w:rStyle w:val="CharSectno"/>
        </w:rPr>
        <w:t>102</w:t>
      </w:r>
      <w:r>
        <w:rPr>
          <w:snapToGrid w:val="0"/>
        </w:rPr>
        <w:t>.</w:t>
      </w:r>
      <w:r>
        <w:rPr>
          <w:snapToGrid w:val="0"/>
        </w:rPr>
        <w:tab/>
        <w:t>Sanitary conveniences in connection with works</w:t>
      </w:r>
      <w:bookmarkEnd w:id="234"/>
      <w:bookmarkEnd w:id="235"/>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No. 25 of 1952 s. 3; amended: No. 113 of 1965 s. 8(1); No. 80 of 1987 s. 17; No. 14 of 1996 s. 4.]</w:t>
      </w:r>
    </w:p>
    <w:p>
      <w:pPr>
        <w:pStyle w:val="Heading5"/>
        <w:keepNext w:val="0"/>
        <w:keepLines w:val="0"/>
        <w:rPr>
          <w:snapToGrid w:val="0"/>
        </w:rPr>
      </w:pPr>
      <w:bookmarkStart w:id="236" w:name="_Toc225765796"/>
      <w:bookmarkStart w:id="237" w:name="_Toc209710721"/>
      <w:r>
        <w:rPr>
          <w:rStyle w:val="CharSectno"/>
        </w:rPr>
        <w:t>103</w:t>
      </w:r>
      <w:r>
        <w:rPr>
          <w:snapToGrid w:val="0"/>
        </w:rPr>
        <w:t>.</w:t>
      </w:r>
      <w:r>
        <w:rPr>
          <w:snapToGrid w:val="0"/>
        </w:rPr>
        <w:tab/>
        <w:t>Persons to carry out sanitary work in certain cases</w:t>
      </w:r>
      <w:bookmarkEnd w:id="236"/>
      <w:bookmarkEnd w:id="237"/>
    </w:p>
    <w:p>
      <w:pPr>
        <w:pStyle w:val="Subsection"/>
        <w:keepNext/>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ind w:left="890" w:hanging="890"/>
      </w:pPr>
      <w:r>
        <w:tab/>
        <w:t>[Section 103, inserted as section 83A: No. 30 of 1932 s. 14; renumbered as section 103: No. 38 of 1933 s. 42; amended: No. 102 of 1973 s. 6; No. 14 of 1996 s. 4; No. 57 of 1997 s. 68(1).]</w:t>
      </w:r>
    </w:p>
    <w:p>
      <w:pPr>
        <w:pStyle w:val="Heading5"/>
        <w:spacing w:before="180"/>
        <w:rPr>
          <w:snapToGrid w:val="0"/>
        </w:rPr>
      </w:pPr>
      <w:bookmarkStart w:id="238" w:name="_Toc225765797"/>
      <w:bookmarkStart w:id="239" w:name="_Toc209710722"/>
      <w:r>
        <w:rPr>
          <w:rStyle w:val="CharSectno"/>
        </w:rPr>
        <w:t>104</w:t>
      </w:r>
      <w:r>
        <w:rPr>
          <w:snapToGrid w:val="0"/>
        </w:rPr>
        <w:t>.</w:t>
      </w:r>
      <w:r>
        <w:rPr>
          <w:snapToGrid w:val="0"/>
        </w:rPr>
        <w:tab/>
        <w:t>Earth</w:t>
      </w:r>
      <w:r>
        <w:rPr>
          <w:snapToGrid w:val="0"/>
        </w:rPr>
        <w:noBreakHyphen/>
        <w:t>closets</w:t>
      </w:r>
      <w:bookmarkEnd w:id="238"/>
      <w:bookmarkEnd w:id="239"/>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ind w:left="890" w:hanging="890"/>
      </w:pPr>
      <w:r>
        <w:tab/>
        <w:t>[Section 104, formerly section 84, renumbered as section 104: No. 38 of 1933 s. 42; amended: No. 14 of 1996 s. 4.]</w:t>
      </w:r>
    </w:p>
    <w:p>
      <w:pPr>
        <w:pStyle w:val="Heading5"/>
        <w:spacing w:before="180"/>
        <w:rPr>
          <w:snapToGrid w:val="0"/>
        </w:rPr>
      </w:pPr>
      <w:bookmarkStart w:id="240" w:name="_Toc225765798"/>
      <w:bookmarkStart w:id="241" w:name="_Toc209710723"/>
      <w:r>
        <w:rPr>
          <w:rStyle w:val="CharSectno"/>
        </w:rPr>
        <w:t>105</w:t>
      </w:r>
      <w:r>
        <w:rPr>
          <w:snapToGrid w:val="0"/>
        </w:rPr>
        <w:t>.</w:t>
      </w:r>
      <w:r>
        <w:rPr>
          <w:snapToGrid w:val="0"/>
        </w:rPr>
        <w:tab/>
        <w:t>Public sanitary conveniences</w:t>
      </w:r>
      <w:bookmarkEnd w:id="240"/>
      <w:bookmarkEnd w:id="241"/>
    </w:p>
    <w:p>
      <w:pPr>
        <w:pStyle w:val="Subsection"/>
        <w:spacing w:before="120"/>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spacing w:before="140"/>
        <w:rPr>
          <w:snapToGrid w:val="0"/>
        </w:rPr>
      </w:pPr>
      <w:r>
        <w:rPr>
          <w:snapToGrid w:val="0"/>
        </w:rPr>
        <w:tab/>
        <w:t>(2)</w:t>
      </w:r>
      <w:r>
        <w:rPr>
          <w:snapToGrid w:val="0"/>
        </w:rPr>
        <w:tab/>
        <w:t>The local government may levy and collect charges for the use of such conveniences and receptacles.</w:t>
      </w:r>
    </w:p>
    <w:p>
      <w:pPr>
        <w:pStyle w:val="Subsection"/>
        <w:spacing w:before="140"/>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ind w:left="890" w:hanging="890"/>
      </w:pPr>
      <w:r>
        <w:tab/>
        <w:t>[Section 105, formerly section 85, renumbered as section 105: No. 38 of 1933 s. 42; amended: No. 14 of 1996 s. 4.]</w:t>
      </w:r>
    </w:p>
    <w:p>
      <w:pPr>
        <w:pStyle w:val="Heading5"/>
        <w:spacing w:before="180"/>
        <w:rPr>
          <w:snapToGrid w:val="0"/>
        </w:rPr>
      </w:pPr>
      <w:bookmarkStart w:id="242" w:name="_Toc225765799"/>
      <w:bookmarkStart w:id="243" w:name="_Toc209710724"/>
      <w:r>
        <w:rPr>
          <w:rStyle w:val="CharSectno"/>
        </w:rPr>
        <w:t>106</w:t>
      </w:r>
      <w:r>
        <w:rPr>
          <w:snapToGrid w:val="0"/>
        </w:rPr>
        <w:t>.</w:t>
      </w:r>
      <w:r>
        <w:rPr>
          <w:snapToGrid w:val="0"/>
        </w:rPr>
        <w:tab/>
        <w:t>Power to make pan charges</w:t>
      </w:r>
      <w:bookmarkEnd w:id="242"/>
      <w:bookmarkEnd w:id="243"/>
    </w:p>
    <w:p>
      <w:pPr>
        <w:pStyle w:val="Subsection"/>
        <w:spacing w:before="14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 xml:space="preserve">A local government may, with the approval of the </w:t>
      </w:r>
      <w:r>
        <w:t>Chief Health Officer</w:t>
      </w:r>
      <w:r>
        <w:rPr>
          <w:snapToGrid w:val="0"/>
        </w:rPr>
        <w:t>, make different charges for services rendered in different portions of its district.</w:t>
      </w:r>
    </w:p>
    <w:p>
      <w:pPr>
        <w:pStyle w:val="Subsection"/>
        <w:keepNext/>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ind w:left="890" w:hanging="890"/>
      </w:pPr>
      <w:r>
        <w:tab/>
        <w:t>[Section 106, formerly section 86, amended: No. 17 of 1918 s. 10; No. 30 of 1932 s. 15; No. 38 of 1933 s. 9; renumbered as section 106: No. 38 of 1933 s. 42; amended: No. 32 of 1937 s. 5; No. 102 of 1973 s. 7; No. 28 of 1984 s. 45; No. 14 of 1996 s. 4; No. 28 of 1996 s. 6; No. 36 of 2007 Sch. 4 cl. 4(3); No. 19 of 2016 s. 100.]</w:t>
      </w:r>
    </w:p>
    <w:p>
      <w:pPr>
        <w:pStyle w:val="Heading5"/>
        <w:spacing w:before="180"/>
        <w:rPr>
          <w:snapToGrid w:val="0"/>
        </w:rPr>
      </w:pPr>
      <w:bookmarkStart w:id="244" w:name="_Toc225765800"/>
      <w:bookmarkStart w:id="245" w:name="_Toc209710725"/>
      <w:r>
        <w:rPr>
          <w:rStyle w:val="CharSectno"/>
        </w:rPr>
        <w:t>107</w:t>
      </w:r>
      <w:r>
        <w:rPr>
          <w:snapToGrid w:val="0"/>
        </w:rPr>
        <w:t>.</w:t>
      </w:r>
      <w:r>
        <w:rPr>
          <w:snapToGrid w:val="0"/>
        </w:rPr>
        <w:tab/>
        <w:t>Drains, privies etc. to be properly kept</w:t>
      </w:r>
      <w:bookmarkEnd w:id="244"/>
      <w:bookmarkEnd w:id="245"/>
    </w:p>
    <w:p>
      <w:pPr>
        <w:pStyle w:val="Subsection"/>
        <w:spacing w:before="12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2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 xml:space="preserve">the </w:t>
      </w:r>
      <w:r>
        <w:t>Chief Health Officer</w:t>
      </w:r>
      <w:r>
        <w:rPr>
          <w:snapToGrid w:val="0"/>
        </w:rPr>
        <w:t xml:space="preserve"> has approved of that construction or installation, where it is prescribed by regulation that the apparatus is to be approved for the purposes of this paragraph by the </w:t>
      </w:r>
      <w:r>
        <w:t>Chief Health Officer</w:t>
      </w:r>
      <w:r>
        <w:rPr>
          <w:snapToGrid w:val="0"/>
        </w:rPr>
        <w:t>.</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rPr>
      </w:pPr>
      <w:r>
        <w:rPr>
          <w:snapToGrid w:val="0"/>
        </w:rPr>
        <w:tab/>
        <w:t>(5)</w:t>
      </w:r>
      <w:r>
        <w:rPr>
          <w:snapToGrid w:val="0"/>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keepLines w:val="0"/>
        <w:ind w:left="890" w:hanging="890"/>
      </w:pPr>
      <w:r>
        <w:tab/>
        <w:t>[Section 107, formerly section 88, amended: No. 50 of 1926 s. 7; renumbered as section 107: No. 38 of 1933 s. 42; amended: No. 21 of 1957 s. 6; No. 113 of 1965 s. 8(1); No. 28 of 1984 s. 45; No. 80 of 1987 s. 18; No. 59 of 1991 s. 11 and 20; No. 14 of 1996 s. 4; No. 28 of 1996 s. 7; No. 19 of 2016 s. 100.]</w:t>
      </w:r>
    </w:p>
    <w:p>
      <w:pPr>
        <w:pStyle w:val="Heading5"/>
        <w:spacing w:before="180"/>
        <w:rPr>
          <w:snapToGrid w:val="0"/>
        </w:rPr>
      </w:pPr>
      <w:bookmarkStart w:id="246" w:name="_Toc225765801"/>
      <w:bookmarkStart w:id="247" w:name="_Toc209710726"/>
      <w:r>
        <w:rPr>
          <w:rStyle w:val="CharSectno"/>
        </w:rPr>
        <w:t>107A</w:t>
      </w:r>
      <w:r>
        <w:rPr>
          <w:snapToGrid w:val="0"/>
        </w:rPr>
        <w:t xml:space="preserve">. </w:t>
      </w:r>
      <w:r>
        <w:rPr>
          <w:snapToGrid w:val="0"/>
        </w:rPr>
        <w:tab/>
        <w:t>Articles in use in construction or operation of sewers etc. to be of prescribed standard</w:t>
      </w:r>
      <w:bookmarkEnd w:id="246"/>
      <w:bookmarkEnd w:id="247"/>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No. 35 of 1966 s. 3.]</w:t>
      </w:r>
    </w:p>
    <w:p>
      <w:pPr>
        <w:pStyle w:val="Heading5"/>
        <w:keepNext w:val="0"/>
        <w:keepLines w:val="0"/>
        <w:spacing w:before="180"/>
        <w:rPr>
          <w:snapToGrid w:val="0"/>
        </w:rPr>
      </w:pPr>
      <w:bookmarkStart w:id="248" w:name="_Toc225765802"/>
      <w:bookmarkStart w:id="249" w:name="_Toc209710727"/>
      <w:r>
        <w:rPr>
          <w:rStyle w:val="CharSectno"/>
        </w:rPr>
        <w:t>108</w:t>
      </w:r>
      <w:r>
        <w:rPr>
          <w:snapToGrid w:val="0"/>
        </w:rPr>
        <w:t>.</w:t>
      </w:r>
      <w:r>
        <w:rPr>
          <w:snapToGrid w:val="0"/>
        </w:rPr>
        <w:tab/>
        <w:t>Examination of drains etc.</w:t>
      </w:r>
      <w:bookmarkEnd w:id="248"/>
      <w:bookmarkEnd w:id="249"/>
    </w:p>
    <w:p>
      <w:pPr>
        <w:pStyle w:val="Subsection"/>
        <w:spacing w:before="12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2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2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2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2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spacing w:before="120"/>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keepLines w:val="0"/>
        <w:spacing w:before="80"/>
        <w:ind w:left="890" w:hanging="890"/>
      </w:pPr>
      <w:r>
        <w:tab/>
        <w:t>[Section 108, formerly section 89, renumbered as section 108: No. 38 of 1933 s. 42; amended: No. 113 of 1965 s. 8(1); No. 80 of 1987 s. 19; No. 59 of 1991 s. 12; No. 14 of 1996 s. 4; No. 59 of 2004 s. 141.]</w:t>
      </w:r>
    </w:p>
    <w:p>
      <w:pPr>
        <w:pStyle w:val="Heading5"/>
        <w:rPr>
          <w:snapToGrid w:val="0"/>
        </w:rPr>
      </w:pPr>
      <w:bookmarkStart w:id="250" w:name="_Toc225765803"/>
      <w:bookmarkStart w:id="251" w:name="_Toc209710728"/>
      <w:r>
        <w:rPr>
          <w:rStyle w:val="CharSectno"/>
        </w:rPr>
        <w:t>109</w:t>
      </w:r>
      <w:r>
        <w:rPr>
          <w:snapToGrid w:val="0"/>
        </w:rPr>
        <w:t>.</w:t>
      </w:r>
      <w:r>
        <w:rPr>
          <w:snapToGrid w:val="0"/>
        </w:rPr>
        <w:tab/>
        <w:t>Local government may require filling up of certain cesspools</w:t>
      </w:r>
      <w:bookmarkEnd w:id="250"/>
      <w:bookmarkEnd w:id="251"/>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ind w:left="890" w:hanging="890"/>
      </w:pPr>
      <w:r>
        <w:tab/>
        <w:t>[Section 109 inserted: No. 80 of 1987 s. 20; amended: No 14 of 1996 s. 4.]</w:t>
      </w:r>
    </w:p>
    <w:p>
      <w:pPr>
        <w:pStyle w:val="Heading5"/>
        <w:keepNext w:val="0"/>
        <w:rPr>
          <w:snapToGrid w:val="0"/>
        </w:rPr>
      </w:pPr>
      <w:bookmarkStart w:id="252" w:name="_Toc225765804"/>
      <w:bookmarkStart w:id="253" w:name="_Toc209710729"/>
      <w:r>
        <w:rPr>
          <w:rStyle w:val="CharSectno"/>
        </w:rPr>
        <w:t>110</w:t>
      </w:r>
      <w:r>
        <w:rPr>
          <w:snapToGrid w:val="0"/>
        </w:rPr>
        <w:t>.</w:t>
      </w:r>
      <w:r>
        <w:rPr>
          <w:snapToGrid w:val="0"/>
        </w:rPr>
        <w:tab/>
        <w:t>New cesspools for nightsoil forbidden</w:t>
      </w:r>
      <w:bookmarkEnd w:id="252"/>
      <w:bookmarkEnd w:id="253"/>
    </w:p>
    <w:p>
      <w:pPr>
        <w:pStyle w:val="Subsection"/>
        <w:keepLines/>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ind w:left="890" w:hanging="890"/>
      </w:pPr>
      <w:r>
        <w:tab/>
        <w:t>[Section 110, formerly section 91, renumbered as section 110: No. 38 of 1933 s. 42; amended: No. 14 of 1996 s. 4.]</w:t>
      </w:r>
    </w:p>
    <w:p>
      <w:pPr>
        <w:pStyle w:val="Heading5"/>
        <w:rPr>
          <w:snapToGrid w:val="0"/>
        </w:rPr>
      </w:pPr>
      <w:bookmarkStart w:id="254" w:name="_Toc225765805"/>
      <w:bookmarkStart w:id="255" w:name="_Toc209710730"/>
      <w:r>
        <w:rPr>
          <w:rStyle w:val="CharSectno"/>
        </w:rPr>
        <w:t>111</w:t>
      </w:r>
      <w:r>
        <w:rPr>
          <w:snapToGrid w:val="0"/>
        </w:rPr>
        <w:t>.</w:t>
      </w:r>
      <w:r>
        <w:rPr>
          <w:snapToGrid w:val="0"/>
        </w:rPr>
        <w:tab/>
        <w:t>Local government may supply receptacles</w:t>
      </w:r>
      <w:bookmarkEnd w:id="254"/>
      <w:bookmarkEnd w:id="255"/>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ind w:left="890" w:hanging="890"/>
      </w:pPr>
      <w:r>
        <w:tab/>
        <w:t>[Section 111, formerly section 92, renumbered as section 111: No. 38 of 1933 s. 42; amended: No. 102 of 1973 s. 8; No. 14 of 1996 s. 4; No. 36 of 2007 Sch. 4 cl. 4(4).]</w:t>
      </w:r>
    </w:p>
    <w:p>
      <w:pPr>
        <w:pStyle w:val="Heading3"/>
      </w:pPr>
      <w:bookmarkStart w:id="256" w:name="_Toc225760779"/>
      <w:bookmarkStart w:id="257" w:name="_Toc225761111"/>
      <w:bookmarkStart w:id="258" w:name="_Toc225765806"/>
      <w:bookmarkStart w:id="259" w:name="_Toc209701255"/>
      <w:bookmarkStart w:id="260" w:name="_Toc209702873"/>
      <w:bookmarkStart w:id="261" w:name="_Toc209703205"/>
      <w:bookmarkStart w:id="262" w:name="_Toc209710731"/>
      <w:r>
        <w:rPr>
          <w:rStyle w:val="CharDivNo"/>
        </w:rPr>
        <w:t>Division 5</w:t>
      </w:r>
      <w:r>
        <w:rPr>
          <w:snapToGrid w:val="0"/>
        </w:rPr>
        <w:t> — </w:t>
      </w:r>
      <w:r>
        <w:rPr>
          <w:rStyle w:val="CharDivText"/>
        </w:rPr>
        <w:t>Scavenging, cleansing, etc.</w:t>
      </w:r>
      <w:bookmarkEnd w:id="256"/>
      <w:bookmarkEnd w:id="257"/>
      <w:bookmarkEnd w:id="258"/>
      <w:bookmarkEnd w:id="259"/>
      <w:bookmarkEnd w:id="260"/>
      <w:bookmarkEnd w:id="261"/>
      <w:bookmarkEnd w:id="262"/>
    </w:p>
    <w:p>
      <w:pPr>
        <w:pStyle w:val="Heading5"/>
        <w:spacing w:before="180"/>
        <w:rPr>
          <w:snapToGrid w:val="0"/>
        </w:rPr>
      </w:pPr>
      <w:bookmarkStart w:id="263" w:name="_Toc225765807"/>
      <w:bookmarkStart w:id="264" w:name="_Toc209710732"/>
      <w:r>
        <w:rPr>
          <w:rStyle w:val="CharSectno"/>
        </w:rPr>
        <w:t>112</w:t>
      </w:r>
      <w:r>
        <w:rPr>
          <w:snapToGrid w:val="0"/>
        </w:rPr>
        <w:t>.</w:t>
      </w:r>
      <w:r>
        <w:rPr>
          <w:snapToGrid w:val="0"/>
        </w:rPr>
        <w:tab/>
        <w:t>Local government to provide for removal of refuse and cleansing works</w:t>
      </w:r>
      <w:bookmarkEnd w:id="263"/>
      <w:bookmarkEnd w:id="264"/>
    </w:p>
    <w:p>
      <w:pPr>
        <w:pStyle w:val="Subsection"/>
        <w:spacing w:before="120"/>
        <w:rPr>
          <w:snapToGrid w:val="0"/>
        </w:rPr>
      </w:pPr>
      <w:r>
        <w:rPr>
          <w:snapToGrid w:val="0"/>
        </w:rPr>
        <w:tab/>
        <w:t>(1)</w:t>
      </w:r>
      <w:r>
        <w:rPr>
          <w:snapToGrid w:val="0"/>
        </w:rPr>
        <w:tab/>
        <w:t xml:space="preserve">A local government may, and when the </w:t>
      </w:r>
      <w:r>
        <w:t>Chief Health Officer</w:t>
      </w:r>
      <w:r>
        <w:rPr>
          <w:snapToGrid w:val="0"/>
        </w:rPr>
        <w:t xml:space="preserve">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spacing w:before="140"/>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spacing w:before="120"/>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20"/>
        <w:rPr>
          <w:snapToGrid w:val="0"/>
        </w:rPr>
      </w:pPr>
      <w:r>
        <w:rPr>
          <w:snapToGrid w:val="0"/>
        </w:rPr>
        <w:tab/>
        <w:t>(3)</w:t>
      </w:r>
      <w:r>
        <w:rPr>
          <w:snapToGrid w:val="0"/>
        </w:rPr>
        <w:tab/>
        <w:t xml:space="preserve">After the end of the year 1934 no nightsoil collected in one district shall be deposited in any other district, except with the consent of the local government of such other district, or of the </w:t>
      </w:r>
      <w:r>
        <w:t>Chief Health Officer</w:t>
      </w:r>
      <w:r>
        <w:rPr>
          <w:snapToGrid w:val="0"/>
        </w:rPr>
        <w:t>.</w:t>
      </w:r>
    </w:p>
    <w:p>
      <w:pPr>
        <w:pStyle w:val="Footnotesection"/>
        <w:keepLines w:val="0"/>
        <w:spacing w:before="100"/>
        <w:ind w:left="890" w:hanging="890"/>
      </w:pPr>
      <w:r>
        <w:tab/>
        <w:t>[Section 112, formerly section 93, amended: No. 17 of 1918 s. 11; No. 30 of 1932 s. 17; renumbered as section 112: No. 38 of 1933 s. 42; amended: No. 45 of 1954 s. 3; No. 38 of 1960 s. 3; No. 102 of 1972 s. 9; No. 28 of 1984 s. 45; No. 14 of 1996 s. 4; No. 28 of 1996 s. 8; No. 36 of 2007 Sch. 4 cl. 4(5); No. 19 of 2016 s. 100.]</w:t>
      </w:r>
    </w:p>
    <w:p>
      <w:pPr>
        <w:pStyle w:val="Ednotesection"/>
        <w:spacing w:before="240"/>
      </w:pPr>
      <w:r>
        <w:t>[</w:t>
      </w:r>
      <w:r>
        <w:rPr>
          <w:b/>
          <w:bCs/>
        </w:rPr>
        <w:t>112A.</w:t>
      </w:r>
      <w:r>
        <w:tab/>
        <w:t>Deleted: No. 36 of 2007 Sch. 4 cl. 4(6).]</w:t>
      </w:r>
    </w:p>
    <w:p>
      <w:pPr>
        <w:pStyle w:val="Heading5"/>
        <w:spacing w:before="240"/>
        <w:rPr>
          <w:snapToGrid w:val="0"/>
        </w:rPr>
      </w:pPr>
      <w:bookmarkStart w:id="265" w:name="_Toc225765808"/>
      <w:bookmarkStart w:id="266" w:name="_Toc209710733"/>
      <w:r>
        <w:rPr>
          <w:rStyle w:val="CharSectno"/>
        </w:rPr>
        <w:t>113</w:t>
      </w:r>
      <w:r>
        <w:rPr>
          <w:snapToGrid w:val="0"/>
        </w:rPr>
        <w:t>.</w:t>
      </w:r>
      <w:r>
        <w:rPr>
          <w:snapToGrid w:val="0"/>
        </w:rPr>
        <w:tab/>
        <w:t>Power of contractor to recover</w:t>
      </w:r>
      <w:bookmarkEnd w:id="265"/>
      <w:bookmarkEnd w:id="266"/>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ind w:left="890" w:hanging="890"/>
      </w:pPr>
      <w:r>
        <w:tab/>
        <w:t>[Section 113, formerly section 94, amended: No. 30 of 1932 s. 18; renumbered as section 113: No. 38 of 1933 s. 42; amended: No. 102 of 1973 s. 10; No. 14 of 1996 s. 4; No. 28 of 1996 s. 9.]</w:t>
      </w:r>
    </w:p>
    <w:p>
      <w:pPr>
        <w:pStyle w:val="Heading5"/>
        <w:rPr>
          <w:snapToGrid w:val="0"/>
        </w:rPr>
      </w:pPr>
      <w:bookmarkStart w:id="267" w:name="_Toc225765809"/>
      <w:bookmarkStart w:id="268" w:name="_Toc209710734"/>
      <w:r>
        <w:rPr>
          <w:rStyle w:val="CharSectno"/>
        </w:rPr>
        <w:t>114</w:t>
      </w:r>
      <w:r>
        <w:rPr>
          <w:snapToGrid w:val="0"/>
        </w:rPr>
        <w:t>.</w:t>
      </w:r>
      <w:r>
        <w:rPr>
          <w:snapToGrid w:val="0"/>
        </w:rPr>
        <w:tab/>
        <w:t>Obstruction or hindrance of certain works penalised</w:t>
      </w:r>
      <w:bookmarkEnd w:id="267"/>
      <w:bookmarkEnd w:id="268"/>
    </w:p>
    <w:p>
      <w:pPr>
        <w:pStyle w:val="Subsection"/>
        <w:spacing w:before="140"/>
        <w:rPr>
          <w:snapToGrid w:val="0"/>
        </w:rPr>
      </w:pPr>
      <w:r>
        <w:rPr>
          <w:snapToGrid w:val="0"/>
        </w:rPr>
        <w:tab/>
        <w:t>(1)</w:t>
      </w:r>
      <w:r>
        <w:rPr>
          <w:snapToGrid w:val="0"/>
        </w:rPr>
        <w:tab/>
      </w:r>
      <w:r>
        <w:t>A person</w:t>
      </w:r>
      <w:r>
        <w:rPr>
          <w:snapToGrid w:val="0"/>
        </w:rPr>
        <w:t xml:space="preserve">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No. 80 of 1987 s. 21; amended: No. 59 of 1991 s. 5; No. 14 of 1996 s. 4; No. 28 of 1996 s. 21; No. 36 of 2007 Sch. 4 cl. 4(6); No. 14 of 2025 s. 26(2).]</w:t>
      </w:r>
    </w:p>
    <w:p>
      <w:pPr>
        <w:pStyle w:val="Ednotesection"/>
      </w:pPr>
      <w:r>
        <w:t>[</w:t>
      </w:r>
      <w:r>
        <w:rPr>
          <w:b/>
          <w:bCs/>
        </w:rPr>
        <w:t>115.</w:t>
      </w:r>
      <w:r>
        <w:tab/>
        <w:t>Deleted: No. 36 of 2007 Sch. 4 cl. 4(6).]</w:t>
      </w:r>
    </w:p>
    <w:p>
      <w:pPr>
        <w:pStyle w:val="Heading5"/>
        <w:rPr>
          <w:snapToGrid w:val="0"/>
        </w:rPr>
      </w:pPr>
      <w:bookmarkStart w:id="269" w:name="_Toc225765810"/>
      <w:bookmarkStart w:id="270" w:name="_Toc209710735"/>
      <w:r>
        <w:rPr>
          <w:rStyle w:val="CharSectno"/>
        </w:rPr>
        <w:t>116</w:t>
      </w:r>
      <w:r>
        <w:rPr>
          <w:snapToGrid w:val="0"/>
        </w:rPr>
        <w:t>.</w:t>
      </w:r>
      <w:r>
        <w:rPr>
          <w:snapToGrid w:val="0"/>
        </w:rPr>
        <w:tab/>
        <w:t>Procedure when local government undertakes work</w:t>
      </w:r>
      <w:bookmarkEnd w:id="269"/>
      <w:bookmarkEnd w:id="270"/>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 xml:space="preserve">The work shall be executed promptly, efficiently, and at regular and prescribed intervals, to the satisfaction of the </w:t>
      </w:r>
      <w:r>
        <w:t>Chief Health Officer</w:t>
      </w:r>
      <w:r>
        <w:rPr>
          <w:snapToGrid w:val="0"/>
        </w:rPr>
        <w:t xml:space="preserve">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keepNext/>
        <w:rPr>
          <w:snapToGrid w:val="0"/>
        </w:rPr>
      </w:pPr>
      <w:r>
        <w:rPr>
          <w:snapToGrid w:val="0"/>
        </w:rPr>
        <w:tab/>
        <w:t>(e)</w:t>
      </w:r>
      <w:r>
        <w:rPr>
          <w:snapToGrid w:val="0"/>
        </w:rPr>
        <w:tab/>
        <w:t>In paragraph (d) the</w:t>
      </w:r>
      <w:r>
        <w:rPr>
          <w:b/>
          <w:i/>
          <w:snapToGrid w:val="0"/>
        </w:rPr>
        <w:t xml:space="preserve"> </w:t>
      </w:r>
      <w:r>
        <w:rPr>
          <w:rStyle w:val="CharDefText"/>
        </w:rPr>
        <w:t>person in default</w:t>
      </w:r>
      <w:r>
        <w:rPr>
          <w:snapToGrid w:val="0"/>
        </w:rPr>
        <w:t xml:space="preserve"> means the contractor if the work is being executed by contract, or the officer in charge of the work if it is being executed by the local government.</w:t>
      </w:r>
    </w:p>
    <w:p>
      <w:pPr>
        <w:pStyle w:val="Footnotesection"/>
        <w:ind w:left="890" w:hanging="890"/>
      </w:pPr>
      <w:r>
        <w:tab/>
        <w:t>[Section 116, formerly section 97, renumbered as section 116: No. 38 of 1933 s. 42; amended: No. 113 of 1965 s. 8(1); No. 102 of 1973 s. 13; No. 28 of 1984 s. 45; No. 80 of 1987 s. 22; No. 14 of 1996 s. 4; No. 19 of 2016 s. 100.]</w:t>
      </w:r>
    </w:p>
    <w:p>
      <w:pPr>
        <w:pStyle w:val="Heading5"/>
        <w:rPr>
          <w:snapToGrid w:val="0"/>
        </w:rPr>
      </w:pPr>
      <w:bookmarkStart w:id="271" w:name="_Toc225765811"/>
      <w:bookmarkStart w:id="272" w:name="_Toc209710736"/>
      <w:r>
        <w:rPr>
          <w:rStyle w:val="CharSectno"/>
        </w:rPr>
        <w:t>117</w:t>
      </w:r>
      <w:r>
        <w:rPr>
          <w:snapToGrid w:val="0"/>
        </w:rPr>
        <w:t>.</w:t>
      </w:r>
      <w:r>
        <w:rPr>
          <w:snapToGrid w:val="0"/>
        </w:rPr>
        <w:tab/>
        <w:t>Cleansing common courts and passages</w:t>
      </w:r>
      <w:bookmarkEnd w:id="271"/>
      <w:bookmarkEnd w:id="272"/>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ind w:left="890" w:hanging="890"/>
      </w:pPr>
      <w:r>
        <w:tab/>
        <w:t>[Section 117, formerly section 98, renumbered as section 117: No. 38 of 1933 s. 42; amended: No. 14 of 1996 s. 4; No. 59 of 2004 s. 141.]</w:t>
      </w:r>
    </w:p>
    <w:p>
      <w:pPr>
        <w:pStyle w:val="Ednotesection"/>
      </w:pPr>
      <w:r>
        <w:t>[</w:t>
      </w:r>
      <w:r>
        <w:rPr>
          <w:b/>
          <w:bCs/>
        </w:rPr>
        <w:t>118.</w:t>
      </w:r>
      <w:r>
        <w:tab/>
        <w:t>Deleted: No. 36 of 2007 Sch. 4 cl. 4(6).]</w:t>
      </w:r>
    </w:p>
    <w:p>
      <w:pPr>
        <w:pStyle w:val="Heading5"/>
        <w:rPr>
          <w:snapToGrid w:val="0"/>
        </w:rPr>
      </w:pPr>
      <w:bookmarkStart w:id="273" w:name="_Toc225765812"/>
      <w:bookmarkStart w:id="274" w:name="_Toc209710737"/>
      <w:r>
        <w:rPr>
          <w:rStyle w:val="CharSectno"/>
        </w:rPr>
        <w:t>119</w:t>
      </w:r>
      <w:r>
        <w:rPr>
          <w:snapToGrid w:val="0"/>
        </w:rPr>
        <w:t>.</w:t>
      </w:r>
      <w:r>
        <w:rPr>
          <w:snapToGrid w:val="0"/>
        </w:rPr>
        <w:tab/>
        <w:t>Reserves for deposit of sewage, rubbish or refuse</w:t>
      </w:r>
      <w:bookmarkEnd w:id="273"/>
      <w:bookmarkEnd w:id="274"/>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 xml:space="preserve">Provided that, in using any land for such purpose, the local government shall in every case conform to the requirements of the </w:t>
      </w:r>
      <w:r>
        <w:t>Chief Health Officer</w:t>
      </w:r>
      <w:r>
        <w:rPr>
          <w:snapToGrid w:val="0"/>
        </w:rPr>
        <w:t>, and if it fails or neglects so to do, then the Governor may revoke his consent, whereupon it shall be unlawful for the local government to use the land for such purpose.</w:t>
      </w:r>
    </w:p>
    <w:p>
      <w:pPr>
        <w:pStyle w:val="Footnotesection"/>
      </w:pPr>
      <w:r>
        <w:tab/>
        <w:t>[Section 119, formerly section 100, renumbered as section 119: No. 38 of 1933 s. 42; amended: No. 102 of 1973 s. 15; No. 28 of 1984 s. 45; No. 14 of 1996 s. 4; No. 19 of 2016 s. 100.]</w:t>
      </w:r>
    </w:p>
    <w:p>
      <w:pPr>
        <w:pStyle w:val="Heading5"/>
        <w:rPr>
          <w:snapToGrid w:val="0"/>
        </w:rPr>
      </w:pPr>
      <w:bookmarkStart w:id="275" w:name="_Toc225765813"/>
      <w:bookmarkStart w:id="276" w:name="_Toc209710738"/>
      <w:r>
        <w:rPr>
          <w:rStyle w:val="CharSectno"/>
        </w:rPr>
        <w:t>120</w:t>
      </w:r>
      <w:r>
        <w:rPr>
          <w:snapToGrid w:val="0"/>
        </w:rPr>
        <w:t>.</w:t>
      </w:r>
      <w:r>
        <w:rPr>
          <w:snapToGrid w:val="0"/>
        </w:rPr>
        <w:tab/>
        <w:t>Power to close depots</w:t>
      </w:r>
      <w:bookmarkEnd w:id="275"/>
      <w:bookmarkEnd w:id="276"/>
    </w:p>
    <w:p>
      <w:pPr>
        <w:pStyle w:val="Subsection"/>
        <w:rPr>
          <w:snapToGrid w:val="0"/>
        </w:rPr>
      </w:pPr>
      <w:r>
        <w:rPr>
          <w:snapToGrid w:val="0"/>
        </w:rPr>
        <w:tab/>
        <w:t>(1)</w:t>
      </w:r>
      <w:r>
        <w:rPr>
          <w:snapToGrid w:val="0"/>
        </w:rPr>
        <w:tab/>
        <w:t xml:space="preserve">The </w:t>
      </w:r>
      <w:r>
        <w:t>Chief Health Officer</w:t>
      </w:r>
      <w:r>
        <w:rPr>
          <w:snapToGrid w:val="0"/>
        </w:rPr>
        <w:t xml:space="preserve">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 xml:space="preserve">Where the </w:t>
      </w:r>
      <w:r>
        <w:t>Chief Health Officer</w:t>
      </w:r>
      <w:r>
        <w:rPr>
          <w:snapToGrid w:val="0"/>
        </w:rPr>
        <w:t xml:space="preserve"> makes an order prohibiting the further use of any such place, he may also order the surface of such place to be covered with a layer of clean earth, not less than 230 mm in depth.</w:t>
      </w:r>
    </w:p>
    <w:p>
      <w:pPr>
        <w:pStyle w:val="Subsection"/>
        <w:rPr>
          <w:snapToGrid w:val="0"/>
        </w:rPr>
      </w:pPr>
      <w:r>
        <w:rPr>
          <w:snapToGrid w:val="0"/>
        </w:rPr>
        <w:tab/>
        <w:t>(4)</w:t>
      </w:r>
      <w:r>
        <w:rPr>
          <w:snapToGrid w:val="0"/>
        </w:rPr>
        <w:tab/>
        <w:t xml:space="preserve">It shall be the duty of the owner of such place, and of any person, local government, or other authority by whom such place shall have been used for the deposit of sewage, refuse matter, or rubbish, to carry out the order of the </w:t>
      </w:r>
      <w:r>
        <w:t>Chief Health Officer</w:t>
      </w:r>
      <w:r>
        <w:rPr>
          <w:snapToGrid w:val="0"/>
        </w:rPr>
        <w:t>.</w:t>
      </w:r>
    </w:p>
    <w:p>
      <w:pPr>
        <w:pStyle w:val="Footnotesection"/>
        <w:keepLines w:val="0"/>
        <w:ind w:left="890" w:hanging="890"/>
      </w:pPr>
      <w:r>
        <w:tab/>
        <w:t>[Section 120, formerly section 101, amended: No. 17 of 1918 s. 12; renumbered as section 120: No. 38 of 1933 s. 42; amended: No. 94 of 1972 s. 4(1) (as amended: No. 93 of 1973 s. 4); No. 102 of 1973 s. 16; No. 28 of 1984 s. 45; No. 80 of 1987 s. 23; No. 14 of 1996 s. 4; No. 19 of 2016 s. 100.]</w:t>
      </w:r>
    </w:p>
    <w:p>
      <w:pPr>
        <w:pStyle w:val="Heading5"/>
        <w:spacing w:before="180"/>
        <w:rPr>
          <w:snapToGrid w:val="0"/>
        </w:rPr>
      </w:pPr>
      <w:bookmarkStart w:id="277" w:name="_Toc225765814"/>
      <w:bookmarkStart w:id="278" w:name="_Toc209710739"/>
      <w:r>
        <w:rPr>
          <w:rStyle w:val="CharSectno"/>
        </w:rPr>
        <w:t>121</w:t>
      </w:r>
      <w:r>
        <w:rPr>
          <w:snapToGrid w:val="0"/>
        </w:rPr>
        <w:t>.</w:t>
      </w:r>
      <w:r>
        <w:rPr>
          <w:snapToGrid w:val="0"/>
        </w:rPr>
        <w:tab/>
        <w:t>Building on sanitary depots</w:t>
      </w:r>
      <w:bookmarkEnd w:id="277"/>
      <w:bookmarkEnd w:id="278"/>
    </w:p>
    <w:p>
      <w:pPr>
        <w:pStyle w:val="Subsection"/>
        <w:spacing w:before="120"/>
        <w:rPr>
          <w:snapToGrid w:val="0"/>
        </w:rPr>
      </w:pPr>
      <w:r>
        <w:rPr>
          <w:snapToGrid w:val="0"/>
        </w:rPr>
        <w:tab/>
        <w:t>(1)</w:t>
      </w:r>
      <w:r>
        <w:rPr>
          <w:snapToGrid w:val="0"/>
        </w:rPr>
        <w:tab/>
        <w:t xml:space="preserve">The </w:t>
      </w:r>
      <w:r>
        <w:t>Chief Health Officer</w:t>
      </w:r>
      <w:r>
        <w:rPr>
          <w:snapToGrid w:val="0"/>
        </w:rPr>
        <w:t xml:space="preserve"> may order that no building shall be erected on any such place until the whole surface is rendered impervious by asphalt or other means.</w:t>
      </w:r>
    </w:p>
    <w:p>
      <w:pPr>
        <w:pStyle w:val="Subsection"/>
        <w:spacing w:before="120"/>
        <w:rPr>
          <w:snapToGrid w:val="0"/>
        </w:rPr>
      </w:pPr>
      <w:r>
        <w:rPr>
          <w:snapToGrid w:val="0"/>
        </w:rPr>
        <w:tab/>
        <w:t>(2)</w:t>
      </w:r>
      <w:r>
        <w:rPr>
          <w:snapToGrid w:val="0"/>
        </w:rPr>
        <w:tab/>
        <w:t xml:space="preserve">Any person who, without the consent of the </w:t>
      </w:r>
      <w:r>
        <w:t>Chief Health Officer</w:t>
      </w:r>
      <w:r>
        <w:rPr>
          <w:snapToGrid w:val="0"/>
        </w:rPr>
        <w:t>, erects any building on such place, and who fails to remove the same when ordered so to do, commits an offence.</w:t>
      </w:r>
    </w:p>
    <w:p>
      <w:pPr>
        <w:pStyle w:val="Footnotesection"/>
      </w:pPr>
      <w:r>
        <w:tab/>
        <w:t>[Section 121, formerly section 102, renumbered as section 121: No. 38 of 1933 s. 42; amended: No. 113 of 1965 s. 8(1); No. 28 of 1984 s. 45; No. 80 of 1987 s. 24; No. 19 of 2016 s. 100.]</w:t>
      </w:r>
    </w:p>
    <w:p>
      <w:pPr>
        <w:pStyle w:val="Heading5"/>
        <w:spacing w:before="180"/>
        <w:rPr>
          <w:snapToGrid w:val="0"/>
        </w:rPr>
      </w:pPr>
      <w:bookmarkStart w:id="279" w:name="_Toc225765815"/>
      <w:bookmarkStart w:id="280" w:name="_Toc209710740"/>
      <w:r>
        <w:rPr>
          <w:rStyle w:val="CharSectno"/>
        </w:rPr>
        <w:t>122</w:t>
      </w:r>
      <w:r>
        <w:rPr>
          <w:snapToGrid w:val="0"/>
        </w:rPr>
        <w:t>.</w:t>
      </w:r>
      <w:r>
        <w:rPr>
          <w:snapToGrid w:val="0"/>
        </w:rPr>
        <w:tab/>
        <w:t>Provision for obtaining order for cleansing offensive watercourse or ditch on boundaries of districts</w:t>
      </w:r>
      <w:bookmarkEnd w:id="279"/>
      <w:bookmarkEnd w:id="280"/>
    </w:p>
    <w:p>
      <w:pPr>
        <w:pStyle w:val="Subsection"/>
        <w:spacing w:before="120"/>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 xml:space="preserve">On the application of the </w:t>
      </w:r>
      <w:r>
        <w:t>Chief Health Officer</w:t>
      </w:r>
      <w:r>
        <w:rPr>
          <w:snapToGrid w:val="0"/>
        </w:rPr>
        <w:t xml:space="preserve">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keepNext/>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spacing w:before="60"/>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spacing w:before="60"/>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spacing w:before="60"/>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spacing w:before="60"/>
        <w:rPr>
          <w:snapToGrid w:val="0"/>
        </w:rPr>
      </w:pPr>
      <w:r>
        <w:rPr>
          <w:snapToGrid w:val="0"/>
        </w:rPr>
        <w:tab/>
        <w:t>(d)</w:t>
      </w:r>
      <w:r>
        <w:rPr>
          <w:snapToGrid w:val="0"/>
        </w:rPr>
        <w:tab/>
        <w:t>prohibit the recurrence of the defect;</w:t>
      </w:r>
    </w:p>
    <w:p>
      <w:pPr>
        <w:pStyle w:val="Indenti"/>
        <w:spacing w:before="60"/>
        <w:rPr>
          <w:snapToGrid w:val="0"/>
        </w:rPr>
      </w:pPr>
      <w:r>
        <w:rPr>
          <w:snapToGrid w:val="0"/>
        </w:rPr>
        <w:tab/>
        <w:t>(e)</w:t>
      </w:r>
      <w:r>
        <w:rPr>
          <w:snapToGrid w:val="0"/>
        </w:rPr>
        <w:tab/>
        <w:t>give such other directions in the premises as it thinks fit.</w:t>
      </w:r>
    </w:p>
    <w:p>
      <w:pPr>
        <w:pStyle w:val="Indenta"/>
        <w:keepNext/>
        <w:keepLines/>
        <w:spacing w:before="160"/>
        <w:rPr>
          <w:snapToGrid w:val="0"/>
        </w:rPr>
      </w:pPr>
      <w:r>
        <w:rPr>
          <w:snapToGrid w:val="0"/>
        </w:rPr>
        <w:tab/>
        <w:t>(3)</w:t>
      </w:r>
      <w:r>
        <w:rPr>
          <w:snapToGrid w:val="0"/>
        </w:rPr>
        <w:tab/>
        <w:t xml:space="preserve">The court’s order may be varied or amended from time to time by subsequent order made by it on the application of the </w:t>
      </w:r>
      <w:r>
        <w:t>Chief Health Officer</w:t>
      </w:r>
      <w:r>
        <w:rPr>
          <w:snapToGrid w:val="0"/>
        </w:rPr>
        <w:t xml:space="preserve"> or any of the local governments, and after summons to show cause.</w:t>
      </w:r>
    </w:p>
    <w:p>
      <w:pPr>
        <w:pStyle w:val="Indenta"/>
        <w:spacing w:before="160"/>
        <w:rPr>
          <w:snapToGrid w:val="0"/>
        </w:rPr>
      </w:pPr>
      <w:r>
        <w:rPr>
          <w:snapToGrid w:val="0"/>
        </w:rPr>
        <w:tab/>
        <w:t>(4)</w:t>
      </w:r>
      <w:r>
        <w:rPr>
          <w:snapToGrid w:val="0"/>
        </w:rPr>
        <w:tab/>
        <w:t>Every order made by the court under this section shall, according to its tenor, bind all the local governments concerned.</w:t>
      </w:r>
    </w:p>
    <w:p>
      <w:pPr>
        <w:pStyle w:val="Indenta"/>
        <w:spacing w:before="160"/>
        <w:rPr>
          <w:snapToGrid w:val="0"/>
        </w:rPr>
      </w:pPr>
      <w:r>
        <w:rPr>
          <w:snapToGrid w:val="0"/>
        </w:rPr>
        <w:tab/>
        <w:t>(5)</w:t>
      </w:r>
      <w:r>
        <w:rPr>
          <w:snapToGrid w:val="0"/>
        </w:rPr>
        <w:tab/>
        <w:t xml:space="preserve">The </w:t>
      </w:r>
      <w:r>
        <w:t>Chief Health Officer</w:t>
      </w:r>
      <w:r>
        <w:rPr>
          <w:snapToGrid w:val="0"/>
        </w:rPr>
        <w:t xml:space="preserve"> may appoint an engineer or other competent person to supervise the execution of the works, and the expenses of such supervision shall be deemed to be part of the cost of the works.</w:t>
      </w:r>
    </w:p>
    <w:p>
      <w:pPr>
        <w:pStyle w:val="Indenta"/>
        <w:spacing w:before="160"/>
        <w:rPr>
          <w:snapToGrid w:val="0"/>
        </w:rPr>
      </w:pPr>
      <w:r>
        <w:rPr>
          <w:snapToGrid w:val="0"/>
        </w:rPr>
        <w:tab/>
        <w:t>(6)</w:t>
      </w:r>
      <w:r>
        <w:rPr>
          <w:snapToGrid w:val="0"/>
        </w:rPr>
        <w:tab/>
        <w:t xml:space="preserve">The works shall be executed with all reasonable diligence, and to the satisfaction of the </w:t>
      </w:r>
      <w:r>
        <w:t>Chief Health Officer</w:t>
      </w:r>
      <w:r>
        <w:rPr>
          <w:snapToGrid w:val="0"/>
        </w:rPr>
        <w:t xml:space="preserve"> or the person appointed to supervise as aforesaid; and if default is made in so doing, the </w:t>
      </w:r>
      <w:r>
        <w:t>Chief Health Officer</w:t>
      </w:r>
      <w:r>
        <w:rPr>
          <w:snapToGrid w:val="0"/>
        </w:rPr>
        <w:t xml:space="preserve"> may cause the works or any portion thereof to be executed at the cost in all things of the local government in default.</w:t>
      </w:r>
    </w:p>
    <w:p>
      <w:pPr>
        <w:pStyle w:val="Indenta"/>
        <w:spacing w:before="160"/>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spacing w:before="160"/>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spacing w:before="160"/>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ind w:left="890" w:hanging="890"/>
      </w:pPr>
      <w:r>
        <w:tab/>
        <w:t>[Section 122, formerly section 103, renumbered as section 122: No. 38 of 1933 s. 42; amended: No. 28 of 1984 s. 45; No. 14 of 1996 s. 4; No. 59 of 2004 s. 141; No. 19 of 2016 s. 100.]</w:t>
      </w:r>
    </w:p>
    <w:p>
      <w:pPr>
        <w:pStyle w:val="Heading5"/>
        <w:rPr>
          <w:snapToGrid w:val="0"/>
        </w:rPr>
      </w:pPr>
      <w:bookmarkStart w:id="281" w:name="_Toc225765816"/>
      <w:bookmarkStart w:id="282" w:name="_Toc209710741"/>
      <w:r>
        <w:rPr>
          <w:rStyle w:val="CharSectno"/>
        </w:rPr>
        <w:t>123</w:t>
      </w:r>
      <w:r>
        <w:rPr>
          <w:snapToGrid w:val="0"/>
        </w:rPr>
        <w:t>.</w:t>
      </w:r>
      <w:r>
        <w:rPr>
          <w:snapToGrid w:val="0"/>
        </w:rPr>
        <w:tab/>
        <w:t>Access to sanitary reserves</w:t>
      </w:r>
      <w:bookmarkEnd w:id="281"/>
      <w:bookmarkEnd w:id="282"/>
    </w:p>
    <w:p>
      <w:pPr>
        <w:pStyle w:val="Subsection"/>
        <w:rPr>
          <w:snapToGrid w:val="0"/>
        </w:rPr>
      </w:pPr>
      <w:r>
        <w:rPr>
          <w:snapToGrid w:val="0"/>
        </w:rPr>
        <w:tab/>
      </w:r>
      <w:r>
        <w:rPr>
          <w:snapToGrid w:val="0"/>
        </w:rPr>
        <w:tab/>
        <w:t>The local government may, with the approval of the Chief Health Officer, apply its funds in the construction and maintenance of roads or tramways outside its district so far as necessary to afford access to any sanitary reserve.</w:t>
      </w:r>
    </w:p>
    <w:p>
      <w:pPr>
        <w:pStyle w:val="Footnotesection"/>
        <w:ind w:left="890" w:hanging="890"/>
      </w:pPr>
      <w:r>
        <w:tab/>
        <w:t>[Section 123, formerly section 104, renumbered as section 123: No. 38 of 1933 s. 42; amended: No. 28 of 1984 s. 45; No. 14 of 1996 s. 4; No. 19 of 2016 s. 100.]</w:t>
      </w:r>
    </w:p>
    <w:p>
      <w:pPr>
        <w:pStyle w:val="Ednotedivision"/>
      </w:pPr>
      <w:r>
        <w:t>[Division 6 (124-128) deleted: No. 19 of 2016 s. 11.]</w:t>
      </w:r>
    </w:p>
    <w:p>
      <w:pPr>
        <w:pStyle w:val="Heading3"/>
      </w:pPr>
      <w:bookmarkStart w:id="283" w:name="_Toc225760790"/>
      <w:bookmarkStart w:id="284" w:name="_Toc225761122"/>
      <w:bookmarkStart w:id="285" w:name="_Toc225765817"/>
      <w:bookmarkStart w:id="286" w:name="_Toc209701266"/>
      <w:bookmarkStart w:id="287" w:name="_Toc209702884"/>
      <w:bookmarkStart w:id="288" w:name="_Toc209703216"/>
      <w:bookmarkStart w:id="289" w:name="_Toc209710742"/>
      <w:r>
        <w:rPr>
          <w:rStyle w:val="CharDivNo"/>
        </w:rPr>
        <w:t>Division 7</w:t>
      </w:r>
      <w:r>
        <w:rPr>
          <w:snapToGrid w:val="0"/>
        </w:rPr>
        <w:t> — </w:t>
      </w:r>
      <w:r>
        <w:rPr>
          <w:rStyle w:val="CharDivText"/>
        </w:rPr>
        <w:t>Pollution of water</w:t>
      </w:r>
      <w:bookmarkEnd w:id="283"/>
      <w:bookmarkEnd w:id="284"/>
      <w:bookmarkEnd w:id="285"/>
      <w:bookmarkEnd w:id="286"/>
      <w:bookmarkEnd w:id="287"/>
      <w:bookmarkEnd w:id="288"/>
      <w:bookmarkEnd w:id="289"/>
    </w:p>
    <w:p>
      <w:pPr>
        <w:pStyle w:val="Heading5"/>
        <w:rPr>
          <w:snapToGrid w:val="0"/>
        </w:rPr>
      </w:pPr>
      <w:bookmarkStart w:id="290" w:name="_Toc225765818"/>
      <w:bookmarkStart w:id="291" w:name="_Toc209710743"/>
      <w:r>
        <w:rPr>
          <w:rStyle w:val="CharSectno"/>
        </w:rPr>
        <w:t>129</w:t>
      </w:r>
      <w:r>
        <w:rPr>
          <w:snapToGrid w:val="0"/>
        </w:rPr>
        <w:t>.</w:t>
      </w:r>
      <w:r>
        <w:rPr>
          <w:snapToGrid w:val="0"/>
        </w:rPr>
        <w:tab/>
        <w:t>Pollution of water supply</w:t>
      </w:r>
      <w:bookmarkEnd w:id="290"/>
      <w:bookmarkEnd w:id="291"/>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keepNext/>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spacing w:before="160"/>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formerly section 110, amended: No. 17 of 1918 s. 13; renumbered as section 129: No. 38 of 1933 s. 42; amended: No. 113 of 1965 s. 8(1); No. 80 of 1987 s. 26.]</w:t>
      </w:r>
    </w:p>
    <w:p>
      <w:pPr>
        <w:pStyle w:val="Heading5"/>
        <w:rPr>
          <w:snapToGrid w:val="0"/>
        </w:rPr>
      </w:pPr>
      <w:bookmarkStart w:id="292" w:name="_Toc225765819"/>
      <w:bookmarkStart w:id="293" w:name="_Toc209710744"/>
      <w:r>
        <w:rPr>
          <w:rStyle w:val="CharSectno"/>
        </w:rPr>
        <w:t>130</w:t>
      </w:r>
      <w:r>
        <w:rPr>
          <w:snapToGrid w:val="0"/>
        </w:rPr>
        <w:t>.</w:t>
      </w:r>
      <w:r>
        <w:rPr>
          <w:snapToGrid w:val="0"/>
        </w:rPr>
        <w:tab/>
        <w:t>Riparian rights</w:t>
      </w:r>
      <w:bookmarkEnd w:id="292"/>
      <w:bookmarkEnd w:id="293"/>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ind w:left="890" w:hanging="890"/>
      </w:pPr>
      <w:r>
        <w:tab/>
        <w:t>[Section 130, formerly section 111, renumbered as section 130: No. 38 of 1933 s. 42; amended: No. 14 of 1996 s. 4.]</w:t>
      </w:r>
    </w:p>
    <w:p>
      <w:pPr>
        <w:pStyle w:val="Heading5"/>
        <w:rPr>
          <w:snapToGrid w:val="0"/>
        </w:rPr>
      </w:pPr>
      <w:bookmarkStart w:id="294" w:name="_Toc225765820"/>
      <w:bookmarkStart w:id="295" w:name="_Toc209710745"/>
      <w:r>
        <w:rPr>
          <w:rStyle w:val="CharSectno"/>
        </w:rPr>
        <w:t>131</w:t>
      </w:r>
      <w:r>
        <w:rPr>
          <w:snapToGrid w:val="0"/>
        </w:rPr>
        <w:t>.</w:t>
      </w:r>
      <w:r>
        <w:rPr>
          <w:snapToGrid w:val="0"/>
        </w:rPr>
        <w:tab/>
        <w:t>Sources of water supply may be closed</w:t>
      </w:r>
      <w:bookmarkEnd w:id="294"/>
      <w:bookmarkEnd w:id="295"/>
    </w:p>
    <w:p>
      <w:pPr>
        <w:pStyle w:val="Subsection"/>
        <w:rPr>
          <w:snapToGrid w:val="0"/>
        </w:rPr>
      </w:pPr>
      <w:r>
        <w:rPr>
          <w:snapToGrid w:val="0"/>
        </w:rPr>
        <w:tab/>
        <w:t>(1)</w:t>
      </w:r>
      <w:r>
        <w:rPr>
          <w:snapToGrid w:val="0"/>
        </w:rPr>
        <w:tab/>
        <w:t xml:space="preserve">The local government may, and if so required by the </w:t>
      </w:r>
      <w:r>
        <w:t>Chief Health Officer</w:t>
      </w:r>
      <w:r>
        <w:rPr>
          <w:snapToGrid w:val="0"/>
        </w:rPr>
        <w:t xml:space="preserve"> shall, direct that any water supply, which in the opinion of </w:t>
      </w:r>
      <w:r>
        <w:t>the Chief Health Officer</w:t>
      </w:r>
      <w:r>
        <w:rPr>
          <w:snapToGrid w:val="0"/>
        </w:rPr>
        <w:t>,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 xml:space="preserve">When any water supply has been directed to be closed the local government may, and shall, if the </w:t>
      </w:r>
      <w:r>
        <w:t>Chief Health Officer</w:t>
      </w:r>
      <w:r>
        <w:rPr>
          <w:snapToGrid w:val="0"/>
        </w:rPr>
        <w:t xml:space="preserve"> so directs, take all such steps, whether by filling in the water supply or otherwise, as shall be necessary to prevent the further use of such supply.</w:t>
      </w:r>
    </w:p>
    <w:p>
      <w:pPr>
        <w:pStyle w:val="Footnotesection"/>
        <w:ind w:left="890" w:hanging="890"/>
      </w:pPr>
      <w:r>
        <w:tab/>
        <w:t>[Section 131, formerly section 112, amended: No. 17 of 1918 s. 14; renumbered as section 131: No. 38 of 1933 s. 42; amended: No. 28 of 1984 s. 45; No. 80 of 1987 s. 27; No. 14 of 1996 s. 4; No. 19 of 2016 s. 99 and 100.]</w:t>
      </w:r>
    </w:p>
    <w:p>
      <w:pPr>
        <w:pStyle w:val="Heading5"/>
        <w:rPr>
          <w:snapToGrid w:val="0"/>
        </w:rPr>
      </w:pPr>
      <w:bookmarkStart w:id="296" w:name="_Toc225765821"/>
      <w:bookmarkStart w:id="297" w:name="_Toc209710746"/>
      <w:r>
        <w:rPr>
          <w:rStyle w:val="CharSectno"/>
        </w:rPr>
        <w:t>132</w:t>
      </w:r>
      <w:r>
        <w:rPr>
          <w:snapToGrid w:val="0"/>
        </w:rPr>
        <w:t>.</w:t>
      </w:r>
      <w:r>
        <w:rPr>
          <w:snapToGrid w:val="0"/>
        </w:rPr>
        <w:tab/>
        <w:t>Power to seize and destroy pigs etc. trespassing on rivers etc.</w:t>
      </w:r>
      <w:bookmarkEnd w:id="296"/>
      <w:bookmarkEnd w:id="297"/>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keepNext/>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ind w:left="890" w:hanging="890"/>
      </w:pPr>
      <w:r>
        <w:tab/>
        <w:t>[Section 132, formerly section 113, amended: No. 30 of 1932 s. 19; renumbered as section 132: No. 38 of 1933 s. 42; amended: No. 80 of 1987 s. 28; No. 14 of 1996 s. 4.]</w:t>
      </w:r>
    </w:p>
    <w:p>
      <w:pPr>
        <w:pStyle w:val="Heading3"/>
      </w:pPr>
      <w:bookmarkStart w:id="298" w:name="_Toc225760795"/>
      <w:bookmarkStart w:id="299" w:name="_Toc225761127"/>
      <w:bookmarkStart w:id="300" w:name="_Toc225765822"/>
      <w:bookmarkStart w:id="301" w:name="_Toc209701271"/>
      <w:bookmarkStart w:id="302" w:name="_Toc209702889"/>
      <w:bookmarkStart w:id="303" w:name="_Toc209703221"/>
      <w:bookmarkStart w:id="304" w:name="_Toc209710747"/>
      <w:r>
        <w:rPr>
          <w:rStyle w:val="CharDivNo"/>
        </w:rPr>
        <w:t>Division 8</w:t>
      </w:r>
      <w:r>
        <w:rPr>
          <w:snapToGrid w:val="0"/>
        </w:rPr>
        <w:t> — </w:t>
      </w:r>
      <w:r>
        <w:rPr>
          <w:rStyle w:val="CharDivText"/>
        </w:rPr>
        <w:t>Morgues</w:t>
      </w:r>
      <w:bookmarkEnd w:id="298"/>
      <w:bookmarkEnd w:id="299"/>
      <w:bookmarkEnd w:id="300"/>
      <w:bookmarkEnd w:id="301"/>
      <w:bookmarkEnd w:id="302"/>
      <w:bookmarkEnd w:id="303"/>
      <w:bookmarkEnd w:id="304"/>
    </w:p>
    <w:p>
      <w:pPr>
        <w:pStyle w:val="Heading5"/>
        <w:rPr>
          <w:snapToGrid w:val="0"/>
        </w:rPr>
      </w:pPr>
      <w:bookmarkStart w:id="305" w:name="_Toc225765823"/>
      <w:bookmarkStart w:id="306" w:name="_Toc209710748"/>
      <w:r>
        <w:rPr>
          <w:rStyle w:val="CharSectno"/>
        </w:rPr>
        <w:t>133</w:t>
      </w:r>
      <w:r>
        <w:rPr>
          <w:snapToGrid w:val="0"/>
        </w:rPr>
        <w:t>.</w:t>
      </w:r>
      <w:r>
        <w:rPr>
          <w:snapToGrid w:val="0"/>
        </w:rPr>
        <w:tab/>
        <w:t>Local government may license morgues</w:t>
      </w:r>
      <w:bookmarkEnd w:id="305"/>
      <w:bookmarkEnd w:id="306"/>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keepNext/>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ind w:left="890" w:hanging="890"/>
      </w:pPr>
      <w:r>
        <w:tab/>
        <w:t>[Section 133, formerly section 114, renumbered as section 133: No. 38 of 1933 s. 42; amended: No. 113 of 1965 s. 8(1); No. 80 of 1987 s. 29; No. 14 of 1996 s. 4.]</w:t>
      </w:r>
    </w:p>
    <w:p>
      <w:pPr>
        <w:pStyle w:val="Heading3"/>
        <w:keepLines/>
        <w:rPr>
          <w:snapToGrid w:val="0"/>
        </w:rPr>
      </w:pPr>
      <w:bookmarkStart w:id="307" w:name="_Toc225760797"/>
      <w:bookmarkStart w:id="308" w:name="_Toc225761129"/>
      <w:bookmarkStart w:id="309" w:name="_Toc225765824"/>
      <w:bookmarkStart w:id="310" w:name="_Toc209701273"/>
      <w:bookmarkStart w:id="311" w:name="_Toc209702891"/>
      <w:bookmarkStart w:id="312" w:name="_Toc209703223"/>
      <w:bookmarkStart w:id="313" w:name="_Toc209710749"/>
      <w:r>
        <w:rPr>
          <w:rStyle w:val="CharDivNo"/>
        </w:rPr>
        <w:t>Division 9</w:t>
      </w:r>
      <w:r>
        <w:rPr>
          <w:snapToGrid w:val="0"/>
        </w:rPr>
        <w:t> — </w:t>
      </w:r>
      <w:r>
        <w:rPr>
          <w:rStyle w:val="CharDivText"/>
        </w:rPr>
        <w:t>Local laws</w:t>
      </w:r>
      <w:bookmarkEnd w:id="307"/>
      <w:bookmarkEnd w:id="308"/>
      <w:bookmarkEnd w:id="309"/>
      <w:bookmarkEnd w:id="310"/>
      <w:bookmarkEnd w:id="311"/>
      <w:bookmarkEnd w:id="312"/>
      <w:bookmarkEnd w:id="313"/>
    </w:p>
    <w:p>
      <w:pPr>
        <w:pStyle w:val="Footnoteheading"/>
        <w:keepNext/>
        <w:keepLines/>
        <w:ind w:left="890" w:hanging="890"/>
        <w:rPr>
          <w:snapToGrid w:val="0"/>
        </w:rPr>
      </w:pPr>
      <w:r>
        <w:rPr>
          <w:snapToGrid w:val="0"/>
        </w:rPr>
        <w:tab/>
        <w:t>[Heading amended:</w:t>
      </w:r>
      <w:r>
        <w:t xml:space="preserve"> </w:t>
      </w:r>
      <w:r>
        <w:rPr>
          <w:snapToGrid w:val="0"/>
        </w:rPr>
        <w:t>No. 14 of 1996 s. 4.]</w:t>
      </w:r>
    </w:p>
    <w:p>
      <w:pPr>
        <w:pStyle w:val="Heading5"/>
        <w:rPr>
          <w:snapToGrid w:val="0"/>
        </w:rPr>
      </w:pPr>
      <w:bookmarkStart w:id="314" w:name="_Toc225765825"/>
      <w:bookmarkStart w:id="315" w:name="_Toc209710750"/>
      <w:r>
        <w:rPr>
          <w:rStyle w:val="CharSectno"/>
        </w:rPr>
        <w:t>134</w:t>
      </w:r>
      <w:r>
        <w:rPr>
          <w:snapToGrid w:val="0"/>
        </w:rPr>
        <w:t>.</w:t>
      </w:r>
      <w:r>
        <w:rPr>
          <w:snapToGrid w:val="0"/>
        </w:rPr>
        <w:tab/>
        <w:t>Purposes for which local laws may be made</w:t>
      </w:r>
      <w:bookmarkEnd w:id="314"/>
      <w:bookmarkEnd w:id="315"/>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10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spacing w:before="100"/>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spacing w:before="100"/>
        <w:rPr>
          <w:snapToGrid w:val="0"/>
        </w:rPr>
      </w:pPr>
      <w:r>
        <w:rPr>
          <w:snapToGrid w:val="0"/>
        </w:rPr>
        <w:tab/>
        <w:t>(3)</w:t>
      </w:r>
      <w:r>
        <w:rPr>
          <w:snapToGrid w:val="0"/>
        </w:rPr>
        <w:tab/>
        <w:t>Prescribing the purposes for which any drains or sewers shall be used or applied.</w:t>
      </w:r>
    </w:p>
    <w:p>
      <w:pPr>
        <w:pStyle w:val="Indenta"/>
        <w:spacing w:before="100"/>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spacing w:before="100"/>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spacing w:before="100"/>
        <w:rPr>
          <w:snapToGrid w:val="0"/>
        </w:rPr>
      </w:pPr>
      <w:r>
        <w:rPr>
          <w:snapToGrid w:val="0"/>
        </w:rPr>
        <w:tab/>
        <w:t>(6)</w:t>
      </w:r>
      <w:r>
        <w:rPr>
          <w:snapToGrid w:val="0"/>
        </w:rPr>
        <w:tab/>
        <w:t>Prescribing the fees payable for tapping the mains or connecting with the sewers of the local government.</w:t>
      </w:r>
    </w:p>
    <w:p>
      <w:pPr>
        <w:pStyle w:val="Indenta"/>
        <w:spacing w:before="100"/>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spacing w:before="100"/>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spacing w:before="100"/>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100"/>
        <w:ind w:left="1610" w:hanging="1610"/>
      </w:pPr>
      <w:r>
        <w:tab/>
        <w:t>[(10), (11)</w:t>
      </w:r>
      <w:r>
        <w:tab/>
        <w:t>deleted]</w:t>
      </w:r>
    </w:p>
    <w:p>
      <w:pPr>
        <w:pStyle w:val="Indenta"/>
        <w:spacing w:before="100"/>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spacing w:before="100"/>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spacing w:before="100"/>
        <w:rPr>
          <w:snapToGrid w:val="0"/>
        </w:rPr>
      </w:pPr>
      <w:r>
        <w:rPr>
          <w:snapToGrid w:val="0"/>
        </w:rPr>
        <w:tab/>
        <w:t>(14)</w:t>
      </w:r>
      <w:r>
        <w:rPr>
          <w:snapToGrid w:val="0"/>
        </w:rPr>
        <w:tab/>
        <w:t>The provision of water for sanitation purposes by either of the following methods, namely —</w:t>
      </w:r>
    </w:p>
    <w:p>
      <w:pPr>
        <w:pStyle w:val="Indenti"/>
        <w:spacing w:before="100"/>
        <w:rPr>
          <w:snapToGrid w:val="0"/>
        </w:rPr>
      </w:pPr>
      <w:r>
        <w:rPr>
          <w:snapToGrid w:val="0"/>
        </w:rPr>
        <w:tab/>
        <w:t>(i)</w:t>
      </w:r>
      <w:r>
        <w:rPr>
          <w:snapToGrid w:val="0"/>
        </w:rPr>
        <w:tab/>
        <w:t>the supply of water from established water supplies and the reticulation thereof to bathrooms, kitchens and laundries; or</w:t>
      </w:r>
    </w:p>
    <w:p>
      <w:pPr>
        <w:pStyle w:val="Indenti"/>
        <w:spacing w:before="100"/>
        <w:rPr>
          <w:snapToGrid w:val="0"/>
        </w:rPr>
      </w:pPr>
      <w:r>
        <w:rPr>
          <w:snapToGrid w:val="0"/>
        </w:rPr>
        <w:tab/>
        <w:t>(ii)</w:t>
      </w:r>
      <w:r>
        <w:rPr>
          <w:snapToGrid w:val="0"/>
        </w:rPr>
        <w:tab/>
        <w:t>the provision of wells and equipment; or</w:t>
      </w:r>
    </w:p>
    <w:p>
      <w:pPr>
        <w:pStyle w:val="Indenti"/>
        <w:spacing w:before="100"/>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spacing w:before="100"/>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m</w:t>
      </w:r>
      <w:r>
        <w:rPr>
          <w:snapToGrid w:val="0"/>
          <w:vertAlign w:val="superscript"/>
        </w:rPr>
        <w:t>3</w:t>
      </w:r>
      <w:r>
        <w:rPr>
          <w:snapToGrid w:val="0"/>
        </w:rPr>
        <w:t>.</w:t>
      </w:r>
    </w:p>
    <w:p>
      <w:pPr>
        <w:pStyle w:val="Indenta"/>
        <w:spacing w:before="100"/>
        <w:rPr>
          <w:snapToGrid w:val="0"/>
        </w:rPr>
      </w:pPr>
      <w:r>
        <w:rPr>
          <w:snapToGrid w:val="0"/>
        </w:rPr>
        <w:tab/>
        <w:t>(15)</w:t>
      </w:r>
      <w:r>
        <w:rPr>
          <w:snapToGrid w:val="0"/>
        </w:rPr>
        <w:tab/>
        <w:t>Requiring the foundations of any new building, and the ground on which the same is erected, to be dry, sound, and well drained.</w:t>
      </w:r>
    </w:p>
    <w:p>
      <w:pPr>
        <w:pStyle w:val="Indenta"/>
        <w:spacing w:before="100"/>
        <w:rPr>
          <w:snapToGrid w:val="0"/>
        </w:rPr>
      </w:pPr>
      <w:r>
        <w:rPr>
          <w:snapToGrid w:val="0"/>
        </w:rPr>
        <w:tab/>
        <w:t>(16)</w:t>
      </w:r>
      <w:r>
        <w:rPr>
          <w:snapToGrid w:val="0"/>
        </w:rPr>
        <w:tab/>
        <w:t>The establishment, use, and control of sanitary conveniences for public accommodation.</w:t>
      </w:r>
    </w:p>
    <w:p>
      <w:pPr>
        <w:pStyle w:val="Indenta"/>
        <w:spacing w:before="100"/>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spacing w:before="100"/>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spacing w:before="100"/>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100"/>
        <w:ind w:left="1610" w:hanging="1610"/>
      </w:pPr>
      <w:r>
        <w:tab/>
        <w:t>[(20)-(24)</w:t>
      </w:r>
      <w:r>
        <w:tab/>
        <w:t>deleted]</w:t>
      </w:r>
    </w:p>
    <w:p>
      <w:pPr>
        <w:pStyle w:val="Indenta"/>
        <w:spacing w:before="100"/>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spacing w:before="100"/>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spacing w:before="100"/>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spacing w:before="100"/>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spacing w:before="100"/>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spacing w:before="100"/>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100"/>
        <w:ind w:left="1610" w:hanging="1610"/>
      </w:pPr>
      <w:r>
        <w:tab/>
        <w:t>[(30)</w:t>
      </w:r>
      <w:r>
        <w:tab/>
        <w:t>deleted]</w:t>
      </w:r>
    </w:p>
    <w:p>
      <w:pPr>
        <w:pStyle w:val="Indenta"/>
        <w:spacing w:before="100"/>
        <w:rPr>
          <w:snapToGrid w:val="0"/>
        </w:rPr>
      </w:pPr>
      <w:r>
        <w:rPr>
          <w:snapToGrid w:val="0"/>
        </w:rPr>
        <w:tab/>
        <w:t>(31)</w:t>
      </w:r>
      <w:r>
        <w:rPr>
          <w:snapToGrid w:val="0"/>
        </w:rPr>
        <w:tab/>
        <w:t>Determining to whom and on what conditions licences to remove nightsoil shall be issued.</w:t>
      </w:r>
    </w:p>
    <w:p>
      <w:pPr>
        <w:pStyle w:val="Indenta"/>
        <w:spacing w:before="100"/>
        <w:rPr>
          <w:snapToGrid w:val="0"/>
        </w:rPr>
      </w:pPr>
      <w:r>
        <w:rPr>
          <w:snapToGrid w:val="0"/>
        </w:rPr>
        <w:tab/>
        <w:t>(32)</w:t>
      </w:r>
      <w:r>
        <w:rPr>
          <w:snapToGrid w:val="0"/>
        </w:rPr>
        <w:tab/>
        <w:t>Imposing penalties on licensees for breach of conditions.</w:t>
      </w:r>
    </w:p>
    <w:p>
      <w:pPr>
        <w:pStyle w:val="Indenta"/>
        <w:spacing w:before="100"/>
        <w:rPr>
          <w:snapToGrid w:val="0"/>
        </w:rPr>
      </w:pPr>
      <w:r>
        <w:rPr>
          <w:snapToGrid w:val="0"/>
        </w:rPr>
        <w:tab/>
        <w:t>(33)</w:t>
      </w:r>
      <w:r>
        <w:rPr>
          <w:snapToGrid w:val="0"/>
        </w:rPr>
        <w:tab/>
        <w:t>Making the use of a sufficient quantity of suitable disinfectant or deodorant compulsory.</w:t>
      </w:r>
    </w:p>
    <w:p>
      <w:pPr>
        <w:pStyle w:val="Indenta"/>
        <w:spacing w:before="100"/>
        <w:rPr>
          <w:snapToGrid w:val="0"/>
        </w:rPr>
      </w:pPr>
      <w:r>
        <w:rPr>
          <w:snapToGrid w:val="0"/>
        </w:rPr>
        <w:tab/>
        <w:t>(34)</w:t>
      </w:r>
      <w:r>
        <w:rPr>
          <w:snapToGrid w:val="0"/>
        </w:rPr>
        <w:tab/>
        <w:t>Regulating the disposal of nightsoil, urine, and refuse.</w:t>
      </w:r>
    </w:p>
    <w:p>
      <w:pPr>
        <w:pStyle w:val="Indenta"/>
        <w:spacing w:before="100"/>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spacing w:before="100"/>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spacing w:before="100"/>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100"/>
        <w:rPr>
          <w:snapToGrid w:val="0"/>
        </w:rPr>
      </w:pPr>
      <w:r>
        <w:rPr>
          <w:snapToGrid w:val="0"/>
        </w:rPr>
        <w:tab/>
        <w:t>(i)</w:t>
      </w:r>
      <w:r>
        <w:rPr>
          <w:snapToGrid w:val="0"/>
        </w:rPr>
        <w:tab/>
        <w:t>to prevent and abate any nuisance in such an amenity or facility; and</w:t>
      </w:r>
    </w:p>
    <w:p>
      <w:pPr>
        <w:pStyle w:val="Indenti"/>
        <w:spacing w:before="10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100"/>
        <w:rPr>
          <w:snapToGrid w:val="0"/>
        </w:rPr>
      </w:pPr>
      <w:r>
        <w:tab/>
        <w:t>[(49)</w:t>
      </w:r>
      <w:r>
        <w:tab/>
        <w:t>deleted]</w:t>
      </w:r>
    </w:p>
    <w:p>
      <w:pPr>
        <w:pStyle w:val="Indenta"/>
        <w:keepNext/>
        <w:keepLines/>
        <w:spacing w:before="100"/>
        <w:rPr>
          <w:snapToGrid w:val="0"/>
        </w:rPr>
      </w:pPr>
      <w:r>
        <w:rPr>
          <w:snapToGrid w:val="0"/>
        </w:rPr>
        <w:tab/>
        <w:t>(50)</w:t>
      </w:r>
      <w:r>
        <w:rPr>
          <w:snapToGrid w:val="0"/>
        </w:rPr>
        <w:tab/>
        <w:t>Prescribing what matters and things shall be observed and done and by what persons, for the purposes of —</w:t>
      </w:r>
    </w:p>
    <w:p>
      <w:pPr>
        <w:pStyle w:val="Indenti"/>
        <w:spacing w:before="100"/>
        <w:rPr>
          <w:snapToGrid w:val="0"/>
        </w:rPr>
      </w:pPr>
      <w:r>
        <w:rPr>
          <w:snapToGrid w:val="0"/>
        </w:rPr>
        <w:tab/>
        <w:t>(i)</w:t>
      </w:r>
      <w:r>
        <w:rPr>
          <w:snapToGrid w:val="0"/>
        </w:rPr>
        <w:tab/>
        <w:t>preventing rodents entering premises;</w:t>
      </w:r>
    </w:p>
    <w:p>
      <w:pPr>
        <w:pStyle w:val="Indenti"/>
        <w:spacing w:before="100"/>
        <w:rPr>
          <w:snapToGrid w:val="0"/>
        </w:rPr>
      </w:pPr>
      <w:r>
        <w:rPr>
          <w:snapToGrid w:val="0"/>
        </w:rPr>
        <w:tab/>
        <w:t>(ii)</w:t>
      </w:r>
      <w:r>
        <w:rPr>
          <w:snapToGrid w:val="0"/>
        </w:rPr>
        <w:tab/>
        <w:t>rendering premises free of rodents;</w:t>
      </w:r>
    </w:p>
    <w:p>
      <w:pPr>
        <w:pStyle w:val="Indenti"/>
        <w:spacing w:before="100"/>
        <w:rPr>
          <w:snapToGrid w:val="0"/>
        </w:rPr>
      </w:pPr>
      <w:r>
        <w:rPr>
          <w:snapToGrid w:val="0"/>
        </w:rPr>
        <w:tab/>
        <w:t>(iii)</w:t>
      </w:r>
      <w:r>
        <w:rPr>
          <w:snapToGrid w:val="0"/>
        </w:rPr>
        <w:tab/>
        <w:t>keeping premises free of rodents;</w:t>
      </w:r>
    </w:p>
    <w:p>
      <w:pPr>
        <w:pStyle w:val="Indenta"/>
        <w:spacing w:before="100"/>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spacing w:before="100"/>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spacing w:before="100"/>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keepNext/>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formerly section 115, amended: No. 17 of 1918 s. 15; No. 50 of 1926 s. 8; No. 30 of 1932 s. 20; No. 38 of 1933 s. 41; renumbered as section 134: No. 38 of 1933 s. 42; amended: No. 16 of 1935 s. 6; No. 21 of 1944 s. 5; No. 71 of 1948 s. 4; No. 25 of 1952 s. 4; No. 45 of 1954 s. 6; No. 33 of 1962 s. 2; No. 113 of 1965 s. 8(1); No. 35 of 1966 s. 4; No. 94 of 1972 s. 4(1) (as amended: No. 83 of 1973 s. 4); No. 28 of 1984 s. 45; No. 80 of 1987 s. 30; No. 59 of 1991 s. 13 and 21; No. 14 of 1996 s. 4; No. 39 of 1999 s. 11(5); No. 36 of 2007 Sch. 4 cl. 4(6); No. 43 of 2008 s. 147(4).]</w:t>
      </w:r>
    </w:p>
    <w:p>
      <w:pPr>
        <w:pStyle w:val="Heading2"/>
      </w:pPr>
      <w:bookmarkStart w:id="316" w:name="_Toc225760799"/>
      <w:bookmarkStart w:id="317" w:name="_Toc225761131"/>
      <w:bookmarkStart w:id="318" w:name="_Toc225765826"/>
      <w:bookmarkStart w:id="319" w:name="_Toc209701275"/>
      <w:bookmarkStart w:id="320" w:name="_Toc209702893"/>
      <w:bookmarkStart w:id="321" w:name="_Toc209703225"/>
      <w:bookmarkStart w:id="322" w:name="_Toc209710751"/>
      <w:r>
        <w:rPr>
          <w:rStyle w:val="CharPartNo"/>
        </w:rPr>
        <w:t>Part V</w:t>
      </w:r>
      <w:r>
        <w:t> — </w:t>
      </w:r>
      <w:r>
        <w:rPr>
          <w:rStyle w:val="CharPartText"/>
        </w:rPr>
        <w:t>Dwellings</w:t>
      </w:r>
      <w:bookmarkEnd w:id="316"/>
      <w:bookmarkEnd w:id="317"/>
      <w:bookmarkEnd w:id="318"/>
      <w:bookmarkEnd w:id="319"/>
      <w:bookmarkEnd w:id="320"/>
      <w:bookmarkEnd w:id="321"/>
      <w:bookmarkEnd w:id="322"/>
    </w:p>
    <w:p>
      <w:pPr>
        <w:pStyle w:val="Heading3"/>
        <w:spacing w:before="180"/>
        <w:rPr>
          <w:snapToGrid w:val="0"/>
        </w:rPr>
      </w:pPr>
      <w:bookmarkStart w:id="323" w:name="_Toc225760800"/>
      <w:bookmarkStart w:id="324" w:name="_Toc225761132"/>
      <w:bookmarkStart w:id="325" w:name="_Toc225765827"/>
      <w:bookmarkStart w:id="326" w:name="_Toc209701276"/>
      <w:bookmarkStart w:id="327" w:name="_Toc209702894"/>
      <w:bookmarkStart w:id="328" w:name="_Toc209703226"/>
      <w:bookmarkStart w:id="329" w:name="_Toc209710752"/>
      <w:r>
        <w:rPr>
          <w:rStyle w:val="CharDivNo"/>
        </w:rPr>
        <w:t>Division 1</w:t>
      </w:r>
      <w:r>
        <w:rPr>
          <w:snapToGrid w:val="0"/>
        </w:rPr>
        <w:t> — </w:t>
      </w:r>
      <w:r>
        <w:rPr>
          <w:rStyle w:val="CharDivText"/>
        </w:rPr>
        <w:t>Houses unfit for occupation</w:t>
      </w:r>
      <w:bookmarkEnd w:id="323"/>
      <w:bookmarkEnd w:id="324"/>
      <w:bookmarkEnd w:id="325"/>
      <w:bookmarkEnd w:id="326"/>
      <w:bookmarkEnd w:id="327"/>
      <w:bookmarkEnd w:id="328"/>
      <w:bookmarkEnd w:id="329"/>
    </w:p>
    <w:p>
      <w:pPr>
        <w:pStyle w:val="Heading5"/>
        <w:spacing w:before="240"/>
        <w:rPr>
          <w:snapToGrid w:val="0"/>
        </w:rPr>
      </w:pPr>
      <w:bookmarkStart w:id="330" w:name="_Toc225765828"/>
      <w:bookmarkStart w:id="331" w:name="_Toc209710753"/>
      <w:r>
        <w:rPr>
          <w:rStyle w:val="CharSectno"/>
        </w:rPr>
        <w:t>135</w:t>
      </w:r>
      <w:r>
        <w:rPr>
          <w:snapToGrid w:val="0"/>
        </w:rPr>
        <w:t>.</w:t>
      </w:r>
      <w:r>
        <w:rPr>
          <w:snapToGrid w:val="0"/>
        </w:rPr>
        <w:tab/>
        <w:t>Dwellings unfit for habitation</w:t>
      </w:r>
      <w:bookmarkEnd w:id="330"/>
      <w:bookmarkEnd w:id="331"/>
    </w:p>
    <w:p>
      <w:pPr>
        <w:pStyle w:val="Subsection"/>
        <w:rPr>
          <w:snapToGrid w:val="0"/>
        </w:rPr>
      </w:pPr>
      <w:r>
        <w:rPr>
          <w:snapToGrid w:val="0"/>
        </w:rPr>
        <w:tab/>
        <w:t>(1)</w:t>
      </w:r>
      <w:r>
        <w:rPr>
          <w:snapToGrid w:val="0"/>
        </w:rPr>
        <w:tab/>
        <w:t xml:space="preserve">Any local government may, of its own motion, and shall, when required by order of the </w:t>
      </w:r>
      <w:r>
        <w:t>Chief Health Officer</w:t>
      </w:r>
      <w:r>
        <w:rPr>
          <w:snapToGrid w:val="0"/>
        </w:rPr>
        <w:t xml:space="preserve">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ind w:left="890" w:hanging="890"/>
      </w:pPr>
      <w:r>
        <w:tab/>
        <w:t>[Section 135, formerly section 116, renumbered as section 135: No. 38 of 1933 s. 42; amended: No. 28 of 1984 s. 45; No. 14 of 1996 s. 4; No. 19 of 2016 s. 100.]</w:t>
      </w:r>
    </w:p>
    <w:p>
      <w:pPr>
        <w:pStyle w:val="Heading5"/>
        <w:spacing w:before="240"/>
        <w:rPr>
          <w:snapToGrid w:val="0"/>
        </w:rPr>
      </w:pPr>
      <w:bookmarkStart w:id="332" w:name="_Toc225765829"/>
      <w:bookmarkStart w:id="333" w:name="_Toc209710754"/>
      <w:r>
        <w:rPr>
          <w:rStyle w:val="CharSectno"/>
        </w:rPr>
        <w:t>136</w:t>
      </w:r>
      <w:r>
        <w:rPr>
          <w:snapToGrid w:val="0"/>
        </w:rPr>
        <w:t>.</w:t>
      </w:r>
      <w:r>
        <w:rPr>
          <w:snapToGrid w:val="0"/>
        </w:rPr>
        <w:tab/>
        <w:t>Such house not to be let or occupied</w:t>
      </w:r>
      <w:bookmarkEnd w:id="332"/>
      <w:bookmarkEnd w:id="333"/>
    </w:p>
    <w:p>
      <w:pPr>
        <w:pStyle w:val="Subsection"/>
        <w:spacing w:before="18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ind w:left="890" w:hanging="890"/>
      </w:pPr>
      <w:r>
        <w:tab/>
        <w:t>[Section 136, formerly section 117, renumbered as section 136: No. 38 of 1933 s. 42; amended: No. 113 of 1965 s. 8(1); No. 80 of 1987 s. 31.]</w:t>
      </w:r>
    </w:p>
    <w:p>
      <w:pPr>
        <w:pStyle w:val="Heading5"/>
        <w:spacing w:before="240"/>
        <w:rPr>
          <w:snapToGrid w:val="0"/>
        </w:rPr>
      </w:pPr>
      <w:bookmarkStart w:id="334" w:name="_Toc225765830"/>
      <w:bookmarkStart w:id="335" w:name="_Toc209710755"/>
      <w:r>
        <w:rPr>
          <w:rStyle w:val="CharSectno"/>
        </w:rPr>
        <w:t>137</w:t>
      </w:r>
      <w:r>
        <w:rPr>
          <w:snapToGrid w:val="0"/>
        </w:rPr>
        <w:t>.</w:t>
      </w:r>
      <w:r>
        <w:rPr>
          <w:snapToGrid w:val="0"/>
        </w:rPr>
        <w:tab/>
        <w:t>Condemned building to be amended or removed</w:t>
      </w:r>
      <w:bookmarkEnd w:id="334"/>
      <w:bookmarkEnd w:id="335"/>
    </w:p>
    <w:p>
      <w:pPr>
        <w:pStyle w:val="Subsection"/>
        <w:spacing w:before="18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keepNext/>
        <w:spacing w:before="180"/>
        <w:rPr>
          <w:snapToGrid w:val="0"/>
        </w:rPr>
      </w:pPr>
      <w:r>
        <w:rPr>
          <w:snapToGrid w:val="0"/>
        </w:rPr>
        <w:tab/>
      </w:r>
      <w:r>
        <w:rPr>
          <w:snapToGrid w:val="0"/>
        </w:rPr>
        <w:tab/>
        <w:t>Provided that —</w:t>
      </w:r>
    </w:p>
    <w:p>
      <w:pPr>
        <w:pStyle w:val="Indenta"/>
        <w:widowControl w:val="0"/>
        <w:spacing w:before="10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spacing w:before="100"/>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formerly section 118, amended: No. 30 of 1932 s. 21; renumbered as section 137: No. 38 of 1933 s. 42; amended: No. 14 of 1996 s. 4; No. 55 of 2004 s. 483.]</w:t>
      </w:r>
    </w:p>
    <w:p>
      <w:pPr>
        <w:pStyle w:val="Heading5"/>
        <w:spacing w:before="180"/>
        <w:rPr>
          <w:snapToGrid w:val="0"/>
        </w:rPr>
      </w:pPr>
      <w:bookmarkStart w:id="336" w:name="_Toc225765831"/>
      <w:bookmarkStart w:id="337" w:name="_Toc209710756"/>
      <w:r>
        <w:rPr>
          <w:rStyle w:val="CharSectno"/>
        </w:rPr>
        <w:t>138</w:t>
      </w:r>
      <w:r>
        <w:rPr>
          <w:snapToGrid w:val="0"/>
        </w:rPr>
        <w:t>.</w:t>
      </w:r>
      <w:r>
        <w:rPr>
          <w:snapToGrid w:val="0"/>
        </w:rPr>
        <w:tab/>
        <w:t>Land to be cleaned up after removal of house or building therefrom</w:t>
      </w:r>
      <w:bookmarkEnd w:id="336"/>
      <w:bookmarkEnd w:id="337"/>
    </w:p>
    <w:p>
      <w:pPr>
        <w:pStyle w:val="Subsection"/>
        <w:spacing w:before="120"/>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as section 118A: No. 30 of 1932 s. 22; renumbered as section 138: No. 38 of 1933 s. 42; amended: No. 14 of 1996 s. 4.]</w:t>
      </w:r>
    </w:p>
    <w:p>
      <w:pPr>
        <w:pStyle w:val="Heading5"/>
        <w:spacing w:before="180"/>
        <w:rPr>
          <w:snapToGrid w:val="0"/>
        </w:rPr>
      </w:pPr>
      <w:bookmarkStart w:id="338" w:name="_Toc225765832"/>
      <w:bookmarkStart w:id="339" w:name="_Toc209710757"/>
      <w:r>
        <w:rPr>
          <w:rStyle w:val="CharSectno"/>
        </w:rPr>
        <w:t>139</w:t>
      </w:r>
      <w:r>
        <w:rPr>
          <w:snapToGrid w:val="0"/>
        </w:rPr>
        <w:t>.</w:t>
      </w:r>
      <w:r>
        <w:rPr>
          <w:snapToGrid w:val="0"/>
        </w:rPr>
        <w:tab/>
        <w:t>Owner may be required to clean or repair house</w:t>
      </w:r>
      <w:bookmarkEnd w:id="338"/>
      <w:bookmarkEnd w:id="339"/>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No. 32 of 1937 s. 6; amended: No. 14 of 1996 s. 4.]</w:t>
      </w:r>
    </w:p>
    <w:p>
      <w:pPr>
        <w:pStyle w:val="Heading5"/>
        <w:keepLines w:val="0"/>
        <w:spacing w:before="180"/>
        <w:rPr>
          <w:snapToGrid w:val="0"/>
        </w:rPr>
      </w:pPr>
      <w:bookmarkStart w:id="340" w:name="_Toc225765833"/>
      <w:bookmarkStart w:id="341" w:name="_Toc209710758"/>
      <w:r>
        <w:rPr>
          <w:rStyle w:val="CharSectno"/>
        </w:rPr>
        <w:t>140</w:t>
      </w:r>
      <w:r>
        <w:rPr>
          <w:snapToGrid w:val="0"/>
        </w:rPr>
        <w:t>.</w:t>
      </w:r>
      <w:r>
        <w:rPr>
          <w:snapToGrid w:val="0"/>
        </w:rPr>
        <w:tab/>
        <w:t>Local government may act in default of owner</w:t>
      </w:r>
      <w:bookmarkEnd w:id="340"/>
      <w:bookmarkEnd w:id="341"/>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ind w:left="890" w:hanging="890"/>
      </w:pPr>
      <w:r>
        <w:tab/>
        <w:t>[Section 140, formerly section 119, renumbered as section 140: No. 38 of 1933 s. 42; amended: No. 32 of 1937 s. 7; No. 113 of 1965 s. 8(1); No. 52 of 1968 s. 4; No. 80 of 1987 s. 32; No. 14 of 1996 s. 4.]</w:t>
      </w:r>
    </w:p>
    <w:p>
      <w:pPr>
        <w:pStyle w:val="Heading5"/>
        <w:spacing w:before="180"/>
        <w:rPr>
          <w:snapToGrid w:val="0"/>
        </w:rPr>
      </w:pPr>
      <w:bookmarkStart w:id="342" w:name="_Toc225765834"/>
      <w:bookmarkStart w:id="343" w:name="_Toc209710759"/>
      <w:r>
        <w:rPr>
          <w:rStyle w:val="CharSectno"/>
        </w:rPr>
        <w:t>141</w:t>
      </w:r>
      <w:r>
        <w:rPr>
          <w:snapToGrid w:val="0"/>
        </w:rPr>
        <w:t>.</w:t>
      </w:r>
      <w:r>
        <w:rPr>
          <w:snapToGrid w:val="0"/>
        </w:rPr>
        <w:tab/>
        <w:t>Penalty for erecting buildings on ground filled up with offensive matter</w:t>
      </w:r>
      <w:bookmarkEnd w:id="342"/>
      <w:bookmarkEnd w:id="343"/>
    </w:p>
    <w:p>
      <w:pPr>
        <w:pStyle w:val="Subsection"/>
        <w:spacing w:before="140"/>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formerly section 120, renumbered as section 141: No. 38 of 1933 s. 42; amended: No. 113 of 1965 s. 8(1); No. 80 of 1987 s. 33; No. 14 of 1996 s. 4.]</w:t>
      </w:r>
    </w:p>
    <w:p>
      <w:pPr>
        <w:pStyle w:val="Heading5"/>
        <w:rPr>
          <w:snapToGrid w:val="0"/>
        </w:rPr>
      </w:pPr>
      <w:bookmarkStart w:id="344" w:name="_Toc225765835"/>
      <w:bookmarkStart w:id="345" w:name="_Toc209710760"/>
      <w:r>
        <w:rPr>
          <w:rStyle w:val="CharSectno"/>
        </w:rPr>
        <w:t>142</w:t>
      </w:r>
      <w:r>
        <w:rPr>
          <w:snapToGrid w:val="0"/>
        </w:rPr>
        <w:t>.</w:t>
      </w:r>
      <w:r>
        <w:rPr>
          <w:snapToGrid w:val="0"/>
        </w:rPr>
        <w:tab/>
        <w:t>Occupying cellar dwellings</w:t>
      </w:r>
      <w:bookmarkEnd w:id="344"/>
      <w:bookmarkEnd w:id="345"/>
    </w:p>
    <w:p>
      <w:pPr>
        <w:pStyle w:val="Subsection"/>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formerly section 121, renumbered as section 142: No. 38 of 1933 s. 42; amended: No. 14 of 1996 s. 4; No. 59 of 2004 s. 141.]</w:t>
      </w:r>
    </w:p>
    <w:p>
      <w:pPr>
        <w:pStyle w:val="Heading5"/>
        <w:rPr>
          <w:snapToGrid w:val="0"/>
        </w:rPr>
      </w:pPr>
      <w:bookmarkStart w:id="346" w:name="_Toc225765836"/>
      <w:bookmarkStart w:id="347" w:name="_Toc209710761"/>
      <w:r>
        <w:rPr>
          <w:rStyle w:val="CharSectno"/>
        </w:rPr>
        <w:t>143</w:t>
      </w:r>
      <w:r>
        <w:rPr>
          <w:snapToGrid w:val="0"/>
        </w:rPr>
        <w:t>.</w:t>
      </w:r>
      <w:r>
        <w:rPr>
          <w:snapToGrid w:val="0"/>
        </w:rPr>
        <w:tab/>
        <w:t>Plans of buildings to be submitted to local government</w:t>
      </w:r>
      <w:bookmarkEnd w:id="346"/>
      <w:bookmarkEnd w:id="347"/>
    </w:p>
    <w:p>
      <w:pPr>
        <w:pStyle w:val="Subsection"/>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ind w:left="890" w:hanging="890"/>
      </w:pPr>
      <w:r>
        <w:tab/>
        <w:t>[Section 143, formerly section 122, amended: No. 17 of 1918 s. 16; renumbered as section 143: No. 38 of 1933 s. 42; amended: No. 14 of 1996 s. 4.]</w:t>
      </w:r>
    </w:p>
    <w:p>
      <w:pPr>
        <w:pStyle w:val="Heading5"/>
        <w:rPr>
          <w:snapToGrid w:val="0"/>
        </w:rPr>
      </w:pPr>
      <w:bookmarkStart w:id="348" w:name="_Toc225765837"/>
      <w:bookmarkStart w:id="349" w:name="_Toc209710762"/>
      <w:r>
        <w:rPr>
          <w:rStyle w:val="CharSectno"/>
        </w:rPr>
        <w:t>144</w:t>
      </w:r>
      <w:r>
        <w:rPr>
          <w:snapToGrid w:val="0"/>
        </w:rPr>
        <w:t>.</w:t>
      </w:r>
      <w:r>
        <w:rPr>
          <w:snapToGrid w:val="0"/>
        </w:rPr>
        <w:tab/>
        <w:t>Building not erected as dwelling not to be converted into one</w:t>
      </w:r>
      <w:bookmarkEnd w:id="348"/>
      <w:bookmarkEnd w:id="349"/>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ind w:left="890" w:hanging="890"/>
      </w:pPr>
      <w:r>
        <w:tab/>
        <w:t>[Section 144 inserted as section 122a: No. 17 of 1918 s. 17; renumbered as section 144: No. 38 of 1933 s. 42; amended: No. 21 of 1957 s. 7; No. 14 of 1996 s. 4.]</w:t>
      </w:r>
    </w:p>
    <w:p>
      <w:pPr>
        <w:pStyle w:val="Heading5"/>
        <w:rPr>
          <w:snapToGrid w:val="0"/>
        </w:rPr>
      </w:pPr>
      <w:bookmarkStart w:id="350" w:name="_Toc225765838"/>
      <w:bookmarkStart w:id="351" w:name="_Toc209710763"/>
      <w:r>
        <w:rPr>
          <w:rStyle w:val="CharSectno"/>
        </w:rPr>
        <w:t>145</w:t>
      </w:r>
      <w:r>
        <w:rPr>
          <w:snapToGrid w:val="0"/>
        </w:rPr>
        <w:t>.</w:t>
      </w:r>
      <w:r>
        <w:rPr>
          <w:snapToGrid w:val="0"/>
        </w:rPr>
        <w:tab/>
        <w:t>Authorised officer may order house or things to be cleansed</w:t>
      </w:r>
      <w:bookmarkEnd w:id="350"/>
      <w:bookmarkEnd w:id="351"/>
    </w:p>
    <w:p>
      <w:pPr>
        <w:pStyle w:val="Subsection"/>
        <w:rPr>
          <w:snapToGrid w:val="0"/>
        </w:rPr>
      </w:pPr>
      <w:r>
        <w:rPr>
          <w:snapToGrid w:val="0"/>
        </w:rPr>
        <w:tab/>
        <w:t>(1)</w:t>
      </w:r>
      <w:r>
        <w:rPr>
          <w:snapToGrid w:val="0"/>
        </w:rPr>
        <w:tab/>
        <w:t xml:space="preserve">Any </w:t>
      </w:r>
      <w:r>
        <w:t>authorised officer</w:t>
      </w:r>
      <w:r>
        <w:rPr>
          <w:snapToGrid w:val="0"/>
        </w:rPr>
        <w:t xml:space="preserve"> may order that any house or part of a house, or any furniture, goods, or things therein shall be cleansed to the satisfaction of an </w:t>
      </w:r>
      <w:r>
        <w:t>authorised officer</w:t>
      </w:r>
      <w:r>
        <w:rPr>
          <w:snapToGrid w:val="0"/>
        </w:rPr>
        <w:t>, and the occupier shall forthwith comply with such order.</w:t>
      </w:r>
    </w:p>
    <w:p>
      <w:pPr>
        <w:pStyle w:val="Subsection"/>
        <w:rPr>
          <w:snapToGrid w:val="0"/>
        </w:rPr>
      </w:pPr>
      <w:r>
        <w:rPr>
          <w:snapToGrid w:val="0"/>
        </w:rPr>
        <w:tab/>
        <w:t>(2)</w:t>
      </w:r>
      <w:r>
        <w:rPr>
          <w:snapToGrid w:val="0"/>
        </w:rPr>
        <w:tab/>
        <w:t xml:space="preserve">In case default is made in compliance with such order, the local government may take such steps as in the opinion of an </w:t>
      </w:r>
      <w:r>
        <w:t>authorised officer</w:t>
      </w:r>
      <w:r>
        <w:rPr>
          <w:snapToGrid w:val="0"/>
        </w:rPr>
        <w:t xml:space="preserve">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spacing w:after="120"/>
        <w:ind w:left="890" w:hanging="890"/>
      </w:pPr>
      <w:r>
        <w:tab/>
        <w:t>[Section 145 inserted as section 123A: No. 30 of 1932 s. 23; renumbered as section 145: No. 38 of 1933 s. 42; amended: No. 24 of 1970 s. 12; No. 59 of 1991 s. 5; No. 14 of 1996 s. 4; No. 28 of 1996 s. 21; No. 19 of 2016 s. 99.]</w:t>
      </w:r>
    </w:p>
    <w:p>
      <w:pPr>
        <w:pStyle w:val="Heading3"/>
        <w:rPr>
          <w:snapToGrid w:val="0"/>
        </w:rPr>
      </w:pPr>
      <w:bookmarkStart w:id="352" w:name="_Toc225760812"/>
      <w:bookmarkStart w:id="353" w:name="_Toc225761144"/>
      <w:bookmarkStart w:id="354" w:name="_Toc225765839"/>
      <w:bookmarkStart w:id="355" w:name="_Toc209701288"/>
      <w:bookmarkStart w:id="356" w:name="_Toc209702906"/>
      <w:bookmarkStart w:id="357" w:name="_Toc209703238"/>
      <w:bookmarkStart w:id="358" w:name="_Toc209710764"/>
      <w:r>
        <w:rPr>
          <w:rStyle w:val="CharDivNo"/>
        </w:rPr>
        <w:t>Division 2</w:t>
      </w:r>
      <w:r>
        <w:rPr>
          <w:snapToGrid w:val="0"/>
        </w:rPr>
        <w:t> — </w:t>
      </w:r>
      <w:r>
        <w:rPr>
          <w:rStyle w:val="CharDivText"/>
        </w:rPr>
        <w:t>Lodging</w:t>
      </w:r>
      <w:r>
        <w:rPr>
          <w:rStyle w:val="CharDivText"/>
        </w:rPr>
        <w:noBreakHyphen/>
        <w:t>houses</w:t>
      </w:r>
      <w:bookmarkEnd w:id="352"/>
      <w:bookmarkEnd w:id="353"/>
      <w:bookmarkEnd w:id="354"/>
      <w:bookmarkEnd w:id="355"/>
      <w:bookmarkEnd w:id="356"/>
      <w:bookmarkEnd w:id="357"/>
      <w:bookmarkEnd w:id="358"/>
    </w:p>
    <w:p>
      <w:pPr>
        <w:pStyle w:val="Footnoteheading"/>
        <w:ind w:left="890" w:hanging="890"/>
        <w:rPr>
          <w:snapToGrid w:val="0"/>
        </w:rPr>
      </w:pPr>
      <w:r>
        <w:rPr>
          <w:snapToGrid w:val="0"/>
        </w:rPr>
        <w:tab/>
        <w:t>[Heading amended: No. 18 of 1964 s. 6.]</w:t>
      </w:r>
    </w:p>
    <w:p>
      <w:pPr>
        <w:pStyle w:val="Heading5"/>
        <w:keepNext w:val="0"/>
        <w:keepLines w:val="0"/>
        <w:spacing w:before="180"/>
        <w:rPr>
          <w:snapToGrid w:val="0"/>
        </w:rPr>
      </w:pPr>
      <w:bookmarkStart w:id="359" w:name="_Toc225765840"/>
      <w:bookmarkStart w:id="360" w:name="_Toc209710765"/>
      <w:r>
        <w:rPr>
          <w:rStyle w:val="CharSectno"/>
        </w:rPr>
        <w:t>146</w:t>
      </w:r>
      <w:r>
        <w:rPr>
          <w:snapToGrid w:val="0"/>
        </w:rPr>
        <w:t>.</w:t>
      </w:r>
      <w:r>
        <w:rPr>
          <w:snapToGrid w:val="0"/>
        </w:rPr>
        <w:tab/>
        <w:t>Registers of lodging</w:t>
      </w:r>
      <w:r>
        <w:rPr>
          <w:snapToGrid w:val="0"/>
        </w:rPr>
        <w:noBreakHyphen/>
        <w:t>houses</w:t>
      </w:r>
      <w:bookmarkEnd w:id="359"/>
      <w:bookmarkEnd w:id="360"/>
    </w:p>
    <w:p>
      <w:pPr>
        <w:pStyle w:val="Subsection"/>
        <w:spacing w:before="12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spacing w:before="12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spacing w:before="12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formerly section 123, renumbered as section 146: No. 38 of 1933 s. 42; amended: No. 18 of 1964 s. 7; No. 113 of 1965 s. 8(1); No. 59 of 1991 s. 22; No. 14 of 1996 s. 4; No. 57 of 1997 s. 68(3).]</w:t>
      </w:r>
    </w:p>
    <w:p>
      <w:pPr>
        <w:pStyle w:val="Heading5"/>
        <w:spacing w:before="180"/>
        <w:rPr>
          <w:snapToGrid w:val="0"/>
        </w:rPr>
      </w:pPr>
      <w:bookmarkStart w:id="361" w:name="_Toc225765841"/>
      <w:bookmarkStart w:id="362" w:name="_Toc209710766"/>
      <w:r>
        <w:rPr>
          <w:rStyle w:val="CharSectno"/>
        </w:rPr>
        <w:t>147</w:t>
      </w:r>
      <w:r>
        <w:rPr>
          <w:snapToGrid w:val="0"/>
        </w:rPr>
        <w:t>.</w:t>
      </w:r>
      <w:r>
        <w:rPr>
          <w:snapToGrid w:val="0"/>
        </w:rPr>
        <w:tab/>
        <w:t>Registration</w:t>
      </w:r>
      <w:bookmarkEnd w:id="361"/>
      <w:bookmarkEnd w:id="362"/>
    </w:p>
    <w:p>
      <w:pPr>
        <w:pStyle w:val="Subsection"/>
        <w:spacing w:before="12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spacing w:before="120"/>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spacing w:before="80"/>
        <w:ind w:left="890" w:hanging="890"/>
      </w:pPr>
      <w:r>
        <w:tab/>
        <w:t>[Section 147, formerly section 124, renumbered as section 147: No. 38 of 1933 s. 42; amended: No. 18 of 1964 s. 8; No. 28 of 2003 s. 74.]</w:t>
      </w:r>
    </w:p>
    <w:p>
      <w:pPr>
        <w:pStyle w:val="Heading5"/>
        <w:rPr>
          <w:snapToGrid w:val="0"/>
        </w:rPr>
      </w:pPr>
      <w:bookmarkStart w:id="363" w:name="_Toc225765842"/>
      <w:bookmarkStart w:id="364" w:name="_Toc209710767"/>
      <w:r>
        <w:rPr>
          <w:rStyle w:val="CharSectno"/>
        </w:rPr>
        <w:t>148</w:t>
      </w:r>
      <w:r>
        <w:rPr>
          <w:snapToGrid w:val="0"/>
        </w:rPr>
        <w:t>.</w:t>
      </w:r>
      <w:r>
        <w:rPr>
          <w:snapToGrid w:val="0"/>
        </w:rPr>
        <w:tab/>
        <w:t>Conditions of registration</w:t>
      </w:r>
      <w:bookmarkEnd w:id="363"/>
      <w:bookmarkEnd w:id="364"/>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ind w:left="890" w:hanging="890"/>
      </w:pPr>
      <w:r>
        <w:tab/>
        <w:t>[Section 148, formerly section 125, renumbered as section 148: No. 38 of 1933 s. 42; amended: No. 18 of 1964 s. 9; No. 14 of 1996 s. 4.]</w:t>
      </w:r>
    </w:p>
    <w:p>
      <w:pPr>
        <w:pStyle w:val="Heading5"/>
        <w:rPr>
          <w:snapToGrid w:val="0"/>
        </w:rPr>
      </w:pPr>
      <w:bookmarkStart w:id="365" w:name="_Toc225765843"/>
      <w:bookmarkStart w:id="366" w:name="_Toc209710768"/>
      <w:r>
        <w:rPr>
          <w:rStyle w:val="CharSectno"/>
        </w:rPr>
        <w:t>149</w:t>
      </w:r>
      <w:r>
        <w:rPr>
          <w:snapToGrid w:val="0"/>
        </w:rPr>
        <w:t>.</w:t>
      </w:r>
      <w:r>
        <w:rPr>
          <w:snapToGrid w:val="0"/>
        </w:rPr>
        <w:tab/>
        <w:t>Notice of registration to be affixed</w:t>
      </w:r>
      <w:bookmarkEnd w:id="365"/>
      <w:bookmarkEnd w:id="366"/>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ind w:left="890" w:hanging="890"/>
      </w:pPr>
      <w:r>
        <w:tab/>
        <w:t>[Section 149, formerly section 126, renumbered as section 149: No. 38 of 1933 s. 42; amended: No. 14 of 1996 s. 4.]</w:t>
      </w:r>
    </w:p>
    <w:p>
      <w:pPr>
        <w:pStyle w:val="Heading5"/>
        <w:rPr>
          <w:snapToGrid w:val="0"/>
        </w:rPr>
      </w:pPr>
      <w:bookmarkStart w:id="367" w:name="_Toc225765844"/>
      <w:bookmarkStart w:id="368" w:name="_Toc209710769"/>
      <w:r>
        <w:rPr>
          <w:rStyle w:val="CharSectno"/>
        </w:rPr>
        <w:t>150</w:t>
      </w:r>
      <w:r>
        <w:rPr>
          <w:snapToGrid w:val="0"/>
        </w:rPr>
        <w:t>.</w:t>
      </w:r>
      <w:r>
        <w:rPr>
          <w:snapToGrid w:val="0"/>
        </w:rPr>
        <w:tab/>
        <w:t>Supply of water</w:t>
      </w:r>
      <w:bookmarkEnd w:id="367"/>
      <w:bookmarkEnd w:id="368"/>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ind w:left="890" w:hanging="890"/>
      </w:pPr>
      <w:r>
        <w:tab/>
        <w:t>[Section 150, formerly section 127, renumbered as section 150: No. 38 of 1933 s. 42; amended: No. 18 of 1964 s. 10; No. 14 of 1996 s. 4.]</w:t>
      </w:r>
    </w:p>
    <w:p>
      <w:pPr>
        <w:pStyle w:val="Heading5"/>
        <w:spacing w:before="180"/>
        <w:rPr>
          <w:snapToGrid w:val="0"/>
        </w:rPr>
      </w:pPr>
      <w:bookmarkStart w:id="369" w:name="_Toc225765845"/>
      <w:bookmarkStart w:id="370" w:name="_Toc209710770"/>
      <w:r>
        <w:rPr>
          <w:rStyle w:val="CharSectno"/>
        </w:rPr>
        <w:t>151</w:t>
      </w:r>
      <w:r>
        <w:rPr>
          <w:snapToGrid w:val="0"/>
        </w:rPr>
        <w:t>.</w:t>
      </w:r>
      <w:r>
        <w:rPr>
          <w:snapToGrid w:val="0"/>
        </w:rPr>
        <w:tab/>
        <w:t>Cleansing of walls etc.</w:t>
      </w:r>
      <w:bookmarkEnd w:id="369"/>
      <w:bookmarkEnd w:id="370"/>
    </w:p>
    <w:p>
      <w:pPr>
        <w:pStyle w:val="Subsection"/>
        <w:spacing w:before="12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ind w:left="890" w:hanging="890"/>
      </w:pPr>
      <w:r>
        <w:tab/>
        <w:t>[Section 151, formerly section 128, renumbered as section 151: No. 38 of 1933 s. 42; amended: No. 18 of 1964 s. 11; No. 113 of 1965 s. 8(1); No. 80 of 1987 s. 34; No. 14 of 1996 s. 4.]</w:t>
      </w:r>
    </w:p>
    <w:p>
      <w:pPr>
        <w:pStyle w:val="Heading5"/>
        <w:spacing w:before="180"/>
        <w:rPr>
          <w:snapToGrid w:val="0"/>
        </w:rPr>
      </w:pPr>
      <w:bookmarkStart w:id="371" w:name="_Toc225765846"/>
      <w:bookmarkStart w:id="372" w:name="_Toc209710771"/>
      <w:r>
        <w:rPr>
          <w:snapToGrid w:val="0"/>
        </w:rPr>
        <w:t>152.</w:t>
      </w:r>
      <w:r>
        <w:rPr>
          <w:snapToGrid w:val="0"/>
        </w:rPr>
        <w:tab/>
        <w:t>Notification of disease</w:t>
      </w:r>
      <w:bookmarkEnd w:id="371"/>
      <w:bookmarkEnd w:id="372"/>
    </w:p>
    <w:p>
      <w:pPr>
        <w:pStyle w:val="Subsection"/>
        <w:spacing w:before="120"/>
        <w:rPr>
          <w:snapToGrid w:val="0"/>
        </w:rPr>
      </w:pPr>
      <w:r>
        <w:rPr>
          <w:snapToGrid w:val="0"/>
        </w:rPr>
        <w:tab/>
      </w:r>
      <w:r>
        <w:rPr>
          <w:snapToGrid w:val="0"/>
        </w:rPr>
        <w:tab/>
        <w:t xml:space="preserve">Every such keeper shall, immediately it comes within his knowledge that a person in such house is affected with any infectious disease, give notice thereof to the </w:t>
      </w:r>
      <w:r>
        <w:t xml:space="preserve">Chief Health Officer </w:t>
      </w:r>
      <w:r>
        <w:rPr>
          <w:snapToGrid w:val="0"/>
        </w:rPr>
        <w:t xml:space="preserve"> and to the secretary of the local government.</w:t>
      </w:r>
    </w:p>
    <w:p>
      <w:pPr>
        <w:pStyle w:val="Footnotesection"/>
        <w:ind w:left="890" w:hanging="890"/>
      </w:pPr>
      <w:r>
        <w:tab/>
        <w:t>[Section 152, formerly section 129, renumbered as section 152: No. 38 of 1933 s. 42; amended: No. 14 of 1996 s. 4; No. 19 of 2016 s. 99.]</w:t>
      </w:r>
    </w:p>
    <w:p>
      <w:pPr>
        <w:pStyle w:val="Heading5"/>
        <w:spacing w:before="180"/>
        <w:rPr>
          <w:snapToGrid w:val="0"/>
        </w:rPr>
      </w:pPr>
      <w:bookmarkStart w:id="373" w:name="_Toc225765847"/>
      <w:bookmarkStart w:id="374" w:name="_Toc209710772"/>
      <w:r>
        <w:rPr>
          <w:snapToGrid w:val="0"/>
        </w:rPr>
        <w:t>153.</w:t>
      </w:r>
      <w:r>
        <w:rPr>
          <w:snapToGrid w:val="0"/>
        </w:rPr>
        <w:tab/>
        <w:t>Inspection</w:t>
      </w:r>
      <w:bookmarkEnd w:id="373"/>
      <w:bookmarkEnd w:id="374"/>
    </w:p>
    <w:p>
      <w:pPr>
        <w:pStyle w:val="Subsection"/>
        <w:spacing w:before="120"/>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keepNext/>
        <w:spacing w:before="120"/>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ind w:left="890" w:hanging="890"/>
      </w:pPr>
      <w:r>
        <w:tab/>
        <w:t>[Section 153, formerly section 130, renumbered as section 153: No. 38 of 1933 s. 42; amended: No. 113 of 1965 s. 8(1); No. 80 of 1987 s. 35; No. 14 of 1996 s. 4.]</w:t>
      </w:r>
    </w:p>
    <w:p>
      <w:pPr>
        <w:pStyle w:val="Heading5"/>
        <w:spacing w:before="180"/>
        <w:rPr>
          <w:snapToGrid w:val="0"/>
        </w:rPr>
      </w:pPr>
      <w:bookmarkStart w:id="375" w:name="_Toc225765848"/>
      <w:bookmarkStart w:id="376" w:name="_Toc209710773"/>
      <w:r>
        <w:rPr>
          <w:rStyle w:val="CharSectno"/>
        </w:rPr>
        <w:t>154</w:t>
      </w:r>
      <w:r>
        <w:rPr>
          <w:snapToGrid w:val="0"/>
        </w:rPr>
        <w:t>.</w:t>
      </w:r>
      <w:r>
        <w:rPr>
          <w:snapToGrid w:val="0"/>
        </w:rPr>
        <w:tab/>
        <w:t>Offences by keepers</w:t>
      </w:r>
      <w:bookmarkEnd w:id="375"/>
      <w:bookmarkEnd w:id="376"/>
    </w:p>
    <w:p>
      <w:pPr>
        <w:pStyle w:val="Subsection"/>
        <w:spacing w:before="120"/>
        <w:rPr>
          <w:snapToGrid w:val="0"/>
        </w:rPr>
      </w:pPr>
      <w:r>
        <w:rPr>
          <w:snapToGrid w:val="0"/>
        </w:rPr>
        <w:tab/>
      </w:r>
      <w:r>
        <w:rPr>
          <w:snapToGrid w:val="0"/>
        </w:rPr>
        <w:tab/>
        <w:t>Every such keeper who —</w:t>
      </w:r>
    </w:p>
    <w:p>
      <w:pPr>
        <w:pStyle w:val="Indenta"/>
        <w:spacing w:before="60"/>
        <w:rPr>
          <w:snapToGrid w:val="0"/>
        </w:rPr>
      </w:pPr>
      <w:r>
        <w:rPr>
          <w:snapToGrid w:val="0"/>
        </w:rPr>
        <w:tab/>
        <w:t>(a)</w:t>
      </w:r>
      <w:r>
        <w:rPr>
          <w:snapToGrid w:val="0"/>
        </w:rPr>
        <w:tab/>
        <w:t>after being required in writing by the local government so to do, refuses or neglects to affix or renew any notice; or</w:t>
      </w:r>
    </w:p>
    <w:p>
      <w:pPr>
        <w:pStyle w:val="Indenta"/>
        <w:keepNext/>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keepNext/>
        <w:spacing w:before="200"/>
        <w:rPr>
          <w:snapToGrid w:val="0"/>
        </w:rPr>
      </w:pPr>
      <w:r>
        <w:rPr>
          <w:snapToGrid w:val="0"/>
        </w:rPr>
        <w:tab/>
      </w:r>
      <w:r>
        <w:rPr>
          <w:snapToGrid w:val="0"/>
        </w:rPr>
        <w:tab/>
        <w:t>commits an offence.</w:t>
      </w:r>
    </w:p>
    <w:p>
      <w:pPr>
        <w:pStyle w:val="Footnotesection"/>
        <w:spacing w:before="160"/>
        <w:ind w:left="890" w:hanging="890"/>
      </w:pPr>
      <w:r>
        <w:tab/>
        <w:t>[Section 154, formerly section 131, renumbered as section 154: No. 38 of 1933 s. 42; amended: No. 113 of 1965 s. 8(1); No. 80 of 1987 s. 36; No. 14 of 1996 s. 4.]</w:t>
      </w:r>
    </w:p>
    <w:p>
      <w:pPr>
        <w:pStyle w:val="Heading5"/>
        <w:spacing w:before="280"/>
        <w:rPr>
          <w:snapToGrid w:val="0"/>
        </w:rPr>
      </w:pPr>
      <w:bookmarkStart w:id="377" w:name="_Toc225765849"/>
      <w:bookmarkStart w:id="378" w:name="_Toc209710774"/>
      <w:r>
        <w:rPr>
          <w:rStyle w:val="CharSectno"/>
        </w:rPr>
        <w:t>155</w:t>
      </w:r>
      <w:r>
        <w:rPr>
          <w:snapToGrid w:val="0"/>
        </w:rPr>
        <w:t>.</w:t>
      </w:r>
      <w:r>
        <w:rPr>
          <w:snapToGrid w:val="0"/>
        </w:rPr>
        <w:tab/>
        <w:t>Conviction for third offence</w:t>
      </w:r>
      <w:bookmarkEnd w:id="377"/>
      <w:bookmarkEnd w:id="378"/>
    </w:p>
    <w:p>
      <w:pPr>
        <w:pStyle w:val="Subsection"/>
        <w:spacing w:before="220"/>
        <w:rPr>
          <w:snapToGrid w:val="0"/>
        </w:rPr>
      </w:pPr>
      <w:r>
        <w:rPr>
          <w:snapToGrid w:val="0"/>
        </w:rPr>
        <w:tab/>
      </w:r>
      <w:r>
        <w:rPr>
          <w:snapToGrid w:val="0"/>
        </w:rPr>
        <w:tab/>
        <w:t>When any such keeper is convicted of a third or subsequent offence, a court of summary jurisdiction may adjudge that he shall not keep a lodging</w:t>
      </w:r>
      <w:r>
        <w:rPr>
          <w:snapToGrid w:val="0"/>
        </w:rPr>
        <w:noBreakHyphen/>
        <w:t>house at any time within 5 years after the conviction, or within such shorter period after the conviction as it thinks fit.</w:t>
      </w:r>
    </w:p>
    <w:p>
      <w:pPr>
        <w:pStyle w:val="Footnotesection"/>
        <w:spacing w:before="160"/>
        <w:ind w:left="890" w:hanging="890"/>
      </w:pPr>
      <w:r>
        <w:tab/>
        <w:t>[Section 155, formerly section 132, renumbered as section 155: No. 38 of 1933 s. 42; amended: No. 18 of 1964 s. 12; No. 59 of 2004 s. 141.]</w:t>
      </w:r>
    </w:p>
    <w:p>
      <w:pPr>
        <w:pStyle w:val="Heading5"/>
        <w:spacing w:before="280"/>
        <w:rPr>
          <w:snapToGrid w:val="0"/>
        </w:rPr>
      </w:pPr>
      <w:bookmarkStart w:id="379" w:name="_Toc225765850"/>
      <w:bookmarkStart w:id="380" w:name="_Toc209710775"/>
      <w:r>
        <w:rPr>
          <w:rStyle w:val="CharSectno"/>
        </w:rPr>
        <w:t>156</w:t>
      </w:r>
      <w:r>
        <w:rPr>
          <w:snapToGrid w:val="0"/>
        </w:rPr>
        <w:t>.</w:t>
      </w:r>
      <w:r>
        <w:rPr>
          <w:snapToGrid w:val="0"/>
        </w:rPr>
        <w:tab/>
        <w:t>Lodging</w:t>
      </w:r>
      <w:r>
        <w:rPr>
          <w:snapToGrid w:val="0"/>
        </w:rPr>
        <w:noBreakHyphen/>
        <w:t>house keepers to report deaths</w:t>
      </w:r>
      <w:bookmarkEnd w:id="379"/>
      <w:bookmarkEnd w:id="380"/>
    </w:p>
    <w:p>
      <w:pPr>
        <w:pStyle w:val="Subsection"/>
        <w:spacing w:before="220"/>
        <w:rPr>
          <w:snapToGrid w:val="0"/>
        </w:rPr>
      </w:pPr>
      <w:r>
        <w:rPr>
          <w:snapToGrid w:val="0"/>
        </w:rPr>
        <w:tab/>
      </w:r>
      <w:r>
        <w:rPr>
          <w:snapToGrid w:val="0"/>
        </w:rPr>
        <w:tab/>
        <w:t>Upon any death occurring in any lodging</w:t>
      </w:r>
      <w:r>
        <w:rPr>
          <w:snapToGrid w:val="0"/>
        </w:rPr>
        <w:noBreakHyphen/>
        <w:t xml:space="preserve">house, the manager or keeper thereof shall, within 12 hours thereafter, give notice of every such death and the cause thereof and the circumstances attendant thereon to the </w:t>
      </w:r>
      <w:r>
        <w:t>Chief Health Officer</w:t>
      </w:r>
      <w:r>
        <w:rPr>
          <w:snapToGrid w:val="0"/>
        </w:rPr>
        <w:t xml:space="preserve"> and to the nearest coroner; and if there is no coroner residing within 8 km of such lodging</w:t>
      </w:r>
      <w:r>
        <w:rPr>
          <w:snapToGrid w:val="0"/>
        </w:rPr>
        <w:noBreakHyphen/>
        <w:t>house, then to the police.</w:t>
      </w:r>
    </w:p>
    <w:p>
      <w:pPr>
        <w:pStyle w:val="Footnotesection"/>
        <w:ind w:left="890" w:hanging="890"/>
      </w:pPr>
      <w:r>
        <w:tab/>
        <w:t>[Section 156, formerly section 133, renumbered as section 156: No. 38 of 1933 s. 42; amended: No. 18 of 1964 s. 13; No. 30 of 1982 s. 4; No. 19 of 2016 s. 99.]</w:t>
      </w:r>
    </w:p>
    <w:p>
      <w:pPr>
        <w:pStyle w:val="Heading5"/>
        <w:spacing w:before="240"/>
        <w:rPr>
          <w:snapToGrid w:val="0"/>
        </w:rPr>
      </w:pPr>
      <w:bookmarkStart w:id="381" w:name="_Toc225765851"/>
      <w:bookmarkStart w:id="382" w:name="_Toc209710776"/>
      <w:r>
        <w:rPr>
          <w:rStyle w:val="CharSectno"/>
        </w:rPr>
        <w:t>157</w:t>
      </w:r>
      <w:r>
        <w:rPr>
          <w:snapToGrid w:val="0"/>
        </w:rPr>
        <w:t>.</w:t>
      </w:r>
      <w:r>
        <w:rPr>
          <w:snapToGrid w:val="0"/>
        </w:rPr>
        <w:tab/>
        <w:t>Register of lodgers to be kept</w:t>
      </w:r>
      <w:bookmarkEnd w:id="381"/>
      <w:bookmarkEnd w:id="382"/>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 xml:space="preserve">house, and shall be open to inspection at any time on demand by any member of the police force or </w:t>
      </w:r>
      <w:r>
        <w:t>authorised officer</w:t>
      </w:r>
      <w:r>
        <w:rPr>
          <w:snapToGrid w:val="0"/>
        </w:rPr>
        <w:t>.</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 or</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 or</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rPr>
          <w:snapToGrid w:val="0"/>
        </w:rPr>
      </w:pPr>
      <w:r>
        <w:rPr>
          <w:snapToGrid w:val="0"/>
        </w:rPr>
        <w:tab/>
      </w:r>
      <w:r>
        <w:rPr>
          <w:snapToGrid w:val="0"/>
        </w:rPr>
        <w:tab/>
        <w:t>commits an offence.</w:t>
      </w:r>
    </w:p>
    <w:p>
      <w:pPr>
        <w:pStyle w:val="Footnotesection"/>
      </w:pPr>
      <w:r>
        <w:tab/>
        <w:t>[Section 157 inserted: No. 18 of 1964 s. 14; amended: No. 113 of 1965 s. 8(1); No. 24 of 1970 s. 12; No. 80 of 1987 s. 37; No. 59 of 1991 s. 5; No. 14 of 1996 s. 4; No. 19 of 2016 s. 99.]</w:t>
      </w:r>
    </w:p>
    <w:p>
      <w:pPr>
        <w:pStyle w:val="Heading5"/>
        <w:rPr>
          <w:snapToGrid w:val="0"/>
        </w:rPr>
      </w:pPr>
      <w:bookmarkStart w:id="383" w:name="_Toc225765852"/>
      <w:bookmarkStart w:id="384" w:name="_Toc209710777"/>
      <w:r>
        <w:rPr>
          <w:rStyle w:val="CharSectno"/>
        </w:rPr>
        <w:t>158</w:t>
      </w:r>
      <w:r>
        <w:rPr>
          <w:snapToGrid w:val="0"/>
        </w:rPr>
        <w:t>.</w:t>
      </w:r>
      <w:r>
        <w:rPr>
          <w:snapToGrid w:val="0"/>
        </w:rPr>
        <w:tab/>
        <w:t>Local laws in respect of lodging</w:t>
      </w:r>
      <w:r>
        <w:rPr>
          <w:snapToGrid w:val="0"/>
        </w:rPr>
        <w:noBreakHyphen/>
        <w:t>house</w:t>
      </w:r>
      <w:bookmarkEnd w:id="383"/>
      <w:bookmarkEnd w:id="384"/>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registration and inspection of lodging</w:t>
      </w:r>
      <w:r>
        <w:rPr>
          <w:snapToGrid w:val="0"/>
        </w:rPr>
        <w:noBreakHyphen/>
        <w:t>houses.</w:t>
      </w:r>
    </w:p>
    <w:p>
      <w:pPr>
        <w:pStyle w:val="Indenta"/>
        <w:spacing w:before="100"/>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spacing w:before="100"/>
        <w:rPr>
          <w:snapToGrid w:val="0"/>
        </w:rPr>
      </w:pPr>
      <w:r>
        <w:rPr>
          <w:snapToGrid w:val="0"/>
        </w:rPr>
        <w:tab/>
        <w:t>(b)</w:t>
      </w:r>
      <w:r>
        <w:rPr>
          <w:snapToGrid w:val="0"/>
        </w:rPr>
        <w:tab/>
        <w:t>Regulating the construction, cleanliness, lighting, ventilation, drainage, and sanitation thereof.</w:t>
      </w:r>
    </w:p>
    <w:p>
      <w:pPr>
        <w:pStyle w:val="Indenta"/>
        <w:spacing w:before="100"/>
        <w:rPr>
          <w:snapToGrid w:val="0"/>
        </w:rPr>
      </w:pPr>
      <w:r>
        <w:rPr>
          <w:snapToGrid w:val="0"/>
        </w:rPr>
        <w:tab/>
        <w:t>(c)</w:t>
      </w:r>
      <w:r>
        <w:rPr>
          <w:snapToGrid w:val="0"/>
        </w:rPr>
        <w:tab/>
        <w:t>Enforcing the destruction of vermin therein.</w:t>
      </w:r>
    </w:p>
    <w:p>
      <w:pPr>
        <w:pStyle w:val="Indenta"/>
        <w:spacing w:before="100"/>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spacing w:before="100"/>
        <w:rPr>
          <w:snapToGrid w:val="0"/>
        </w:rPr>
      </w:pPr>
      <w:r>
        <w:rPr>
          <w:snapToGrid w:val="0"/>
        </w:rPr>
        <w:tab/>
        <w:t>(e)</w:t>
      </w:r>
      <w:r>
        <w:rPr>
          <w:snapToGrid w:val="0"/>
        </w:rPr>
        <w:tab/>
        <w:t>Enforcing the giving of notices, and the taking of precautions, in the case of any infectious disease occurring in such house.</w:t>
      </w:r>
    </w:p>
    <w:p>
      <w:pPr>
        <w:pStyle w:val="Indenta"/>
        <w:spacing w:before="100"/>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spacing w:before="100"/>
        <w:rPr>
          <w:snapToGrid w:val="0"/>
        </w:rPr>
      </w:pPr>
      <w:r>
        <w:rPr>
          <w:snapToGrid w:val="0"/>
        </w:rPr>
        <w:tab/>
        <w:t>(g)</w:t>
      </w:r>
      <w:r>
        <w:rPr>
          <w:snapToGrid w:val="0"/>
        </w:rPr>
        <w:tab/>
        <w:t>Enforcing the provision of proper and sufficient bathrooms and ablutionary appliances, including plunge baths and heaters.</w:t>
      </w:r>
    </w:p>
    <w:p>
      <w:pPr>
        <w:pStyle w:val="Indenta"/>
        <w:spacing w:before="100"/>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spacing w:before="100"/>
        <w:rPr>
          <w:snapToGrid w:val="0"/>
        </w:rPr>
      </w:pPr>
      <w:r>
        <w:rPr>
          <w:snapToGrid w:val="0"/>
        </w:rPr>
        <w:tab/>
        <w:t>(i)</w:t>
      </w:r>
      <w:r>
        <w:rPr>
          <w:snapToGrid w:val="0"/>
        </w:rPr>
        <w:tab/>
        <w:t>Generally for the good conduct of such houses.</w:t>
      </w:r>
    </w:p>
    <w:p>
      <w:pPr>
        <w:pStyle w:val="Indenta"/>
        <w:spacing w:before="100"/>
        <w:rPr>
          <w:snapToGrid w:val="0"/>
        </w:rPr>
      </w:pPr>
      <w:r>
        <w:rPr>
          <w:snapToGrid w:val="0"/>
        </w:rPr>
        <w:tab/>
        <w:t>(3)</w:t>
      </w:r>
      <w:r>
        <w:rPr>
          <w:snapToGrid w:val="0"/>
        </w:rPr>
        <w:tab/>
        <w:t>Prescribing fees to be paid for the registration of lodging</w:t>
      </w:r>
      <w:r>
        <w:rPr>
          <w:snapToGrid w:val="0"/>
        </w:rPr>
        <w:noBreakHyphen/>
        <w:t>houses.</w:t>
      </w:r>
    </w:p>
    <w:p>
      <w:pPr>
        <w:pStyle w:val="Indenta"/>
        <w:spacing w:before="100"/>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keepLines w:val="0"/>
        <w:ind w:left="890" w:hanging="890"/>
      </w:pPr>
      <w:r>
        <w:tab/>
        <w:t>[Section 158, formerly section 135, amended: No. 30 of 1932 s. 24; renumbered as section 158: No. 38 of 1933 s. 42; amended: No. 21 of 1944 s. 6; No. 18 of 1964 s. 15; No. 113 of 1965 s. 8(1); No. 2 of 1975 s. 4; No. 28 of 1984 s. 45; No. 59 of 1991 s. 23; No. 14 of 1996 s. 4.]</w:t>
      </w:r>
    </w:p>
    <w:p>
      <w:pPr>
        <w:pStyle w:val="Heading5"/>
        <w:rPr>
          <w:snapToGrid w:val="0"/>
        </w:rPr>
      </w:pPr>
      <w:bookmarkStart w:id="385" w:name="_Toc225765853"/>
      <w:bookmarkStart w:id="386" w:name="_Toc209710778"/>
      <w:r>
        <w:rPr>
          <w:rStyle w:val="CharSectno"/>
        </w:rPr>
        <w:t>159</w:t>
      </w:r>
      <w:r>
        <w:rPr>
          <w:snapToGrid w:val="0"/>
        </w:rPr>
        <w:t>.</w:t>
      </w:r>
      <w:r>
        <w:rPr>
          <w:snapToGrid w:val="0"/>
        </w:rPr>
        <w:tab/>
        <w:t>Evidence as to family in proceedings</w:t>
      </w:r>
      <w:bookmarkEnd w:id="385"/>
      <w:bookmarkEnd w:id="386"/>
    </w:p>
    <w:p>
      <w:pPr>
        <w:pStyle w:val="Subsection"/>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formerly section 136, amended: No. 30 of 1932 s. 25; renumbered as section 159: No. 38 of 1933 s. 42; amended: No. 18 of 1964 s. 16; No. 14 of 1996 s. 4; No. 28 of 2003 s. 75.]</w:t>
      </w:r>
    </w:p>
    <w:p>
      <w:pPr>
        <w:pStyle w:val="Ednotedivision"/>
      </w:pPr>
      <w:r>
        <w:t>[Division 3 (s. 160</w:t>
      </w:r>
      <w:r>
        <w:noBreakHyphen/>
        <w:t>172) deleted: No. 43 of 2008 s. 147(5).]</w:t>
      </w:r>
    </w:p>
    <w:p>
      <w:pPr>
        <w:pStyle w:val="Heading2"/>
      </w:pPr>
      <w:bookmarkStart w:id="387" w:name="_Toc225760827"/>
      <w:bookmarkStart w:id="388" w:name="_Toc225761159"/>
      <w:bookmarkStart w:id="389" w:name="_Toc225765854"/>
      <w:bookmarkStart w:id="390" w:name="_Toc209701303"/>
      <w:bookmarkStart w:id="391" w:name="_Toc209702921"/>
      <w:bookmarkStart w:id="392" w:name="_Toc209703253"/>
      <w:bookmarkStart w:id="393" w:name="_Toc209710779"/>
      <w:r>
        <w:rPr>
          <w:rStyle w:val="CharPartNo"/>
        </w:rPr>
        <w:t>Part VI</w:t>
      </w:r>
      <w:r>
        <w:rPr>
          <w:rStyle w:val="CharDivNo"/>
        </w:rPr>
        <w:t> </w:t>
      </w:r>
      <w:r>
        <w:t>—</w:t>
      </w:r>
      <w:r>
        <w:rPr>
          <w:rStyle w:val="CharDivText"/>
        </w:rPr>
        <w:t> </w:t>
      </w:r>
      <w:r>
        <w:rPr>
          <w:rStyle w:val="CharPartText"/>
        </w:rPr>
        <w:t>Public buildings</w:t>
      </w:r>
      <w:bookmarkEnd w:id="387"/>
      <w:bookmarkEnd w:id="388"/>
      <w:bookmarkEnd w:id="389"/>
      <w:bookmarkEnd w:id="390"/>
      <w:bookmarkEnd w:id="391"/>
      <w:bookmarkEnd w:id="392"/>
      <w:bookmarkEnd w:id="393"/>
    </w:p>
    <w:p>
      <w:pPr>
        <w:pStyle w:val="Footnoteheading"/>
        <w:ind w:left="890" w:hanging="890"/>
        <w:rPr>
          <w:snapToGrid w:val="0"/>
        </w:rPr>
      </w:pPr>
      <w:r>
        <w:rPr>
          <w:snapToGrid w:val="0"/>
        </w:rPr>
        <w:tab/>
        <w:t>[Heading inserted: No. 59 of 1991 s. 14.]</w:t>
      </w:r>
    </w:p>
    <w:p>
      <w:pPr>
        <w:pStyle w:val="Heading5"/>
        <w:spacing w:before="200"/>
        <w:rPr>
          <w:snapToGrid w:val="0"/>
        </w:rPr>
      </w:pPr>
      <w:bookmarkStart w:id="394" w:name="_Toc225765855"/>
      <w:bookmarkStart w:id="395" w:name="_Toc209710780"/>
      <w:r>
        <w:rPr>
          <w:rStyle w:val="CharSectno"/>
        </w:rPr>
        <w:t>173</w:t>
      </w:r>
      <w:r>
        <w:rPr>
          <w:snapToGrid w:val="0"/>
        </w:rPr>
        <w:t>.</w:t>
      </w:r>
      <w:r>
        <w:rPr>
          <w:snapToGrid w:val="0"/>
        </w:rPr>
        <w:tab/>
        <w:t>Terms used</w:t>
      </w:r>
      <w:bookmarkEnd w:id="394"/>
      <w:bookmarkEnd w:id="395"/>
    </w:p>
    <w:p>
      <w:pPr>
        <w:pStyle w:val="Subsection"/>
        <w:spacing w:before="120"/>
        <w:rPr>
          <w:snapToGrid w:val="0"/>
        </w:rPr>
      </w:pPr>
      <w:r>
        <w:rPr>
          <w:snapToGrid w:val="0"/>
        </w:rPr>
        <w:tab/>
      </w:r>
      <w:r>
        <w:rPr>
          <w:snapToGrid w:val="0"/>
        </w:rPr>
        <w:tab/>
        <w:t>In this Part —</w:t>
      </w:r>
    </w:p>
    <w:p>
      <w:pPr>
        <w:pStyle w:val="Defstart"/>
        <w:spacing w:before="100"/>
      </w:pPr>
      <w:r>
        <w:rPr>
          <w:b/>
        </w:rPr>
        <w:tab/>
      </w:r>
      <w:r>
        <w:rPr>
          <w:rStyle w:val="CharDefText"/>
        </w:rPr>
        <w:t>authorised person</w:t>
      </w:r>
      <w:r>
        <w:t xml:space="preserve"> means —</w:t>
      </w:r>
    </w:p>
    <w:p>
      <w:pPr>
        <w:pStyle w:val="Defpara"/>
        <w:spacing w:before="60"/>
      </w:pPr>
      <w:r>
        <w:tab/>
        <w:t>(a)</w:t>
      </w:r>
      <w:r>
        <w:tab/>
        <w:t>an authorised officer; or</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Chief Health Officer;</w:t>
      </w:r>
    </w:p>
    <w:p>
      <w:pPr>
        <w:pStyle w:val="Defstart"/>
        <w:spacing w:before="100"/>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pPr>
      <w:r>
        <w:tab/>
        <w:t>(i)</w:t>
      </w:r>
      <w:r>
        <w:tab/>
        <w:t>civic, theatrical, social, political or religious purposes; and</w:t>
      </w:r>
    </w:p>
    <w:p>
      <w:pPr>
        <w:pStyle w:val="Defsubpara"/>
        <w:spacing w:before="60"/>
      </w:pPr>
      <w:r>
        <w:tab/>
        <w:t>(ii)</w:t>
      </w:r>
      <w:r>
        <w:tab/>
        <w:t>educational purposes; and</w:t>
      </w:r>
    </w:p>
    <w:p>
      <w:pPr>
        <w:pStyle w:val="Defsubpara"/>
        <w:spacing w:before="60"/>
      </w:pPr>
      <w:r>
        <w:tab/>
        <w:t>(iii)</w:t>
      </w:r>
      <w:r>
        <w:tab/>
        <w:t>entertainment, recreational or sporting purposes; and</w:t>
      </w:r>
    </w:p>
    <w:p>
      <w:pPr>
        <w:pStyle w:val="Defsubpara"/>
        <w:spacing w:before="60"/>
      </w:pPr>
      <w:r>
        <w:tab/>
        <w:t>(iv)</w:t>
      </w:r>
      <w: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Footnotesection"/>
        <w:spacing w:before="100"/>
        <w:ind w:left="890" w:hanging="890"/>
      </w:pPr>
      <w:r>
        <w:tab/>
        <w:t>[Section 173 inserted: No. 59 of 1991 s. 14; amended: No. 14 of 1996 s. 4; No. 50 of 1996 s. 4; No. 19 of 2016 s. 12 and 100.]</w:t>
      </w:r>
    </w:p>
    <w:p>
      <w:pPr>
        <w:pStyle w:val="Heading5"/>
        <w:spacing w:before="260"/>
        <w:rPr>
          <w:snapToGrid w:val="0"/>
        </w:rPr>
      </w:pPr>
      <w:bookmarkStart w:id="396" w:name="_Toc225765856"/>
      <w:bookmarkStart w:id="397" w:name="_Toc209710781"/>
      <w:r>
        <w:rPr>
          <w:rStyle w:val="CharSectno"/>
        </w:rPr>
        <w:t>174</w:t>
      </w:r>
      <w:r>
        <w:rPr>
          <w:snapToGrid w:val="0"/>
        </w:rPr>
        <w:t>.</w:t>
      </w:r>
      <w:r>
        <w:rPr>
          <w:snapToGrid w:val="0"/>
        </w:rPr>
        <w:tab/>
        <w:t>Application to Crown</w:t>
      </w:r>
      <w:bookmarkEnd w:id="396"/>
      <w:bookmarkEnd w:id="397"/>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No. 59 of 1991 s. 14.]</w:t>
      </w:r>
    </w:p>
    <w:p>
      <w:pPr>
        <w:pStyle w:val="Heading5"/>
        <w:spacing w:before="260"/>
        <w:rPr>
          <w:snapToGrid w:val="0"/>
        </w:rPr>
      </w:pPr>
      <w:bookmarkStart w:id="398" w:name="_Toc225765857"/>
      <w:bookmarkStart w:id="399" w:name="_Toc209710782"/>
      <w:r>
        <w:rPr>
          <w:rStyle w:val="CharSectno"/>
        </w:rPr>
        <w:t>175</w:t>
      </w:r>
      <w:r>
        <w:rPr>
          <w:snapToGrid w:val="0"/>
        </w:rPr>
        <w:t>.</w:t>
      </w:r>
      <w:r>
        <w:rPr>
          <w:snapToGrid w:val="0"/>
        </w:rPr>
        <w:tab/>
        <w:t>Relationship to other laws</w:t>
      </w:r>
      <w:bookmarkEnd w:id="398"/>
      <w:bookmarkEnd w:id="399"/>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No. 59 of 1991 s. 14; amended: No. 14 of 1996 s. 4; No. 24 of 2011 s. 161(2).]</w:t>
      </w:r>
    </w:p>
    <w:p>
      <w:pPr>
        <w:pStyle w:val="Heading5"/>
      </w:pPr>
      <w:bookmarkStart w:id="400" w:name="_Toc225765858"/>
      <w:bookmarkStart w:id="401" w:name="_Toc209710783"/>
      <w:r>
        <w:rPr>
          <w:rStyle w:val="CharSectno"/>
        </w:rPr>
        <w:t>175A</w:t>
      </w:r>
      <w:r>
        <w:t>.</w:t>
      </w:r>
      <w:r>
        <w:tab/>
        <w:t>Chief Health Officer may act in relation to major event</w:t>
      </w:r>
      <w:bookmarkEnd w:id="400"/>
      <w:bookmarkEnd w:id="401"/>
    </w:p>
    <w:p>
      <w:pPr>
        <w:pStyle w:val="Subsection"/>
      </w:pPr>
      <w:r>
        <w:tab/>
        <w:t>(1)</w:t>
      </w:r>
      <w:r>
        <w:tab/>
        <w:t xml:space="preserve">In this section — </w:t>
      </w:r>
    </w:p>
    <w:p>
      <w:pPr>
        <w:pStyle w:val="Defstart"/>
      </w:pPr>
      <w:r>
        <w:tab/>
      </w:r>
      <w:r>
        <w:rPr>
          <w:rStyle w:val="CharDefText"/>
        </w:rPr>
        <w:t>major event</w:t>
      </w:r>
      <w:r>
        <w:t xml:space="preserve"> and </w:t>
      </w:r>
      <w:r>
        <w:rPr>
          <w:rStyle w:val="CharDefText"/>
        </w:rPr>
        <w:t>major event area</w:t>
      </w:r>
      <w:r>
        <w:t xml:space="preserve"> have the meanings given in the </w:t>
      </w:r>
      <w:r>
        <w:rPr>
          <w:i/>
        </w:rPr>
        <w:t>Major Events Act 2023</w:t>
      </w:r>
      <w:r>
        <w:t xml:space="preserve"> section 4. </w:t>
      </w:r>
    </w:p>
    <w:p>
      <w:pPr>
        <w:pStyle w:val="Subsection"/>
      </w:pPr>
      <w:r>
        <w:tab/>
        <w:t>(2)</w:t>
      </w:r>
      <w:r>
        <w:tab/>
        <w:t>The Chief Health Officer may exercise and perform any of the powers or duties of a local government under this Part in relation to the construction, extension or alteration of a public building in a major event area for the purpose of a major event.</w:t>
      </w:r>
    </w:p>
    <w:p>
      <w:pPr>
        <w:pStyle w:val="Footnotesection"/>
      </w:pPr>
      <w:r>
        <w:tab/>
        <w:t>[Section 175A inserted: No. 12 of 2023 s. 110(2).]</w:t>
      </w:r>
    </w:p>
    <w:p>
      <w:pPr>
        <w:pStyle w:val="Heading5"/>
        <w:rPr>
          <w:snapToGrid w:val="0"/>
        </w:rPr>
      </w:pPr>
      <w:bookmarkStart w:id="402" w:name="_Toc225765859"/>
      <w:bookmarkStart w:id="403" w:name="_Toc209710784"/>
      <w:r>
        <w:rPr>
          <w:rStyle w:val="CharSectno"/>
        </w:rPr>
        <w:t>176</w:t>
      </w:r>
      <w:r>
        <w:rPr>
          <w:snapToGrid w:val="0"/>
        </w:rPr>
        <w:t>.</w:t>
      </w:r>
      <w:r>
        <w:rPr>
          <w:snapToGrid w:val="0"/>
        </w:rPr>
        <w:tab/>
        <w:t>Approval of plans</w:t>
      </w:r>
      <w:bookmarkEnd w:id="402"/>
      <w:bookmarkEnd w:id="403"/>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keepNext/>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w:t>
      </w:r>
      <w:r>
        <w:rPr>
          <w:iCs/>
        </w:rPr>
        <w:t> </w:t>
      </w:r>
      <w:r>
        <w:t>section 3, for which a building permit is required under that Act.</w:t>
      </w:r>
    </w:p>
    <w:p>
      <w:pPr>
        <w:pStyle w:val="Footnotesection"/>
      </w:pPr>
      <w:r>
        <w:tab/>
        <w:t>[Section 176 inserted: No. 59 of 1991 s. 14; amended: No. 14 of 1996 s. 4; No. 24 of 2011 s. 161(3).]</w:t>
      </w:r>
    </w:p>
    <w:p>
      <w:pPr>
        <w:pStyle w:val="Heading5"/>
        <w:rPr>
          <w:snapToGrid w:val="0"/>
        </w:rPr>
      </w:pPr>
      <w:bookmarkStart w:id="404" w:name="_Toc225765860"/>
      <w:bookmarkStart w:id="405" w:name="_Toc209710785"/>
      <w:r>
        <w:rPr>
          <w:rStyle w:val="CharSectno"/>
        </w:rPr>
        <w:t>177</w:t>
      </w:r>
      <w:r>
        <w:rPr>
          <w:snapToGrid w:val="0"/>
        </w:rPr>
        <w:t>.</w:t>
      </w:r>
      <w:r>
        <w:rPr>
          <w:snapToGrid w:val="0"/>
        </w:rPr>
        <w:tab/>
        <w:t>Approval</w:t>
      </w:r>
      <w:bookmarkEnd w:id="404"/>
      <w:bookmarkEnd w:id="405"/>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ind w:left="890" w:hanging="890"/>
      </w:pPr>
      <w:r>
        <w:tab/>
        <w:t>[Section 177 inserted: No. 59 of 1991 s. 14.]</w:t>
      </w:r>
    </w:p>
    <w:p>
      <w:pPr>
        <w:pStyle w:val="Heading5"/>
        <w:rPr>
          <w:snapToGrid w:val="0"/>
        </w:rPr>
      </w:pPr>
      <w:bookmarkStart w:id="406" w:name="_Toc225765861"/>
      <w:bookmarkStart w:id="407" w:name="_Toc209710786"/>
      <w:r>
        <w:rPr>
          <w:rStyle w:val="CharSectno"/>
        </w:rPr>
        <w:t>178</w:t>
      </w:r>
      <w:r>
        <w:rPr>
          <w:snapToGrid w:val="0"/>
        </w:rPr>
        <w:t>.</w:t>
      </w:r>
      <w:r>
        <w:rPr>
          <w:snapToGrid w:val="0"/>
        </w:rPr>
        <w:tab/>
        <w:t>Certificate of approval</w:t>
      </w:r>
      <w:bookmarkEnd w:id="406"/>
      <w:bookmarkEnd w:id="407"/>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No. 59 of 1991 s. 14; amended: No. 14 of 1996 s. 4.]</w:t>
      </w:r>
    </w:p>
    <w:p>
      <w:pPr>
        <w:pStyle w:val="Heading5"/>
        <w:rPr>
          <w:snapToGrid w:val="0"/>
        </w:rPr>
      </w:pPr>
      <w:bookmarkStart w:id="408" w:name="_Toc225765862"/>
      <w:bookmarkStart w:id="409" w:name="_Toc209710787"/>
      <w:r>
        <w:rPr>
          <w:rStyle w:val="CharSectno"/>
        </w:rPr>
        <w:t>179</w:t>
      </w:r>
      <w:r>
        <w:rPr>
          <w:snapToGrid w:val="0"/>
        </w:rPr>
        <w:t>.</w:t>
      </w:r>
      <w:r>
        <w:rPr>
          <w:snapToGrid w:val="0"/>
        </w:rPr>
        <w:tab/>
        <w:t>Inspection and control of public buildings</w:t>
      </w:r>
      <w:bookmarkEnd w:id="408"/>
      <w:bookmarkEnd w:id="409"/>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 or</w:t>
      </w:r>
    </w:p>
    <w:p>
      <w:pPr>
        <w:pStyle w:val="Indenta"/>
        <w:rPr>
          <w:snapToGrid w:val="0"/>
        </w:rPr>
      </w:pPr>
      <w:r>
        <w:rPr>
          <w:snapToGrid w:val="0"/>
        </w:rPr>
        <w:tab/>
        <w:t>(bb)</w:t>
      </w:r>
      <w:r>
        <w:rPr>
          <w:snapToGrid w:val="0"/>
        </w:rPr>
        <w:tab/>
        <w:t>the number of persons in a public building exceeds the number specified in the relevant certificate of approval; or</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keepNext/>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 or</w:t>
      </w:r>
    </w:p>
    <w:p>
      <w:pPr>
        <w:pStyle w:val="Indenta"/>
        <w:rPr>
          <w:snapToGrid w:val="0"/>
        </w:rPr>
      </w:pPr>
      <w:r>
        <w:rPr>
          <w:snapToGrid w:val="0"/>
        </w:rPr>
        <w:tab/>
        <w:t>(b)</w:t>
      </w:r>
      <w:r>
        <w:rPr>
          <w:snapToGrid w:val="0"/>
        </w:rPr>
        <w:tab/>
        <w:t>enters a public building that has been closed under subsection (3)(a); or</w:t>
      </w:r>
    </w:p>
    <w:p>
      <w:pPr>
        <w:pStyle w:val="Indenta"/>
        <w:rPr>
          <w:snapToGrid w:val="0"/>
        </w:rPr>
      </w:pPr>
      <w:r>
        <w:rPr>
          <w:snapToGrid w:val="0"/>
        </w:rPr>
        <w:tab/>
        <w:t>(c)</w:t>
      </w:r>
      <w:r>
        <w:rPr>
          <w:snapToGrid w:val="0"/>
        </w:rPr>
        <w:tab/>
        <w:t>has been excluded from a public building under subsection (3)(b) and who enters the public building; or</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 xml:space="preserve">In any proceedings for an offence referred to in subsection (5)(d) a statement signed or purporting to be signed by </w:t>
      </w:r>
      <w:r>
        <w:t xml:space="preserve">the authorised person who gave a direction under subsection (2) or (3)(c) or (d), to which is attached a copy of the direction, </w:t>
      </w:r>
      <w:r>
        <w:rPr>
          <w:snapToGrid w:val="0"/>
        </w:rPr>
        <w:t>and stating that the direction —</w:t>
      </w:r>
    </w:p>
    <w:p>
      <w:pPr>
        <w:pStyle w:val="Indenta"/>
        <w:rPr>
          <w:snapToGrid w:val="0"/>
        </w:rPr>
      </w:pPr>
      <w:r>
        <w:rPr>
          <w:snapToGrid w:val="0"/>
        </w:rPr>
        <w:tab/>
        <w:t>(a)</w:t>
      </w:r>
      <w:r>
        <w:rPr>
          <w:snapToGrid w:val="0"/>
        </w:rPr>
        <w:tab/>
        <w:t>was given; and</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Subsection"/>
      </w:pPr>
      <w:r>
        <w:tab/>
        <w:t>(7)</w:t>
      </w:r>
      <w:r>
        <w:tab/>
        <w:t xml:space="preserve">Any statement made under subsection (6) before the </w:t>
      </w:r>
      <w:r>
        <w:rPr>
          <w:i/>
        </w:rPr>
        <w:t>Public Health (Consequential Provisions) Act 2016</w:t>
      </w:r>
      <w:r>
        <w:t xml:space="preserve"> section 13 (</w:t>
      </w:r>
      <w:r>
        <w:rPr>
          <w:rStyle w:val="CharDefText"/>
        </w:rPr>
        <w:t>section 13</w:t>
      </w:r>
      <w:r>
        <w:t>) comes into operation and that would have been sufficient evidence in accordance with subsection (6) (as that subsection existed immediately before section 13 comes into operation) continues to be sufficient evidence in accordance with subsection (6) as if it had been made by the authorised person who gave the direction to which the statement relates.</w:t>
      </w:r>
    </w:p>
    <w:p>
      <w:pPr>
        <w:pStyle w:val="Footnotesection"/>
      </w:pPr>
      <w:r>
        <w:tab/>
        <w:t>[Section 179 inserted: No. 59 of 1991 s. 14; amended: No. 50 of 1996 s. 5; No. 19 of 2016 s. 13.]</w:t>
      </w:r>
    </w:p>
    <w:p>
      <w:pPr>
        <w:pStyle w:val="Heading5"/>
        <w:rPr>
          <w:snapToGrid w:val="0"/>
        </w:rPr>
      </w:pPr>
      <w:bookmarkStart w:id="410" w:name="_Toc225765863"/>
      <w:bookmarkStart w:id="411" w:name="_Toc209710788"/>
      <w:r>
        <w:rPr>
          <w:rStyle w:val="CharSectno"/>
        </w:rPr>
        <w:t>180</w:t>
      </w:r>
      <w:r>
        <w:rPr>
          <w:snapToGrid w:val="0"/>
        </w:rPr>
        <w:t>.</w:t>
      </w:r>
      <w:r>
        <w:rPr>
          <w:snapToGrid w:val="0"/>
        </w:rPr>
        <w:tab/>
        <w:t>Regulations</w:t>
      </w:r>
      <w:bookmarkEnd w:id="410"/>
      <w:bookmarkEnd w:id="411"/>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keepNext/>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No. 59 of 1991 s. 14; amended: No. 14 of 1996 s. 4; No. 28 of 1996 s. 11.]</w:t>
      </w:r>
    </w:p>
    <w:p>
      <w:pPr>
        <w:pStyle w:val="Heading2"/>
      </w:pPr>
      <w:bookmarkStart w:id="412" w:name="_Toc225760837"/>
      <w:bookmarkStart w:id="413" w:name="_Toc225761169"/>
      <w:bookmarkStart w:id="414" w:name="_Toc225765864"/>
      <w:bookmarkStart w:id="415" w:name="_Toc209701313"/>
      <w:bookmarkStart w:id="416" w:name="_Toc209702931"/>
      <w:bookmarkStart w:id="417" w:name="_Toc209703263"/>
      <w:bookmarkStart w:id="418" w:name="_Toc209710789"/>
      <w:r>
        <w:rPr>
          <w:rStyle w:val="CharPartNo"/>
        </w:rPr>
        <w:t>Part VII</w:t>
      </w:r>
      <w:r>
        <w:t> — </w:t>
      </w:r>
      <w:r>
        <w:rPr>
          <w:rStyle w:val="CharPartText"/>
        </w:rPr>
        <w:t>Nuisances and offensive trades</w:t>
      </w:r>
      <w:bookmarkEnd w:id="412"/>
      <w:bookmarkEnd w:id="413"/>
      <w:bookmarkEnd w:id="414"/>
      <w:bookmarkEnd w:id="415"/>
      <w:bookmarkEnd w:id="416"/>
      <w:bookmarkEnd w:id="417"/>
      <w:bookmarkEnd w:id="418"/>
    </w:p>
    <w:p>
      <w:pPr>
        <w:pStyle w:val="Heading3"/>
        <w:rPr>
          <w:snapToGrid w:val="0"/>
        </w:rPr>
      </w:pPr>
      <w:bookmarkStart w:id="419" w:name="_Toc225760838"/>
      <w:bookmarkStart w:id="420" w:name="_Toc225761170"/>
      <w:bookmarkStart w:id="421" w:name="_Toc225765865"/>
      <w:bookmarkStart w:id="422" w:name="_Toc209701314"/>
      <w:bookmarkStart w:id="423" w:name="_Toc209702932"/>
      <w:bookmarkStart w:id="424" w:name="_Toc209703264"/>
      <w:bookmarkStart w:id="425" w:name="_Toc209710790"/>
      <w:r>
        <w:rPr>
          <w:rStyle w:val="CharDivNo"/>
        </w:rPr>
        <w:t>Division 1</w:t>
      </w:r>
      <w:r>
        <w:rPr>
          <w:snapToGrid w:val="0"/>
        </w:rPr>
        <w:t> — </w:t>
      </w:r>
      <w:r>
        <w:rPr>
          <w:rStyle w:val="CharDivText"/>
        </w:rPr>
        <w:t>Nuisances</w:t>
      </w:r>
      <w:bookmarkEnd w:id="419"/>
      <w:bookmarkEnd w:id="420"/>
      <w:bookmarkEnd w:id="421"/>
      <w:bookmarkEnd w:id="422"/>
      <w:bookmarkEnd w:id="423"/>
      <w:bookmarkEnd w:id="424"/>
      <w:bookmarkEnd w:id="425"/>
    </w:p>
    <w:p>
      <w:pPr>
        <w:pStyle w:val="Heading5"/>
        <w:rPr>
          <w:snapToGrid w:val="0"/>
        </w:rPr>
      </w:pPr>
      <w:bookmarkStart w:id="426" w:name="_Toc225765866"/>
      <w:bookmarkStart w:id="427" w:name="_Toc209710791"/>
      <w:r>
        <w:rPr>
          <w:rStyle w:val="CharSectno"/>
        </w:rPr>
        <w:t>181</w:t>
      </w:r>
      <w:r>
        <w:rPr>
          <w:snapToGrid w:val="0"/>
        </w:rPr>
        <w:t>.</w:t>
      </w:r>
      <w:r>
        <w:rPr>
          <w:snapToGrid w:val="0"/>
        </w:rPr>
        <w:tab/>
        <w:t>Removal of offensive matter</w:t>
      </w:r>
      <w:bookmarkEnd w:id="426"/>
      <w:bookmarkEnd w:id="427"/>
    </w:p>
    <w:p>
      <w:pPr>
        <w:pStyle w:val="Subsection"/>
        <w:rPr>
          <w:snapToGrid w:val="0"/>
        </w:rPr>
      </w:pPr>
      <w:r>
        <w:rPr>
          <w:snapToGrid w:val="0"/>
        </w:rPr>
        <w:tab/>
      </w:r>
      <w:r>
        <w:rPr>
          <w:snapToGrid w:val="0"/>
        </w:rPr>
        <w:tab/>
        <w:t xml:space="preserve">In any case where it appears to an </w:t>
      </w:r>
      <w:r>
        <w:t>authorised officer</w:t>
      </w:r>
      <w:r>
        <w:rPr>
          <w:snapToGrid w:val="0"/>
        </w:rPr>
        <w:t xml:space="preserve">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formerly section 145, renumbered as section 181: No. 38 of 1933 s. 42; amended: No. 113 of 1965 s. 8(1); No. 24 of 1970 s. 12; No. 80 of 1987 s. 47; No. 59 of 1991 s. 5; No. 14 of 1996 s. 4; No. 28 of 1996 s. 21; No. 19 of 2016 s. 99.]</w:t>
      </w:r>
    </w:p>
    <w:p>
      <w:pPr>
        <w:pStyle w:val="Heading5"/>
        <w:rPr>
          <w:snapToGrid w:val="0"/>
        </w:rPr>
      </w:pPr>
      <w:bookmarkStart w:id="428" w:name="_Toc225765867"/>
      <w:bookmarkStart w:id="429" w:name="_Toc209710792"/>
      <w:r>
        <w:rPr>
          <w:rStyle w:val="CharSectno"/>
        </w:rPr>
        <w:t>182</w:t>
      </w:r>
      <w:r>
        <w:rPr>
          <w:snapToGrid w:val="0"/>
        </w:rPr>
        <w:t>.</w:t>
      </w:r>
      <w:r>
        <w:rPr>
          <w:snapToGrid w:val="0"/>
        </w:rPr>
        <w:tab/>
        <w:t>Definition of nuisances</w:t>
      </w:r>
      <w:bookmarkEnd w:id="428"/>
      <w:bookmarkEnd w:id="429"/>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keepNext/>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ind w:left="890" w:hanging="890"/>
      </w:pPr>
      <w:r>
        <w:tab/>
        <w:t>[Section 182, formerly section 146, renumbered as section 182: No. 38 of 1933 s. 42; amended: No. 2 of 1975 s. 5; No. 80 of 1987 s. 48; No. 61 of 2004 s. 4; No. 59 of 2004 s. 141; No. 84 of 2004 s. 82.]</w:t>
      </w:r>
    </w:p>
    <w:p>
      <w:pPr>
        <w:pStyle w:val="Heading5"/>
        <w:rPr>
          <w:snapToGrid w:val="0"/>
        </w:rPr>
      </w:pPr>
      <w:bookmarkStart w:id="430" w:name="_Toc225765868"/>
      <w:bookmarkStart w:id="431" w:name="_Toc209710793"/>
      <w:r>
        <w:rPr>
          <w:rStyle w:val="CharSectno"/>
        </w:rPr>
        <w:t>182A</w:t>
      </w:r>
      <w:r>
        <w:rPr>
          <w:snapToGrid w:val="0"/>
        </w:rPr>
        <w:t>.</w:t>
      </w:r>
      <w:r>
        <w:rPr>
          <w:snapToGrid w:val="0"/>
        </w:rPr>
        <w:tab/>
        <w:t>Regulations as to section 182(13)</w:t>
      </w:r>
      <w:bookmarkEnd w:id="430"/>
      <w:bookmarkEnd w:id="431"/>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ind w:left="890" w:hanging="890"/>
      </w:pPr>
      <w:r>
        <w:tab/>
        <w:t>[Section 182A inserted: No. 2 of 1975 s. 6.]</w:t>
      </w:r>
    </w:p>
    <w:p>
      <w:pPr>
        <w:pStyle w:val="Heading5"/>
        <w:spacing w:before="200"/>
        <w:rPr>
          <w:snapToGrid w:val="0"/>
        </w:rPr>
      </w:pPr>
      <w:bookmarkStart w:id="432" w:name="_Toc225765869"/>
      <w:bookmarkStart w:id="433" w:name="_Toc209710794"/>
      <w:r>
        <w:rPr>
          <w:rStyle w:val="CharSectno"/>
        </w:rPr>
        <w:t>183</w:t>
      </w:r>
      <w:r>
        <w:rPr>
          <w:snapToGrid w:val="0"/>
        </w:rPr>
        <w:t>.</w:t>
      </w:r>
      <w:r>
        <w:rPr>
          <w:snapToGrid w:val="0"/>
        </w:rPr>
        <w:tab/>
        <w:t>Immediate action in respect of nuisances</w:t>
      </w:r>
      <w:bookmarkEnd w:id="432"/>
      <w:bookmarkEnd w:id="433"/>
    </w:p>
    <w:p>
      <w:pPr>
        <w:pStyle w:val="Subsection"/>
        <w:rPr>
          <w:snapToGrid w:val="0"/>
        </w:rPr>
      </w:pPr>
      <w:r>
        <w:rPr>
          <w:snapToGrid w:val="0"/>
        </w:rPr>
        <w:tab/>
      </w:r>
      <w:r>
        <w:rPr>
          <w:snapToGrid w:val="0"/>
        </w:rPr>
        <w:tab/>
        <w:t xml:space="preserve">If an </w:t>
      </w:r>
      <w:r>
        <w:t>authorised officer</w:t>
      </w:r>
      <w:r>
        <w:rPr>
          <w:snapToGrid w:val="0"/>
        </w:rPr>
        <w:t xml:space="preserve">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ind w:left="890" w:hanging="890"/>
      </w:pPr>
      <w:r>
        <w:tab/>
        <w:t>[Section 183, formerly section 147, renumbered as section 183: No. 38 of 1933 s. 42; amended: No. 24 of 1970 s. 12; No. 59 of 1991 s. 5; No. 28 of 1996 s. 21; No. 19 of 2016 s. 99.]</w:t>
      </w:r>
    </w:p>
    <w:p>
      <w:pPr>
        <w:pStyle w:val="Heading5"/>
        <w:rPr>
          <w:snapToGrid w:val="0"/>
        </w:rPr>
      </w:pPr>
      <w:bookmarkStart w:id="434" w:name="_Toc225765870"/>
      <w:bookmarkStart w:id="435" w:name="_Toc209710795"/>
      <w:r>
        <w:rPr>
          <w:rStyle w:val="CharSectno"/>
        </w:rPr>
        <w:t>184</w:t>
      </w:r>
      <w:r>
        <w:rPr>
          <w:snapToGrid w:val="0"/>
        </w:rPr>
        <w:t>.</w:t>
      </w:r>
      <w:r>
        <w:rPr>
          <w:snapToGrid w:val="0"/>
        </w:rPr>
        <w:tab/>
        <w:t>Mode of dealing with nuisances</w:t>
      </w:r>
      <w:bookmarkEnd w:id="434"/>
      <w:bookmarkEnd w:id="435"/>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 xml:space="preserve">On the report of any </w:t>
      </w:r>
      <w:r>
        <w:t>authorised officer</w:t>
      </w:r>
      <w:r>
        <w:rPr>
          <w:snapToGrid w:val="0"/>
        </w:rPr>
        <w:t xml:space="preserve"> or other person that the nuisance exists on any premises, the local government may, and, if the </w:t>
      </w:r>
      <w:r>
        <w:t>Chief Health Officer</w:t>
      </w:r>
      <w:r>
        <w:rPr>
          <w:snapToGrid w:val="0"/>
        </w:rPr>
        <w:t xml:space="preserve"> so requires, shall, by requisition to the owner and occupier of the premises, require them to abate the nuisance in the manner and within the time specified in the requisition.</w:t>
      </w:r>
    </w:p>
    <w:p>
      <w:pPr>
        <w:pStyle w:val="Indenta"/>
        <w:keepNext/>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ind w:left="890" w:hanging="890"/>
      </w:pPr>
      <w:r>
        <w:tab/>
        <w:t>[Section 184, formerly section 148, renumbered as section 184: No. 38 of 1933 s. 42; amended: No. 113 of 1965 s. 8(1); No. 24 of 1970 s. 12; No. 28 of 1984 s. 45; No. 80 of 1987 s. 49; No. 59 of 1991 s. 5; No. 14 of 1996 s. 4; No. 59 of 2004 s. 141; No. 19 of 2016 s. 99 and 100.]</w:t>
      </w:r>
    </w:p>
    <w:p>
      <w:pPr>
        <w:pStyle w:val="Heading5"/>
        <w:rPr>
          <w:snapToGrid w:val="0"/>
        </w:rPr>
      </w:pPr>
      <w:bookmarkStart w:id="436" w:name="_Toc225765871"/>
      <w:bookmarkStart w:id="437" w:name="_Toc209710796"/>
      <w:r>
        <w:rPr>
          <w:rStyle w:val="CharSectno"/>
        </w:rPr>
        <w:t>185</w:t>
      </w:r>
      <w:r>
        <w:rPr>
          <w:snapToGrid w:val="0"/>
        </w:rPr>
        <w:t>.</w:t>
      </w:r>
      <w:r>
        <w:rPr>
          <w:snapToGrid w:val="0"/>
        </w:rPr>
        <w:tab/>
        <w:t>Proceedings when nuisance caused by default outside district</w:t>
      </w:r>
      <w:bookmarkEnd w:id="436"/>
      <w:bookmarkEnd w:id="437"/>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formerly section 149, renumbered as section 185: No. 38 of 1933 s. 42; amended: No. 14 of 1996 s. 4.]</w:t>
      </w:r>
    </w:p>
    <w:p>
      <w:pPr>
        <w:pStyle w:val="Heading3"/>
        <w:rPr>
          <w:snapToGrid w:val="0"/>
        </w:rPr>
      </w:pPr>
      <w:bookmarkStart w:id="438" w:name="_Toc225760845"/>
      <w:bookmarkStart w:id="439" w:name="_Toc225761177"/>
      <w:bookmarkStart w:id="440" w:name="_Toc225765872"/>
      <w:bookmarkStart w:id="441" w:name="_Toc209701321"/>
      <w:bookmarkStart w:id="442" w:name="_Toc209702939"/>
      <w:bookmarkStart w:id="443" w:name="_Toc209703271"/>
      <w:bookmarkStart w:id="444" w:name="_Toc209710797"/>
      <w:r>
        <w:rPr>
          <w:rStyle w:val="CharDivNo"/>
        </w:rPr>
        <w:t>Division 2</w:t>
      </w:r>
      <w:r>
        <w:rPr>
          <w:snapToGrid w:val="0"/>
        </w:rPr>
        <w:t> — </w:t>
      </w:r>
      <w:r>
        <w:rPr>
          <w:rStyle w:val="CharDivText"/>
        </w:rPr>
        <w:t>Offensive trades</w:t>
      </w:r>
      <w:bookmarkEnd w:id="438"/>
      <w:bookmarkEnd w:id="439"/>
      <w:bookmarkEnd w:id="440"/>
      <w:bookmarkEnd w:id="441"/>
      <w:bookmarkEnd w:id="442"/>
      <w:bookmarkEnd w:id="443"/>
      <w:bookmarkEnd w:id="444"/>
    </w:p>
    <w:p>
      <w:pPr>
        <w:pStyle w:val="Heading5"/>
        <w:rPr>
          <w:snapToGrid w:val="0"/>
        </w:rPr>
      </w:pPr>
      <w:bookmarkStart w:id="445" w:name="_Toc225765873"/>
      <w:bookmarkStart w:id="446" w:name="_Toc209710798"/>
      <w:r>
        <w:rPr>
          <w:rStyle w:val="CharSectno"/>
        </w:rPr>
        <w:t>186</w:t>
      </w:r>
      <w:r>
        <w:rPr>
          <w:snapToGrid w:val="0"/>
        </w:rPr>
        <w:t>.</w:t>
      </w:r>
      <w:r>
        <w:rPr>
          <w:snapToGrid w:val="0"/>
        </w:rPr>
        <w:tab/>
        <w:t>Term used: offensive trade</w:t>
      </w:r>
      <w:bookmarkEnd w:id="445"/>
      <w:bookmarkEnd w:id="446"/>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keepNext/>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spacing w:before="200"/>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spacing w:before="160"/>
        <w:ind w:left="890" w:hanging="890"/>
      </w:pPr>
      <w:r>
        <w:tab/>
        <w:t>[Section 186, formerly section 150, renumbered as section 186: No. 38 of 1933 s. 42; amended: No. 35 of 1966 s. 5; No. 26 of 1985 s. 6.]</w:t>
      </w:r>
    </w:p>
    <w:p>
      <w:pPr>
        <w:pStyle w:val="Heading5"/>
        <w:spacing w:before="240"/>
        <w:rPr>
          <w:snapToGrid w:val="0"/>
        </w:rPr>
      </w:pPr>
      <w:bookmarkStart w:id="447" w:name="_Toc225765874"/>
      <w:bookmarkStart w:id="448" w:name="_Toc209710799"/>
      <w:r>
        <w:rPr>
          <w:rStyle w:val="CharSectno"/>
        </w:rPr>
        <w:t>187</w:t>
      </w:r>
      <w:r>
        <w:rPr>
          <w:snapToGrid w:val="0"/>
        </w:rPr>
        <w:t>.</w:t>
      </w:r>
      <w:r>
        <w:rPr>
          <w:snapToGrid w:val="0"/>
        </w:rPr>
        <w:tab/>
        <w:t>Consent necessary for establishing offensive trade</w:t>
      </w:r>
      <w:bookmarkEnd w:id="447"/>
      <w:bookmarkEnd w:id="448"/>
    </w:p>
    <w:p>
      <w:pPr>
        <w:pStyle w:val="Subsection"/>
        <w:spacing w:before="200"/>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spacing w:before="200"/>
      </w:pPr>
      <w:r>
        <w:tab/>
        <w:t>[(2)</w:t>
      </w:r>
      <w:r>
        <w:tab/>
        <w:t>deleted]</w:t>
      </w:r>
    </w:p>
    <w:p>
      <w:pPr>
        <w:pStyle w:val="Subsection"/>
        <w:keepNext/>
        <w:spacing w:before="200"/>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spacing w:before="160"/>
        <w:ind w:left="890" w:hanging="890"/>
        <w:rPr>
          <w:spacing w:val="-4"/>
        </w:rPr>
      </w:pPr>
      <w:r>
        <w:rPr>
          <w:spacing w:val="-4"/>
        </w:rPr>
        <w:tab/>
        <w:t>[Section 187</w:t>
      </w:r>
      <w:r>
        <w:t xml:space="preserve">, formerly section 151, renumbered as section 187: No. 38 of 1933 s. 42; </w:t>
      </w:r>
      <w:r>
        <w:rPr>
          <w:spacing w:val="-4"/>
        </w:rPr>
        <w:t>amended: No. 28 of 1984 s. 45; No. 14 of 1996 s. 4; No. 55 of 2004 s. 486.]</w:t>
      </w:r>
    </w:p>
    <w:p>
      <w:pPr>
        <w:pStyle w:val="Heading5"/>
        <w:spacing w:before="240"/>
        <w:rPr>
          <w:snapToGrid w:val="0"/>
        </w:rPr>
      </w:pPr>
      <w:bookmarkStart w:id="449" w:name="_Toc225765875"/>
      <w:bookmarkStart w:id="450" w:name="_Toc209710800"/>
      <w:r>
        <w:rPr>
          <w:rStyle w:val="CharSectno"/>
        </w:rPr>
        <w:t>188</w:t>
      </w:r>
      <w:r>
        <w:rPr>
          <w:snapToGrid w:val="0"/>
        </w:rPr>
        <w:t>.</w:t>
      </w:r>
      <w:r>
        <w:rPr>
          <w:snapToGrid w:val="0"/>
        </w:rPr>
        <w:tab/>
        <w:t>Penalty for breach</w:t>
      </w:r>
      <w:bookmarkEnd w:id="449"/>
      <w:bookmarkEnd w:id="450"/>
    </w:p>
    <w:p>
      <w:pPr>
        <w:pStyle w:val="Subsection"/>
        <w:spacing w:before="200"/>
        <w:rPr>
          <w:snapToGrid w:val="0"/>
        </w:rPr>
      </w:pPr>
      <w:r>
        <w:rPr>
          <w:snapToGrid w:val="0"/>
        </w:rPr>
        <w:tab/>
      </w:r>
      <w:r>
        <w:rPr>
          <w:snapToGrid w:val="0"/>
        </w:rPr>
        <w:tab/>
        <w:t>Every person who establishes an offensive trade in breach of this Act commits an offence.</w:t>
      </w:r>
    </w:p>
    <w:p>
      <w:pPr>
        <w:pStyle w:val="Footnotesection"/>
        <w:spacing w:before="160"/>
        <w:ind w:left="890" w:hanging="890"/>
      </w:pPr>
      <w:r>
        <w:tab/>
        <w:t>[Section 188, formerly section 152, renumbered as section 188: No. 38 of 1933 s. 42; amended: No. 113 of 1965 s. 8(1); No. 80 of 1987 s. 50.]</w:t>
      </w:r>
    </w:p>
    <w:p>
      <w:pPr>
        <w:pStyle w:val="Heading5"/>
        <w:spacing w:before="0"/>
        <w:rPr>
          <w:snapToGrid w:val="0"/>
        </w:rPr>
      </w:pPr>
      <w:bookmarkStart w:id="451" w:name="_Toc225765876"/>
      <w:bookmarkStart w:id="452" w:name="_Toc209710801"/>
      <w:r>
        <w:rPr>
          <w:rStyle w:val="CharSectno"/>
        </w:rPr>
        <w:t>189</w:t>
      </w:r>
      <w:r>
        <w:rPr>
          <w:snapToGrid w:val="0"/>
        </w:rPr>
        <w:t>.</w:t>
      </w:r>
      <w:r>
        <w:rPr>
          <w:snapToGrid w:val="0"/>
        </w:rPr>
        <w:tab/>
        <w:t>Penalty for illegally carrying on offensive trade</w:t>
      </w:r>
      <w:bookmarkEnd w:id="451"/>
      <w:bookmarkEnd w:id="452"/>
    </w:p>
    <w:p>
      <w:pPr>
        <w:pStyle w:val="Subsection"/>
        <w:keepNext/>
        <w:spacing w:before="200"/>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spacing w:before="80"/>
        <w:ind w:left="890" w:hanging="890"/>
      </w:pPr>
      <w:r>
        <w:tab/>
        <w:t>[Section 189, formerly section 153, renumbered as section 189: No. 38 of 1933 s. 42; amended: No. 113 of 1965 s. 8(1); No. 80 of 1987 s. 51.]</w:t>
      </w:r>
    </w:p>
    <w:p>
      <w:pPr>
        <w:pStyle w:val="Heading5"/>
        <w:rPr>
          <w:snapToGrid w:val="0"/>
        </w:rPr>
      </w:pPr>
      <w:bookmarkStart w:id="453" w:name="_Toc225765877"/>
      <w:bookmarkStart w:id="454" w:name="_Toc209710802"/>
      <w:r>
        <w:rPr>
          <w:rStyle w:val="CharSectno"/>
        </w:rPr>
        <w:t>190</w:t>
      </w:r>
      <w:r>
        <w:rPr>
          <w:snapToGrid w:val="0"/>
        </w:rPr>
        <w:t>.</w:t>
      </w:r>
      <w:r>
        <w:rPr>
          <w:snapToGrid w:val="0"/>
        </w:rPr>
        <w:tab/>
        <w:t>Local laws regulating offensive trades</w:t>
      </w:r>
      <w:bookmarkEnd w:id="453"/>
      <w:bookmarkEnd w:id="454"/>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No. 14 of 1996 s. 4.]</w:t>
      </w:r>
    </w:p>
    <w:p>
      <w:pPr>
        <w:pStyle w:val="Heading5"/>
        <w:rPr>
          <w:snapToGrid w:val="0"/>
        </w:rPr>
      </w:pPr>
      <w:bookmarkStart w:id="455" w:name="_Toc225765878"/>
      <w:bookmarkStart w:id="456" w:name="_Toc209710803"/>
      <w:r>
        <w:rPr>
          <w:rStyle w:val="CharSectno"/>
        </w:rPr>
        <w:t>191</w:t>
      </w:r>
      <w:r>
        <w:rPr>
          <w:snapToGrid w:val="0"/>
        </w:rPr>
        <w:t>.</w:t>
      </w:r>
      <w:r>
        <w:rPr>
          <w:snapToGrid w:val="0"/>
        </w:rPr>
        <w:tab/>
        <w:t>Offensive trades to be registered</w:t>
      </w:r>
      <w:bookmarkEnd w:id="455"/>
      <w:bookmarkEnd w:id="456"/>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formerly section 155, renumbered as section 191: No. 38 of 1933 s. 42; amended: No. 25 of 1952 s. 5; No. 113 of 1965 s. 8(1); No. 2 of 1975 s. 7; No. 59 of 1991 s. 25; No. 14 of 1996 s. 4.]</w:t>
      </w:r>
    </w:p>
    <w:p>
      <w:pPr>
        <w:pStyle w:val="Heading5"/>
        <w:rPr>
          <w:snapToGrid w:val="0"/>
        </w:rPr>
      </w:pPr>
      <w:bookmarkStart w:id="457" w:name="_Toc225765879"/>
      <w:bookmarkStart w:id="458" w:name="_Toc209710804"/>
      <w:r>
        <w:rPr>
          <w:rStyle w:val="CharSectno"/>
        </w:rPr>
        <w:t>192</w:t>
      </w:r>
      <w:r>
        <w:rPr>
          <w:snapToGrid w:val="0"/>
        </w:rPr>
        <w:t>.</w:t>
      </w:r>
      <w:r>
        <w:rPr>
          <w:snapToGrid w:val="0"/>
        </w:rPr>
        <w:tab/>
        <w:t>Local government may refuse to register or to renew registration</w:t>
      </w:r>
      <w:bookmarkEnd w:id="457"/>
      <w:bookmarkEnd w:id="458"/>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formerly section 156, renumbered as section 192: No. 38 of 1933 s. 42; amended: No. 28 of 1984 s. 45; No. 14 of 1996 s. 4; No. 55 of 2004 s. 487.]</w:t>
      </w:r>
    </w:p>
    <w:p>
      <w:pPr>
        <w:pStyle w:val="Heading5"/>
        <w:rPr>
          <w:snapToGrid w:val="0"/>
        </w:rPr>
      </w:pPr>
      <w:bookmarkStart w:id="459" w:name="_Toc225765880"/>
      <w:bookmarkStart w:id="460" w:name="_Toc209710805"/>
      <w:r>
        <w:rPr>
          <w:rStyle w:val="CharSectno"/>
        </w:rPr>
        <w:t>193</w:t>
      </w:r>
      <w:r>
        <w:rPr>
          <w:snapToGrid w:val="0"/>
        </w:rPr>
        <w:t>.</w:t>
      </w:r>
      <w:r>
        <w:rPr>
          <w:snapToGrid w:val="0"/>
        </w:rPr>
        <w:tab/>
        <w:t>Power to restrict offensive trades to certain portions of proclaimed areas</w:t>
      </w:r>
      <w:bookmarkEnd w:id="459"/>
      <w:bookmarkEnd w:id="460"/>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keepNext/>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as section 156a: No. 17 of 1918 s. 18; renumbered as section 193: No. 38 of 1933 s. 42; amended: No. 80 of 1987 s. 52.]</w:t>
      </w:r>
    </w:p>
    <w:p>
      <w:pPr>
        <w:pStyle w:val="Heading5"/>
        <w:rPr>
          <w:snapToGrid w:val="0"/>
        </w:rPr>
      </w:pPr>
      <w:bookmarkStart w:id="461" w:name="_Toc225765881"/>
      <w:bookmarkStart w:id="462" w:name="_Toc209710806"/>
      <w:r>
        <w:rPr>
          <w:rStyle w:val="CharSectno"/>
        </w:rPr>
        <w:t>194</w:t>
      </w:r>
      <w:r>
        <w:rPr>
          <w:snapToGrid w:val="0"/>
        </w:rPr>
        <w:t>.</w:t>
      </w:r>
      <w:r>
        <w:rPr>
          <w:snapToGrid w:val="0"/>
        </w:rPr>
        <w:tab/>
        <w:t>Offensive trades</w:t>
      </w:r>
      <w:bookmarkEnd w:id="461"/>
      <w:bookmarkEnd w:id="462"/>
    </w:p>
    <w:p>
      <w:pPr>
        <w:pStyle w:val="Subsection"/>
        <w:rPr>
          <w:snapToGrid w:val="0"/>
        </w:rPr>
      </w:pPr>
      <w:r>
        <w:rPr>
          <w:snapToGrid w:val="0"/>
        </w:rPr>
        <w:tab/>
      </w:r>
      <w:r>
        <w:rPr>
          <w:snapToGrid w:val="0"/>
        </w:rPr>
        <w:tab/>
        <w:t xml:space="preserve">Where any trade process, whether an offensive trade or not, has been established in any district, and is of such a nature that the carrying on thereof will unavoidably result in fumes, dust, vapour, gas, or other chemical elements which, in the opinion of the </w:t>
      </w:r>
      <w:r>
        <w:t>Chief Health Officer</w:t>
      </w:r>
      <w:r>
        <w:rPr>
          <w:snapToGrid w:val="0"/>
        </w:rPr>
        <w:t xml:space="preserve">, are likely to be injurious to health, escaping into the air, the Governor may, on the recommendation of the </w:t>
      </w:r>
      <w:r>
        <w:t>Chief Health Officer</w:t>
      </w:r>
      <w:r>
        <w:rPr>
          <w:snapToGrid w:val="0"/>
        </w:rPr>
        <w:t>,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keepNext/>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 xml:space="preserve">houses shall not be erected or used, the </w:t>
      </w:r>
      <w:r>
        <w:t>Chief Health Officer</w:t>
      </w:r>
      <w:r>
        <w:rPr>
          <w:snapToGrid w:val="0"/>
        </w:rPr>
        <w:t xml:space="preserve"> may, notwithstanding the proclamation, grant a permit in writing signed by him to any person to use such dwelling</w:t>
      </w:r>
      <w:r>
        <w:rPr>
          <w:snapToGrid w:val="0"/>
        </w:rPr>
        <w:noBreakHyphen/>
        <w:t xml:space="preserve">house for purposes of habitation, upon and subject to such conditions as the </w:t>
      </w:r>
      <w:r>
        <w:t>Chief Health Officer</w:t>
      </w:r>
      <w:r>
        <w:rPr>
          <w:snapToGrid w:val="0"/>
        </w:rPr>
        <w:t xml:space="preserve"> may deem fit to impose and which are specified in the permit so granted.</w:t>
      </w:r>
    </w:p>
    <w:p>
      <w:pPr>
        <w:pStyle w:val="Footnotesection"/>
        <w:ind w:left="890" w:hanging="890"/>
      </w:pPr>
      <w:r>
        <w:tab/>
        <w:t>[Section 194 inserted as section 158A: No. 30 of 1932 s. 26; renumbered as section 194: No. 38 of 1933 s. 42; amended: No. 28 of 1984 s. 45; No. 19 of 2016 s. 100.]</w:t>
      </w:r>
    </w:p>
    <w:p>
      <w:pPr>
        <w:pStyle w:val="Heading5"/>
        <w:rPr>
          <w:snapToGrid w:val="0"/>
        </w:rPr>
      </w:pPr>
      <w:bookmarkStart w:id="463" w:name="_Toc225765882"/>
      <w:bookmarkStart w:id="464" w:name="_Toc209710807"/>
      <w:r>
        <w:rPr>
          <w:rStyle w:val="CharSectno"/>
        </w:rPr>
        <w:t>195</w:t>
      </w:r>
      <w:r>
        <w:rPr>
          <w:snapToGrid w:val="0"/>
        </w:rPr>
        <w:t>.</w:t>
      </w:r>
      <w:r>
        <w:rPr>
          <w:snapToGrid w:val="0"/>
        </w:rPr>
        <w:tab/>
        <w:t>Construction, drainage and equipment of slaughter</w:t>
      </w:r>
      <w:r>
        <w:rPr>
          <w:snapToGrid w:val="0"/>
        </w:rPr>
        <w:noBreakHyphen/>
        <w:t>houses</w:t>
      </w:r>
      <w:bookmarkEnd w:id="463"/>
      <w:bookmarkEnd w:id="464"/>
    </w:p>
    <w:p>
      <w:pPr>
        <w:pStyle w:val="Subsection"/>
        <w:spacing w:before="200"/>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No. 52 of 1968 s. 5; amended: No. 80 of 1987 s. 53.]</w:t>
      </w:r>
    </w:p>
    <w:p>
      <w:pPr>
        <w:pStyle w:val="Heading5"/>
        <w:rPr>
          <w:snapToGrid w:val="0"/>
        </w:rPr>
      </w:pPr>
      <w:bookmarkStart w:id="465" w:name="_Toc225765883"/>
      <w:bookmarkStart w:id="466" w:name="_Toc209710808"/>
      <w:r>
        <w:rPr>
          <w:rStyle w:val="CharSectno"/>
        </w:rPr>
        <w:t>196</w:t>
      </w:r>
      <w:r>
        <w:rPr>
          <w:snapToGrid w:val="0"/>
        </w:rPr>
        <w:t>.</w:t>
      </w:r>
      <w:r>
        <w:rPr>
          <w:snapToGrid w:val="0"/>
        </w:rPr>
        <w:tab/>
        <w:t>Slaughter</w:t>
      </w:r>
      <w:r>
        <w:rPr>
          <w:snapToGrid w:val="0"/>
        </w:rPr>
        <w:noBreakHyphen/>
        <w:t>houses to be kept in accordance with Act</w:t>
      </w:r>
      <w:bookmarkEnd w:id="465"/>
      <w:bookmarkEnd w:id="466"/>
    </w:p>
    <w:p>
      <w:pPr>
        <w:pStyle w:val="Subsection"/>
        <w:spacing w:before="200"/>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spacing w:before="200"/>
        <w:rPr>
          <w:snapToGrid w:val="0"/>
        </w:rPr>
      </w:pPr>
      <w:r>
        <w:rPr>
          <w:snapToGrid w:val="0"/>
        </w:rPr>
        <w:tab/>
        <w:t>(2)</w:t>
      </w:r>
      <w:r>
        <w:rPr>
          <w:snapToGrid w:val="0"/>
        </w:rPr>
        <w:tab/>
        <w:t>Whenever any owner or occupier fails to comply with a notice served upon him under subsection (1), he commits an offence.</w:t>
      </w:r>
    </w:p>
    <w:p>
      <w:pPr>
        <w:pStyle w:val="Subsection"/>
        <w:spacing w:before="200"/>
        <w:rPr>
          <w:snapToGrid w:val="0"/>
        </w:rPr>
      </w:pPr>
      <w:r>
        <w:rPr>
          <w:snapToGrid w:val="0"/>
        </w:rPr>
        <w:tab/>
        <w:t>(3)</w:t>
      </w:r>
      <w:r>
        <w:rPr>
          <w:snapToGrid w:val="0"/>
        </w:rPr>
        <w:tab/>
        <w:t xml:space="preserve">The local government may, and shall if the </w:t>
      </w:r>
      <w:r>
        <w:t>Chief Health Officer</w:t>
      </w:r>
      <w:r>
        <w:rPr>
          <w:snapToGrid w:val="0"/>
        </w:rPr>
        <w:t xml:space="preserve"> so requires, carry out the requirements of such notice; and may, by summary proceedings, recover all expenses incurred from the owner or occupier in addition to the penalties incurred; or</w:t>
      </w:r>
    </w:p>
    <w:p>
      <w:pPr>
        <w:pStyle w:val="Subsection"/>
        <w:spacing w:before="200"/>
        <w:rPr>
          <w:snapToGrid w:val="0"/>
        </w:rPr>
      </w:pPr>
      <w:r>
        <w:rPr>
          <w:snapToGrid w:val="0"/>
        </w:rPr>
        <w:tab/>
        <w:t>(4)</w:t>
      </w:r>
      <w:r>
        <w:rPr>
          <w:snapToGrid w:val="0"/>
        </w:rPr>
        <w:tab/>
        <w:t xml:space="preserve">The local government may, and shall if the </w:t>
      </w:r>
      <w:r>
        <w:t>Chief Health Officer</w:t>
      </w:r>
      <w:r>
        <w:rPr>
          <w:snapToGrid w:val="0"/>
        </w:rPr>
        <w:t xml:space="preserve"> so recommends, cancel or refuse to renew the registration of the premises.</w:t>
      </w:r>
    </w:p>
    <w:p>
      <w:pPr>
        <w:pStyle w:val="Footnotesection"/>
        <w:rPr>
          <w:szCs w:val="24"/>
        </w:rPr>
      </w:pPr>
      <w:r>
        <w:tab/>
      </w:r>
      <w:r>
        <w:rPr>
          <w:szCs w:val="24"/>
        </w:rPr>
        <w:t xml:space="preserve">[Section 196, formerly section 158, renumbered as section 196: No 38 of 1933 s. 42; amended: No. 113 of 1965 s. 8(1); No. 28 of 1984 s. 45; No. 80 of 1987 s. 54; No. 14 of 1996 s. 4; </w:t>
      </w:r>
      <w:r>
        <w:t>No. 19 of 2016 s. 100</w:t>
      </w:r>
      <w:r>
        <w:rPr>
          <w:szCs w:val="24"/>
        </w:rPr>
        <w:t>.]</w:t>
      </w:r>
    </w:p>
    <w:p>
      <w:pPr>
        <w:pStyle w:val="Heading5"/>
      </w:pPr>
      <w:bookmarkStart w:id="467" w:name="_Toc225765884"/>
      <w:bookmarkStart w:id="468" w:name="_Toc209710809"/>
      <w:r>
        <w:rPr>
          <w:rStyle w:val="CharSectno"/>
        </w:rPr>
        <w:t>197</w:t>
      </w:r>
      <w:r>
        <w:t>.</w:t>
      </w:r>
      <w:r>
        <w:tab/>
        <w:t>No swine, dog or poultry to be kept at slaughter</w:t>
      </w:r>
      <w:r>
        <w:noBreakHyphen/>
        <w:t>house</w:t>
      </w:r>
      <w:bookmarkEnd w:id="467"/>
      <w:bookmarkEnd w:id="468"/>
    </w:p>
    <w:p>
      <w:pPr>
        <w:pStyle w:val="Subsection"/>
        <w:keepNext/>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Footnotesection"/>
        <w:spacing w:before="100"/>
        <w:ind w:left="890" w:hanging="890"/>
      </w:pPr>
      <w:r>
        <w:rPr>
          <w:szCs w:val="24"/>
        </w:rPr>
        <w:tab/>
        <w:t>[Section 197, formerly section 159, renumbered as section 197: No 38 of 1933 s. 42.]</w:t>
      </w:r>
    </w:p>
    <w:p>
      <w:pPr>
        <w:pStyle w:val="Heading5"/>
        <w:spacing w:before="180"/>
        <w:rPr>
          <w:snapToGrid w:val="0"/>
        </w:rPr>
      </w:pPr>
      <w:bookmarkStart w:id="469" w:name="_Toc225765885"/>
      <w:bookmarkStart w:id="470" w:name="_Toc209710810"/>
      <w:r>
        <w:rPr>
          <w:rStyle w:val="CharSectno"/>
        </w:rPr>
        <w:t>198</w:t>
      </w:r>
      <w:r>
        <w:rPr>
          <w:snapToGrid w:val="0"/>
        </w:rPr>
        <w:t>.</w:t>
      </w:r>
      <w:r>
        <w:rPr>
          <w:snapToGrid w:val="0"/>
        </w:rPr>
        <w:tab/>
        <w:t>Swine not to be fed on raw offal etc.</w:t>
      </w:r>
      <w:bookmarkEnd w:id="469"/>
      <w:bookmarkEnd w:id="470"/>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spacing w:before="60"/>
        <w:ind w:left="890" w:hanging="890"/>
      </w:pPr>
      <w:r>
        <w:tab/>
        <w:t>[Section 198</w:t>
      </w:r>
      <w:r>
        <w:rPr>
          <w:szCs w:val="24"/>
        </w:rPr>
        <w:t>, formerly section 160, renumbered as section 198: No 38 of 1933 s. 42;</w:t>
      </w:r>
      <w:r>
        <w:t xml:space="preserve"> amended: No. 29 of 1955 s. 3.]</w:t>
      </w:r>
    </w:p>
    <w:p>
      <w:pPr>
        <w:pStyle w:val="Heading3"/>
        <w:spacing w:before="260"/>
        <w:rPr>
          <w:snapToGrid w:val="0"/>
        </w:rPr>
      </w:pPr>
      <w:bookmarkStart w:id="471" w:name="_Toc225760859"/>
      <w:bookmarkStart w:id="472" w:name="_Toc225761191"/>
      <w:bookmarkStart w:id="473" w:name="_Toc225765886"/>
      <w:bookmarkStart w:id="474" w:name="_Toc209701335"/>
      <w:bookmarkStart w:id="475" w:name="_Toc209702953"/>
      <w:bookmarkStart w:id="476" w:name="_Toc209703285"/>
      <w:bookmarkStart w:id="477" w:name="_Toc209710811"/>
      <w:r>
        <w:rPr>
          <w:rStyle w:val="CharDivNo"/>
        </w:rPr>
        <w:t>Division 3</w:t>
      </w:r>
      <w:r>
        <w:rPr>
          <w:snapToGrid w:val="0"/>
        </w:rPr>
        <w:t> — </w:t>
      </w:r>
      <w:r>
        <w:rPr>
          <w:rStyle w:val="CharDivText"/>
        </w:rPr>
        <w:t>Local laws</w:t>
      </w:r>
      <w:bookmarkEnd w:id="471"/>
      <w:bookmarkEnd w:id="472"/>
      <w:bookmarkEnd w:id="473"/>
      <w:bookmarkEnd w:id="474"/>
      <w:bookmarkEnd w:id="475"/>
      <w:bookmarkEnd w:id="476"/>
      <w:bookmarkEnd w:id="477"/>
    </w:p>
    <w:p>
      <w:pPr>
        <w:pStyle w:val="Footnoteheading"/>
        <w:ind w:left="890" w:hanging="890"/>
        <w:rPr>
          <w:snapToGrid w:val="0"/>
        </w:rPr>
      </w:pPr>
      <w:r>
        <w:rPr>
          <w:snapToGrid w:val="0"/>
        </w:rPr>
        <w:tab/>
        <w:t>[Heading amended: No. 14 of 1996 s. 4.]</w:t>
      </w:r>
    </w:p>
    <w:p>
      <w:pPr>
        <w:pStyle w:val="Heading5"/>
        <w:rPr>
          <w:snapToGrid w:val="0"/>
        </w:rPr>
      </w:pPr>
      <w:bookmarkStart w:id="478" w:name="_Toc225765887"/>
      <w:bookmarkStart w:id="479" w:name="_Toc209710812"/>
      <w:r>
        <w:rPr>
          <w:rStyle w:val="CharSectno"/>
        </w:rPr>
        <w:t>199</w:t>
      </w:r>
      <w:r>
        <w:rPr>
          <w:snapToGrid w:val="0"/>
        </w:rPr>
        <w:t>.</w:t>
      </w:r>
      <w:r>
        <w:rPr>
          <w:snapToGrid w:val="0"/>
        </w:rPr>
        <w:tab/>
        <w:t>Local laws in respect of nuisances and offensive trades</w:t>
      </w:r>
      <w:bookmarkEnd w:id="478"/>
      <w:bookmarkEnd w:id="479"/>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 xml:space="preserve">house, public house or public place, but so that no prosecution for a breach of any local law made under this paragraph shall be instituted except by an </w:t>
      </w:r>
      <w:r>
        <w:t>authorised officer</w:t>
      </w:r>
      <w:r>
        <w:rPr>
          <w:snapToGrid w:val="0"/>
        </w:rPr>
        <w:t>.</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r>
        <w:tab/>
        <w:t>[Section 199, formerly section 161, amended: No. 3 of 1912 s. 2; No. 30 of 1932 s. 27; renumbered as section 199: No. 38 of 1933 s. 42; amended: No. 22 of 1948 s. 3; No. 25 of 1952 s. 6; No. 29 of 1955 s. 4; No. 18 of 1964 s. 18; No. 24 of 1970 s. 12; No. 28 of 1984 s. 45; No. 59 of 1991 s. 5; No. 88 of 1994 s. 100; No. 14 of 1996 s. 4; No. 28 of 1996 s. 21; No. 84 of 2004 s. 80; No. 43 of 2008 s. 147(6); No. 19 of 2016 s. 99.]</w:t>
      </w:r>
    </w:p>
    <w:p>
      <w:pPr>
        <w:pStyle w:val="Heading5"/>
        <w:rPr>
          <w:snapToGrid w:val="0"/>
        </w:rPr>
      </w:pPr>
      <w:bookmarkStart w:id="480" w:name="_Toc225765888"/>
      <w:bookmarkStart w:id="481" w:name="_Toc209710813"/>
      <w:r>
        <w:rPr>
          <w:rStyle w:val="CharSectno"/>
        </w:rPr>
        <w:t>200</w:t>
      </w:r>
      <w:r>
        <w:rPr>
          <w:snapToGrid w:val="0"/>
        </w:rPr>
        <w:t>.</w:t>
      </w:r>
      <w:r>
        <w:rPr>
          <w:snapToGrid w:val="0"/>
        </w:rPr>
        <w:tab/>
        <w:t>Regulations as to medical examinations for persons in prescribed industries</w:t>
      </w:r>
      <w:bookmarkEnd w:id="480"/>
      <w:bookmarkEnd w:id="481"/>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No. 71 of 1948 s. 6.]</w:t>
      </w:r>
    </w:p>
    <w:p>
      <w:pPr>
        <w:pStyle w:val="Heading2"/>
      </w:pPr>
      <w:bookmarkStart w:id="482" w:name="_Toc225760862"/>
      <w:bookmarkStart w:id="483" w:name="_Toc225761194"/>
      <w:bookmarkStart w:id="484" w:name="_Toc225765889"/>
      <w:bookmarkStart w:id="485" w:name="_Toc209701338"/>
      <w:bookmarkStart w:id="486" w:name="_Toc209702956"/>
      <w:bookmarkStart w:id="487" w:name="_Toc209703288"/>
      <w:bookmarkStart w:id="488" w:name="_Toc209710814"/>
      <w:r>
        <w:rPr>
          <w:rStyle w:val="CharPartNo"/>
        </w:rPr>
        <w:t>Part VIIA</w:t>
      </w:r>
      <w:r>
        <w:rPr>
          <w:b w:val="0"/>
        </w:rPr>
        <w:t> </w:t>
      </w:r>
      <w:r>
        <w:t>—</w:t>
      </w:r>
      <w:r>
        <w:rPr>
          <w:b w:val="0"/>
        </w:rPr>
        <w:t> </w:t>
      </w:r>
      <w:r>
        <w:rPr>
          <w:rStyle w:val="CharPartText"/>
        </w:rPr>
        <w:t>Pesticides</w:t>
      </w:r>
      <w:bookmarkEnd w:id="482"/>
      <w:bookmarkEnd w:id="483"/>
      <w:bookmarkEnd w:id="484"/>
      <w:bookmarkEnd w:id="485"/>
      <w:bookmarkEnd w:id="486"/>
      <w:bookmarkEnd w:id="487"/>
      <w:bookmarkEnd w:id="488"/>
    </w:p>
    <w:p>
      <w:pPr>
        <w:pStyle w:val="Footnoteheading"/>
        <w:spacing w:before="100"/>
        <w:ind w:left="890" w:hanging="890"/>
        <w:rPr>
          <w:snapToGrid w:val="0"/>
        </w:rPr>
      </w:pPr>
      <w:r>
        <w:rPr>
          <w:snapToGrid w:val="0"/>
        </w:rPr>
        <w:tab/>
        <w:t>[Heading inserted: No. 13 of 2014 s. 151.]</w:t>
      </w:r>
    </w:p>
    <w:p>
      <w:pPr>
        <w:pStyle w:val="Heading3"/>
      </w:pPr>
      <w:bookmarkStart w:id="489" w:name="_Toc225760863"/>
      <w:bookmarkStart w:id="490" w:name="_Toc225761195"/>
      <w:bookmarkStart w:id="491" w:name="_Toc225765890"/>
      <w:bookmarkStart w:id="492" w:name="_Toc209701339"/>
      <w:bookmarkStart w:id="493" w:name="_Toc209702957"/>
      <w:bookmarkStart w:id="494" w:name="_Toc209703289"/>
      <w:bookmarkStart w:id="495" w:name="_Toc209710815"/>
      <w:r>
        <w:rPr>
          <w:rStyle w:val="CharDivNo"/>
        </w:rPr>
        <w:t>Division 1</w:t>
      </w:r>
      <w:r>
        <w:t> — </w:t>
      </w:r>
      <w:r>
        <w:rPr>
          <w:rStyle w:val="CharDivText"/>
        </w:rPr>
        <w:t>Registration of analysts</w:t>
      </w:r>
      <w:bookmarkEnd w:id="489"/>
      <w:bookmarkEnd w:id="490"/>
      <w:bookmarkEnd w:id="491"/>
      <w:bookmarkEnd w:id="492"/>
      <w:bookmarkEnd w:id="493"/>
      <w:bookmarkEnd w:id="494"/>
      <w:bookmarkEnd w:id="495"/>
    </w:p>
    <w:p>
      <w:pPr>
        <w:pStyle w:val="Footnoteheading"/>
        <w:spacing w:before="100"/>
        <w:ind w:left="890" w:hanging="890"/>
        <w:rPr>
          <w:snapToGrid w:val="0"/>
        </w:rPr>
      </w:pPr>
      <w:r>
        <w:rPr>
          <w:snapToGrid w:val="0"/>
        </w:rPr>
        <w:tab/>
        <w:t>[Heading inserted: No. 13 of 2014 s. 152.]</w:t>
      </w:r>
    </w:p>
    <w:p>
      <w:pPr>
        <w:pStyle w:val="Ednotesection"/>
      </w:pPr>
      <w:r>
        <w:t>[</w:t>
      </w:r>
      <w:r>
        <w:rPr>
          <w:b/>
        </w:rPr>
        <w:t>201.</w:t>
      </w:r>
      <w:r>
        <w:tab/>
        <w:t>Deleted: No. 80 of 1987 s. 55.]</w:t>
      </w:r>
    </w:p>
    <w:p>
      <w:pPr>
        <w:pStyle w:val="Ednotesection"/>
      </w:pPr>
      <w:r>
        <w:t>[</w:t>
      </w:r>
      <w:r>
        <w:rPr>
          <w:b/>
        </w:rPr>
        <w:t>202.</w:t>
      </w:r>
      <w:r>
        <w:tab/>
        <w:t>Deleted: No. 13 of 2014 s. 153.]</w:t>
      </w:r>
    </w:p>
    <w:p>
      <w:pPr>
        <w:pStyle w:val="Heading5"/>
        <w:spacing w:before="240"/>
        <w:rPr>
          <w:snapToGrid w:val="0"/>
        </w:rPr>
      </w:pPr>
      <w:bookmarkStart w:id="496" w:name="_Toc225765891"/>
      <w:bookmarkStart w:id="497" w:name="_Toc209710816"/>
      <w:r>
        <w:rPr>
          <w:rStyle w:val="CharSectno"/>
        </w:rPr>
        <w:t>203</w:t>
      </w:r>
      <w:r>
        <w:rPr>
          <w:snapToGrid w:val="0"/>
        </w:rPr>
        <w:t>.</w:t>
      </w:r>
      <w:r>
        <w:rPr>
          <w:snapToGrid w:val="0"/>
        </w:rPr>
        <w:tab/>
        <w:t>Registration of analysts</w:t>
      </w:r>
      <w:bookmarkEnd w:id="496"/>
      <w:bookmarkEnd w:id="497"/>
    </w:p>
    <w:p>
      <w:pPr>
        <w:pStyle w:val="Subsection"/>
        <w:spacing w:before="180"/>
        <w:rPr>
          <w:snapToGrid w:val="0"/>
        </w:rPr>
      </w:pPr>
      <w:r>
        <w:rPr>
          <w:snapToGrid w:val="0"/>
        </w:rPr>
        <w:tab/>
        <w:t>(1)</w:t>
      </w:r>
      <w:r>
        <w:rPr>
          <w:snapToGrid w:val="0"/>
        </w:rPr>
        <w:tab/>
        <w:t xml:space="preserve">Subject to subsection (3), the </w:t>
      </w:r>
      <w:r>
        <w:t>Chief Health Officer</w:t>
      </w:r>
      <w:r>
        <w:rPr>
          <w:snapToGrid w:val="0"/>
        </w:rPr>
        <w:t xml:space="preserve">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pPr>
      <w:r>
        <w:tab/>
        <w:t>(i)</w:t>
      </w:r>
      <w:r>
        <w:tab/>
        <w:t xml:space="preserve">who is appointed as an analyst under the </w:t>
      </w:r>
      <w:r>
        <w:rPr>
          <w:i/>
        </w:rPr>
        <w:t>Health Legislation Administration Act 1984</w:t>
      </w:r>
      <w:r>
        <w:t xml:space="preserve"> section 6; or </w:t>
      </w:r>
    </w:p>
    <w:p>
      <w:pPr>
        <w:pStyle w:val="Indenti"/>
        <w:rPr>
          <w:snapToGrid w:val="0"/>
        </w:rPr>
      </w:pPr>
      <w:r>
        <w:rPr>
          <w:snapToGrid w:val="0"/>
        </w:rPr>
        <w:tab/>
        <w:t>(ii)</w:t>
      </w:r>
      <w:r>
        <w:rPr>
          <w:snapToGrid w:val="0"/>
        </w:rPr>
        <w:tab/>
        <w:t xml:space="preserve">who is a qualified person approved by the </w:t>
      </w:r>
      <w:r>
        <w:t xml:space="preserve">Chief Health Officer </w:t>
      </w:r>
      <w:r>
        <w:rPr>
          <w:snapToGrid w:val="0"/>
        </w:rPr>
        <w:t>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spacing w:before="180"/>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spacing w:before="180"/>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keepNext/>
        <w:rPr>
          <w:snapToGrid w:val="0"/>
        </w:rPr>
      </w:pPr>
      <w:r>
        <w:rPr>
          <w:snapToGrid w:val="0"/>
        </w:rPr>
        <w:tab/>
      </w:r>
      <w:r>
        <w:rPr>
          <w:snapToGrid w:val="0"/>
        </w:rPr>
        <w:tab/>
        <w:t>and every such notice shall have effect according to its tenor.</w:t>
      </w:r>
    </w:p>
    <w:p>
      <w:pPr>
        <w:pStyle w:val="Footnotesection"/>
      </w:pPr>
      <w:r>
        <w:tab/>
        <w:t>[Section 203 inserted: No. 26 of 1985 s. 7; amended: No. 80 of 1987 s. 56; No. 19 of 2016 s. 15.]</w:t>
      </w:r>
    </w:p>
    <w:p>
      <w:pPr>
        <w:pStyle w:val="Ednotedivision"/>
        <w:spacing w:before="200"/>
      </w:pPr>
      <w:r>
        <w:t>[Divisions 2, 2A, 3, 3A and 4 (s. 203A-220) deleted: No. 43 of 2008 s. 147(8).]</w:t>
      </w:r>
    </w:p>
    <w:p>
      <w:pPr>
        <w:pStyle w:val="Ednotedivision"/>
        <w:spacing w:before="200"/>
      </w:pPr>
      <w:r>
        <w:t>[Divisions 5, 6 and 7 (s. 221-245) deleted: No. 13 of 2014 s. 154.]</w:t>
      </w:r>
    </w:p>
    <w:p>
      <w:pPr>
        <w:pStyle w:val="Heading3"/>
        <w:rPr>
          <w:snapToGrid w:val="0"/>
        </w:rPr>
      </w:pPr>
      <w:bookmarkStart w:id="498" w:name="_Toc225760865"/>
      <w:bookmarkStart w:id="499" w:name="_Toc225761197"/>
      <w:bookmarkStart w:id="500" w:name="_Toc225765892"/>
      <w:bookmarkStart w:id="501" w:name="_Toc209701341"/>
      <w:bookmarkStart w:id="502" w:name="_Toc209702959"/>
      <w:bookmarkStart w:id="503" w:name="_Toc209703291"/>
      <w:bookmarkStart w:id="504" w:name="_Toc209710817"/>
      <w:r>
        <w:rPr>
          <w:rStyle w:val="CharDivNo"/>
        </w:rPr>
        <w:t>Division 8</w:t>
      </w:r>
      <w:r>
        <w:rPr>
          <w:snapToGrid w:val="0"/>
        </w:rPr>
        <w:t> — </w:t>
      </w:r>
      <w:r>
        <w:rPr>
          <w:rStyle w:val="CharDivText"/>
        </w:rPr>
        <w:t>Pesticides</w:t>
      </w:r>
      <w:bookmarkEnd w:id="498"/>
      <w:bookmarkEnd w:id="499"/>
      <w:bookmarkEnd w:id="500"/>
      <w:bookmarkEnd w:id="501"/>
      <w:bookmarkEnd w:id="502"/>
      <w:bookmarkEnd w:id="503"/>
      <w:bookmarkEnd w:id="504"/>
    </w:p>
    <w:p>
      <w:pPr>
        <w:pStyle w:val="Footnoteheading"/>
        <w:keepNext/>
        <w:ind w:left="890" w:hanging="890"/>
        <w:rPr>
          <w:snapToGrid w:val="0"/>
        </w:rPr>
      </w:pPr>
      <w:r>
        <w:rPr>
          <w:snapToGrid w:val="0"/>
        </w:rPr>
        <w:tab/>
        <w:t>[Heading inserted: No. 26 of 1985 s. 7.]</w:t>
      </w:r>
    </w:p>
    <w:p>
      <w:pPr>
        <w:pStyle w:val="Heading5"/>
        <w:rPr>
          <w:snapToGrid w:val="0"/>
        </w:rPr>
      </w:pPr>
      <w:bookmarkStart w:id="505" w:name="_Toc225765893"/>
      <w:bookmarkStart w:id="506" w:name="_Toc209710818"/>
      <w:r>
        <w:rPr>
          <w:rStyle w:val="CharSectno"/>
        </w:rPr>
        <w:t>246</w:t>
      </w:r>
      <w:r>
        <w:rPr>
          <w:snapToGrid w:val="0"/>
        </w:rPr>
        <w:t>.</w:t>
      </w:r>
      <w:r>
        <w:rPr>
          <w:snapToGrid w:val="0"/>
        </w:rPr>
        <w:tab/>
        <w:t>Term used: Pesticides Advisory Committee</w:t>
      </w:r>
      <w:bookmarkEnd w:id="505"/>
      <w:bookmarkEnd w:id="506"/>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Pesticides Advisory Committee</w:t>
      </w:r>
      <w:r>
        <w:t xml:space="preserve"> means the Pesticides Advisory Committee referred to in section 246B.</w:t>
      </w:r>
    </w:p>
    <w:p>
      <w:pPr>
        <w:pStyle w:val="Footnotesection"/>
      </w:pPr>
      <w:r>
        <w:tab/>
        <w:t>[Section 246 inserted: No. 26 of 1985 s. 7.]</w:t>
      </w:r>
    </w:p>
    <w:p>
      <w:pPr>
        <w:pStyle w:val="Heading5"/>
        <w:rPr>
          <w:snapToGrid w:val="0"/>
        </w:rPr>
      </w:pPr>
      <w:bookmarkStart w:id="507" w:name="_Toc225765894"/>
      <w:bookmarkStart w:id="508" w:name="_Toc209710819"/>
      <w:r>
        <w:rPr>
          <w:rStyle w:val="CharSectno"/>
        </w:rPr>
        <w:t>246A</w:t>
      </w:r>
      <w:r>
        <w:rPr>
          <w:snapToGrid w:val="0"/>
        </w:rPr>
        <w:t>.</w:t>
      </w:r>
      <w:r>
        <w:rPr>
          <w:snapToGrid w:val="0"/>
        </w:rPr>
        <w:tab/>
      </w:r>
      <w:r>
        <w:t>C</w:t>
      </w:r>
      <w:r>
        <w:rPr>
          <w:bCs/>
          <w:iCs/>
        </w:rPr>
        <w:t xml:space="preserve">rown bound, but </w:t>
      </w:r>
      <w:r>
        <w:rPr>
          <w:bCs/>
          <w:i/>
          <w:iCs/>
        </w:rPr>
        <w:t>Health Practitioner Regulation National Law (Western Australia)</w:t>
      </w:r>
      <w:r>
        <w:rPr>
          <w:bCs/>
          <w:iCs/>
        </w:rPr>
        <w:t xml:space="preserve"> and </w:t>
      </w:r>
      <w:r>
        <w:rPr>
          <w:i/>
          <w:snapToGrid w:val="0"/>
        </w:rPr>
        <w:t xml:space="preserve">Medicines and Poisons Act 2014 </w:t>
      </w:r>
      <w:r>
        <w:rPr>
          <w:bCs/>
          <w:iCs/>
        </w:rPr>
        <w:t>not affected by Division 8</w:t>
      </w:r>
      <w:bookmarkEnd w:id="507"/>
      <w:bookmarkEnd w:id="508"/>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(Western Australia)</w:t>
      </w:r>
      <w:r>
        <w:t xml:space="preserve"> </w:t>
      </w:r>
      <w:r>
        <w:rPr>
          <w:snapToGrid w:val="0"/>
        </w:rPr>
        <w:t xml:space="preserve">or the </w:t>
      </w:r>
      <w:r>
        <w:rPr>
          <w:i/>
          <w:snapToGrid w:val="0"/>
        </w:rPr>
        <w:t>Medicines and Poisons Act 2014</w:t>
      </w:r>
      <w:r>
        <w:t>.</w:t>
      </w:r>
    </w:p>
    <w:p>
      <w:pPr>
        <w:pStyle w:val="Footnotesection"/>
      </w:pPr>
      <w:r>
        <w:tab/>
        <w:t>[Section 246A inserted: No. 80 of 1987 s. 84; amended: No. 35 of 2010 s. 70; No. 13 of 2014 s. 155.]</w:t>
      </w:r>
    </w:p>
    <w:p>
      <w:pPr>
        <w:pStyle w:val="Heading5"/>
        <w:rPr>
          <w:snapToGrid w:val="0"/>
        </w:rPr>
      </w:pPr>
      <w:bookmarkStart w:id="509" w:name="_Toc225765895"/>
      <w:bookmarkStart w:id="510" w:name="_Toc209710820"/>
      <w:r>
        <w:rPr>
          <w:rStyle w:val="CharSectno"/>
        </w:rPr>
        <w:t>246B</w:t>
      </w:r>
      <w:r>
        <w:rPr>
          <w:snapToGrid w:val="0"/>
        </w:rPr>
        <w:t>.</w:t>
      </w:r>
      <w:r>
        <w:rPr>
          <w:snapToGrid w:val="0"/>
        </w:rPr>
        <w:tab/>
        <w:t>Pesticides Advisory Committee</w:t>
      </w:r>
      <w:bookmarkEnd w:id="509"/>
      <w:bookmarkEnd w:id="510"/>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appointed by the Minister under section 241C as section 241C existed immediately before that coming into operation is hereby preserved and continued in existence under this Act.</w:t>
      </w:r>
    </w:p>
    <w:p>
      <w:pPr>
        <w:pStyle w:val="Subsection"/>
        <w:keepNext/>
        <w:rPr>
          <w:snapToGrid w:val="0"/>
        </w:rPr>
      </w:pPr>
      <w:r>
        <w:rPr>
          <w:snapToGrid w:val="0"/>
        </w:rPr>
        <w:tab/>
        <w:t>(2)</w:t>
      </w:r>
      <w:r>
        <w:rPr>
          <w:snapToGrid w:val="0"/>
        </w:rPr>
        <w:tab/>
        <w:t>The Pesticides Advisory Committee shall consist of 6 members of whom —</w:t>
      </w:r>
    </w:p>
    <w:p>
      <w:pPr>
        <w:pStyle w:val="Indenta"/>
      </w:pPr>
      <w:r>
        <w:tab/>
        <w:t>(a)</w:t>
      </w:r>
      <w:r>
        <w:tab/>
        <w:t>one shall be the Chief Health Officer or a medical practitioner nominated by the Chief Health Officer; and</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 and</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 and</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 and</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w:t>
      </w:r>
      <w:r>
        <w:t xml:space="preserve">WHS department within the meaning of the </w:t>
      </w:r>
      <w:r>
        <w:rPr>
          <w:i/>
        </w:rPr>
        <w:t>Work Health and Safety Act 2020</w:t>
      </w:r>
      <w:r>
        <w:t>,</w:t>
      </w:r>
      <w:r>
        <w:rPr>
          <w:snapToGrid w:val="0"/>
        </w:rPr>
        <w:t xml:space="preserve">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w:t>
      </w:r>
      <w:r>
        <w:t>Chief Health Officer</w:t>
      </w:r>
      <w:r>
        <w:rPr>
          <w:snapToGrid w:val="0"/>
        </w:rPr>
        <w:t xml:space="preserve">, or the medical </w:t>
      </w:r>
      <w:r>
        <w:t>practitioner</w:t>
      </w:r>
      <w:r>
        <w:rPr>
          <w:snapToGrid w:val="0"/>
        </w:rPr>
        <w:t xml:space="preserve"> referred to in subsection (2)(a), as the case requires, shall be the Chairman of the Pesticides Advisory Committee (in this section </w:t>
      </w:r>
      <w:r>
        <w:t>called the</w:t>
      </w:r>
      <w:r>
        <w:rPr>
          <w:b/>
          <w:i/>
          <w:snapToGrid w:val="0"/>
        </w:rPr>
        <w:t xml:space="preserve"> </w:t>
      </w:r>
      <w:r>
        <w:rPr>
          <w:rStyle w:val="CharDefText"/>
        </w:rPr>
        <w:t>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spacing w:before="180"/>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spacing w:before="180"/>
        <w:rPr>
          <w:snapToGrid w:val="0"/>
        </w:rPr>
      </w:pPr>
      <w:r>
        <w:rPr>
          <w:snapToGrid w:val="0"/>
        </w:rPr>
        <w:tab/>
        <w:t>(8)</w:t>
      </w:r>
      <w:r>
        <w:rPr>
          <w:snapToGrid w:val="0"/>
        </w:rPr>
        <w:tab/>
        <w:t>Each member may be paid such attendance fees as are prescribed in his case.</w:t>
      </w:r>
    </w:p>
    <w:p>
      <w:pPr>
        <w:pStyle w:val="Subsection"/>
        <w:spacing w:before="180"/>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No. 26 of 1985 s. 7; amended: No. 32 of 1994 s. 3(2); No. 28 of 1996 s. 13; No. 10 of 2007 s. 43; No. 24 of 2007 s. 10; No. 19 of 2016 s. 27, 99 and 100; No. 36 of 2020 s. 356.]</w:t>
      </w:r>
    </w:p>
    <w:p>
      <w:pPr>
        <w:pStyle w:val="Heading5"/>
        <w:spacing w:before="240"/>
        <w:rPr>
          <w:snapToGrid w:val="0"/>
        </w:rPr>
      </w:pPr>
      <w:bookmarkStart w:id="511" w:name="_Toc225765896"/>
      <w:bookmarkStart w:id="512" w:name="_Toc209710821"/>
      <w:r>
        <w:rPr>
          <w:rStyle w:val="CharSectno"/>
        </w:rPr>
        <w:t>246BA</w:t>
      </w:r>
      <w:r>
        <w:rPr>
          <w:snapToGrid w:val="0"/>
        </w:rPr>
        <w:t xml:space="preserve">. </w:t>
      </w:r>
      <w:r>
        <w:rPr>
          <w:snapToGrid w:val="0"/>
        </w:rPr>
        <w:tab/>
        <w:t>General powers of Pesticides Advisory Committee</w:t>
      </w:r>
      <w:bookmarkEnd w:id="511"/>
      <w:bookmarkEnd w:id="512"/>
    </w:p>
    <w:p>
      <w:pPr>
        <w:pStyle w:val="Subsection"/>
        <w:spacing w:before="180"/>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 xml:space="preserve">advise the </w:t>
      </w:r>
      <w:r>
        <w:t xml:space="preserve">Chief Health Officer </w:t>
      </w:r>
      <w:r>
        <w:rPr>
          <w:snapToGrid w:val="0"/>
        </w:rPr>
        <w:t xml:space="preserve">on any matter whatsoever concerning pesticides, whether that matter is referred to it by the </w:t>
      </w:r>
      <w:r>
        <w:t xml:space="preserve">Chief Health Officer </w:t>
      </w:r>
      <w:r>
        <w:rPr>
          <w:snapToGrid w:val="0"/>
        </w:rPr>
        <w:t>or not; or</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No. 80 of 1987 s. 85; amended: No. 19 of 2016 s. 28.]</w:t>
      </w:r>
    </w:p>
    <w:p>
      <w:pPr>
        <w:pStyle w:val="Heading5"/>
        <w:rPr>
          <w:snapToGrid w:val="0"/>
        </w:rPr>
      </w:pPr>
      <w:bookmarkStart w:id="513" w:name="_Toc225765897"/>
      <w:bookmarkStart w:id="514" w:name="_Toc209710822"/>
      <w:r>
        <w:rPr>
          <w:rStyle w:val="CharSectno"/>
        </w:rPr>
        <w:t>246C</w:t>
      </w:r>
      <w:r>
        <w:rPr>
          <w:snapToGrid w:val="0"/>
        </w:rPr>
        <w:t xml:space="preserve">. </w:t>
      </w:r>
      <w:r>
        <w:rPr>
          <w:snapToGrid w:val="0"/>
        </w:rPr>
        <w:tab/>
        <w:t>Regulations relating to pesticides</w:t>
      </w:r>
      <w:bookmarkEnd w:id="513"/>
      <w:bookmarkEnd w:id="514"/>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 and</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 and</w:t>
      </w:r>
    </w:p>
    <w:p>
      <w:pPr>
        <w:pStyle w:val="Indenta"/>
        <w:rPr>
          <w:snapToGrid w:val="0"/>
        </w:rPr>
      </w:pPr>
      <w:r>
        <w:rPr>
          <w:snapToGrid w:val="0"/>
        </w:rPr>
        <w:tab/>
        <w:t>(c)</w:t>
      </w:r>
      <w:r>
        <w:rPr>
          <w:snapToGrid w:val="0"/>
        </w:rPr>
        <w:tab/>
        <w:t xml:space="preserve">providing for the registration by the </w:t>
      </w:r>
      <w:r>
        <w:t xml:space="preserve">Chief Health Officer </w:t>
      </w:r>
      <w:r>
        <w:rPr>
          <w:snapToGrid w:val="0"/>
        </w:rPr>
        <w:t>of pesticides and labels relating thereto and for the imposition by him of conditions on any such registration; and</w:t>
      </w:r>
    </w:p>
    <w:p>
      <w:pPr>
        <w:pStyle w:val="Indenta"/>
        <w:rPr>
          <w:snapToGrid w:val="0"/>
        </w:rPr>
      </w:pPr>
      <w:r>
        <w:rPr>
          <w:snapToGrid w:val="0"/>
        </w:rPr>
        <w:tab/>
        <w:t>(d)</w:t>
      </w:r>
      <w:r>
        <w:rPr>
          <w:snapToGrid w:val="0"/>
        </w:rPr>
        <w:tab/>
        <w:t xml:space="preserve">prohibiting the registration by the </w:t>
      </w:r>
      <w:r>
        <w:t xml:space="preserve">Chief Health Officer </w:t>
      </w:r>
      <w:r>
        <w:rPr>
          <w:snapToGrid w:val="0"/>
        </w:rPr>
        <w:t>of any pesticide in respect of which a body prescribed for the purposes of section 246BA(b) has recommended against the use of that pesticide; and</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 and</w:t>
      </w:r>
    </w:p>
    <w:p>
      <w:pPr>
        <w:pStyle w:val="Indenta"/>
        <w:rPr>
          <w:snapToGrid w:val="0"/>
        </w:rPr>
      </w:pPr>
      <w:r>
        <w:rPr>
          <w:snapToGrid w:val="0"/>
        </w:rPr>
        <w:tab/>
        <w:t>(f)</w:t>
      </w:r>
      <w:r>
        <w:rPr>
          <w:snapToGrid w:val="0"/>
        </w:rPr>
        <w:tab/>
        <w:t>regulating or prohibiting the advertising of pesticides; and</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 and</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 and</w:t>
      </w:r>
    </w:p>
    <w:p>
      <w:pPr>
        <w:pStyle w:val="Indenta"/>
        <w:rPr>
          <w:snapToGrid w:val="0"/>
        </w:rPr>
      </w:pPr>
      <w:r>
        <w:rPr>
          <w:snapToGrid w:val="0"/>
        </w:rPr>
        <w:tab/>
        <w:t>(i)</w:t>
      </w:r>
      <w:r>
        <w:rPr>
          <w:snapToGrid w:val="0"/>
        </w:rPr>
        <w:tab/>
        <w:t>regulating the disposal of pesticides and used pesticide containers; and</w:t>
      </w:r>
    </w:p>
    <w:p>
      <w:pPr>
        <w:pStyle w:val="Indenta"/>
        <w:rPr>
          <w:snapToGrid w:val="0"/>
        </w:rPr>
      </w:pPr>
      <w:r>
        <w:rPr>
          <w:snapToGrid w:val="0"/>
        </w:rPr>
        <w:tab/>
        <w:t>(j)</w:t>
      </w:r>
      <w:r>
        <w:rPr>
          <w:snapToGrid w:val="0"/>
        </w:rPr>
        <w:tab/>
        <w:t xml:space="preserve">providing for the registration by the </w:t>
      </w:r>
      <w:r>
        <w:t xml:space="preserve">Chief Health Officer </w:t>
      </w:r>
      <w:r>
        <w:rPr>
          <w:snapToGrid w:val="0"/>
        </w:rPr>
        <w:t>of firms in respect of the undertaking or carrying out of fumigation and for the imposition by him of conditions on any such registration; and</w:t>
      </w:r>
    </w:p>
    <w:p>
      <w:pPr>
        <w:pStyle w:val="Indenta"/>
        <w:keepNext/>
        <w:keepLines/>
        <w:rPr>
          <w:snapToGrid w:val="0"/>
        </w:rPr>
      </w:pPr>
      <w:r>
        <w:rPr>
          <w:snapToGrid w:val="0"/>
        </w:rPr>
        <w:tab/>
        <w:t>(k)</w:t>
      </w:r>
      <w:r>
        <w:rPr>
          <w:snapToGrid w:val="0"/>
        </w:rPr>
        <w:tab/>
        <w:t xml:space="preserve">providing for the licensing by the </w:t>
      </w:r>
      <w:r>
        <w:t xml:space="preserve">Chief Health Officer </w:t>
      </w:r>
      <w:r>
        <w:rPr>
          <w:snapToGrid w:val="0"/>
        </w:rPr>
        <w:t>of persons in respect of the carrying out of fumigation and for the imposition by him of conditions on the granting by him of any such licence; and</w:t>
      </w:r>
    </w:p>
    <w:p>
      <w:pPr>
        <w:pStyle w:val="Indenta"/>
        <w:rPr>
          <w:snapToGrid w:val="0"/>
        </w:rPr>
      </w:pPr>
      <w:r>
        <w:rPr>
          <w:snapToGrid w:val="0"/>
        </w:rPr>
        <w:tab/>
        <w:t>(l)</w:t>
      </w:r>
      <w:r>
        <w:rPr>
          <w:snapToGrid w:val="0"/>
        </w:rPr>
        <w:tab/>
        <w:t xml:space="preserve">providing for the registration by the </w:t>
      </w:r>
      <w:r>
        <w:t xml:space="preserve">Chief Health Officer </w:t>
      </w:r>
      <w:r>
        <w:rPr>
          <w:snapToGrid w:val="0"/>
        </w:rPr>
        <w:t>of firms carrying on the trade, business or profession of the use of pesticides for reward and for the imposition by him of conditions on any such registration; and</w:t>
      </w:r>
    </w:p>
    <w:p>
      <w:pPr>
        <w:pStyle w:val="Indenta"/>
        <w:rPr>
          <w:snapToGrid w:val="0"/>
        </w:rPr>
      </w:pPr>
      <w:r>
        <w:rPr>
          <w:snapToGrid w:val="0"/>
        </w:rPr>
        <w:tab/>
        <w:t>(m)</w:t>
      </w:r>
      <w:r>
        <w:rPr>
          <w:snapToGrid w:val="0"/>
        </w:rPr>
        <w:tab/>
        <w:t xml:space="preserve">providing for the licensing by the </w:t>
      </w:r>
      <w:r>
        <w:t xml:space="preserve">Chief Health Officer </w:t>
      </w:r>
      <w:r>
        <w:rPr>
          <w:snapToGrid w:val="0"/>
        </w:rPr>
        <w:t>of persons in respect of the use of pesticides for reward as pesticide operators or provisional pesticide operators and for the imposition by him of conditions on the granting by him of any such licence; and</w:t>
      </w:r>
    </w:p>
    <w:p>
      <w:pPr>
        <w:pStyle w:val="Indenta"/>
        <w:rPr>
          <w:snapToGrid w:val="0"/>
        </w:rPr>
      </w:pPr>
      <w:r>
        <w:rPr>
          <w:snapToGrid w:val="0"/>
        </w:rPr>
        <w:tab/>
        <w:t>(n)</w:t>
      </w:r>
      <w:r>
        <w:rPr>
          <w:snapToGrid w:val="0"/>
        </w:rPr>
        <w:tab/>
        <w:t>prescribing the qualifications required of applicants for licensing as pesticide operators or provisional pesticide operators; and</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 and</w:t>
      </w:r>
    </w:p>
    <w:p>
      <w:pPr>
        <w:pStyle w:val="Indenta"/>
        <w:rPr>
          <w:snapToGrid w:val="0"/>
        </w:rPr>
      </w:pPr>
      <w:r>
        <w:rPr>
          <w:snapToGrid w:val="0"/>
        </w:rPr>
        <w:tab/>
        <w:t>(p)</w:t>
      </w:r>
      <w:r>
        <w:rPr>
          <w:snapToGrid w:val="0"/>
        </w:rPr>
        <w:tab/>
        <w:t xml:space="preserve">requiring the notification to the </w:t>
      </w:r>
      <w:r>
        <w:t xml:space="preserve">Chief Health Officer </w:t>
      </w:r>
      <w:r>
        <w:rPr>
          <w:snapToGrid w:val="0"/>
        </w:rPr>
        <w:t>of accidents involving the use of pesticides; and</w:t>
      </w:r>
    </w:p>
    <w:p>
      <w:pPr>
        <w:pStyle w:val="Indenta"/>
        <w:rPr>
          <w:snapToGrid w:val="0"/>
        </w:rPr>
      </w:pPr>
      <w:r>
        <w:rPr>
          <w:snapToGrid w:val="0"/>
        </w:rPr>
        <w:tab/>
        <w:t>(q)</w:t>
      </w:r>
      <w:r>
        <w:rPr>
          <w:snapToGrid w:val="0"/>
        </w:rPr>
        <w:tab/>
        <w:t xml:space="preserve">enabling the </w:t>
      </w:r>
      <w:r>
        <w:t xml:space="preserve">Chief Health Officer </w:t>
      </w:r>
      <w:r>
        <w:rPr>
          <w:snapToGrid w:val="0"/>
        </w:rPr>
        <w:t>to require persons using pesticides to submit themselves to medical examinations or tests for the purpose of ascertaining the effect on their health of exposure to pesticides; and</w:t>
      </w:r>
    </w:p>
    <w:p>
      <w:pPr>
        <w:pStyle w:val="Indenta"/>
        <w:rPr>
          <w:snapToGrid w:val="0"/>
        </w:rPr>
      </w:pPr>
      <w:r>
        <w:rPr>
          <w:snapToGrid w:val="0"/>
        </w:rPr>
        <w:tab/>
        <w:t>(r)</w:t>
      </w:r>
      <w:r>
        <w:rPr>
          <w:snapToGrid w:val="0"/>
        </w:rPr>
        <w:tab/>
        <w:t>setting standards for the composition of pesticides; and</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 and</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 and</w:t>
      </w:r>
    </w:p>
    <w:p>
      <w:pPr>
        <w:pStyle w:val="Indenta"/>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 and</w:t>
      </w:r>
    </w:p>
    <w:p>
      <w:pPr>
        <w:pStyle w:val="Indenta"/>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 and</w:t>
      </w:r>
    </w:p>
    <w:p>
      <w:pPr>
        <w:pStyle w:val="Indenta"/>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 and</w:t>
      </w:r>
    </w:p>
    <w:p>
      <w:pPr>
        <w:pStyle w:val="Indenta"/>
        <w:rPr>
          <w:snapToGrid w:val="0"/>
        </w:rPr>
      </w:pPr>
      <w:r>
        <w:rPr>
          <w:snapToGrid w:val="0"/>
        </w:rPr>
        <w:tab/>
        <w:t>(x)</w:t>
      </w:r>
      <w:r>
        <w:rPr>
          <w:snapToGrid w:val="0"/>
        </w:rPr>
        <w:tab/>
        <w:t>providing for the isolation or removal of pesticides which are or may be hazardous; and</w:t>
      </w:r>
    </w:p>
    <w:p>
      <w:pPr>
        <w:pStyle w:val="Indenta"/>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 xml:space="preserve">Nothing in subsection (1)(d) affects any power conferred by regulations made under section 341 as read with this section on the </w:t>
      </w:r>
      <w:r>
        <w:t xml:space="preserve">Chief Health Officer </w:t>
      </w:r>
      <w:r>
        <w:rPr>
          <w:snapToGrid w:val="0"/>
        </w:rPr>
        <w:t>to register or refuse to register any pesticide or label relating thereto.</w:t>
      </w:r>
    </w:p>
    <w:p>
      <w:pPr>
        <w:pStyle w:val="Footnotesection"/>
      </w:pPr>
      <w:r>
        <w:tab/>
        <w:t>[Section 246C inserted: No. 80 of 1987 s. 86; amended: No. 19 of 2016 s. 29.]</w:t>
      </w:r>
    </w:p>
    <w:p>
      <w:pPr>
        <w:pStyle w:val="Ednotedivision"/>
        <w:spacing w:before="200"/>
      </w:pPr>
      <w:r>
        <w:t>[Division 9:</w:t>
      </w:r>
      <w:r>
        <w:tab/>
        <w:t>s. 246D deleted: No. 13 of 2014 s. 156;</w:t>
      </w:r>
      <w:r>
        <w:br/>
      </w:r>
      <w:r>
        <w:rPr>
          <w:bCs/>
        </w:rPr>
        <w:tab/>
      </w:r>
      <w:r>
        <w:rPr>
          <w:bCs/>
        </w:rPr>
        <w:tab/>
        <w:t>s. 246E-FB d</w:t>
      </w:r>
      <w:r>
        <w:t>eleted: No. 43 of 2008 s. 147(10)-(13).]</w:t>
      </w:r>
    </w:p>
    <w:p>
      <w:pPr>
        <w:pStyle w:val="Ednotepart"/>
      </w:pPr>
      <w:r>
        <w:t>[Part VIII (s. 246G-247) deleted: No. 43 of 2008 s. 147(14).]</w:t>
      </w:r>
    </w:p>
    <w:p>
      <w:pPr>
        <w:pStyle w:val="Heading2"/>
      </w:pPr>
      <w:bookmarkStart w:id="515" w:name="_Toc225760871"/>
      <w:bookmarkStart w:id="516" w:name="_Toc225761203"/>
      <w:bookmarkStart w:id="517" w:name="_Toc225765898"/>
      <w:bookmarkStart w:id="518" w:name="_Toc209701347"/>
      <w:bookmarkStart w:id="519" w:name="_Toc209702965"/>
      <w:bookmarkStart w:id="520" w:name="_Toc209703297"/>
      <w:bookmarkStart w:id="521" w:name="_Toc209710823"/>
      <w:r>
        <w:rPr>
          <w:rStyle w:val="CharPartNo"/>
        </w:rPr>
        <w:t>Part VIIIA</w:t>
      </w:r>
      <w:r>
        <w:rPr>
          <w:rStyle w:val="CharDivNo"/>
        </w:rPr>
        <w:t> </w:t>
      </w:r>
      <w:r>
        <w:t>—</w:t>
      </w:r>
      <w:r>
        <w:rPr>
          <w:rStyle w:val="CharDivText"/>
        </w:rPr>
        <w:t> </w:t>
      </w:r>
      <w:r>
        <w:rPr>
          <w:rStyle w:val="CharPartText"/>
        </w:rPr>
        <w:t>Analytical services</w:t>
      </w:r>
      <w:bookmarkEnd w:id="515"/>
      <w:bookmarkEnd w:id="516"/>
      <w:bookmarkEnd w:id="517"/>
      <w:bookmarkEnd w:id="518"/>
      <w:bookmarkEnd w:id="519"/>
      <w:bookmarkEnd w:id="520"/>
      <w:bookmarkEnd w:id="521"/>
    </w:p>
    <w:p>
      <w:pPr>
        <w:pStyle w:val="Footnoteheading"/>
        <w:ind w:left="890" w:hanging="890"/>
        <w:rPr>
          <w:snapToGrid w:val="0"/>
        </w:rPr>
      </w:pPr>
      <w:r>
        <w:rPr>
          <w:snapToGrid w:val="0"/>
        </w:rPr>
        <w:tab/>
        <w:t>[Heading inserted: No. 24 of 1970 s. 5.]</w:t>
      </w:r>
    </w:p>
    <w:p>
      <w:pPr>
        <w:pStyle w:val="Heading5"/>
      </w:pPr>
      <w:bookmarkStart w:id="522" w:name="_Toc225765899"/>
      <w:bookmarkStart w:id="523" w:name="_Toc209710824"/>
      <w:r>
        <w:rPr>
          <w:rStyle w:val="CharSectno"/>
        </w:rPr>
        <w:t>247AA</w:t>
      </w:r>
      <w:r>
        <w:t>.</w:t>
      </w:r>
      <w:r>
        <w:tab/>
        <w:t>Terms used</w:t>
      </w:r>
      <w:bookmarkEnd w:id="522"/>
      <w:bookmarkEnd w:id="523"/>
    </w:p>
    <w:p>
      <w:pPr>
        <w:pStyle w:val="Subsection"/>
      </w:pPr>
      <w:r>
        <w:tab/>
      </w:r>
      <w:r>
        <w:tab/>
        <w:t xml:space="preserve">In this Division — </w:t>
      </w:r>
    </w:p>
    <w:p>
      <w:pPr>
        <w:pStyle w:val="Defstart"/>
      </w:pPr>
      <w:r>
        <w:tab/>
      </w:r>
      <w:r>
        <w:rPr>
          <w:rStyle w:val="CharDefText"/>
        </w:rPr>
        <w:t>Analytical Committee</w:t>
      </w:r>
      <w:r>
        <w:t xml:space="preserve"> means the Local Health Authorities Analytical Committee established by section 247A(1);</w:t>
      </w:r>
    </w:p>
    <w:p>
      <w:pPr>
        <w:pStyle w:val="Defstart"/>
      </w:pPr>
      <w:r>
        <w:tab/>
      </w:r>
      <w:r>
        <w:rPr>
          <w:rStyle w:val="CharDefText"/>
        </w:rPr>
        <w:t>member</w:t>
      </w:r>
      <w:r>
        <w:t xml:space="preserve"> means a member of the Analytical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Defstart"/>
      </w:pPr>
      <w:r>
        <w:tab/>
      </w:r>
      <w:r>
        <w:rPr>
          <w:rStyle w:val="CharDefText"/>
        </w:rPr>
        <w:t>scheme</w:t>
      </w:r>
      <w:r>
        <w:t xml:space="preserve"> means a scheme for the provision of analytical services for use by local governments, operated by the Analytical Committee under this Division;</w:t>
      </w:r>
    </w:p>
    <w:p>
      <w:pPr>
        <w:pStyle w:val="Defstart"/>
      </w:pPr>
      <w:r>
        <w:tab/>
      </w:r>
      <w:r>
        <w:rPr>
          <w:rStyle w:val="CharDefText"/>
        </w:rPr>
        <w:t>WALGA</w:t>
      </w:r>
      <w:r>
        <w:t xml:space="preserve"> has the meaning given in the </w:t>
      </w:r>
      <w:r>
        <w:rPr>
          <w:i/>
        </w:rPr>
        <w:t>Local Government Act 1995</w:t>
      </w:r>
      <w:r>
        <w:t xml:space="preserve"> section 1.4.</w:t>
      </w:r>
    </w:p>
    <w:p>
      <w:pPr>
        <w:pStyle w:val="Footnotesection"/>
      </w:pPr>
      <w:r>
        <w:tab/>
        <w:t>[Section 247AA inserted: No. 19 of 2016 s. 31.]</w:t>
      </w:r>
    </w:p>
    <w:p>
      <w:pPr>
        <w:pStyle w:val="Heading5"/>
        <w:rPr>
          <w:snapToGrid w:val="0"/>
        </w:rPr>
      </w:pPr>
      <w:bookmarkStart w:id="524" w:name="_Toc225765900"/>
      <w:bookmarkStart w:id="525" w:name="_Toc209710825"/>
      <w:r>
        <w:rPr>
          <w:rStyle w:val="CharSectno"/>
        </w:rPr>
        <w:t>247A</w:t>
      </w:r>
      <w:r>
        <w:rPr>
          <w:snapToGrid w:val="0"/>
        </w:rPr>
        <w:t xml:space="preserve">. </w:t>
      </w:r>
      <w:r>
        <w:rPr>
          <w:snapToGrid w:val="0"/>
        </w:rPr>
        <w:tab/>
        <w:t>Local Health Authorities Analytical Committee</w:t>
      </w:r>
      <w:bookmarkEnd w:id="524"/>
      <w:bookmarkEnd w:id="525"/>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 and</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keepNext/>
      </w:pPr>
      <w:r>
        <w:tab/>
        <w:t>(3)</w:t>
      </w:r>
      <w:r>
        <w:tab/>
        <w:t xml:space="preserve">The Analytical Committee is to consist of 10 members appointed by the Minister, made up as follows — </w:t>
      </w:r>
    </w:p>
    <w:p>
      <w:pPr>
        <w:pStyle w:val="Indenta"/>
      </w:pPr>
      <w:r>
        <w:tab/>
        <w:t>(a)</w:t>
      </w:r>
      <w:r>
        <w:tab/>
        <w:t>7 members, who are to be persons nominated by WALGA to represent local government districts that are in the metropolitan area;</w:t>
      </w:r>
    </w:p>
    <w:p>
      <w:pPr>
        <w:pStyle w:val="Indenta"/>
      </w:pPr>
      <w:r>
        <w:tab/>
        <w:t>(b)</w:t>
      </w:r>
      <w:r>
        <w:tab/>
        <w:t>3 members, who are to be persons nominated by WALGA to represent local government districts that are not in the metropolitan area.</w:t>
      </w:r>
    </w:p>
    <w:p>
      <w:pPr>
        <w:pStyle w:val="Subsection"/>
      </w:pPr>
      <w:r>
        <w:tab/>
        <w:t>(4)</w:t>
      </w:r>
      <w:r>
        <w:tab/>
        <w:t>The Minister is to appoint one of the members of the Analytical Committee to be the Chairperson.</w:t>
      </w:r>
    </w:p>
    <w:p>
      <w:pPr>
        <w:pStyle w:val="Footnotesection"/>
        <w:spacing w:before="100"/>
        <w:ind w:left="890" w:hanging="890"/>
      </w:pPr>
      <w:r>
        <w:tab/>
        <w:t>[Section 247A inserted: No. 24 of 1970 s. 5; amended: No. 30 of 1982 s. 11; No. 14 of 1996 s. 4; No. 19 of 2016 s. 32.]</w:t>
      </w:r>
    </w:p>
    <w:p>
      <w:pPr>
        <w:pStyle w:val="Heading5"/>
      </w:pPr>
      <w:bookmarkStart w:id="526" w:name="_Toc225765901"/>
      <w:bookmarkStart w:id="527" w:name="_Toc209710826"/>
      <w:r>
        <w:rPr>
          <w:rStyle w:val="CharSectno"/>
        </w:rPr>
        <w:t>247BA</w:t>
      </w:r>
      <w:r>
        <w:t>.</w:t>
      </w:r>
      <w:r>
        <w:tab/>
        <w:t>Term of office and vacation of office</w:t>
      </w:r>
      <w:bookmarkEnd w:id="526"/>
      <w:bookmarkEnd w:id="527"/>
    </w:p>
    <w:p>
      <w:pPr>
        <w:pStyle w:val="Subsection"/>
      </w:pPr>
      <w:r>
        <w:tab/>
        <w:t>(1)</w:t>
      </w:r>
      <w:r>
        <w:tab/>
        <w:t>The members hold office for a term of 3 years.</w:t>
      </w:r>
    </w:p>
    <w:p>
      <w:pPr>
        <w:pStyle w:val="Subsection"/>
      </w:pPr>
      <w:r>
        <w:tab/>
        <w:t>(2)</w:t>
      </w:r>
      <w:r>
        <w:tab/>
        <w:t xml:space="preserve">A member ceases to hold office — </w:t>
      </w:r>
    </w:p>
    <w:p>
      <w:pPr>
        <w:pStyle w:val="Indenta"/>
      </w:pPr>
      <w:r>
        <w:tab/>
        <w:t>(a)</w:t>
      </w:r>
      <w:r>
        <w:tab/>
        <w:t xml:space="preserve">at the expiry of the term for which he or she is appointed, unless he or she — </w:t>
      </w:r>
    </w:p>
    <w:p>
      <w:pPr>
        <w:pStyle w:val="Indenti"/>
      </w:pPr>
      <w:r>
        <w:tab/>
        <w:t>(i)</w:t>
      </w:r>
      <w:r>
        <w:tab/>
        <w:t>continues to hold office under subsection (4); or</w:t>
      </w:r>
    </w:p>
    <w:p>
      <w:pPr>
        <w:pStyle w:val="Indenti"/>
      </w:pPr>
      <w:r>
        <w:tab/>
        <w:t>(ii)</w:t>
      </w:r>
      <w:r>
        <w:tab/>
        <w:t>is reappointed;</w:t>
      </w:r>
    </w:p>
    <w:p>
      <w:pPr>
        <w:pStyle w:val="Indenta"/>
      </w:pPr>
      <w:r>
        <w:tab/>
      </w:r>
      <w:r>
        <w:tab/>
        <w:t>or</w:t>
      </w:r>
    </w:p>
    <w:p>
      <w:pPr>
        <w:pStyle w:val="Indenta"/>
      </w:pPr>
      <w:r>
        <w:tab/>
        <w:t>(b)</w:t>
      </w:r>
      <w:r>
        <w:tab/>
        <w:t>if he or she resigns by written notice given to the Minister; or</w:t>
      </w:r>
    </w:p>
    <w:p>
      <w:pPr>
        <w:pStyle w:val="Indenta"/>
      </w:pPr>
      <w:r>
        <w:tab/>
        <w:t>(c)</w:t>
      </w:r>
      <w:r>
        <w:tab/>
        <w:t>if he or she dies; or</w:t>
      </w:r>
    </w:p>
    <w:p>
      <w:pPr>
        <w:pStyle w:val="Indenta"/>
      </w:pPr>
      <w:r>
        <w:tab/>
        <w:t>(d)</w:t>
      </w:r>
      <w:r>
        <w:tab/>
        <w:t>if his or her nomination as a member is withdrawn by written notice given to the Minister by WALGA; or</w:t>
      </w:r>
    </w:p>
    <w:p>
      <w:pPr>
        <w:pStyle w:val="Indenta"/>
      </w:pPr>
      <w:r>
        <w:tab/>
        <w:t>(e)</w:t>
      </w:r>
      <w:r>
        <w:tab/>
        <w:t xml:space="preserve">if he or she is, according to the </w:t>
      </w:r>
      <w:r>
        <w:rPr>
          <w:i/>
        </w:rPr>
        <w:t>Interpretation Act 1984</w:t>
      </w:r>
      <w:r>
        <w:t xml:space="preserve"> section 13D, a bankrupt or a person whose affairs are under insolvency laws; or</w:t>
      </w:r>
    </w:p>
    <w:p>
      <w:pPr>
        <w:pStyle w:val="Indenta"/>
      </w:pPr>
      <w:r>
        <w:tab/>
        <w:t>(f)</w:t>
      </w:r>
      <w:r>
        <w:tab/>
        <w:t>if the member’s appointment is terminated under subsection (3).</w:t>
      </w:r>
    </w:p>
    <w:p>
      <w:pPr>
        <w:pStyle w:val="Subsection"/>
      </w:pPr>
      <w:r>
        <w:tab/>
        <w:t>(3)</w:t>
      </w:r>
      <w:r>
        <w:tab/>
        <w:t xml:space="preserve">The Minister may, by written notice given to a member, terminate the appointment of the member — </w:t>
      </w:r>
    </w:p>
    <w:p>
      <w:pPr>
        <w:pStyle w:val="Indenta"/>
      </w:pPr>
      <w:r>
        <w:tab/>
        <w:t>(a)</w:t>
      </w:r>
      <w:r>
        <w:tab/>
        <w:t xml:space="preserve">if, in the Minister’s opinion,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Minister’s opinion, the member misbehaves, neglects his or her duties or is incompetent; or</w:t>
      </w:r>
    </w:p>
    <w:p>
      <w:pPr>
        <w:pStyle w:val="Indenta"/>
      </w:pPr>
      <w:r>
        <w:tab/>
        <w:t>(c)</w:t>
      </w:r>
      <w:r>
        <w:tab/>
        <w:t>if the member is absent, without leave and without reasonable excuse, from 3 consecutive meetings of the Analytical Committee of which the member had notice; or</w:t>
      </w:r>
    </w:p>
    <w:p>
      <w:pPr>
        <w:pStyle w:val="Indenta"/>
      </w:pPr>
      <w:r>
        <w:tab/>
        <w:t>(d)</w:t>
      </w:r>
      <w:r>
        <w:tab/>
        <w:t>for any other act or omission, or any circumstance arising, that, in the Minister’s opinion, may adversely affect the functioning of the Analytical Committee.</w:t>
      </w:r>
    </w:p>
    <w:p>
      <w:pPr>
        <w:pStyle w:val="Subsection"/>
      </w:pPr>
      <w:r>
        <w:tab/>
        <w:t>(4)</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(5)</w:t>
      </w:r>
      <w:r>
        <w:tab/>
        <w:t>However, a member cannot continue in office under subsection (4) for longer than 3 months.</w:t>
      </w:r>
    </w:p>
    <w:p>
      <w:pPr>
        <w:pStyle w:val="Footnotesection"/>
      </w:pPr>
      <w:r>
        <w:tab/>
        <w:t>[Section 247BA inserted: No. 19 of 2016 s. 33.]</w:t>
      </w:r>
    </w:p>
    <w:p>
      <w:pPr>
        <w:pStyle w:val="Heading5"/>
        <w:rPr>
          <w:snapToGrid w:val="0"/>
        </w:rPr>
      </w:pPr>
      <w:bookmarkStart w:id="528" w:name="_Toc225765902"/>
      <w:bookmarkStart w:id="529" w:name="_Toc209710827"/>
      <w:r>
        <w:rPr>
          <w:rStyle w:val="CharSectno"/>
        </w:rPr>
        <w:t>247B</w:t>
      </w:r>
      <w:r>
        <w:rPr>
          <w:snapToGrid w:val="0"/>
        </w:rPr>
        <w:t xml:space="preserve">. </w:t>
      </w:r>
      <w:r>
        <w:rPr>
          <w:snapToGrid w:val="0"/>
        </w:rPr>
        <w:tab/>
        <w:t>Meetings and procedure of Analytical Committee</w:t>
      </w:r>
      <w:bookmarkEnd w:id="528"/>
      <w:bookmarkEnd w:id="529"/>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pPr>
      <w:r>
        <w:tab/>
        <w:t>(2)</w:t>
      </w:r>
      <w:r>
        <w:tab/>
        <w:t xml:space="preserve">At any meeting of the Analytical Committee — </w:t>
      </w:r>
    </w:p>
    <w:p>
      <w:pPr>
        <w:pStyle w:val="Indenta"/>
      </w:pPr>
      <w:r>
        <w:tab/>
        <w:t>(a)</w:t>
      </w:r>
      <w:r>
        <w:tab/>
        <w:t>6 members constitute a quorum; and</w:t>
      </w:r>
    </w:p>
    <w:p>
      <w:pPr>
        <w:pStyle w:val="Indenta"/>
        <w:keepNext/>
      </w:pPr>
      <w:r>
        <w:tab/>
        <w:t>(b)</w:t>
      </w:r>
      <w:r>
        <w:tab/>
        <w:t xml:space="preserve">the Chairperson is to preside if he or she is present, but in his or her absence — </w:t>
      </w:r>
    </w:p>
    <w:p>
      <w:pPr>
        <w:pStyle w:val="Indenti"/>
      </w:pPr>
      <w:r>
        <w:tab/>
        <w:t>(i)</w:t>
      </w:r>
      <w:r>
        <w:tab/>
        <w:t>the members present are to elect one of their number to preside at the meeting; and</w:t>
      </w:r>
    </w:p>
    <w:p>
      <w:pPr>
        <w:pStyle w:val="Indenti"/>
      </w:pPr>
      <w:r>
        <w:tab/>
        <w:t>(ii)</w:t>
      </w:r>
      <w:r>
        <w:tab/>
        <w:t>that member, while presiding, has all the powers and duties of the Chairperson;</w:t>
      </w:r>
    </w:p>
    <w:p>
      <w:pPr>
        <w:pStyle w:val="Indenta"/>
      </w:pPr>
      <w:r>
        <w:tab/>
      </w:r>
      <w:r>
        <w:tab/>
        <w:t>and</w:t>
      </w:r>
    </w:p>
    <w:p>
      <w:pPr>
        <w:pStyle w:val="Indenta"/>
      </w:pPr>
      <w:r>
        <w:tab/>
        <w:t>(c)</w:t>
      </w:r>
      <w:r>
        <w:tab/>
        <w:t>each member present (including the member presiding) has a deliberative vote; and</w:t>
      </w:r>
    </w:p>
    <w:p>
      <w:pPr>
        <w:pStyle w:val="Indenta"/>
      </w:pPr>
      <w:r>
        <w:tab/>
        <w:t>(d)</w:t>
      </w:r>
      <w:r>
        <w:tab/>
        <w:t>a question arising is to be decided by a majority of the votes of the members present, but if the votes are equal the member presiding has a casting vote.</w:t>
      </w:r>
    </w:p>
    <w:p>
      <w:pPr>
        <w:pStyle w:val="Subsection"/>
      </w:pPr>
      <w:r>
        <w:tab/>
        <w:t>(3A)</w:t>
      </w:r>
      <w:r>
        <w:tab/>
        <w:t>A resolution in writing to which at least 6 members of the Analytical Committee have each indicated their agreement by signing it or assenting to it by letter, fax, email or other written means has the same effect as if it had been passed at a meeting of the Analytical Committee.</w:t>
      </w:r>
    </w:p>
    <w:p>
      <w:pPr>
        <w:pStyle w:val="Subsection"/>
      </w:pPr>
      <w:r>
        <w:tab/>
        <w:t>(3B)</w:t>
      </w:r>
      <w:r>
        <w:tab/>
        <w:t xml:space="preserve">A meeting of the Analytical Committee may be held — </w:t>
      </w:r>
    </w:p>
    <w:p>
      <w:pPr>
        <w:pStyle w:val="Indenta"/>
      </w:pPr>
      <w:r>
        <w:tab/>
        <w:t>(a)</w:t>
      </w:r>
      <w:r>
        <w:tab/>
        <w:t>by a quorum of the members assembled together at the time and place appointed for the meeting; or</w:t>
      </w:r>
    </w:p>
    <w:p>
      <w:pPr>
        <w:pStyle w:val="Indenta"/>
      </w:pPr>
      <w:r>
        <w:tab/>
        <w:t>(b)</w:t>
      </w:r>
      <w:r>
        <w:tab/>
        <w:t xml:space="preserve">by telephone or audio 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keepNext/>
        <w:spacing w:before="12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ind w:left="890" w:hanging="890"/>
      </w:pPr>
      <w:r>
        <w:tab/>
        <w:t>[Section 247B inserted: No. 24 of 1970 s. 6; amended: No. 19 of 2016 s. 34.]</w:t>
      </w:r>
    </w:p>
    <w:p>
      <w:pPr>
        <w:pStyle w:val="Heading5"/>
        <w:rPr>
          <w:snapToGrid w:val="0"/>
        </w:rPr>
      </w:pPr>
      <w:bookmarkStart w:id="530" w:name="_Toc225765903"/>
      <w:bookmarkStart w:id="531" w:name="_Toc209710828"/>
      <w:r>
        <w:rPr>
          <w:rStyle w:val="CharSectno"/>
        </w:rPr>
        <w:t>247C</w:t>
      </w:r>
      <w:r>
        <w:rPr>
          <w:snapToGrid w:val="0"/>
        </w:rPr>
        <w:t xml:space="preserve">. </w:t>
      </w:r>
      <w:r>
        <w:rPr>
          <w:snapToGrid w:val="0"/>
        </w:rPr>
        <w:tab/>
        <w:t>Powers and functions of Analytical Committee</w:t>
      </w:r>
      <w:bookmarkEnd w:id="530"/>
      <w:bookmarkEnd w:id="531"/>
    </w:p>
    <w:p>
      <w:pPr>
        <w:pStyle w:val="Subsection"/>
        <w:keepNext/>
        <w:spacing w:before="120"/>
        <w:rPr>
          <w:snapToGrid w:val="0"/>
        </w:rPr>
      </w:pPr>
      <w:r>
        <w:rPr>
          <w:snapToGrid w:val="0"/>
        </w:rPr>
        <w:tab/>
        <w:t>(1)</w:t>
      </w:r>
      <w:r>
        <w:rPr>
          <w:snapToGrid w:val="0"/>
        </w:rPr>
        <w:tab/>
        <w:t>The functions of the Analytical Committee are —</w:t>
      </w:r>
    </w:p>
    <w:p>
      <w:pPr>
        <w:pStyle w:val="Indenta"/>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 and</w:t>
      </w:r>
    </w:p>
    <w:p>
      <w:pPr>
        <w:pStyle w:val="Indenta"/>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rPr>
          <w:snapToGrid w:val="0"/>
        </w:rPr>
      </w:pPr>
      <w:r>
        <w:rPr>
          <w:snapToGrid w:val="0"/>
        </w:rPr>
        <w:tab/>
        <w:t>(c)</w:t>
      </w:r>
      <w:r>
        <w:rPr>
          <w:snapToGrid w:val="0"/>
        </w:rPr>
        <w:tab/>
        <w:t>to do such other acts and things as are necessary or convenient for the purposes of this Part.</w:t>
      </w:r>
    </w:p>
    <w:p>
      <w:pPr>
        <w:pStyle w:val="Subsection"/>
        <w:keepNext/>
        <w:spacing w:before="12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keepNext/>
        <w:spacing w:before="12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No. 24 of 1970 s. 7; amended: No. 14 of 1996 s. 4.]</w:t>
      </w:r>
    </w:p>
    <w:p>
      <w:pPr>
        <w:pStyle w:val="Heading5"/>
        <w:rPr>
          <w:snapToGrid w:val="0"/>
        </w:rPr>
      </w:pPr>
      <w:bookmarkStart w:id="532" w:name="_Toc225765904"/>
      <w:bookmarkStart w:id="533" w:name="_Toc209710829"/>
      <w:r>
        <w:rPr>
          <w:rStyle w:val="CharSectno"/>
        </w:rPr>
        <w:t>247D</w:t>
      </w:r>
      <w:r>
        <w:rPr>
          <w:snapToGrid w:val="0"/>
        </w:rPr>
        <w:t>.</w:t>
      </w:r>
      <w:r>
        <w:rPr>
          <w:snapToGrid w:val="0"/>
        </w:rPr>
        <w:tab/>
        <w:t>Participation in scheme by local governments</w:t>
      </w:r>
      <w:bookmarkEnd w:id="532"/>
      <w:bookmarkEnd w:id="533"/>
    </w:p>
    <w:p>
      <w:pPr>
        <w:pStyle w:val="Subsection"/>
        <w:keepLines/>
        <w:spacing w:before="120"/>
        <w:rPr>
          <w:snapToGrid w:val="0"/>
        </w:rPr>
      </w:pPr>
      <w:r>
        <w:rPr>
          <w:snapToGrid w:val="0"/>
        </w:rPr>
        <w:tab/>
        <w:t>(1)</w:t>
      </w:r>
      <w:r>
        <w:rPr>
          <w:snapToGrid w:val="0"/>
        </w:rPr>
        <w:tab/>
        <w:t xml:space="preserve">Any local government may, by notice in writing addressed to the Analytical Committee, advise the Analytical Committee that it desires to participate in </w:t>
      </w:r>
      <w:r>
        <w:t xml:space="preserve">a scheme, </w:t>
      </w:r>
      <w:r>
        <w:rPr>
          <w:snapToGrid w:val="0"/>
        </w:rPr>
        <w:t>and thereupon the local government shall, for the purpose, of this Part, become a participant in the scheme.</w:t>
      </w:r>
    </w:p>
    <w:p>
      <w:pPr>
        <w:pStyle w:val="Subsection"/>
        <w:keepNext/>
        <w:spacing w:before="200"/>
      </w:pPr>
      <w:r>
        <w:tab/>
        <w:t>(2)</w:t>
      </w:r>
      <w:r>
        <w:tab/>
        <w:t xml:space="preserve">If the Chief Health Officer considers that a local government that is not a participant in a scheme ought to be a participant — </w:t>
      </w:r>
    </w:p>
    <w:p>
      <w:pPr>
        <w:pStyle w:val="Indenta"/>
      </w:pPr>
      <w:r>
        <w:tab/>
        <w:t>(a)</w:t>
      </w:r>
      <w:r>
        <w:tab/>
        <w:t>the Chief Health Officer may, by written notice served on the local government, direct it to participate in the scheme; and</w:t>
      </w:r>
    </w:p>
    <w:p>
      <w:pPr>
        <w:pStyle w:val="Indenta"/>
      </w:pPr>
      <w:r>
        <w:tab/>
        <w:t>(b)</w:t>
      </w:r>
      <w:r>
        <w:tab/>
        <w:t>on the service of the direction, the local government is a participant in the scheme for the purposes of this Division and, in particular, for the purposes of subsection (4).</w:t>
      </w:r>
    </w:p>
    <w:p>
      <w:pPr>
        <w:pStyle w:val="Subsection"/>
        <w:spacing w:before="120"/>
        <w:rPr>
          <w:snapToGrid w:val="0"/>
        </w:rPr>
      </w:pPr>
      <w:r>
        <w:rPr>
          <w:snapToGrid w:val="0"/>
        </w:rPr>
        <w:tab/>
        <w:t>(3)</w:t>
      </w:r>
      <w:r>
        <w:rPr>
          <w:snapToGrid w:val="0"/>
        </w:rPr>
        <w:tab/>
        <w:t xml:space="preserve">A local government which is a participant in the scheme may, if it has first obtained the consent in writing of the </w:t>
      </w:r>
      <w:r>
        <w:t>Chief Health Officer</w:t>
      </w:r>
      <w:r>
        <w:rPr>
          <w:snapToGrid w:val="0"/>
        </w:rPr>
        <w:t xml:space="preserve">, withdraw from </w:t>
      </w:r>
      <w:r>
        <w:t>a scheme</w:t>
      </w:r>
      <w:r>
        <w:rPr>
          <w:snapToGrid w:val="0"/>
        </w:rPr>
        <w:t xml:space="preserve"> by serving notice in writing to that effect upon the Analytical Committee.</w:t>
      </w:r>
    </w:p>
    <w:p>
      <w:pPr>
        <w:pStyle w:val="Subsection"/>
        <w:spacing w:before="120"/>
        <w:rPr>
          <w:snapToGrid w:val="0"/>
        </w:rPr>
      </w:pPr>
      <w:r>
        <w:rPr>
          <w:snapToGrid w:val="0"/>
        </w:rPr>
        <w:tab/>
        <w:t>(4)</w:t>
      </w:r>
      <w:r>
        <w:rPr>
          <w:snapToGrid w:val="0"/>
        </w:rPr>
        <w:tab/>
        <w:t>Any local government which is, or has been, a participant in a scheme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2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No. 24 of 1970 s. 8; amended: 28 of 1984 s. 45; No. 14 of 1996 s. 4; No. 19 of 2016 s. 35 and 100.]</w:t>
      </w:r>
    </w:p>
    <w:p>
      <w:pPr>
        <w:pStyle w:val="Heading5"/>
        <w:rPr>
          <w:snapToGrid w:val="0"/>
        </w:rPr>
      </w:pPr>
      <w:bookmarkStart w:id="534" w:name="_Toc225765905"/>
      <w:bookmarkStart w:id="535" w:name="_Toc209710830"/>
      <w:r>
        <w:rPr>
          <w:rStyle w:val="CharSectno"/>
        </w:rP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bookmarkEnd w:id="534"/>
      <w:bookmarkEnd w:id="535"/>
    </w:p>
    <w:p>
      <w:pPr>
        <w:pStyle w:val="Subsection"/>
        <w:spacing w:before="120"/>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No. 98 of 1985 s. 3; amended: No. 77 of 2006 Sch. 1 cl. 80(2).]</w:t>
      </w:r>
    </w:p>
    <w:p>
      <w:pPr>
        <w:pStyle w:val="Heading5"/>
        <w:rPr>
          <w:snapToGrid w:val="0"/>
        </w:rPr>
      </w:pPr>
      <w:bookmarkStart w:id="536" w:name="_Toc225765906"/>
      <w:bookmarkStart w:id="537" w:name="_Toc209710831"/>
      <w:r>
        <w:rPr>
          <w:rStyle w:val="CharSectno"/>
        </w:rPr>
        <w:t>247F</w:t>
      </w:r>
      <w:r>
        <w:rPr>
          <w:snapToGrid w:val="0"/>
        </w:rPr>
        <w:t xml:space="preserve">. </w:t>
      </w:r>
      <w:r>
        <w:rPr>
          <w:snapToGrid w:val="0"/>
        </w:rPr>
        <w:tab/>
        <w:t>Regulations as to Part VIIIA</w:t>
      </w:r>
      <w:bookmarkEnd w:id="536"/>
      <w:bookmarkEnd w:id="537"/>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No. 24 of 1970 s. 10.]</w:t>
      </w:r>
    </w:p>
    <w:p>
      <w:pPr>
        <w:pStyle w:val="Ednotepart"/>
      </w:pPr>
      <w:r>
        <w:t>[Part VIIIB deleted: No. 103 of 1994 s. 18.]</w:t>
      </w:r>
    </w:p>
    <w:p>
      <w:pPr>
        <w:pStyle w:val="Heading2"/>
      </w:pPr>
      <w:bookmarkStart w:id="538" w:name="_Toc225760880"/>
      <w:bookmarkStart w:id="539" w:name="_Toc225761212"/>
      <w:bookmarkStart w:id="540" w:name="_Toc225765907"/>
      <w:bookmarkStart w:id="541" w:name="_Toc209701356"/>
      <w:bookmarkStart w:id="542" w:name="_Toc209702974"/>
      <w:bookmarkStart w:id="543" w:name="_Toc209703306"/>
      <w:bookmarkStart w:id="544" w:name="_Toc209710832"/>
      <w:r>
        <w:rPr>
          <w:rStyle w:val="CharPartNo"/>
        </w:rPr>
        <w:t>Part IX</w:t>
      </w:r>
      <w:r>
        <w:t> — </w:t>
      </w:r>
      <w:r>
        <w:rPr>
          <w:rStyle w:val="CharPartText"/>
        </w:rPr>
        <w:t>Infectious diseases</w:t>
      </w:r>
      <w:bookmarkEnd w:id="538"/>
      <w:bookmarkEnd w:id="539"/>
      <w:bookmarkEnd w:id="540"/>
      <w:bookmarkEnd w:id="541"/>
      <w:bookmarkEnd w:id="542"/>
      <w:bookmarkEnd w:id="543"/>
      <w:bookmarkEnd w:id="544"/>
    </w:p>
    <w:p>
      <w:pPr>
        <w:pStyle w:val="Heading3"/>
        <w:spacing w:before="200"/>
        <w:rPr>
          <w:snapToGrid w:val="0"/>
        </w:rPr>
      </w:pPr>
      <w:bookmarkStart w:id="545" w:name="_Toc225760881"/>
      <w:bookmarkStart w:id="546" w:name="_Toc225761213"/>
      <w:bookmarkStart w:id="547" w:name="_Toc225765908"/>
      <w:bookmarkStart w:id="548" w:name="_Toc209701357"/>
      <w:bookmarkStart w:id="549" w:name="_Toc209702975"/>
      <w:bookmarkStart w:id="550" w:name="_Toc209703307"/>
      <w:bookmarkStart w:id="551" w:name="_Toc209710833"/>
      <w:r>
        <w:rPr>
          <w:rStyle w:val="CharDivNo"/>
        </w:rPr>
        <w:t>Division 1</w:t>
      </w:r>
      <w:r>
        <w:rPr>
          <w:snapToGrid w:val="0"/>
        </w:rPr>
        <w:t> — </w:t>
      </w:r>
      <w:r>
        <w:rPr>
          <w:rStyle w:val="CharDivText"/>
        </w:rPr>
        <w:t>General provisions</w:t>
      </w:r>
      <w:bookmarkEnd w:id="545"/>
      <w:bookmarkEnd w:id="546"/>
      <w:bookmarkEnd w:id="547"/>
      <w:bookmarkEnd w:id="548"/>
      <w:bookmarkEnd w:id="549"/>
      <w:bookmarkEnd w:id="550"/>
      <w:bookmarkEnd w:id="551"/>
    </w:p>
    <w:p>
      <w:pPr>
        <w:pStyle w:val="Ednotesection"/>
        <w:spacing w:before="180"/>
        <w:ind w:left="890" w:hanging="890"/>
      </w:pPr>
      <w:r>
        <w:t>[</w:t>
      </w:r>
      <w:r>
        <w:rPr>
          <w:b/>
        </w:rPr>
        <w:t>248.</w:t>
      </w:r>
      <w:r>
        <w:tab/>
        <w:t>Deleted: No. 19 of 2016 s. 240.]</w:t>
      </w:r>
    </w:p>
    <w:p>
      <w:pPr>
        <w:pStyle w:val="Heading5"/>
        <w:rPr>
          <w:snapToGrid w:val="0"/>
        </w:rPr>
      </w:pPr>
      <w:bookmarkStart w:id="552" w:name="_Toc225765909"/>
      <w:bookmarkStart w:id="553" w:name="_Toc209710834"/>
      <w:r>
        <w:rPr>
          <w:rStyle w:val="CharSectno"/>
        </w:rPr>
        <w:t>249</w:t>
      </w:r>
      <w:r>
        <w:rPr>
          <w:snapToGrid w:val="0"/>
        </w:rPr>
        <w:t>.</w:t>
      </w:r>
      <w:r>
        <w:rPr>
          <w:snapToGrid w:val="0"/>
        </w:rPr>
        <w:tab/>
        <w:t>Local laws to prevent spread of infectious disease</w:t>
      </w:r>
      <w:bookmarkEnd w:id="552"/>
      <w:bookmarkEnd w:id="553"/>
    </w:p>
    <w:p>
      <w:pPr>
        <w:pStyle w:val="Subsection"/>
        <w:spacing w:before="20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spacing w:before="100"/>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spacing w:before="100"/>
        <w:rPr>
          <w:snapToGrid w:val="0"/>
        </w:rPr>
      </w:pPr>
      <w:r>
        <w:rPr>
          <w:snapToGrid w:val="0"/>
        </w:rPr>
        <w:tab/>
        <w:t>(2)</w:t>
      </w:r>
      <w:r>
        <w:rPr>
          <w:snapToGrid w:val="0"/>
        </w:rPr>
        <w:tab/>
        <w:t>for the cleansing and disinfecting of houses, buildings, yards, drains, sewers, and things;</w:t>
      </w:r>
    </w:p>
    <w:p>
      <w:pPr>
        <w:pStyle w:val="Indenta"/>
        <w:spacing w:before="100"/>
        <w:rPr>
          <w:snapToGrid w:val="0"/>
        </w:rPr>
      </w:pPr>
      <w:r>
        <w:rPr>
          <w:snapToGrid w:val="0"/>
        </w:rPr>
        <w:tab/>
        <w:t>(3)</w:t>
      </w:r>
      <w:r>
        <w:rPr>
          <w:snapToGrid w:val="0"/>
        </w:rPr>
        <w:tab/>
        <w:t>for the ventilating of houses and buildings, or of rooms therein;</w:t>
      </w:r>
    </w:p>
    <w:p>
      <w:pPr>
        <w:pStyle w:val="Indenta"/>
        <w:spacing w:before="100"/>
        <w:rPr>
          <w:snapToGrid w:val="0"/>
        </w:rPr>
      </w:pPr>
      <w:r>
        <w:rPr>
          <w:snapToGrid w:val="0"/>
        </w:rPr>
        <w:tab/>
        <w:t>(4)</w:t>
      </w:r>
      <w:r>
        <w:rPr>
          <w:snapToGrid w:val="0"/>
        </w:rPr>
        <w:tab/>
        <w:t>for the isolating, disinfecting and disinfecting of persons, houses, buildings, places and things;</w:t>
      </w:r>
    </w:p>
    <w:p>
      <w:pPr>
        <w:pStyle w:val="Indenta"/>
        <w:spacing w:before="100"/>
        <w:rPr>
          <w:snapToGrid w:val="0"/>
        </w:rPr>
      </w:pPr>
      <w:r>
        <w:rPr>
          <w:snapToGrid w:val="0"/>
        </w:rPr>
        <w:tab/>
        <w:t>(5)</w:t>
      </w:r>
      <w:r>
        <w:rPr>
          <w:snapToGrid w:val="0"/>
        </w:rPr>
        <w:tab/>
        <w:t>for the providing of medical and nursing aid and accommodation for the sick;</w:t>
      </w:r>
    </w:p>
    <w:p>
      <w:pPr>
        <w:pStyle w:val="Indenta"/>
        <w:spacing w:before="100"/>
        <w:rPr>
          <w:snapToGrid w:val="0"/>
        </w:rPr>
      </w:pPr>
      <w:r>
        <w:rPr>
          <w:snapToGrid w:val="0"/>
        </w:rPr>
        <w:tab/>
        <w:t>(6)</w:t>
      </w:r>
      <w:r>
        <w:rPr>
          <w:snapToGrid w:val="0"/>
        </w:rPr>
        <w:tab/>
        <w:t>for the removal and curative treatment of the sick;</w:t>
      </w:r>
    </w:p>
    <w:p>
      <w:pPr>
        <w:pStyle w:val="Indenta"/>
        <w:spacing w:before="100"/>
        <w:rPr>
          <w:snapToGrid w:val="0"/>
        </w:rPr>
      </w:pPr>
      <w:r>
        <w:rPr>
          <w:snapToGrid w:val="0"/>
        </w:rPr>
        <w:tab/>
        <w:t>(7)</w:t>
      </w:r>
      <w:r>
        <w:rPr>
          <w:snapToGrid w:val="0"/>
        </w:rPr>
        <w:tab/>
        <w:t>for the speedy disposal of the dead;</w:t>
      </w:r>
    </w:p>
    <w:p>
      <w:pPr>
        <w:pStyle w:val="Indenta"/>
        <w:spacing w:before="100"/>
        <w:rPr>
          <w:snapToGrid w:val="0"/>
        </w:rPr>
      </w:pPr>
      <w:r>
        <w:rPr>
          <w:snapToGrid w:val="0"/>
        </w:rPr>
        <w:tab/>
        <w:t>(8)</w:t>
      </w:r>
      <w:r>
        <w:rPr>
          <w:snapToGrid w:val="0"/>
        </w:rPr>
        <w:tab/>
        <w:t>for the destruction or amendment of insanitary houses, buildings, and things;</w:t>
      </w:r>
    </w:p>
    <w:p>
      <w:pPr>
        <w:pStyle w:val="Indenta"/>
        <w:spacing w:before="100"/>
        <w:rPr>
          <w:snapToGrid w:val="0"/>
        </w:rPr>
      </w:pPr>
      <w:r>
        <w:rPr>
          <w:snapToGrid w:val="0"/>
        </w:rPr>
        <w:tab/>
        <w:t>(9)</w:t>
      </w:r>
      <w:r>
        <w:rPr>
          <w:snapToGrid w:val="0"/>
        </w:rPr>
        <w:tab/>
        <w:t>for the destruction of infected animals, or of animals or insects suspected or liable to be infected, or to convey infection;</w:t>
      </w:r>
    </w:p>
    <w:p>
      <w:pPr>
        <w:pStyle w:val="Indenta"/>
        <w:keepNext/>
        <w:spacing w:before="100"/>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formerly section 203, amended: No. 3 of 1912 s. 3; renumbered as section 249: No. 38 of 1933 s. 42; amended: No. 71 of 1948 s. 10; No. 28 of 1984 s. 45; No. 80 of 1987 s. 112; No. 14 of 1996 s. 4.]</w:t>
      </w:r>
    </w:p>
    <w:p>
      <w:pPr>
        <w:pStyle w:val="Ednotesection"/>
        <w:spacing w:before="180"/>
        <w:ind w:left="890" w:hanging="890"/>
      </w:pPr>
      <w:r>
        <w:t>[</w:t>
      </w:r>
      <w:r>
        <w:rPr>
          <w:b/>
        </w:rPr>
        <w:t>250</w:t>
      </w:r>
      <w:r>
        <w:rPr>
          <w:b/>
        </w:rPr>
        <w:noBreakHyphen/>
        <w:t>275.</w:t>
      </w:r>
      <w:r>
        <w:tab/>
        <w:t>Deleted: No. 19 of 2016 s. 242.]</w:t>
      </w:r>
    </w:p>
    <w:p>
      <w:pPr>
        <w:pStyle w:val="Ednotedivision"/>
      </w:pPr>
      <w:r>
        <w:t>[Division 2:</w:t>
      </w:r>
      <w:r>
        <w:tab/>
        <w:t>s. 276-280 deleted: No. 19 of 2016 s. 243;</w:t>
      </w:r>
      <w:r>
        <w:br/>
      </w:r>
      <w:r>
        <w:tab/>
      </w:r>
      <w:r>
        <w:tab/>
        <w:t>s. 281 deleted: No. 24 of 2000 s. 16(2);</w:t>
      </w:r>
      <w:r>
        <w:br/>
      </w:r>
      <w:r>
        <w:tab/>
      </w:r>
      <w:r>
        <w:tab/>
        <w:t>s. 282-289 deleted: No. 19 of 2016 s. 243.]</w:t>
      </w:r>
    </w:p>
    <w:p>
      <w:pPr>
        <w:pStyle w:val="Heading2"/>
      </w:pPr>
      <w:bookmarkStart w:id="554" w:name="_Toc225760883"/>
      <w:bookmarkStart w:id="555" w:name="_Toc225761215"/>
      <w:bookmarkStart w:id="556" w:name="_Toc225765910"/>
      <w:bookmarkStart w:id="557" w:name="_Toc209701359"/>
      <w:bookmarkStart w:id="558" w:name="_Toc209702977"/>
      <w:bookmarkStart w:id="559" w:name="_Toc209703309"/>
      <w:bookmarkStart w:id="560" w:name="_Toc209710835"/>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554"/>
      <w:bookmarkEnd w:id="555"/>
      <w:bookmarkEnd w:id="556"/>
      <w:bookmarkEnd w:id="557"/>
      <w:bookmarkEnd w:id="558"/>
      <w:bookmarkEnd w:id="559"/>
      <w:bookmarkEnd w:id="560"/>
    </w:p>
    <w:p>
      <w:pPr>
        <w:pStyle w:val="Footnoteheading"/>
        <w:ind w:left="890" w:hanging="890"/>
        <w:rPr>
          <w:snapToGrid w:val="0"/>
        </w:rPr>
      </w:pPr>
      <w:r>
        <w:rPr>
          <w:snapToGrid w:val="0"/>
        </w:rPr>
        <w:tab/>
        <w:t>[Heading inserted: No. 21 of 1957 s. 11.]</w:t>
      </w:r>
    </w:p>
    <w:p>
      <w:pPr>
        <w:pStyle w:val="Heading5"/>
        <w:rPr>
          <w:snapToGrid w:val="0"/>
        </w:rPr>
      </w:pPr>
      <w:bookmarkStart w:id="561" w:name="_Toc225765911"/>
      <w:bookmarkStart w:id="562" w:name="_Toc209710836"/>
      <w:r>
        <w:rPr>
          <w:rStyle w:val="CharSectno"/>
        </w:rPr>
        <w:t>289A</w:t>
      </w:r>
      <w:r>
        <w:rPr>
          <w:snapToGrid w:val="0"/>
        </w:rPr>
        <w:t>.</w:t>
      </w:r>
      <w:r>
        <w:rPr>
          <w:snapToGrid w:val="0"/>
        </w:rPr>
        <w:tab/>
        <w:t>Objects of this Part</w:t>
      </w:r>
      <w:bookmarkEnd w:id="561"/>
      <w:bookmarkEnd w:id="562"/>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No. 21 of 1957 s. 11.]</w:t>
      </w:r>
    </w:p>
    <w:p>
      <w:pPr>
        <w:pStyle w:val="Heading5"/>
        <w:rPr>
          <w:snapToGrid w:val="0"/>
        </w:rPr>
      </w:pPr>
      <w:bookmarkStart w:id="563" w:name="_Toc225765912"/>
      <w:bookmarkStart w:id="564" w:name="_Toc209710837"/>
      <w:r>
        <w:rPr>
          <w:rStyle w:val="CharSectno"/>
        </w:rPr>
        <w:t>289B</w:t>
      </w:r>
      <w:r>
        <w:rPr>
          <w:snapToGrid w:val="0"/>
        </w:rPr>
        <w:t>.</w:t>
      </w:r>
      <w:r>
        <w:rPr>
          <w:snapToGrid w:val="0"/>
        </w:rPr>
        <w:tab/>
        <w:t>Term used: prescribed condition of health</w:t>
      </w:r>
      <w:bookmarkEnd w:id="563"/>
      <w:bookmarkEnd w:id="564"/>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No. 21 of 1957 s. 11]</w:t>
      </w:r>
    </w:p>
    <w:p>
      <w:pPr>
        <w:pStyle w:val="Heading5"/>
        <w:rPr>
          <w:snapToGrid w:val="0"/>
        </w:rPr>
      </w:pPr>
      <w:bookmarkStart w:id="565" w:name="_Toc225765913"/>
      <w:bookmarkStart w:id="566" w:name="_Toc209710838"/>
      <w:r>
        <w:rPr>
          <w:rStyle w:val="CharSectno"/>
        </w:rPr>
        <w:t>289C</w:t>
      </w:r>
      <w:r>
        <w:rPr>
          <w:snapToGrid w:val="0"/>
        </w:rPr>
        <w:t>.</w:t>
      </w:r>
      <w:r>
        <w:rPr>
          <w:snapToGrid w:val="0"/>
        </w:rPr>
        <w:tab/>
        <w:t>Regulation as to Part IXA</w:t>
      </w:r>
      <w:bookmarkEnd w:id="565"/>
      <w:bookmarkEnd w:id="566"/>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 and</w:t>
      </w:r>
    </w:p>
    <w:p>
      <w:pPr>
        <w:pStyle w:val="Indenta"/>
        <w:rPr>
          <w:snapToGrid w:val="0"/>
        </w:rPr>
      </w:pPr>
      <w:r>
        <w:rPr>
          <w:snapToGrid w:val="0"/>
        </w:rPr>
        <w:tab/>
        <w:t>(b)</w:t>
      </w:r>
      <w:r>
        <w:rPr>
          <w:snapToGrid w:val="0"/>
        </w:rPr>
        <w:tab/>
        <w:t>how, when, by whom, and to whom, cases of prescribed conditions of health must be notified; and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 xml:space="preserve">functions, powers, and duties of any person or class of person, whether the Minister, the </w:t>
      </w:r>
      <w:r>
        <w:t>Chief Health Officer</w:t>
      </w:r>
      <w:r>
        <w:rPr>
          <w:snapToGrid w:val="0"/>
        </w:rPr>
        <w:t>, a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No. 21 of 1957 s. 11; amended: No. 28 of 1984 s. 45; No. 19 of 2016 s. 99 and 100.]</w:t>
      </w:r>
    </w:p>
    <w:p>
      <w:pPr>
        <w:pStyle w:val="Heading5"/>
        <w:rPr>
          <w:snapToGrid w:val="0"/>
        </w:rPr>
      </w:pPr>
      <w:bookmarkStart w:id="567" w:name="_Toc225765914"/>
      <w:bookmarkStart w:id="568" w:name="_Toc209710839"/>
      <w:r>
        <w:rPr>
          <w:rStyle w:val="CharSectno"/>
        </w:rPr>
        <w:t>289D</w:t>
      </w:r>
      <w:r>
        <w:rPr>
          <w:snapToGrid w:val="0"/>
        </w:rPr>
        <w:t>.</w:t>
      </w:r>
      <w:r>
        <w:rPr>
          <w:snapToGrid w:val="0"/>
        </w:rPr>
        <w:tab/>
        <w:t>Powers conferred by this Part are cumulative</w:t>
      </w:r>
      <w:bookmarkEnd w:id="567"/>
      <w:bookmarkEnd w:id="568"/>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No. 21 of 1957 s. 11.]</w:t>
      </w:r>
    </w:p>
    <w:p>
      <w:pPr>
        <w:pStyle w:val="Ednotepart"/>
      </w:pPr>
      <w:r>
        <w:t>[Part IXB (s. 289E-289I) deleted: No. 5 of 2006 s. 126.]</w:t>
      </w:r>
    </w:p>
    <w:p>
      <w:pPr>
        <w:pStyle w:val="Ednotepart"/>
      </w:pPr>
      <w:r>
        <w:t>[Part X:</w:t>
      </w:r>
      <w:r>
        <w:tab/>
        <w:t>s. 290 deleted: No. 19 of 2016 s. 245;</w:t>
      </w:r>
      <w:r>
        <w:br/>
      </w:r>
      <w:r>
        <w:tab/>
      </w:r>
      <w:r>
        <w:tab/>
        <w:t>s. 291 deleted: No. 53 of 1985 s. 6;</w:t>
      </w:r>
      <w:r>
        <w:br/>
      </w:r>
      <w:r>
        <w:tab/>
      </w:r>
      <w:r>
        <w:tab/>
        <w:t>s. 292-296 deleted: No. 19 of 2016 s. 245.]</w:t>
      </w:r>
    </w:p>
    <w:p>
      <w:pPr>
        <w:pStyle w:val="Ednotepart"/>
      </w:pPr>
      <w:r>
        <w:t>[Part XI:</w:t>
      </w:r>
      <w:r>
        <w:tab/>
        <w:t>s. 297</w:t>
      </w:r>
      <w:r>
        <w:noBreakHyphen/>
        <w:t>299 deleted: No. 23 of 2006 s. 7;</w:t>
      </w:r>
      <w:r>
        <w:br/>
      </w:r>
      <w:r>
        <w:tab/>
      </w:r>
      <w:r>
        <w:tab/>
        <w:t>s. 300, 300A deleted: No. 19 of 2016 s. 246;</w:t>
      </w:r>
      <w:r>
        <w:br/>
      </w:r>
      <w:r>
        <w:tab/>
      </w:r>
      <w:r>
        <w:tab/>
        <w:t>s. 301</w:t>
      </w:r>
      <w:r>
        <w:noBreakHyphen/>
        <w:t>305 deleted: No. 23 of 2006 s. 10;</w:t>
      </w:r>
      <w:r>
        <w:br/>
      </w:r>
      <w:r>
        <w:tab/>
      </w:r>
      <w:r>
        <w:tab/>
        <w:t>s. 306, 307 deleted: No. 19 of 2016 s. 246;</w:t>
      </w:r>
      <w:r>
        <w:br/>
      </w:r>
      <w:r>
        <w:tab/>
      </w:r>
      <w:r>
        <w:tab/>
        <w:t xml:space="preserve">s. 308 deleted: </w:t>
      </w:r>
      <w:r>
        <w:rPr>
          <w:spacing w:val="-6"/>
        </w:rPr>
        <w:t>No. 34 of 2004</w:t>
      </w:r>
      <w:r>
        <w:t xml:space="preserve"> Sch. 2 cl. 12(2);</w:t>
      </w:r>
      <w:r>
        <w:br/>
      </w:r>
      <w:r>
        <w:tab/>
      </w:r>
      <w:r>
        <w:tab/>
        <w:t>s. 309</w:t>
      </w:r>
      <w:r>
        <w:noBreakHyphen/>
        <w:t>314 deleted: No. 19 of 2016 s. 246;</w:t>
      </w:r>
      <w:r>
        <w:br/>
      </w:r>
      <w:r>
        <w:tab/>
      </w:r>
      <w:r>
        <w:tab/>
        <w:t>s. 315 deleted: No. 23 of 2006 s. 12;</w:t>
      </w:r>
      <w:r>
        <w:br/>
      </w:r>
      <w:r>
        <w:tab/>
      </w:r>
      <w:r>
        <w:tab/>
        <w:t>s. 316 deleted: No. 19 of 2016 s. 246.]</w:t>
      </w:r>
    </w:p>
    <w:p>
      <w:pPr>
        <w:pStyle w:val="Heading2"/>
      </w:pPr>
      <w:bookmarkStart w:id="569" w:name="_Toc225760888"/>
      <w:bookmarkStart w:id="570" w:name="_Toc225761220"/>
      <w:bookmarkStart w:id="571" w:name="_Toc225765915"/>
      <w:bookmarkStart w:id="572" w:name="_Toc209701364"/>
      <w:bookmarkStart w:id="573" w:name="_Toc209702982"/>
      <w:bookmarkStart w:id="574" w:name="_Toc209703314"/>
      <w:bookmarkStart w:id="575" w:name="_Toc209710840"/>
      <w:r>
        <w:rPr>
          <w:rStyle w:val="CharPartNo"/>
        </w:rPr>
        <w:t>Part XII</w:t>
      </w:r>
      <w:r>
        <w:t> — </w:t>
      </w:r>
      <w:r>
        <w:rPr>
          <w:rStyle w:val="CharPartText"/>
        </w:rPr>
        <w:t>Hospitals</w:t>
      </w:r>
      <w:bookmarkEnd w:id="569"/>
      <w:bookmarkEnd w:id="570"/>
      <w:bookmarkEnd w:id="571"/>
      <w:bookmarkEnd w:id="572"/>
      <w:bookmarkEnd w:id="573"/>
      <w:bookmarkEnd w:id="574"/>
      <w:bookmarkEnd w:id="575"/>
    </w:p>
    <w:p>
      <w:pPr>
        <w:pStyle w:val="Heading3"/>
      </w:pPr>
      <w:bookmarkStart w:id="576" w:name="_Toc225760889"/>
      <w:bookmarkStart w:id="577" w:name="_Toc225761221"/>
      <w:bookmarkStart w:id="578" w:name="_Toc225765916"/>
      <w:bookmarkStart w:id="579" w:name="_Toc209701365"/>
      <w:bookmarkStart w:id="580" w:name="_Toc209702983"/>
      <w:bookmarkStart w:id="581" w:name="_Toc209703315"/>
      <w:bookmarkStart w:id="582" w:name="_Toc209710841"/>
      <w:r>
        <w:rPr>
          <w:rStyle w:val="CharDivNo"/>
        </w:rPr>
        <w:t>Division 1</w:t>
      </w:r>
      <w:r>
        <w:rPr>
          <w:snapToGrid w:val="0"/>
        </w:rPr>
        <w:t> — </w:t>
      </w:r>
      <w:r>
        <w:rPr>
          <w:rStyle w:val="CharDivText"/>
        </w:rPr>
        <w:t>Public hospital</w:t>
      </w:r>
      <w:bookmarkEnd w:id="576"/>
      <w:bookmarkEnd w:id="577"/>
      <w:bookmarkEnd w:id="578"/>
      <w:bookmarkEnd w:id="579"/>
      <w:bookmarkEnd w:id="580"/>
      <w:bookmarkEnd w:id="581"/>
      <w:bookmarkEnd w:id="582"/>
    </w:p>
    <w:p>
      <w:pPr>
        <w:pStyle w:val="Ednotesection"/>
      </w:pPr>
      <w:r>
        <w:t>[</w:t>
      </w:r>
      <w:r>
        <w:rPr>
          <w:b/>
        </w:rPr>
        <w:t>316A, 317</w:t>
      </w:r>
      <w:r>
        <w:rPr>
          <w:b/>
        </w:rPr>
        <w:noBreakHyphen/>
        <w:t xml:space="preserve">323, 323A, 323B.  </w:t>
      </w:r>
      <w:r>
        <w:t xml:space="preserve"> Deleted: No. 47 of 1978 s. 31.]</w:t>
      </w:r>
    </w:p>
    <w:p>
      <w:pPr>
        <w:pStyle w:val="Heading5"/>
        <w:rPr>
          <w:snapToGrid w:val="0"/>
        </w:rPr>
      </w:pPr>
      <w:bookmarkStart w:id="583" w:name="_Toc225765917"/>
      <w:bookmarkStart w:id="584" w:name="_Toc209710842"/>
      <w:r>
        <w:rPr>
          <w:rStyle w:val="CharSectno"/>
        </w:rPr>
        <w:t>324</w:t>
      </w:r>
      <w:r>
        <w:rPr>
          <w:snapToGrid w:val="0"/>
        </w:rPr>
        <w:t>.</w:t>
      </w:r>
      <w:r>
        <w:rPr>
          <w:snapToGrid w:val="0"/>
        </w:rPr>
        <w:tab/>
        <w:t>Local governments may establish or subsidise hospitals</w:t>
      </w:r>
      <w:bookmarkEnd w:id="583"/>
      <w:bookmarkEnd w:id="584"/>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No. 17 of 1956 s. 2; amended: No. 33 of 1962 s. 5; No. 53 of 1985 s. 11; No. 14 of 1996 s. 4.]</w:t>
      </w:r>
    </w:p>
    <w:p>
      <w:pPr>
        <w:pStyle w:val="Heading5"/>
        <w:rPr>
          <w:snapToGrid w:val="0"/>
        </w:rPr>
      </w:pPr>
      <w:bookmarkStart w:id="585" w:name="_Toc225765918"/>
      <w:bookmarkStart w:id="586" w:name="_Toc209710843"/>
      <w:r>
        <w:rPr>
          <w:rStyle w:val="CharSectno"/>
        </w:rPr>
        <w:t>324A</w:t>
      </w:r>
      <w:r>
        <w:rPr>
          <w:snapToGrid w:val="0"/>
        </w:rPr>
        <w:t>.</w:t>
      </w:r>
      <w:r>
        <w:rPr>
          <w:snapToGrid w:val="0"/>
        </w:rPr>
        <w:tab/>
        <w:t xml:space="preserve">Power for </w:t>
      </w:r>
      <w:r>
        <w:t xml:space="preserve">CEO </w:t>
      </w:r>
      <w:r>
        <w:rPr>
          <w:snapToGrid w:val="0"/>
        </w:rPr>
        <w:t>to enter into agreement for establishment of maternal and health centres and provide nursing staff etc.</w:t>
      </w:r>
      <w:bookmarkEnd w:id="585"/>
      <w:bookmarkEnd w:id="586"/>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No. 45 of 1954 s. 11; amended: No. 14 of 1996 s. 4; No. 28 of 2006 s. 251.]</w:t>
      </w:r>
    </w:p>
    <w:p>
      <w:pPr>
        <w:pStyle w:val="Ednotedivision"/>
      </w:pPr>
      <w:r>
        <w:t>[Division 2 (s. 325) and Division 3 (s. 326</w:t>
      </w:r>
      <w:r>
        <w:noBreakHyphen/>
        <w:t>330) deleted: No. 53 of 1985 s. 12.]</w:t>
      </w:r>
    </w:p>
    <w:p>
      <w:pPr>
        <w:pStyle w:val="Heading2"/>
      </w:pPr>
      <w:bookmarkStart w:id="587" w:name="_Toc225760892"/>
      <w:bookmarkStart w:id="588" w:name="_Toc225761224"/>
      <w:bookmarkStart w:id="589" w:name="_Toc225765919"/>
      <w:bookmarkStart w:id="590" w:name="_Toc209701368"/>
      <w:bookmarkStart w:id="591" w:name="_Toc209702986"/>
      <w:bookmarkStart w:id="592" w:name="_Toc209703318"/>
      <w:bookmarkStart w:id="593" w:name="_Toc209710844"/>
      <w:r>
        <w:rPr>
          <w:rStyle w:val="CharPartNo"/>
        </w:rPr>
        <w:t>Part XIIA</w:t>
      </w:r>
      <w:r>
        <w:rPr>
          <w:rStyle w:val="CharDivNo"/>
        </w:rPr>
        <w:t> </w:t>
      </w:r>
      <w:r>
        <w:t>—</w:t>
      </w:r>
      <w:r>
        <w:rPr>
          <w:rStyle w:val="CharDivText"/>
        </w:rPr>
        <w:t> </w:t>
      </w:r>
      <w:r>
        <w:rPr>
          <w:rStyle w:val="CharPartText"/>
        </w:rPr>
        <w:t>Community health centres, etc.</w:t>
      </w:r>
      <w:bookmarkEnd w:id="587"/>
      <w:bookmarkEnd w:id="588"/>
      <w:bookmarkEnd w:id="589"/>
      <w:bookmarkEnd w:id="590"/>
      <w:bookmarkEnd w:id="591"/>
      <w:bookmarkEnd w:id="592"/>
      <w:bookmarkEnd w:id="593"/>
    </w:p>
    <w:p>
      <w:pPr>
        <w:pStyle w:val="Footnoteheading"/>
        <w:ind w:left="890" w:hanging="890"/>
        <w:rPr>
          <w:snapToGrid w:val="0"/>
        </w:rPr>
      </w:pPr>
      <w:r>
        <w:rPr>
          <w:snapToGrid w:val="0"/>
        </w:rPr>
        <w:tab/>
        <w:t>[Heading inserted: No. 101 of 1976 s. 11.]</w:t>
      </w:r>
    </w:p>
    <w:p>
      <w:pPr>
        <w:pStyle w:val="Heading5"/>
        <w:rPr>
          <w:snapToGrid w:val="0"/>
        </w:rPr>
      </w:pPr>
      <w:bookmarkStart w:id="594" w:name="_Toc225765920"/>
      <w:bookmarkStart w:id="595" w:name="_Toc209710845"/>
      <w:r>
        <w:rPr>
          <w:rStyle w:val="CharSectno"/>
        </w:rPr>
        <w:t>330A</w:t>
      </w:r>
      <w:r>
        <w:rPr>
          <w:snapToGrid w:val="0"/>
        </w:rPr>
        <w:t>.</w:t>
      </w:r>
      <w:r>
        <w:rPr>
          <w:snapToGrid w:val="0"/>
        </w:rPr>
        <w:tab/>
        <w:t>Land may be acquired or leased for community health centres</w:t>
      </w:r>
      <w:bookmarkEnd w:id="594"/>
      <w:bookmarkEnd w:id="595"/>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No. 101 of 1976 s. 11; amended: No. 31 of 1997 s. 142.]</w:t>
      </w:r>
    </w:p>
    <w:p>
      <w:pPr>
        <w:pStyle w:val="Heading5"/>
        <w:rPr>
          <w:snapToGrid w:val="0"/>
        </w:rPr>
      </w:pPr>
      <w:bookmarkStart w:id="596" w:name="_Toc225765921"/>
      <w:bookmarkStart w:id="597" w:name="_Toc209710846"/>
      <w:r>
        <w:rPr>
          <w:rStyle w:val="CharSectno"/>
        </w:rPr>
        <w:t>330B</w:t>
      </w:r>
      <w:r>
        <w:rPr>
          <w:snapToGrid w:val="0"/>
        </w:rPr>
        <w:t>.</w:t>
      </w:r>
      <w:r>
        <w:rPr>
          <w:snapToGrid w:val="0"/>
        </w:rPr>
        <w:tab/>
        <w:t>Local governments may subsidise certain medical centres</w:t>
      </w:r>
      <w:bookmarkEnd w:id="596"/>
      <w:bookmarkEnd w:id="597"/>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No. 47 of 1978 s. 32; amended: No. 14 of 1996 s. 4; No. 28 of 2006 s. 251.]</w:t>
      </w:r>
    </w:p>
    <w:p>
      <w:pPr>
        <w:pStyle w:val="Heading2"/>
      </w:pPr>
      <w:bookmarkStart w:id="598" w:name="_Toc225760895"/>
      <w:bookmarkStart w:id="599" w:name="_Toc225761227"/>
      <w:bookmarkStart w:id="600" w:name="_Toc225765922"/>
      <w:bookmarkStart w:id="601" w:name="_Toc209701371"/>
      <w:bookmarkStart w:id="602" w:name="_Toc209702989"/>
      <w:bookmarkStart w:id="603" w:name="_Toc209703321"/>
      <w:bookmarkStart w:id="604" w:name="_Toc209710847"/>
      <w:r>
        <w:rPr>
          <w:rStyle w:val="CharPartNo"/>
        </w:rPr>
        <w:t>Part XIII</w:t>
      </w:r>
      <w:r>
        <w:rPr>
          <w:rStyle w:val="CharDivNo"/>
        </w:rPr>
        <w:t> </w:t>
      </w:r>
      <w:r>
        <w:t>—</w:t>
      </w:r>
      <w:r>
        <w:rPr>
          <w:rStyle w:val="CharDivText"/>
        </w:rPr>
        <w:t> </w:t>
      </w:r>
      <w:r>
        <w:rPr>
          <w:rStyle w:val="CharPartText"/>
        </w:rPr>
        <w:t>Child health and preventive medicine</w:t>
      </w:r>
      <w:bookmarkEnd w:id="598"/>
      <w:bookmarkEnd w:id="599"/>
      <w:bookmarkEnd w:id="600"/>
      <w:bookmarkEnd w:id="601"/>
      <w:bookmarkEnd w:id="602"/>
      <w:bookmarkEnd w:id="603"/>
      <w:bookmarkEnd w:id="604"/>
    </w:p>
    <w:p>
      <w:pPr>
        <w:pStyle w:val="Footnoteheading"/>
        <w:ind w:left="890" w:hanging="890"/>
        <w:rPr>
          <w:snapToGrid w:val="0"/>
        </w:rPr>
      </w:pPr>
      <w:r>
        <w:rPr>
          <w:snapToGrid w:val="0"/>
        </w:rPr>
        <w:tab/>
        <w:t>[Heading inserted: No. 102 of 1973 s. 21.]</w:t>
      </w:r>
    </w:p>
    <w:p>
      <w:pPr>
        <w:pStyle w:val="Heading5"/>
        <w:spacing w:before="180"/>
      </w:pPr>
      <w:bookmarkStart w:id="605" w:name="_Toc225765923"/>
      <w:bookmarkStart w:id="606" w:name="_Toc209710848"/>
      <w:r>
        <w:rPr>
          <w:rStyle w:val="CharSectno"/>
        </w:rPr>
        <w:t>331</w:t>
      </w:r>
      <w:r>
        <w:t>.</w:t>
      </w:r>
      <w:r>
        <w:tab/>
        <w:t>Terms used</w:t>
      </w:r>
      <w:bookmarkEnd w:id="605"/>
      <w:bookmarkEnd w:id="606"/>
    </w:p>
    <w:p>
      <w:pPr>
        <w:pStyle w:val="Subsection"/>
      </w:pPr>
      <w:r>
        <w:tab/>
      </w:r>
      <w:r>
        <w:tab/>
        <w:t xml:space="preserve">In this Part — </w:t>
      </w:r>
    </w:p>
    <w:p>
      <w:pPr>
        <w:pStyle w:val="Defstart"/>
      </w:pPr>
      <w:r>
        <w:tab/>
      </w:r>
      <w:r>
        <w:rPr>
          <w:rStyle w:val="CharDefText"/>
        </w:rPr>
        <w:t>birth</w:t>
      </w:r>
      <w:r>
        <w:t xml:space="preserve"> has the meaning given in the </w:t>
      </w:r>
      <w:r>
        <w:rPr>
          <w:i/>
        </w:rPr>
        <w:t>Births, Deaths and Marriages Registration Act 1998</w:t>
      </w:r>
      <w:r>
        <w:t xml:space="preserve"> section 4;</w:t>
      </w:r>
    </w:p>
    <w:p>
      <w:pPr>
        <w:pStyle w:val="Defstart"/>
      </w:pPr>
      <w:r>
        <w:tab/>
      </w:r>
      <w:r>
        <w:rPr>
          <w:rStyle w:val="CharDefText"/>
        </w:rPr>
        <w:t>dentist</w:t>
      </w:r>
      <w:r>
        <w:t xml:space="preserve"> means a person registered under the </w:t>
      </w:r>
      <w:r>
        <w:rPr>
          <w:i/>
        </w:rPr>
        <w:t>Health Practitioner Regulation National Law (Western Australia)</w:t>
      </w:r>
      <w:r>
        <w:t xml:space="preserve"> in the dental profession whose name is entered on the Dentists Division of the Register of Dental Practitioners kept under that Law;</w:t>
      </w:r>
    </w:p>
    <w:p>
      <w:pPr>
        <w:pStyle w:val="Defstart"/>
      </w:pPr>
      <w:r>
        <w:tab/>
      </w:r>
      <w:r>
        <w:rPr>
          <w:rStyle w:val="CharDefText"/>
        </w:rPr>
        <w:t>neonatal death</w:t>
      </w:r>
      <w:r>
        <w:t xml:space="preserve"> has the meaning given in the </w:t>
      </w:r>
      <w:r>
        <w:rPr>
          <w:i/>
        </w:rPr>
        <w:t>Births, Deaths and Marriages Registration Act 1998</w:t>
      </w:r>
      <w:r>
        <w:t xml:space="preserve"> section 4;</w:t>
      </w:r>
    </w:p>
    <w:p>
      <w:pPr>
        <w:pStyle w:val="Defstart"/>
      </w:pPr>
      <w:r>
        <w:tab/>
      </w:r>
      <w:r>
        <w:rPr>
          <w:rStyle w:val="CharDefText"/>
        </w:rPr>
        <w:t>perform an abortion</w:t>
      </w:r>
      <w:r>
        <w:t xml:space="preserve"> has the meaning given in the </w:t>
      </w:r>
      <w:r>
        <w:rPr>
          <w:i/>
        </w:rPr>
        <w:t>Public Health Act 2016</w:t>
      </w:r>
      <w:r>
        <w:t xml:space="preserve"> section 202MB;</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(Western Australia)</w:t>
      </w:r>
      <w:r>
        <w:t xml:space="preserve"> in the dental therapist profession;</w:t>
      </w:r>
    </w:p>
    <w:p>
      <w:pPr>
        <w:pStyle w:val="Defstart"/>
      </w:pPr>
      <w:r>
        <w:tab/>
      </w:r>
      <w:r>
        <w:rPr>
          <w:rStyle w:val="CharDefText"/>
        </w:rPr>
        <w:t>still</w:t>
      </w:r>
      <w:r>
        <w:rPr>
          <w:rStyle w:val="CharDefText"/>
        </w:rPr>
        <w:noBreakHyphen/>
        <w:t>birth</w:t>
      </w:r>
      <w:r>
        <w:t xml:space="preserve"> has the meaning given in the </w:t>
      </w:r>
      <w:r>
        <w:rPr>
          <w:i/>
        </w:rPr>
        <w:t>Births, Deaths and Marriages Registration Act 1998</w:t>
      </w:r>
      <w:r>
        <w:t xml:space="preserve"> section 4.</w:t>
      </w:r>
    </w:p>
    <w:p>
      <w:pPr>
        <w:pStyle w:val="Footnotesection"/>
      </w:pPr>
      <w:r>
        <w:tab/>
        <w:t>[Section 331 inserted: No. 35 of 2010 s. 72; amended: No. 20 of 2023 s. 56.]</w:t>
      </w:r>
    </w:p>
    <w:p>
      <w:pPr>
        <w:pStyle w:val="Heading5"/>
      </w:pPr>
      <w:bookmarkStart w:id="607" w:name="_Toc225765924"/>
      <w:bookmarkStart w:id="608" w:name="_Toc209710849"/>
      <w:r>
        <w:rPr>
          <w:rStyle w:val="CharSectno"/>
        </w:rPr>
        <w:t>332</w:t>
      </w:r>
      <w:r>
        <w:t>.</w:t>
      </w:r>
      <w:r>
        <w:tab/>
        <w:t>Application of Part to abortion</w:t>
      </w:r>
      <w:bookmarkEnd w:id="607"/>
      <w:bookmarkEnd w:id="608"/>
    </w:p>
    <w:p>
      <w:pPr>
        <w:pStyle w:val="Subsection"/>
      </w:pPr>
      <w:r>
        <w:tab/>
        <w:t>(1)</w:t>
      </w:r>
      <w:r>
        <w:tab/>
        <w:t xml:space="preserve">Regulations made under section 333 cannot make provision in relation to — </w:t>
      </w:r>
    </w:p>
    <w:p>
      <w:pPr>
        <w:pStyle w:val="Indenta"/>
      </w:pPr>
      <w:r>
        <w:tab/>
        <w:t>(a)</w:t>
      </w:r>
      <w:r>
        <w:tab/>
        <w:t>the performance of abortions; or</w:t>
      </w:r>
    </w:p>
    <w:p>
      <w:pPr>
        <w:pStyle w:val="Indenta"/>
      </w:pPr>
      <w:r>
        <w:tab/>
        <w:t>(b)</w:t>
      </w:r>
      <w:r>
        <w:tab/>
        <w:t>any matter related to or connected with the performance of abortions (including births, still</w:t>
      </w:r>
      <w:r>
        <w:noBreakHyphen/>
        <w:t>births or neonatal deaths that result from the performance of abortions).</w:t>
      </w:r>
    </w:p>
    <w:p>
      <w:pPr>
        <w:pStyle w:val="Subsection"/>
      </w:pPr>
      <w:r>
        <w:tab/>
        <w:t>(2)</w:t>
      </w:r>
      <w:r>
        <w:tab/>
        <w:t xml:space="preserve">Despite anything in sections 335 and 336A, no person is required under those provisions to give any report or notification to the Chief Health Officer or to any other person in relation to — </w:t>
      </w:r>
    </w:p>
    <w:p>
      <w:pPr>
        <w:pStyle w:val="Indenta"/>
      </w:pPr>
      <w:r>
        <w:tab/>
        <w:t>(a)</w:t>
      </w:r>
      <w:r>
        <w:tab/>
        <w:t xml:space="preserve">the performance of an abortion on a person; or </w:t>
      </w:r>
    </w:p>
    <w:p>
      <w:pPr>
        <w:pStyle w:val="Indenta"/>
      </w:pPr>
      <w:r>
        <w:tab/>
        <w:t>(b)</w:t>
      </w:r>
      <w:r>
        <w:tab/>
        <w:t>any birth, still</w:t>
      </w:r>
      <w:r>
        <w:noBreakHyphen/>
        <w:t>birth or neonatal death that results from the performance of the abortion.</w:t>
      </w:r>
    </w:p>
    <w:p>
      <w:pPr>
        <w:pStyle w:val="Subsection"/>
      </w:pPr>
      <w:r>
        <w:tab/>
        <w:t>(3)</w:t>
      </w:r>
      <w:r>
        <w:tab/>
        <w:t>If a person dies as a result of the performance of an abortion on the person, or as a result of any complications arising from or following upon the performance of an abortion on the person, the death is to be treated as the result of pregnancy for the purposes of section 336 and that section applies accordingly.</w:t>
      </w:r>
    </w:p>
    <w:p>
      <w:pPr>
        <w:pStyle w:val="Subsection"/>
      </w:pPr>
      <w:r>
        <w:tab/>
        <w:t>(4)</w:t>
      </w:r>
      <w:r>
        <w:tab/>
        <w:t xml:space="preserve">This section does not affect the obligations of a person under the </w:t>
      </w:r>
      <w:r>
        <w:rPr>
          <w:i/>
        </w:rPr>
        <w:t>Births, Deaths and Marriages Registration Act 1998</w:t>
      </w:r>
      <w:r>
        <w:t>.</w:t>
      </w:r>
    </w:p>
    <w:p>
      <w:pPr>
        <w:pStyle w:val="Footnotesection"/>
      </w:pPr>
      <w:r>
        <w:tab/>
        <w:t>[Section 332 inserted: No. 20 of 2023 s. 57.]</w:t>
      </w:r>
    </w:p>
    <w:p>
      <w:pPr>
        <w:pStyle w:val="Heading5"/>
        <w:spacing w:before="180"/>
        <w:rPr>
          <w:snapToGrid w:val="0"/>
        </w:rPr>
      </w:pPr>
      <w:bookmarkStart w:id="609" w:name="_Toc225765925"/>
      <w:bookmarkStart w:id="610" w:name="_Toc209710850"/>
      <w:r>
        <w:rPr>
          <w:rStyle w:val="CharSectno"/>
        </w:rPr>
        <w:t>333</w:t>
      </w:r>
      <w:r>
        <w:rPr>
          <w:snapToGrid w:val="0"/>
        </w:rPr>
        <w:t>.</w:t>
      </w:r>
      <w:r>
        <w:rPr>
          <w:snapToGrid w:val="0"/>
        </w:rPr>
        <w:tab/>
        <w:t>Regulations</w:t>
      </w:r>
      <w:bookmarkEnd w:id="609"/>
      <w:bookmarkEnd w:id="610"/>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No. 27 of 1992 s. 84.]</w:t>
      </w:r>
    </w:p>
    <w:p>
      <w:pPr>
        <w:pStyle w:val="Ednotesection"/>
      </w:pPr>
      <w:r>
        <w:t>[</w:t>
      </w:r>
      <w:r>
        <w:rPr>
          <w:b/>
          <w:bCs/>
        </w:rPr>
        <w:t>334.</w:t>
      </w:r>
      <w:r>
        <w:tab/>
        <w:t>Deleted: No. 20 of 2023 s. 58.]</w:t>
      </w:r>
    </w:p>
    <w:p>
      <w:pPr>
        <w:pStyle w:val="Heading5"/>
        <w:rPr>
          <w:snapToGrid w:val="0"/>
        </w:rPr>
      </w:pPr>
      <w:bookmarkStart w:id="611" w:name="_Toc225765926"/>
      <w:bookmarkStart w:id="612" w:name="_Toc209710851"/>
      <w:r>
        <w:rPr>
          <w:rStyle w:val="CharSectno"/>
        </w:rPr>
        <w:t>335</w:t>
      </w:r>
      <w:r>
        <w:rPr>
          <w:snapToGrid w:val="0"/>
        </w:rPr>
        <w:t>.</w:t>
      </w:r>
      <w:r>
        <w:rPr>
          <w:snapToGrid w:val="0"/>
        </w:rPr>
        <w:tab/>
        <w:t>Reports to be furnished</w:t>
      </w:r>
      <w:bookmarkEnd w:id="611"/>
      <w:bookmarkEnd w:id="612"/>
    </w:p>
    <w:p>
      <w:pPr>
        <w:pStyle w:val="Subsection"/>
        <w:rPr>
          <w:snapToGrid w:val="0"/>
        </w:rPr>
      </w:pPr>
      <w:r>
        <w:rPr>
          <w:snapToGrid w:val="0"/>
        </w:rPr>
        <w:tab/>
        <w:t>(1)</w:t>
      </w:r>
      <w:r>
        <w:rPr>
          <w:snapToGrid w:val="0"/>
        </w:rPr>
        <w:tab/>
        <w:t xml:space="preserve">It shall be the duty of every midwife to furnish to the </w:t>
      </w:r>
      <w:r>
        <w:t>Chief Health Officer</w:t>
      </w:r>
      <w:r>
        <w:rPr>
          <w:snapToGrid w:val="0"/>
        </w:rPr>
        <w:t xml:space="preserve"> a report in writing in the manner and at the time and in the form prescribed of every case attended by </w:t>
      </w:r>
      <w:r>
        <w:t xml:space="preserve">the midwife, </w:t>
      </w:r>
      <w:r>
        <w:rPr>
          <w:snapToGrid w:val="0"/>
        </w:rPr>
        <w:t xml:space="preserve">whether of living, premature or full term birth, or </w:t>
      </w:r>
      <w:r>
        <w:t>stillbirth.</w:t>
      </w:r>
    </w:p>
    <w:p>
      <w:pPr>
        <w:pStyle w:val="Subsection"/>
        <w:rPr>
          <w:snapToGrid w:val="0"/>
        </w:rPr>
      </w:pPr>
      <w:r>
        <w:rPr>
          <w:snapToGrid w:val="0"/>
        </w:rPr>
        <w:tab/>
        <w:t>(2)</w:t>
      </w:r>
      <w:r>
        <w:rPr>
          <w:snapToGrid w:val="0"/>
        </w:rPr>
        <w:tab/>
        <w:t xml:space="preserve">A report furnished under subsection (1) shall state the name and address of the mother, and shall be furnished to the </w:t>
      </w:r>
      <w:r>
        <w:t>Chief Health Officer</w:t>
      </w:r>
      <w:r>
        <w:rPr>
          <w:snapToGrid w:val="0"/>
        </w:rPr>
        <w:t xml:space="preserve">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Ednotesubsection"/>
      </w:pPr>
      <w:r>
        <w:tab/>
        <w:t>[(4)</w:t>
      </w:r>
      <w:r>
        <w:tab/>
        <w:t>deleted]</w:t>
      </w:r>
    </w:p>
    <w:p>
      <w:pPr>
        <w:pStyle w:val="Subsection"/>
        <w:rPr>
          <w:snapToGrid w:val="0"/>
        </w:rPr>
      </w:pPr>
      <w:r>
        <w:rPr>
          <w:snapToGrid w:val="0"/>
        </w:rPr>
        <w:tab/>
        <w:t>(5)(a)</w:t>
      </w:r>
      <w:r>
        <w:rPr>
          <w:snapToGrid w:val="0"/>
        </w:rPr>
        <w:tab/>
        <w:t xml:space="preserve">When a medical practitioner attends on the happening of any premature </w:t>
      </w:r>
      <w:r>
        <w:t>birth or stillbirth, the medical practitioner</w:t>
      </w:r>
      <w:r>
        <w:rPr>
          <w:snapToGrid w:val="0"/>
        </w:rPr>
        <w:t xml:space="preserve"> shall send to the </w:t>
      </w:r>
      <w:r>
        <w:t>Chief Health Officer</w:t>
      </w:r>
      <w:r>
        <w:rPr>
          <w:snapToGrid w:val="0"/>
        </w:rPr>
        <w:t xml:space="preserve"> within 48 hours of the happening a report in the prescribed form.</w:t>
      </w:r>
    </w:p>
    <w:p>
      <w:pPr>
        <w:pStyle w:val="Subsection"/>
        <w:rPr>
          <w:snapToGrid w:val="0"/>
        </w:rPr>
      </w:pPr>
      <w:r>
        <w:rPr>
          <w:snapToGrid w:val="0"/>
        </w:rPr>
        <w:tab/>
        <w:t>(b)</w:t>
      </w:r>
      <w:r>
        <w:rPr>
          <w:snapToGrid w:val="0"/>
        </w:rPr>
        <w:tab/>
        <w:t xml:space="preserve">A medical practitioner, or where a medical practitioner is not in attendance, a midwife, who attends a woman at the delivery of a foetus at any time after the 20th week of pregnancy shall notify the </w:t>
      </w:r>
      <w:r>
        <w:t>Chief Health Officer</w:t>
      </w:r>
      <w:r>
        <w:rPr>
          <w:snapToGrid w:val="0"/>
        </w:rPr>
        <w:t xml:space="preserve">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xml:space="preserve">, certifies the cause of a neonatal death shall notify the </w:t>
      </w:r>
      <w:r>
        <w:t>Chief Health Officer</w:t>
      </w:r>
      <w:r>
        <w:rPr>
          <w:snapToGrid w:val="0"/>
        </w:rPr>
        <w:t xml:space="preserve"> of the fact in the prescribed form within 48 hours of the certification.</w:t>
      </w:r>
    </w:p>
    <w:p>
      <w:pPr>
        <w:pStyle w:val="Ednotesubsection"/>
      </w:pPr>
      <w:r>
        <w:t>[(d), (e)</w:t>
      </w:r>
      <w:r>
        <w:tab/>
        <w:t>deleted]</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 xml:space="preserve">The </w:t>
      </w:r>
      <w:r>
        <w:t xml:space="preserve">Chief Health Officer </w:t>
      </w:r>
      <w:r>
        <w:rPr>
          <w:snapToGrid w:val="0"/>
        </w:rPr>
        <w:t xml:space="preserve">shall appoint medical practitioners upon such terms and conditions as </w:t>
      </w:r>
      <w:r>
        <w:t>the Chief Health Officer</w:t>
      </w:r>
      <w:r>
        <w:rPr>
          <w:snapToGrid w:val="0"/>
        </w:rPr>
        <w:t xml:space="preserv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 xml:space="preserve">The </w:t>
      </w:r>
      <w:r>
        <w:t>Chief Health Officer</w:t>
      </w:r>
      <w:r>
        <w:rPr>
          <w:snapToGrid w:val="0"/>
        </w:rPr>
        <w:t xml:space="preserve">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 xml:space="preserve">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w:t>
      </w:r>
      <w:r>
        <w:t>Chief Health Officer</w:t>
      </w:r>
      <w:r>
        <w:rPr>
          <w:snapToGrid w:val="0"/>
        </w:rPr>
        <w:t>, thereupon conduct a post mortem examination on the body of the stillborn child.</w:t>
      </w:r>
    </w:p>
    <w:p>
      <w:pPr>
        <w:pStyle w:val="Footnotesection"/>
      </w:pPr>
      <w:r>
        <w:tab/>
        <w:t>[Section 335, formerly section 263, amended: No. 17 of 1918 s. 48; renumbered as section 335: No. 38 of 1933 s. 42; amended: No. 14 of 1944 s. 12; No. 71 of 1948 s. 12; No. 45 of 1954 s. 12; No. 113 of 1965 s. 8(1); No. 102 of 1973 s. 25; No. 28 of 1984 s. 45; No. 80 of 1987 s. 151; No. 27 of 1992 s. 84; No. 15 of 1998 s. 7(2); No. 40 of 1998 s. 14(4); No. 19 of 2016 s. 36, 99 and 100; No. 20 of 2023 s. 59.]</w:t>
      </w:r>
    </w:p>
    <w:p>
      <w:pPr>
        <w:pStyle w:val="Heading5"/>
        <w:rPr>
          <w:snapToGrid w:val="0"/>
        </w:rPr>
      </w:pPr>
      <w:bookmarkStart w:id="613" w:name="_Toc225765927"/>
      <w:bookmarkStart w:id="614" w:name="_Toc209710852"/>
      <w:r>
        <w:rPr>
          <w:rStyle w:val="CharSectno"/>
        </w:rPr>
        <w:t>336</w:t>
      </w:r>
      <w:r>
        <w:rPr>
          <w:snapToGrid w:val="0"/>
        </w:rPr>
        <w:t>.</w:t>
      </w:r>
      <w:r>
        <w:rPr>
          <w:snapToGrid w:val="0"/>
        </w:rPr>
        <w:tab/>
        <w:t>Death of woman as result of pregnancy or childbirth to be reported to Chief Health Officer</w:t>
      </w:r>
      <w:bookmarkEnd w:id="613"/>
      <w:bookmarkEnd w:id="614"/>
    </w:p>
    <w:p>
      <w:pPr>
        <w:pStyle w:val="Subsection"/>
        <w:rPr>
          <w:snapToGrid w:val="0"/>
        </w:rPr>
      </w:pPr>
      <w:r>
        <w:rPr>
          <w:snapToGrid w:val="0"/>
        </w:rPr>
        <w:tab/>
        <w:t>(1)</w:t>
      </w:r>
      <w:r>
        <w:rPr>
          <w:snapToGrid w:val="0"/>
        </w:rPr>
        <w:tab/>
        <w:t xml:space="preserve">Whenever any woman shall die as the result of pregnancy or of childbirth, or as the result of any complications arising from or following upon pregnancy or childbirth, the fact of such death shall be reported forthwith to the </w:t>
      </w:r>
      <w:r>
        <w:t>Chief Health Officer</w:t>
      </w:r>
      <w:r>
        <w:rPr>
          <w:snapToGrid w:val="0"/>
        </w:rPr>
        <w:t xml:space="preserve"> by the medical practitioner and any nurse who were at the time of the death attending such woman.</w:t>
      </w:r>
    </w:p>
    <w:p>
      <w:pPr>
        <w:pStyle w:val="Subsection"/>
        <w:keepNext/>
      </w:pPr>
      <w:r>
        <w:tab/>
        <w:t>(2)</w:t>
      </w:r>
      <w:r>
        <w:tab/>
        <w:t xml:space="preserve">On receiving the report, the Chief Health Officer must, by notice in writing signed by the Chief Health Officer — </w:t>
      </w:r>
    </w:p>
    <w:p>
      <w:pPr>
        <w:pStyle w:val="Indenta"/>
      </w:pPr>
      <w:r>
        <w:tab/>
        <w:t>(a)</w:t>
      </w:r>
      <w:r>
        <w:tab/>
        <w:t>direct the investigator appointed under Part XIIIA to inquire into the circumstances of the death; and</w:t>
      </w:r>
    </w:p>
    <w:p>
      <w:pPr>
        <w:pStyle w:val="Indenta"/>
      </w:pPr>
      <w:r>
        <w:tab/>
        <w:t>(b)</w:t>
      </w:r>
      <w:r>
        <w:tab/>
        <w:t>require the investigator to present to the Chairperson of the Maternal Mortality Committee appointed under that Part, within a time specified in the notice, a full report of the investigation made by the investigator.</w:t>
      </w:r>
    </w:p>
    <w:p>
      <w:pPr>
        <w:pStyle w:val="Subsection"/>
        <w:rPr>
          <w:snapToGrid w:val="0"/>
        </w:rPr>
      </w:pPr>
      <w:r>
        <w:rPr>
          <w:snapToGrid w:val="0"/>
        </w:rPr>
        <w:tab/>
        <w:t>(3)</w:t>
      </w:r>
      <w:r>
        <w:rPr>
          <w:snapToGrid w:val="0"/>
        </w:rPr>
        <w:tab/>
        <w:t xml:space="preserve">The report of the investigator presented to the </w:t>
      </w:r>
      <w:r>
        <w:t>Chairperson</w:t>
      </w:r>
      <w:r>
        <w:rPr>
          <w:snapToGrid w:val="0"/>
        </w:rPr>
        <w:t xml:space="preserve">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the investigator</w:t>
      </w:r>
      <w:r>
        <w:rPr>
          <w:snapToGrid w:val="0"/>
        </w:rPr>
        <w:t xml:space="preserve"> pursuant to the provisions of this section shall be confidential and shall not be communicated or divulged, either in whole or in part, by the investigator to any person other than the </w:t>
      </w:r>
      <w:r>
        <w:t>Chairperson</w:t>
      </w:r>
      <w:r>
        <w:rPr>
          <w:snapToGrid w:val="0"/>
        </w:rPr>
        <w:t xml:space="preserve"> of the Maternal Mortality Committee, or by the </w:t>
      </w:r>
      <w:r>
        <w:t>Chairperson</w:t>
      </w:r>
      <w:r>
        <w:rPr>
          <w:snapToGrid w:val="0"/>
        </w:rPr>
        <w:t xml:space="preserve">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No. 32 of 1937 s. 9; amended: No. 23 of 1960 s. 3; No. 28 of 1984 s. 45; No. 80 of 1987 s. 152; No. 2 of 1996 s. 61; No. 19 of 2016 s. 37 and 100.]</w:t>
      </w:r>
    </w:p>
    <w:p>
      <w:pPr>
        <w:pStyle w:val="Heading5"/>
        <w:rPr>
          <w:snapToGrid w:val="0"/>
        </w:rPr>
      </w:pPr>
      <w:bookmarkStart w:id="615" w:name="_Toc225765928"/>
      <w:bookmarkStart w:id="616" w:name="_Toc209710853"/>
      <w:r>
        <w:rPr>
          <w:rStyle w:val="CharSectno"/>
        </w:rPr>
        <w:t>336A</w:t>
      </w:r>
      <w:r>
        <w:rPr>
          <w:snapToGrid w:val="0"/>
        </w:rPr>
        <w:t>.</w:t>
      </w:r>
      <w:r>
        <w:rPr>
          <w:snapToGrid w:val="0"/>
        </w:rPr>
        <w:tab/>
        <w:t>Certain deaths of children to be reported to Chief Health Officer</w:t>
      </w:r>
      <w:bookmarkEnd w:id="615"/>
      <w:bookmarkEnd w:id="616"/>
    </w:p>
    <w:p>
      <w:pPr>
        <w:pStyle w:val="Subsection"/>
        <w:spacing w:before="120"/>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w:t>
      </w:r>
      <w:r>
        <w:t>Chief Health Officer</w:t>
      </w:r>
      <w:r>
        <w:rPr>
          <w:snapToGrid w:val="0"/>
        </w:rPr>
        <w:t xml:space="preserve">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spacing w:before="120"/>
      </w:pPr>
      <w:r>
        <w:tab/>
        <w:t>(2)</w:t>
      </w:r>
      <w:r>
        <w:tab/>
        <w:t xml:space="preserve">On receiving the report, the Chief Health Officer must, by notice in writing signed by the Chief Health Officer — </w:t>
      </w:r>
    </w:p>
    <w:p>
      <w:pPr>
        <w:pStyle w:val="Indenta"/>
      </w:pPr>
      <w:r>
        <w:tab/>
        <w:t>(a)</w:t>
      </w:r>
      <w:r>
        <w:tab/>
        <w:t>direct an investigator appointed under Part XIIIB to enquire into the circumstances of that stillbirth or death; and</w:t>
      </w:r>
    </w:p>
    <w:p>
      <w:pPr>
        <w:pStyle w:val="Indenta"/>
      </w:pPr>
      <w:r>
        <w:tab/>
        <w:t>(b)</w:t>
      </w:r>
      <w:r>
        <w:tab/>
        <w:t>require the investigator to present to the Chairperson of the Perinatal and Infant Mortality Committee appointed under that Part, within a time specified in the notice, a full report of the investigation made by the investigator.</w:t>
      </w:r>
    </w:p>
    <w:p>
      <w:pPr>
        <w:pStyle w:val="Subsection"/>
        <w:keepNext/>
        <w:spacing w:before="120"/>
      </w:pPr>
      <w:r>
        <w:tab/>
        <w:t>(3A)</w:t>
      </w:r>
      <w:r>
        <w:tab/>
        <w:t xml:space="preserve">Subsection (2) does not apply if the Chief Health Officer is satisfied that the cause of death arose from — </w:t>
      </w:r>
    </w:p>
    <w:p>
      <w:pPr>
        <w:pStyle w:val="Indenta"/>
      </w:pPr>
      <w:r>
        <w:tab/>
        <w:t>(a)</w:t>
      </w:r>
      <w:r>
        <w:tab/>
        <w:t>a specific injury; or</w:t>
      </w:r>
    </w:p>
    <w:p>
      <w:pPr>
        <w:pStyle w:val="Indenta"/>
      </w:pPr>
      <w:r>
        <w:tab/>
        <w:t>(b)</w:t>
      </w:r>
      <w:r>
        <w:tab/>
        <w:t>an illness that the Committee has directed does not require further investigation.</w:t>
      </w:r>
    </w:p>
    <w:p>
      <w:pPr>
        <w:pStyle w:val="Subsection"/>
        <w:keepNext/>
        <w:keepLines/>
        <w:spacing w:before="120"/>
        <w:rPr>
          <w:snapToGrid w:val="0"/>
        </w:rPr>
      </w:pPr>
      <w:r>
        <w:rPr>
          <w:snapToGrid w:val="0"/>
        </w:rPr>
        <w:tab/>
        <w:t>(3)</w:t>
      </w:r>
      <w:r>
        <w:rPr>
          <w:snapToGrid w:val="0"/>
        </w:rPr>
        <w:tab/>
        <w:t xml:space="preserve">The report of the investigator presented to the </w:t>
      </w:r>
      <w:r>
        <w:t xml:space="preserve">Chairperson </w:t>
      </w:r>
      <w:r>
        <w:rPr>
          <w:snapToGrid w:val="0"/>
        </w:rPr>
        <w:t>shall be in the form of connected medical case history relating to the deceased child but shall not contain any particulars from which it may be possible to ascertain the identity of that child.</w:t>
      </w:r>
    </w:p>
    <w:p>
      <w:pPr>
        <w:pStyle w:val="Subsection"/>
        <w:spacing w:before="120"/>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Perinatal and Infant Mortality Committee, or by the </w:t>
      </w:r>
      <w:r>
        <w:t xml:space="preserve">Chairperson </w:t>
      </w:r>
      <w:r>
        <w:rPr>
          <w:snapToGrid w:val="0"/>
        </w:rPr>
        <w:t>or any other member of the Committee, except for the purposes and in accordance with the provisions of Part XIIIB.</w:t>
      </w:r>
    </w:p>
    <w:p>
      <w:pPr>
        <w:pStyle w:val="Subsection"/>
        <w:spacing w:before="120"/>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spacing w:before="120"/>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2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2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336A inserted: No. 47 of 1978 s. 33; amended: No. 28 of 1984 s. 45; No. 80 of 1987 s. 153; No. 2 of 1996 s. 61; No. 40 of 1998 s. 14(5); No. 19 of 2016 s. 38 and 100.]</w:t>
      </w:r>
    </w:p>
    <w:p>
      <w:pPr>
        <w:pStyle w:val="Heading5"/>
        <w:keepNext w:val="0"/>
        <w:keepLines w:val="0"/>
        <w:spacing w:before="180"/>
        <w:rPr>
          <w:snapToGrid w:val="0"/>
        </w:rPr>
      </w:pPr>
      <w:bookmarkStart w:id="617" w:name="_Toc225765929"/>
      <w:bookmarkStart w:id="618" w:name="_Toc209710854"/>
      <w:r>
        <w:rPr>
          <w:rStyle w:val="CharSectno"/>
        </w:rPr>
        <w:t>336B</w:t>
      </w:r>
      <w:r>
        <w:rPr>
          <w:snapToGrid w:val="0"/>
        </w:rPr>
        <w:t>.</w:t>
      </w:r>
      <w:r>
        <w:rPr>
          <w:snapToGrid w:val="0"/>
        </w:rPr>
        <w:tab/>
        <w:t>Death of persons under anaesthetic to be reported to Chief Health Officer</w:t>
      </w:r>
      <w:bookmarkEnd w:id="617"/>
      <w:bookmarkEnd w:id="618"/>
    </w:p>
    <w:p>
      <w:pPr>
        <w:pStyle w:val="Subsection"/>
        <w:spacing w:before="120"/>
        <w:rPr>
          <w:snapToGrid w:val="0"/>
        </w:rPr>
      </w:pPr>
      <w:r>
        <w:rPr>
          <w:snapToGrid w:val="0"/>
        </w:rPr>
        <w:tab/>
        <w:t>(1)</w:t>
      </w:r>
      <w:r>
        <w:rPr>
          <w:snapToGrid w:val="0"/>
        </w:rPr>
        <w:tab/>
        <w:t xml:space="preserve">Whenever any person shall die within the period of 48 hours following the administration of an anaesthetic agent or as the result of any complications arising from the administration of an anaesthetic, the fact of such death shall be reported forthwith to the </w:t>
      </w:r>
      <w:r>
        <w:t>Chief Health Officer</w:t>
      </w:r>
      <w:r>
        <w:rPr>
          <w:snapToGrid w:val="0"/>
        </w:rPr>
        <w:t xml:space="preserve"> by the person who administered the anaesthetic to the deceased.</w:t>
      </w:r>
    </w:p>
    <w:p>
      <w:pPr>
        <w:pStyle w:val="Subsection"/>
        <w:spacing w:before="120"/>
        <w:rPr>
          <w:snapToGrid w:val="0"/>
        </w:rPr>
      </w:pPr>
      <w:r>
        <w:rPr>
          <w:snapToGrid w:val="0"/>
        </w:rPr>
        <w:tab/>
        <w:t>(2)</w:t>
      </w:r>
      <w:r>
        <w:rPr>
          <w:snapToGrid w:val="0"/>
        </w:rPr>
        <w:tab/>
        <w:t xml:space="preserve">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w:t>
      </w:r>
      <w:r>
        <w:t>Chief Health Officer that the medical practitioner</w:t>
      </w:r>
      <w:r>
        <w:rPr>
          <w:snapToGrid w:val="0"/>
        </w:rPr>
        <w:t xml:space="preserve"> has formed such an opinion.</w:t>
      </w:r>
    </w:p>
    <w:p>
      <w:pPr>
        <w:pStyle w:val="Subsection"/>
        <w:spacing w:before="120"/>
      </w:pPr>
      <w:r>
        <w:tab/>
        <w:t>(3)</w:t>
      </w:r>
      <w:r>
        <w:tab/>
        <w:t xml:space="preserve">On receiving a report made under subsection (1) or (2), the Chief Health Officer must, by notice in writing signed by the Chief Health Officer — </w:t>
      </w:r>
    </w:p>
    <w:p>
      <w:pPr>
        <w:pStyle w:val="Indenta"/>
      </w:pPr>
      <w:r>
        <w:tab/>
        <w:t>(a)</w:t>
      </w:r>
      <w:r>
        <w:tab/>
        <w:t>direct an investigator appointed under Part XIIIC to enquire into the circumstances of the death; and</w:t>
      </w:r>
    </w:p>
    <w:p>
      <w:pPr>
        <w:pStyle w:val="Indenta"/>
        <w:keepNext/>
      </w:pPr>
      <w:r>
        <w:tab/>
        <w:t>(b)</w:t>
      </w:r>
      <w:r>
        <w:tab/>
        <w:t xml:space="preserve">require the investigator — </w:t>
      </w:r>
    </w:p>
    <w:p>
      <w:pPr>
        <w:pStyle w:val="Indenti"/>
      </w:pPr>
      <w:r>
        <w:tab/>
        <w:t>(i)</w:t>
      </w:r>
      <w:r>
        <w:tab/>
        <w:t>if in the opinion of the investigator the death is likely to have been due to anaesthesia, to carry out the investigation and present to the Chairperson of the Anaesthetic Mortality Committee appointed under that Part, within a time specified in the notice, a full report of the investigation made by the investigator; or</w:t>
      </w:r>
    </w:p>
    <w:p>
      <w:pPr>
        <w:pStyle w:val="Indenti"/>
      </w:pPr>
      <w:r>
        <w:tab/>
        <w:t>(ii)</w:t>
      </w:r>
      <w:r>
        <w:tab/>
        <w:t>if in the opinion of the investigator the death was not likely to have been due to anaesthesia, to report the investigator’s finding to the Chief Health Officer.</w:t>
      </w:r>
    </w:p>
    <w:p>
      <w:pPr>
        <w:pStyle w:val="Subsection"/>
        <w:spacing w:before="120"/>
        <w:rPr>
          <w:snapToGrid w:val="0"/>
        </w:rPr>
      </w:pPr>
      <w:r>
        <w:rPr>
          <w:snapToGrid w:val="0"/>
        </w:rPr>
        <w:tab/>
        <w:t>(4)</w:t>
      </w:r>
      <w:r>
        <w:rPr>
          <w:snapToGrid w:val="0"/>
        </w:rPr>
        <w:tab/>
        <w:t xml:space="preserve">Where the circumstances are such that an investigation is being or will be undertaken by the Maternal Mortality Committee in accordance with Part XIIIA then notwithstanding the provisions of subsection (3) the </w:t>
      </w:r>
      <w:r>
        <w:t>Chief Health Officer</w:t>
      </w:r>
      <w:r>
        <w:rPr>
          <w:snapToGrid w:val="0"/>
        </w:rPr>
        <w:t xml:space="preserve"> shall not be required to direct an investigation pursuant to this section.</w:t>
      </w:r>
    </w:p>
    <w:p>
      <w:pPr>
        <w:pStyle w:val="Subsection"/>
        <w:spacing w:before="120"/>
        <w:rPr>
          <w:snapToGrid w:val="0"/>
        </w:rPr>
      </w:pPr>
      <w:r>
        <w:rPr>
          <w:snapToGrid w:val="0"/>
        </w:rPr>
        <w:tab/>
        <w:t>(5)</w:t>
      </w:r>
      <w:r>
        <w:rPr>
          <w:snapToGrid w:val="0"/>
        </w:rPr>
        <w:tab/>
        <w:t xml:space="preserve">The report of the investigator presented to the </w:t>
      </w:r>
      <w:r>
        <w:t xml:space="preserve">Chairperson </w:t>
      </w:r>
      <w:r>
        <w:rPr>
          <w:snapToGrid w:val="0"/>
        </w:rPr>
        <w:t>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Anaesthetic Mortality Committee, or by the </w:t>
      </w:r>
      <w:r>
        <w:t xml:space="preserve">Chairperson </w:t>
      </w:r>
      <w:r>
        <w:rPr>
          <w:snapToGrid w:val="0"/>
        </w:rPr>
        <w:t>or any other member of the Committee, except for the purposes and in accordance with the provisions of Part XIIIC.</w:t>
      </w:r>
    </w:p>
    <w:p>
      <w:pPr>
        <w:pStyle w:val="Subsection"/>
        <w:spacing w:before="12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spacing w:before="120"/>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spacing w:before="120"/>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spacing w:before="120"/>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336B inserted: No. 47 of 1978 s. 35; amended: No. 28 of 1984 s. 45; No. 80 of 1987 s. 154; No. 2 of 1996 s. 61; No. 19 of 2016 s. 39 and 100.]</w:t>
      </w:r>
    </w:p>
    <w:p>
      <w:pPr>
        <w:pStyle w:val="Heading5"/>
        <w:keepNext w:val="0"/>
        <w:keepLines w:val="0"/>
        <w:spacing w:before="180"/>
        <w:rPr>
          <w:snapToGrid w:val="0"/>
        </w:rPr>
      </w:pPr>
      <w:bookmarkStart w:id="619" w:name="_Toc225765930"/>
      <w:bookmarkStart w:id="620" w:name="_Toc209710855"/>
      <w:r>
        <w:rPr>
          <w:rStyle w:val="CharSectno"/>
        </w:rPr>
        <w:t>337</w:t>
      </w:r>
      <w:r>
        <w:rPr>
          <w:snapToGrid w:val="0"/>
        </w:rPr>
        <w:t>.</w:t>
      </w:r>
      <w:r>
        <w:rPr>
          <w:snapToGrid w:val="0"/>
        </w:rPr>
        <w:tab/>
        <w:t>Examination of school children</w:t>
      </w:r>
      <w:bookmarkEnd w:id="619"/>
      <w:bookmarkEnd w:id="620"/>
    </w:p>
    <w:p>
      <w:pPr>
        <w:pStyle w:val="Subsection"/>
        <w:spacing w:before="120"/>
        <w:rPr>
          <w:snapToGrid w:val="0"/>
        </w:rPr>
      </w:pPr>
      <w:r>
        <w:rPr>
          <w:snapToGrid w:val="0"/>
        </w:rPr>
        <w:tab/>
        <w:t>(1)</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may examine medically and physically any child attending any school or child care centre, and such child shall submit to, and the parents or guardians of such child shall permit such examination as the </w:t>
      </w:r>
      <w:r>
        <w:t>medical practitioner</w:t>
      </w:r>
      <w:r>
        <w:rPr>
          <w:snapToGrid w:val="0"/>
        </w:rPr>
        <w:t xml:space="preserve"> or nurse deems necessary.</w:t>
      </w:r>
    </w:p>
    <w:p>
      <w:pPr>
        <w:pStyle w:val="Subsection"/>
        <w:spacing w:before="180"/>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(Western Australia)</w:t>
      </w:r>
      <w:r>
        <w:t xml:space="preserve"> section 5(1) operates; or</w:t>
      </w:r>
    </w:p>
    <w:p>
      <w:pPr>
        <w:pStyle w:val="Defpara"/>
      </w:pPr>
      <w:r>
        <w:tab/>
        <w:t>(b)</w:t>
      </w:r>
      <w:r>
        <w:tab/>
        <w:t xml:space="preserve">a child care service as defined in the </w:t>
      </w:r>
      <w:r>
        <w:rPr>
          <w:i/>
        </w:rPr>
        <w:t>Child Care Services Act 2007</w:t>
      </w:r>
      <w:r>
        <w:t xml:space="preserve"> section 4 is provided.</w:t>
      </w:r>
    </w:p>
    <w:p>
      <w:pPr>
        <w:pStyle w:val="Subsection"/>
        <w:spacing w:before="180"/>
        <w:rPr>
          <w:snapToGrid w:val="0"/>
        </w:rPr>
      </w:pPr>
      <w:r>
        <w:rPr>
          <w:snapToGrid w:val="0"/>
        </w:rPr>
        <w:tab/>
        <w:t>(2)</w:t>
      </w:r>
      <w:r>
        <w:rPr>
          <w:snapToGrid w:val="0"/>
        </w:rPr>
        <w:tab/>
        <w:t xml:space="preserve">Any school dental therapist employed in a school dental service, or any dentist authorised to do so by the </w:t>
      </w:r>
      <w:r>
        <w:t xml:space="preserve">Chief Health Officer, </w:t>
      </w:r>
      <w:r>
        <w:rPr>
          <w:snapToGrid w:val="0"/>
        </w:rPr>
        <w:t>may examine the teeth of any such child, and the child shall submit to, and the parents or guardians of such child shall permit, the examination.</w:t>
      </w:r>
    </w:p>
    <w:p>
      <w:pPr>
        <w:pStyle w:val="Subsection"/>
        <w:spacing w:before="180"/>
        <w:rPr>
          <w:snapToGrid w:val="0"/>
        </w:rPr>
      </w:pPr>
      <w:r>
        <w:rPr>
          <w:snapToGrid w:val="0"/>
        </w:rPr>
        <w:tab/>
        <w:t>(3)</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who finds that any such child is in an unclean or verminous condition may, by writing under the hand of such </w:t>
      </w:r>
      <w:r>
        <w:t>medical practitioner</w:t>
      </w:r>
      <w:r>
        <w:rPr>
          <w:snapToGrid w:val="0"/>
        </w:rPr>
        <w:t xml:space="preserve"> or nurse, notify any parent or guardian of the child of the fact, and require such parent or guardian to remedy such condition forthwith, and to keep such child clean or free from vermin.</w:t>
      </w:r>
    </w:p>
    <w:p>
      <w:pPr>
        <w:pStyle w:val="Subsection"/>
        <w:spacing w:before="180"/>
        <w:rPr>
          <w:snapToGrid w:val="0"/>
        </w:rPr>
      </w:pPr>
      <w:r>
        <w:rPr>
          <w:snapToGrid w:val="0"/>
        </w:rPr>
        <w:tab/>
        <w:t>(4)</w:t>
      </w:r>
      <w:r>
        <w:rPr>
          <w:snapToGrid w:val="0"/>
        </w:rPr>
        <w:tab/>
        <w:t xml:space="preserve">In addition to making the requisition mentioned in subsection (3), the </w:t>
      </w:r>
      <w:r>
        <w:t>medical practitioner</w:t>
      </w:r>
      <w:r>
        <w:rPr>
          <w:snapToGrid w:val="0"/>
        </w:rPr>
        <w:t xml:space="preserve"> or nurse may, by writing under the hand of the </w:t>
      </w:r>
      <w:r>
        <w:t>medical practitioner</w:t>
      </w:r>
      <w:r>
        <w:rPr>
          <w:snapToGrid w:val="0"/>
        </w:rPr>
        <w:t xml:space="preserve"> or nurse, require the parent or guardian to keep the child</w:t>
      </w:r>
      <w:r>
        <w:rPr>
          <w:snapToGrid w:val="0"/>
          <w:sz w:val="22"/>
        </w:rPr>
        <w:t>’</w:t>
      </w:r>
      <w:r>
        <w:rPr>
          <w:snapToGrid w:val="0"/>
        </w:rPr>
        <w:t xml:space="preserve">s hair cut short to the satisfaction of the </w:t>
      </w:r>
      <w:r>
        <w:t>medical practitioner or nurse</w:t>
      </w:r>
      <w:r>
        <w:rPr>
          <w:snapToGrid w:val="0"/>
        </w:rPr>
        <w:t>.</w:t>
      </w:r>
    </w:p>
    <w:p>
      <w:pPr>
        <w:pStyle w:val="Subsection"/>
        <w:spacing w:before="180"/>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spacing w:before="180"/>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formerly section 264, amended: No. 17 of 1918 s 49; No. 5 of 1922 s. 8; No. 30 of 1932 s. 4; renumbered as section 337: No. 38 of 1933 s. 42; amended: No. 113 of 1965 s. 8(1); No. 102 of 1973 s. 26; No. 30 of 1982 s. 12; No. 28 of 1984 s. 45; No. 80 of 1987 s. 155; No. 14 of 1996 s. 4; No. 64 of 1996 s. 18; No. 35 of 2010 s. 73; No. 11 of 2012 s. 35; No. 19 of 2016 s. 99 and 100.]</w:t>
      </w:r>
    </w:p>
    <w:p>
      <w:pPr>
        <w:pStyle w:val="Heading5"/>
        <w:rPr>
          <w:snapToGrid w:val="0"/>
        </w:rPr>
      </w:pPr>
      <w:bookmarkStart w:id="621" w:name="_Toc225765931"/>
      <w:bookmarkStart w:id="622" w:name="_Toc209710856"/>
      <w:r>
        <w:rPr>
          <w:rStyle w:val="CharSectno"/>
        </w:rPr>
        <w:t>337A</w:t>
      </w:r>
      <w:r>
        <w:rPr>
          <w:snapToGrid w:val="0"/>
        </w:rPr>
        <w:t>.</w:t>
      </w:r>
      <w:r>
        <w:rPr>
          <w:snapToGrid w:val="0"/>
        </w:rPr>
        <w:tab/>
        <w:t>Schools dental service</w:t>
      </w:r>
      <w:bookmarkEnd w:id="621"/>
      <w:bookmarkEnd w:id="622"/>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Footnotesection"/>
        <w:spacing w:before="80"/>
        <w:ind w:left="890" w:hanging="890"/>
      </w:pPr>
      <w:r>
        <w:tab/>
        <w:t>[Section 337A inserted: No. 102 of 1973 s. 27; amended: No. 30 of 1982 s. 13; No. 32 of 1994 s. 3(2); No. 64 of 1996 s. 18; No. 10 of 1998 s. 39(4); No. 28 of 2006 s. 251; No. 35 of 2010 s. 74.]</w:t>
      </w:r>
    </w:p>
    <w:p>
      <w:pPr>
        <w:pStyle w:val="Ednotesection"/>
        <w:spacing w:before="180"/>
        <w:ind w:left="890" w:hanging="890"/>
      </w:pPr>
      <w:r>
        <w:t>[</w:t>
      </w:r>
      <w:r>
        <w:rPr>
          <w:b/>
        </w:rPr>
        <w:t>338.</w:t>
      </w:r>
      <w:r>
        <w:tab/>
        <w:t>Deleted: No. 19 of 2016 s. 40.]</w:t>
      </w:r>
    </w:p>
    <w:p>
      <w:pPr>
        <w:pStyle w:val="Ednotesection"/>
      </w:pPr>
      <w:r>
        <w:t>[</w:t>
      </w:r>
      <w:r>
        <w:rPr>
          <w:b/>
        </w:rPr>
        <w:t>338A.</w:t>
      </w:r>
      <w:r>
        <w:tab/>
        <w:t>Deleted: No. 116 of 1982 s. 36.]</w:t>
      </w:r>
    </w:p>
    <w:p>
      <w:pPr>
        <w:pStyle w:val="Ednotesection"/>
        <w:spacing w:before="180"/>
        <w:ind w:left="890" w:hanging="890"/>
      </w:pPr>
      <w:r>
        <w:t>[</w:t>
      </w:r>
      <w:r>
        <w:rPr>
          <w:b/>
        </w:rPr>
        <w:t>338B-338C.</w:t>
      </w:r>
      <w:r>
        <w:tab/>
        <w:t>Deleted: No. 19 of 2016 s. 40.]</w:t>
      </w:r>
    </w:p>
    <w:p>
      <w:pPr>
        <w:pStyle w:val="Ednotesection"/>
      </w:pPr>
      <w:r>
        <w:t>[</w:t>
      </w:r>
      <w:r>
        <w:rPr>
          <w:b/>
        </w:rPr>
        <w:t>339.</w:t>
      </w:r>
      <w:r>
        <w:tab/>
        <w:t>Deleted: No. 102 of 1973 s. 29.]</w:t>
      </w:r>
    </w:p>
    <w:p>
      <w:pPr>
        <w:pStyle w:val="Ednotesection"/>
        <w:spacing w:before="180"/>
      </w:pPr>
      <w:r>
        <w:t>[</w:t>
      </w:r>
      <w:r>
        <w:rPr>
          <w:b/>
        </w:rPr>
        <w:t>340.</w:t>
      </w:r>
      <w:r>
        <w:rPr>
          <w:b/>
        </w:rPr>
        <w:tab/>
      </w:r>
      <w:r>
        <w:t>Deleted: No. 19 of 2016 s. 247.]</w:t>
      </w:r>
    </w:p>
    <w:p>
      <w:pPr>
        <w:pStyle w:val="Heading2"/>
      </w:pPr>
      <w:bookmarkStart w:id="623" w:name="_Toc225760905"/>
      <w:bookmarkStart w:id="624" w:name="_Toc225761237"/>
      <w:bookmarkStart w:id="625" w:name="_Toc225765932"/>
      <w:bookmarkStart w:id="626" w:name="_Toc209701381"/>
      <w:bookmarkStart w:id="627" w:name="_Toc209702999"/>
      <w:bookmarkStart w:id="628" w:name="_Toc209703331"/>
      <w:bookmarkStart w:id="629" w:name="_Toc209710857"/>
      <w:r>
        <w:rPr>
          <w:rStyle w:val="CharPartNo"/>
        </w:rPr>
        <w:t>Part XIIIA</w:t>
      </w:r>
      <w:r>
        <w:rPr>
          <w:rStyle w:val="CharDivNo"/>
        </w:rPr>
        <w:t> </w:t>
      </w:r>
      <w:r>
        <w:t>—</w:t>
      </w:r>
      <w:r>
        <w:rPr>
          <w:rStyle w:val="CharDivText"/>
        </w:rPr>
        <w:t> </w:t>
      </w:r>
      <w:r>
        <w:rPr>
          <w:rStyle w:val="CharPartText"/>
        </w:rPr>
        <w:t>Maternal Mortality Committee</w:t>
      </w:r>
      <w:bookmarkEnd w:id="623"/>
      <w:bookmarkEnd w:id="624"/>
      <w:bookmarkEnd w:id="625"/>
      <w:bookmarkEnd w:id="626"/>
      <w:bookmarkEnd w:id="627"/>
      <w:bookmarkEnd w:id="628"/>
      <w:bookmarkEnd w:id="629"/>
    </w:p>
    <w:p>
      <w:pPr>
        <w:pStyle w:val="Footnoteheading"/>
        <w:ind w:left="890" w:hanging="890"/>
        <w:rPr>
          <w:snapToGrid w:val="0"/>
        </w:rPr>
      </w:pPr>
      <w:r>
        <w:rPr>
          <w:snapToGrid w:val="0"/>
        </w:rPr>
        <w:tab/>
        <w:t>[Heading inserted: No. 23 of 1960 s. 4.]</w:t>
      </w:r>
    </w:p>
    <w:p>
      <w:pPr>
        <w:pStyle w:val="Heading5"/>
        <w:spacing w:before="180"/>
        <w:rPr>
          <w:snapToGrid w:val="0"/>
        </w:rPr>
      </w:pPr>
      <w:bookmarkStart w:id="630" w:name="_Toc225765933"/>
      <w:bookmarkStart w:id="631" w:name="_Toc209710858"/>
      <w:r>
        <w:rPr>
          <w:rStyle w:val="CharSectno"/>
        </w:rPr>
        <w:t>340A</w:t>
      </w:r>
      <w:r>
        <w:rPr>
          <w:snapToGrid w:val="0"/>
        </w:rPr>
        <w:t>.</w:t>
      </w:r>
      <w:r>
        <w:rPr>
          <w:snapToGrid w:val="0"/>
        </w:rPr>
        <w:tab/>
        <w:t>Terms used</w:t>
      </w:r>
      <w:bookmarkEnd w:id="630"/>
      <w:bookmarkEnd w:id="631"/>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 inserted: No. 23 of 1960 s. 4; amended: No. 94 of 1972 s. 4(1) (as amended: No. 83 of 1973 s. 4); No. 19 of 2016 s. 41.]</w:t>
      </w:r>
    </w:p>
    <w:p>
      <w:pPr>
        <w:pStyle w:val="Heading5"/>
        <w:spacing w:before="180"/>
        <w:rPr>
          <w:snapToGrid w:val="0"/>
        </w:rPr>
      </w:pPr>
      <w:bookmarkStart w:id="632" w:name="_Toc225765934"/>
      <w:bookmarkStart w:id="633" w:name="_Toc209710859"/>
      <w:r>
        <w:rPr>
          <w:rStyle w:val="CharSectno"/>
        </w:rPr>
        <w:t>340B</w:t>
      </w:r>
      <w:r>
        <w:rPr>
          <w:snapToGrid w:val="0"/>
        </w:rPr>
        <w:t>.</w:t>
      </w:r>
      <w:r>
        <w:rPr>
          <w:snapToGrid w:val="0"/>
        </w:rPr>
        <w:tab/>
        <w:t>Constitution and offices of Committee</w:t>
      </w:r>
      <w:bookmarkEnd w:id="632"/>
      <w:bookmarkEnd w:id="633"/>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pPr>
      <w:r>
        <w:tab/>
        <w:t>(2)</w:t>
      </w:r>
      <w:r>
        <w:tab/>
        <w:t xml:space="preserve">The Committee is to consist of 9 members appointed by the Minister, made up as follows — </w:t>
      </w:r>
    </w:p>
    <w:p>
      <w:pPr>
        <w:pStyle w:val="Indenta"/>
      </w:pPr>
      <w:r>
        <w:tab/>
        <w:t>(a)</w:t>
      </w:r>
      <w:r>
        <w:tab/>
        <w:t>one is to be the Professor of Obstetrics at the University of Western Australia, who is to be Chairperson of the Committee;</w:t>
      </w:r>
    </w:p>
    <w:p>
      <w:pPr>
        <w:pStyle w:val="Indenta"/>
      </w:pPr>
      <w:r>
        <w:tab/>
        <w:t>(b)</w:t>
      </w:r>
      <w:r>
        <w:tab/>
        <w:t>one is to be a medical practitioner specialising in obstetrics, nominated by the Royal Australian and New Zealand College of Obstetricians and Gynaecologists (W.A. Branch);</w:t>
      </w:r>
    </w:p>
    <w:p>
      <w:pPr>
        <w:pStyle w:val="Indenta"/>
        <w:keepNext/>
      </w:pPr>
      <w:r>
        <w:tab/>
        <w:t>(c)</w:t>
      </w:r>
      <w:r>
        <w:tab/>
        <w:t xml:space="preserve">5 are to be medical practitioners, of whom — </w:t>
      </w:r>
    </w:p>
    <w:p>
      <w:pPr>
        <w:pStyle w:val="Indenti"/>
      </w:pPr>
      <w:r>
        <w:tab/>
        <w:t>(i)</w:t>
      </w:r>
      <w:r>
        <w:tab/>
        <w:t>2 are to be general medical practitioners practising in the metropolitan area, nominated by the Australian Medical Association (WA) Incorporated; and</w:t>
      </w:r>
    </w:p>
    <w:p>
      <w:pPr>
        <w:pStyle w:val="Indenti"/>
      </w:pPr>
      <w:r>
        <w:tab/>
        <w:t>(ii)</w:t>
      </w:r>
      <w:r>
        <w:tab/>
        <w:t>2 are to be general medical practitioners having not less than 5 years’ practice outside the metropolitan area, nominated by the Australian Medical Association (WA) Incorporated; and</w:t>
      </w:r>
    </w:p>
    <w:p>
      <w:pPr>
        <w:pStyle w:val="Indenti"/>
      </w:pPr>
      <w:r>
        <w:tab/>
        <w:t>(iii)</w:t>
      </w:r>
      <w:r>
        <w:tab/>
        <w:t>one is to be nominated by the Chief Health Officer;</w:t>
      </w:r>
    </w:p>
    <w:p>
      <w:pPr>
        <w:pStyle w:val="Indenta"/>
      </w:pPr>
      <w:r>
        <w:tab/>
        <w:t>(d)</w:t>
      </w:r>
      <w:r>
        <w:tab/>
        <w:t>2 are to be midwives, nominated by the Chief Health Officer.</w:t>
      </w:r>
    </w:p>
    <w:p>
      <w:pPr>
        <w:pStyle w:val="Footnotesection"/>
      </w:pPr>
      <w:r>
        <w:tab/>
        <w:t>[Section 340B inserted: No. 23 of 1960 s. 4; amended: No. 63 of 1981 s. 4; No. 30 of 1982 s. 14; No. 27 of 1992 s. 84; No. 10 of 1998 s. 39(5); No. 24 of 2000 s. 16(3); No. 28 of 2006 s. 251; No. 8 of 2009 s. 71(4); No. 19 of 2016 s. 42.]</w:t>
      </w:r>
    </w:p>
    <w:p>
      <w:pPr>
        <w:pStyle w:val="Heading5"/>
        <w:rPr>
          <w:snapToGrid w:val="0"/>
        </w:rPr>
      </w:pPr>
      <w:bookmarkStart w:id="634" w:name="_Toc225765935"/>
      <w:bookmarkStart w:id="635" w:name="_Toc209710860"/>
      <w:r>
        <w:rPr>
          <w:rStyle w:val="CharSectno"/>
        </w:rPr>
        <w:t>340C</w:t>
      </w:r>
      <w:r>
        <w:rPr>
          <w:snapToGrid w:val="0"/>
        </w:rPr>
        <w:t>.</w:t>
      </w:r>
      <w:r>
        <w:rPr>
          <w:snapToGrid w:val="0"/>
        </w:rPr>
        <w:tab/>
        <w:t>Appointment of deputies</w:t>
      </w:r>
      <w:bookmarkEnd w:id="634"/>
      <w:bookmarkEnd w:id="635"/>
    </w:p>
    <w:p>
      <w:pPr>
        <w:pStyle w:val="Subsection"/>
        <w:spacing w:before="14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40"/>
        <w:rPr>
          <w:snapToGrid w:val="0"/>
        </w:rPr>
      </w:pPr>
      <w:r>
        <w:rPr>
          <w:snapToGrid w:val="0"/>
        </w:rPr>
        <w:tab/>
        <w:t>(2)</w:t>
      </w:r>
      <w:r>
        <w:rPr>
          <w:snapToGrid w:val="0"/>
        </w:rPr>
        <w:tab/>
        <w:t xml:space="preserve">A person is not eligible for appointment as a deputy of a member of the Committee (other than as the deputy of the </w:t>
      </w:r>
      <w:r>
        <w:t xml:space="preserve">Chairperson) </w:t>
      </w:r>
      <w:r>
        <w:rPr>
          <w:snapToGrid w:val="0"/>
        </w:rPr>
        <w:t>unless he</w:t>
      </w:r>
      <w:r>
        <w:t xml:space="preserve"> or she</w:t>
      </w:r>
      <w:r>
        <w:rPr>
          <w:snapToGrid w:val="0"/>
        </w:rPr>
        <w:t xml:space="preserve"> is nominated as deputy by the body by which the member is required under section 340B to be nominated or unless he</w:t>
      </w:r>
      <w:r>
        <w:t xml:space="preserve"> or she</w:t>
      </w:r>
      <w:r>
        <w:rPr>
          <w:snapToGrid w:val="0"/>
        </w:rPr>
        <w:t xml:space="preserve"> is appointed by the Minister under the provisions of section 340D(3).</w:t>
      </w:r>
    </w:p>
    <w:p>
      <w:pPr>
        <w:pStyle w:val="Footnotesection"/>
      </w:pPr>
      <w:r>
        <w:tab/>
        <w:t>[Section 340C inserted: No. 23 of 1960 s. 4; amended: No. 19 of 2016 s. 43.]</w:t>
      </w:r>
    </w:p>
    <w:p>
      <w:pPr>
        <w:pStyle w:val="Heading5"/>
        <w:keepLines w:val="0"/>
        <w:spacing w:before="180"/>
        <w:rPr>
          <w:snapToGrid w:val="0"/>
        </w:rPr>
      </w:pPr>
      <w:bookmarkStart w:id="636" w:name="_Toc225765936"/>
      <w:bookmarkStart w:id="637" w:name="_Toc209710861"/>
      <w:r>
        <w:rPr>
          <w:rStyle w:val="CharSectno"/>
        </w:rPr>
        <w:t>340D</w:t>
      </w:r>
      <w:r>
        <w:rPr>
          <w:snapToGrid w:val="0"/>
        </w:rPr>
        <w:t>.</w:t>
      </w:r>
      <w:r>
        <w:rPr>
          <w:snapToGrid w:val="0"/>
        </w:rPr>
        <w:tab/>
        <w:t>Nominations to be made to Minister</w:t>
      </w:r>
      <w:bookmarkEnd w:id="636"/>
      <w:bookmarkEnd w:id="637"/>
    </w:p>
    <w:p>
      <w:pPr>
        <w:pStyle w:val="Subsection"/>
      </w:pPr>
      <w:r>
        <w:tab/>
        <w:t>(1)</w:t>
      </w:r>
      <w:r>
        <w:tab/>
        <w:t>The bodies mentioned in section 340B(2)(b) and (c)(i) and (ii) must nominate to the Minister, when the Minister so requests, or when a vacancy occurs in accordance with section 340F,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340B(2)(b) or (c)(i) or (ii) </w:t>
      </w:r>
      <w:r>
        <w:rPr>
          <w:snapToGrid w:val="0"/>
        </w:rPr>
        <w:t xml:space="preserve">to nominate, within a specified period, for appointment as a member of the Committee, or as a deputy member, any number of persons not exceeding 3, and may appoint such one, or as the case may be, more of them as </w:t>
      </w:r>
      <w:r>
        <w:t>the Minister</w:t>
      </w:r>
      <w:r>
        <w:rPr>
          <w:snapToGrid w:val="0"/>
        </w:rPr>
        <w:t xml:space="preserve"> thinks fit.</w:t>
      </w:r>
    </w:p>
    <w:p>
      <w:pPr>
        <w:pStyle w:val="Subsection"/>
        <w:rPr>
          <w:snapToGrid w:val="0"/>
        </w:rPr>
      </w:pPr>
      <w:r>
        <w:rPr>
          <w:snapToGrid w:val="0"/>
        </w:rPr>
        <w:tab/>
        <w:t>(3)</w:t>
      </w:r>
      <w:r>
        <w:rPr>
          <w:snapToGrid w:val="0"/>
        </w:rPr>
        <w:tab/>
        <w:t xml:space="preserve">If no nomination is made within the period specified by the Minister, </w:t>
      </w:r>
      <w:r>
        <w:t>the Minister</w:t>
      </w:r>
      <w:r>
        <w:rPr>
          <w:snapToGrid w:val="0"/>
        </w:rPr>
        <w:t xml:space="preserve"> may appoint such person or persons as </w:t>
      </w:r>
      <w:r>
        <w:t>the Minister</w:t>
      </w:r>
      <w:r>
        <w:rPr>
          <w:snapToGrid w:val="0"/>
        </w:rPr>
        <w:t xml:space="preserve"> thinks fit to fill the office or offices or deputy, as the case may be.</w:t>
      </w:r>
    </w:p>
    <w:p>
      <w:pPr>
        <w:pStyle w:val="Footnotesection"/>
      </w:pPr>
      <w:r>
        <w:tab/>
        <w:t>[Section 340D inserted: No. 23 of 1960 s. 4; amended: No. 19 of 2016 s. 44.]</w:t>
      </w:r>
    </w:p>
    <w:p>
      <w:pPr>
        <w:pStyle w:val="Heading5"/>
        <w:rPr>
          <w:snapToGrid w:val="0"/>
        </w:rPr>
      </w:pPr>
      <w:bookmarkStart w:id="638" w:name="_Toc225765937"/>
      <w:bookmarkStart w:id="639" w:name="_Toc209710862"/>
      <w:r>
        <w:rPr>
          <w:rStyle w:val="CharSectno"/>
        </w:rPr>
        <w:t>340E</w:t>
      </w:r>
      <w:r>
        <w:rPr>
          <w:snapToGrid w:val="0"/>
        </w:rPr>
        <w:t>.</w:t>
      </w:r>
      <w:r>
        <w:rPr>
          <w:snapToGrid w:val="0"/>
        </w:rPr>
        <w:tab/>
        <w:t>Tenure of office</w:t>
      </w:r>
      <w:bookmarkEnd w:id="638"/>
      <w:bookmarkEnd w:id="639"/>
    </w:p>
    <w:p>
      <w:pPr>
        <w:pStyle w:val="Subsection"/>
        <w:rPr>
          <w:snapToGrid w:val="0"/>
        </w:rPr>
      </w:pPr>
      <w:r>
        <w:rPr>
          <w:snapToGrid w:val="0"/>
        </w:rPr>
        <w:tab/>
        <w:t>(1)</w:t>
      </w:r>
      <w:r>
        <w:rPr>
          <w:snapToGrid w:val="0"/>
        </w:rPr>
        <w:tab/>
        <w:t xml:space="preserve">The term of tenure of office of a person appointed as a member of the Committee (other than the </w:t>
      </w:r>
      <w:r>
        <w:t>Chairperson</w:t>
      </w:r>
      <w:r>
        <w:rPr>
          <w:snapToGrid w:val="0"/>
        </w:rPr>
        <w:t xml:space="preserve">)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term of tenure of office of the member referred to in section 340B(2)(a) continues until terminated by the Minister.</w:t>
      </w:r>
    </w:p>
    <w:p>
      <w:pPr>
        <w:pStyle w:val="Footnotesection"/>
      </w:pPr>
      <w:r>
        <w:tab/>
        <w:t>[Section 340E inserted: No. 23 of 1960 s. 4; amended: No. 19 of 2016 s. 45.]</w:t>
      </w:r>
    </w:p>
    <w:p>
      <w:pPr>
        <w:pStyle w:val="Heading5"/>
      </w:pPr>
      <w:bookmarkStart w:id="640" w:name="_Toc225765938"/>
      <w:bookmarkStart w:id="641" w:name="_Toc209710863"/>
      <w:r>
        <w:rPr>
          <w:rStyle w:val="CharSectno"/>
        </w:rPr>
        <w:t>340F</w:t>
      </w:r>
      <w:r>
        <w:t>.</w:t>
      </w:r>
      <w:r>
        <w:tab/>
        <w:t>When office of member becomes vacant</w:t>
      </w:r>
      <w:bookmarkEnd w:id="640"/>
      <w:bookmarkEnd w:id="641"/>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340B(2)(a),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340F inserted: No. 19 of 2016 s. 46.]</w:t>
      </w:r>
    </w:p>
    <w:p>
      <w:pPr>
        <w:pStyle w:val="Heading5"/>
        <w:rPr>
          <w:snapToGrid w:val="0"/>
        </w:rPr>
      </w:pPr>
      <w:bookmarkStart w:id="642" w:name="_Toc225765939"/>
      <w:bookmarkStart w:id="643" w:name="_Toc209710864"/>
      <w:r>
        <w:rPr>
          <w:rStyle w:val="CharSectno"/>
        </w:rPr>
        <w:t>340G</w:t>
      </w:r>
      <w:r>
        <w:rPr>
          <w:snapToGrid w:val="0"/>
        </w:rPr>
        <w:t>.</w:t>
      </w:r>
      <w:r>
        <w:rPr>
          <w:snapToGrid w:val="0"/>
        </w:rPr>
        <w:tab/>
        <w:t>Vacancies in offices of members to be filled</w:t>
      </w:r>
      <w:bookmarkEnd w:id="642"/>
      <w:bookmarkEnd w:id="643"/>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340B(2), a specified body has the right to nominate that member, the Minister is not to appoint a person unless he or she is nominated by the appropriate body mentioned in that section, or unless section 340D(3) applies to the office.</w:t>
      </w:r>
    </w:p>
    <w:p>
      <w:pPr>
        <w:pStyle w:val="Subsection"/>
        <w:rPr>
          <w:snapToGrid w:val="0"/>
        </w:rPr>
      </w:pPr>
      <w:r>
        <w:rPr>
          <w:snapToGrid w:val="0"/>
        </w:rPr>
        <w:tab/>
        <w:t>(3)</w:t>
      </w:r>
      <w:r>
        <w:rPr>
          <w:snapToGrid w:val="0"/>
        </w:rPr>
        <w:tab/>
        <w:t>A person is not rendered ineligible for appointment to office of member or deputy because he</w:t>
      </w:r>
      <w:r>
        <w:t xml:space="preserve"> or she</w:t>
      </w:r>
      <w:r>
        <w:rPr>
          <w:snapToGrid w:val="0"/>
        </w:rPr>
        <w:t xml:space="preserve"> has previously occupied office as such.</w:t>
      </w:r>
    </w:p>
    <w:p>
      <w:pPr>
        <w:pStyle w:val="Footnotesection"/>
      </w:pPr>
      <w:r>
        <w:tab/>
        <w:t>[Section 340G inserted: No. 23 of 1960 s. 4; amended: No. 19 of 2016 s. 47.]</w:t>
      </w:r>
    </w:p>
    <w:p>
      <w:pPr>
        <w:pStyle w:val="Heading5"/>
      </w:pPr>
      <w:bookmarkStart w:id="644" w:name="_Toc225765940"/>
      <w:bookmarkStart w:id="645" w:name="_Toc209710865"/>
      <w:r>
        <w:rPr>
          <w:rStyle w:val="CharSectno"/>
        </w:rPr>
        <w:t>340H</w:t>
      </w:r>
      <w:r>
        <w:t>.</w:t>
      </w:r>
      <w:r>
        <w:tab/>
        <w:t>Meetings and procedure of Committee</w:t>
      </w:r>
      <w:bookmarkEnd w:id="644"/>
      <w:bookmarkEnd w:id="645"/>
    </w:p>
    <w:p>
      <w:pPr>
        <w:pStyle w:val="Subsection"/>
      </w:pPr>
      <w:r>
        <w:tab/>
        <w:t>(1)</w:t>
      </w:r>
      <w:r>
        <w:tab/>
        <w:t>The Committee is to hold the meetings that are necessary for the performance of its functions.</w:t>
      </w:r>
    </w:p>
    <w:p>
      <w:pPr>
        <w:pStyle w:val="Subsection"/>
      </w:pPr>
      <w:r>
        <w:tab/>
        <w:t>(2)</w:t>
      </w:r>
      <w:r>
        <w:tab/>
        <w:t>At any meeting of the Committee, 5 members of the Committee or their respective deputies, including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keepNext/>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spacing w:before="120"/>
      </w:pPr>
      <w:r>
        <w:tab/>
        <w:t>(4)</w:t>
      </w:r>
      <w:r>
        <w:tab/>
        <w:t>Subject to this section, the Committee may regulate its own procedure in whatever manner it thinks fit.</w:t>
      </w:r>
    </w:p>
    <w:p>
      <w:pPr>
        <w:pStyle w:val="Subsection"/>
        <w:spacing w:before="120"/>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340H inserted: No. 19 of 2016 s. 48.]</w:t>
      </w:r>
    </w:p>
    <w:p>
      <w:pPr>
        <w:pStyle w:val="Heading5"/>
        <w:rPr>
          <w:snapToGrid w:val="0"/>
        </w:rPr>
      </w:pPr>
      <w:bookmarkStart w:id="646" w:name="_Toc225765941"/>
      <w:bookmarkStart w:id="647" w:name="_Toc209710866"/>
      <w:r>
        <w:rPr>
          <w:rStyle w:val="CharSectno"/>
        </w:rPr>
        <w:t>340I</w:t>
      </w:r>
      <w:r>
        <w:rPr>
          <w:snapToGrid w:val="0"/>
        </w:rPr>
        <w:t>.</w:t>
      </w:r>
      <w:r>
        <w:rPr>
          <w:snapToGrid w:val="0"/>
        </w:rPr>
        <w:tab/>
        <w:t>Reimbursement of expenses of members of Committee</w:t>
      </w:r>
      <w:bookmarkEnd w:id="646"/>
      <w:bookmarkEnd w:id="647"/>
    </w:p>
    <w:p>
      <w:pPr>
        <w:pStyle w:val="Subsection"/>
        <w:rPr>
          <w:snapToGrid w:val="0"/>
        </w:rPr>
      </w:pPr>
      <w:r>
        <w:rPr>
          <w:snapToGrid w:val="0"/>
        </w:rPr>
        <w:tab/>
      </w:r>
      <w:r>
        <w:rPr>
          <w:snapToGrid w:val="0"/>
        </w:rPr>
        <w:tab/>
        <w:t xml:space="preserve">The </w:t>
      </w:r>
      <w:r>
        <w:t xml:space="preserve">Chairperson </w:t>
      </w:r>
      <w:r>
        <w:rPr>
          <w:snapToGrid w:val="0"/>
        </w:rPr>
        <w:t>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No. 23 of 1960 s. 4; amended: No. 19 of 2016 s. 49.]</w:t>
      </w:r>
    </w:p>
    <w:p>
      <w:pPr>
        <w:pStyle w:val="Heading5"/>
        <w:rPr>
          <w:snapToGrid w:val="0"/>
        </w:rPr>
      </w:pPr>
      <w:bookmarkStart w:id="648" w:name="_Toc225765942"/>
      <w:bookmarkStart w:id="649" w:name="_Toc209710867"/>
      <w:r>
        <w:rPr>
          <w:rStyle w:val="CharSectno"/>
        </w:rPr>
        <w:t>340J</w:t>
      </w:r>
      <w:r>
        <w:rPr>
          <w:snapToGrid w:val="0"/>
        </w:rPr>
        <w:t>.</w:t>
      </w:r>
      <w:r>
        <w:rPr>
          <w:snapToGrid w:val="0"/>
        </w:rPr>
        <w:tab/>
        <w:t>Appointment of investigator</w:t>
      </w:r>
      <w:bookmarkEnd w:id="648"/>
      <w:bookmarkEnd w:id="649"/>
    </w:p>
    <w:p>
      <w:pPr>
        <w:pStyle w:val="Subsection"/>
        <w:spacing w:before="120"/>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spacing w:before="120"/>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spacing w:before="120"/>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No. 23 of 1960 s. 4.]</w:t>
      </w:r>
    </w:p>
    <w:p>
      <w:pPr>
        <w:pStyle w:val="Heading5"/>
      </w:pPr>
      <w:bookmarkStart w:id="650" w:name="_Toc225765943"/>
      <w:bookmarkStart w:id="651" w:name="_Toc209710868"/>
      <w:r>
        <w:rPr>
          <w:rStyle w:val="CharSectno"/>
        </w:rPr>
        <w:t>340K</w:t>
      </w:r>
      <w:r>
        <w:t>.</w:t>
      </w:r>
      <w:r>
        <w:tab/>
        <w:t>Functions of Committee</w:t>
      </w:r>
      <w:bookmarkEnd w:id="650"/>
      <w:bookmarkEnd w:id="651"/>
    </w:p>
    <w:p>
      <w:pPr>
        <w:pStyle w:val="Subsection"/>
      </w:pPr>
      <w:r>
        <w:tab/>
        <w:t>(1)</w:t>
      </w:r>
      <w:r>
        <w:tab/>
        <w:t xml:space="preserve">Whenever an investigator presents to the Chairperson of the Committee a report under section 336,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woman,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tab/>
        <w:t>(5)</w:t>
      </w:r>
      <w:r>
        <w:tab/>
        <w:t xml:space="preserve">The determination of the Committee, including the comments referred to in subsection (4) — </w:t>
      </w:r>
    </w:p>
    <w:p>
      <w:pPr>
        <w:pStyle w:val="Indenta"/>
        <w:keepNext/>
      </w:pPr>
      <w:r>
        <w:tab/>
        <w:t>(a)</w:t>
      </w:r>
      <w:r>
        <w:tab/>
        <w:t xml:space="preserve">must be notified in writing by the Chairperson to — </w:t>
      </w:r>
    </w:p>
    <w:p>
      <w:pPr>
        <w:pStyle w:val="Indenti"/>
      </w:pPr>
      <w:r>
        <w:tab/>
        <w:t>(i)</w:t>
      </w:r>
      <w:r>
        <w:tab/>
        <w:t>the medical practitioner (if any) who was attending the woman at the time of the occurrence of her death; and</w:t>
      </w:r>
    </w:p>
    <w:p>
      <w:pPr>
        <w:pStyle w:val="Indenti"/>
      </w:pPr>
      <w:r>
        <w:tab/>
        <w:t>(ii)</w:t>
      </w:r>
      <w:r>
        <w:tab/>
        <w:t>the nurse or midwife (if any) who was attending the woman at that time;</w:t>
      </w:r>
    </w:p>
    <w:p>
      <w:pPr>
        <w:pStyle w:val="Indenta"/>
      </w:pPr>
      <w:r>
        <w:tab/>
      </w:r>
      <w:r>
        <w:tab/>
        <w:t>and</w:t>
      </w:r>
    </w:p>
    <w:p>
      <w:pPr>
        <w:pStyle w:val="Indenta"/>
      </w:pPr>
      <w:r>
        <w:tab/>
        <w:t>(b)</w:t>
      </w:r>
      <w:r>
        <w:tab/>
        <w:t>may be notified in writing by the Chairperson to any other medical practitioner, nurse or midwife who attended the woman before the occurrence of her death if the Committee considers that that medical practitioner, nurse or midwife should be informed of that determination and those comments.</w:t>
      </w:r>
    </w:p>
    <w:p>
      <w:pPr>
        <w:pStyle w:val="Footnotesection"/>
      </w:pPr>
      <w:r>
        <w:tab/>
        <w:t>[Section 340K inserted: No. 19 of 2016 s. 50.]</w:t>
      </w:r>
    </w:p>
    <w:p>
      <w:pPr>
        <w:pStyle w:val="Heading5"/>
      </w:pPr>
      <w:bookmarkStart w:id="652" w:name="_Toc225765944"/>
      <w:bookmarkStart w:id="653" w:name="_Toc209710869"/>
      <w:r>
        <w:rPr>
          <w:rStyle w:val="CharSectno"/>
        </w:rPr>
        <w:t>340LA</w:t>
      </w:r>
      <w:r>
        <w:t>.</w:t>
      </w:r>
      <w:r>
        <w:tab/>
        <w:t>Further provisions relating to proceedings of Committee</w:t>
      </w:r>
      <w:bookmarkEnd w:id="652"/>
      <w:bookmarkEnd w:id="653"/>
    </w:p>
    <w:p>
      <w:pPr>
        <w:pStyle w:val="Subsection"/>
      </w:pPr>
      <w:r>
        <w:tab/>
        <w:t>(1)</w:t>
      </w:r>
      <w:r>
        <w:tab/>
        <w:t>As soon as practicable after the Committee has made a determination under section 340K,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keepNext/>
      </w:pPr>
      <w:r>
        <w:tab/>
        <w:t>(4)</w:t>
      </w:r>
      <w:r>
        <w:tab/>
        <w:t>The Chairperson must forward to the Chief Health Officer a summary of the cases investigated by the investigator and considered by the Committee during each year.</w:t>
      </w:r>
    </w:p>
    <w:p>
      <w:pPr>
        <w:pStyle w:val="Footnotesection"/>
      </w:pPr>
      <w:r>
        <w:tab/>
        <w:t>[Section 340LA inserted: No. 19 of 2016 s. 50.]</w:t>
      </w:r>
    </w:p>
    <w:p>
      <w:pPr>
        <w:pStyle w:val="Heading5"/>
      </w:pPr>
      <w:bookmarkStart w:id="654" w:name="_Toc225765945"/>
      <w:bookmarkStart w:id="655" w:name="_Toc209710870"/>
      <w:r>
        <w:rPr>
          <w:rStyle w:val="CharSectno"/>
        </w:rPr>
        <w:t>340LB</w:t>
      </w:r>
      <w:r>
        <w:t>.</w:t>
      </w:r>
      <w:r>
        <w:tab/>
        <w:t>Contents of notification confidential</w:t>
      </w:r>
      <w:bookmarkEnd w:id="654"/>
      <w:bookmarkEnd w:id="655"/>
    </w:p>
    <w:p>
      <w:pPr>
        <w:pStyle w:val="Subsection"/>
      </w:pPr>
      <w:r>
        <w:tab/>
        <w:t>(1)</w:t>
      </w:r>
      <w:r>
        <w:tab/>
        <w:t>The contents of a notification made under section 340K(5)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340K(5) to any person except for the purposes of, and in accordance with, this Part commits an offence.</w:t>
      </w:r>
    </w:p>
    <w:p>
      <w:pPr>
        <w:pStyle w:val="Footnotesection"/>
      </w:pPr>
      <w:r>
        <w:tab/>
        <w:t>[Section 340LB inserted: No. 19 of 2016 s. 50.]</w:t>
      </w:r>
    </w:p>
    <w:p>
      <w:pPr>
        <w:pStyle w:val="Heading5"/>
        <w:rPr>
          <w:snapToGrid w:val="0"/>
        </w:rPr>
      </w:pPr>
      <w:bookmarkStart w:id="656" w:name="_Toc225765946"/>
      <w:bookmarkStart w:id="657" w:name="_Toc209710871"/>
      <w:r>
        <w:rPr>
          <w:rStyle w:val="CharSectno"/>
        </w:rPr>
        <w:t>340L</w:t>
      </w:r>
      <w:r>
        <w:rPr>
          <w:snapToGrid w:val="0"/>
        </w:rPr>
        <w:t>.</w:t>
      </w:r>
      <w:r>
        <w:rPr>
          <w:snapToGrid w:val="0"/>
        </w:rPr>
        <w:tab/>
        <w:t>When report of investigator may be published</w:t>
      </w:r>
      <w:bookmarkEnd w:id="656"/>
      <w:bookmarkEnd w:id="657"/>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No. 23 of 1960 s. 4; amended: No. 8 of 2009 s. 71(4); No. 19 of 2016 s. 51.]</w:t>
      </w:r>
    </w:p>
    <w:p>
      <w:pPr>
        <w:pStyle w:val="Heading5"/>
        <w:rPr>
          <w:snapToGrid w:val="0"/>
        </w:rPr>
      </w:pPr>
      <w:bookmarkStart w:id="658" w:name="_Toc225765947"/>
      <w:bookmarkStart w:id="659" w:name="_Toc209710872"/>
      <w:r>
        <w:rPr>
          <w:rStyle w:val="CharSectno"/>
        </w:rPr>
        <w:t>340M</w:t>
      </w:r>
      <w:r>
        <w:rPr>
          <w:snapToGrid w:val="0"/>
        </w:rPr>
        <w:t>.</w:t>
      </w:r>
      <w:r>
        <w:rPr>
          <w:snapToGrid w:val="0"/>
        </w:rPr>
        <w:tab/>
        <w:t>Information given for research not to be disclosed</w:t>
      </w:r>
      <w:bookmarkEnd w:id="658"/>
      <w:bookmarkEnd w:id="659"/>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attending that person is first obtained.</w:t>
      </w:r>
    </w:p>
    <w:p>
      <w:pPr>
        <w:pStyle w:val="Footnotesection"/>
      </w:pPr>
      <w:r>
        <w:tab/>
        <w:t>[Section 340M inserted: No. 23 of 1960 s. 4; amended: No. 80 of 1987 s. 157; No. 19 of 2016 s. 52.]</w:t>
      </w:r>
    </w:p>
    <w:p>
      <w:pPr>
        <w:pStyle w:val="Ednotesection"/>
        <w:spacing w:before="180"/>
        <w:ind w:left="890" w:hanging="890"/>
      </w:pPr>
      <w:r>
        <w:t>[</w:t>
      </w:r>
      <w:r>
        <w:rPr>
          <w:b/>
        </w:rPr>
        <w:t>340N.</w:t>
      </w:r>
      <w:r>
        <w:tab/>
        <w:t>Deleted: No. 19 of 2016 s. 53.]</w:t>
      </w:r>
    </w:p>
    <w:p>
      <w:pPr>
        <w:pStyle w:val="Heading2"/>
      </w:pPr>
      <w:bookmarkStart w:id="660" w:name="_Toc225760921"/>
      <w:bookmarkStart w:id="661" w:name="_Toc225761253"/>
      <w:bookmarkStart w:id="662" w:name="_Toc225765948"/>
      <w:bookmarkStart w:id="663" w:name="_Toc209701397"/>
      <w:bookmarkStart w:id="664" w:name="_Toc209703015"/>
      <w:bookmarkStart w:id="665" w:name="_Toc209703347"/>
      <w:bookmarkStart w:id="666" w:name="_Toc209710873"/>
      <w:r>
        <w:rPr>
          <w:rStyle w:val="CharPartNo"/>
        </w:rPr>
        <w:t>Part XIIIB</w:t>
      </w:r>
      <w:r>
        <w:rPr>
          <w:rStyle w:val="CharDivNo"/>
        </w:rPr>
        <w:t> </w:t>
      </w:r>
      <w:r>
        <w:t>—</w:t>
      </w:r>
      <w:r>
        <w:rPr>
          <w:rStyle w:val="CharDivText"/>
        </w:rPr>
        <w:t> </w:t>
      </w:r>
      <w:r>
        <w:rPr>
          <w:rStyle w:val="CharPartText"/>
        </w:rPr>
        <w:t>Perinatal and Infant Mortality Committee</w:t>
      </w:r>
      <w:bookmarkEnd w:id="660"/>
      <w:bookmarkEnd w:id="661"/>
      <w:bookmarkEnd w:id="662"/>
      <w:bookmarkEnd w:id="663"/>
      <w:bookmarkEnd w:id="664"/>
      <w:bookmarkEnd w:id="665"/>
      <w:bookmarkEnd w:id="666"/>
    </w:p>
    <w:p>
      <w:pPr>
        <w:pStyle w:val="Footnoteheading"/>
        <w:ind w:left="890" w:hanging="890"/>
        <w:rPr>
          <w:snapToGrid w:val="0"/>
        </w:rPr>
      </w:pPr>
      <w:r>
        <w:rPr>
          <w:snapToGrid w:val="0"/>
        </w:rPr>
        <w:tab/>
        <w:t>[Heading inserted: No. 47 of 1978 s. 34.]</w:t>
      </w:r>
    </w:p>
    <w:p>
      <w:pPr>
        <w:pStyle w:val="Heading5"/>
        <w:spacing w:before="120"/>
        <w:rPr>
          <w:snapToGrid w:val="0"/>
        </w:rPr>
      </w:pPr>
      <w:bookmarkStart w:id="667" w:name="_Toc225765949"/>
      <w:bookmarkStart w:id="668" w:name="_Toc209710874"/>
      <w:r>
        <w:rPr>
          <w:rStyle w:val="CharSectno"/>
        </w:rPr>
        <w:t>340AA</w:t>
      </w:r>
      <w:r>
        <w:rPr>
          <w:snapToGrid w:val="0"/>
        </w:rPr>
        <w:t>.</w:t>
      </w:r>
      <w:r>
        <w:rPr>
          <w:snapToGrid w:val="0"/>
        </w:rPr>
        <w:tab/>
        <w:t>Terms used</w:t>
      </w:r>
      <w:bookmarkEnd w:id="667"/>
      <w:bookmarkEnd w:id="668"/>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340AA inserted: No. 47 of 1978 s. 34; amended: No. 19 of 2016 s. 54.]</w:t>
      </w:r>
    </w:p>
    <w:p>
      <w:pPr>
        <w:pStyle w:val="Heading5"/>
        <w:rPr>
          <w:snapToGrid w:val="0"/>
        </w:rPr>
      </w:pPr>
      <w:bookmarkStart w:id="669" w:name="_Toc225765950"/>
      <w:bookmarkStart w:id="670" w:name="_Toc209710875"/>
      <w:r>
        <w:rPr>
          <w:rStyle w:val="CharSectno"/>
        </w:rPr>
        <w:t>340AB</w:t>
      </w:r>
      <w:r>
        <w:rPr>
          <w:snapToGrid w:val="0"/>
        </w:rPr>
        <w:t>.</w:t>
      </w:r>
      <w:r>
        <w:rPr>
          <w:snapToGrid w:val="0"/>
        </w:rPr>
        <w:tab/>
        <w:t>Constitution and offices of Committee</w:t>
      </w:r>
      <w:bookmarkEnd w:id="669"/>
      <w:bookmarkEnd w:id="670"/>
    </w:p>
    <w:p>
      <w:pPr>
        <w:pStyle w:val="Subsection"/>
        <w:spacing w:before="200"/>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spacing w:before="200"/>
      </w:pPr>
      <w:r>
        <w:tab/>
        <w:t>(2)</w:t>
      </w:r>
      <w:r>
        <w:tab/>
        <w:t>The Committee is to consist of 13 members appointed by the Minister.</w:t>
      </w:r>
    </w:p>
    <w:p>
      <w:pPr>
        <w:pStyle w:val="Subsection"/>
        <w:spacing w:before="200"/>
      </w:pPr>
      <w:r>
        <w:tab/>
        <w:t>(3)</w:t>
      </w:r>
      <w:r>
        <w:tab/>
        <w:t xml:space="preserve">Of the persons appointed as members of the Committee — </w:t>
      </w:r>
    </w:p>
    <w:p>
      <w:pPr>
        <w:pStyle w:val="Indenta"/>
      </w:pPr>
      <w:r>
        <w:tab/>
        <w:t>(a)</w:t>
      </w:r>
      <w:r>
        <w:tab/>
        <w:t>one is to be the Professor of Obstetrics at the University of Western Australia; and</w:t>
      </w:r>
    </w:p>
    <w:p>
      <w:pPr>
        <w:pStyle w:val="Indenta"/>
      </w:pPr>
      <w:r>
        <w:tab/>
        <w:t>(b)</w:t>
      </w:r>
      <w:r>
        <w:tab/>
        <w:t>one is to be a medical practitioner specialising in obstetrics, nominated by the Chief Health Officer; and</w:t>
      </w:r>
    </w:p>
    <w:p>
      <w:pPr>
        <w:pStyle w:val="Indenta"/>
        <w:keepNext/>
      </w:pPr>
      <w:r>
        <w:tab/>
        <w:t>(c)</w:t>
      </w:r>
      <w:r>
        <w:tab/>
        <w:t xml:space="preserve">2 are to be medical practitioners nominated by the chief executive of the health service provider for King Edward Memorial Hospital under the </w:t>
      </w:r>
      <w:r>
        <w:rPr>
          <w:i/>
        </w:rPr>
        <w:t>Health Services Act 2016</w:t>
      </w:r>
      <w:r>
        <w:t xml:space="preserve">, of whom — </w:t>
      </w:r>
    </w:p>
    <w:p>
      <w:pPr>
        <w:pStyle w:val="Indenti"/>
      </w:pPr>
      <w:r>
        <w:tab/>
        <w:t>(i)</w:t>
      </w:r>
      <w:r>
        <w:tab/>
        <w:t>one is to be a medical practitioner specialising in neonatal paediatrics at that hospital; and</w:t>
      </w:r>
    </w:p>
    <w:p>
      <w:pPr>
        <w:pStyle w:val="Indenti"/>
      </w:pPr>
      <w:r>
        <w:tab/>
        <w:t>(ii)</w:t>
      </w:r>
      <w:r>
        <w:tab/>
        <w:t>one is to be a medical practitioner specialising in obstetrics at that hospital;</w:t>
      </w:r>
    </w:p>
    <w:p>
      <w:pPr>
        <w:pStyle w:val="Indenta"/>
      </w:pPr>
      <w:r>
        <w:tab/>
      </w:r>
      <w:r>
        <w:tab/>
        <w:t>and</w:t>
      </w:r>
    </w:p>
    <w:p>
      <w:pPr>
        <w:pStyle w:val="Indenta"/>
      </w:pPr>
      <w:r>
        <w:tab/>
        <w:t>(d)</w:t>
      </w:r>
      <w:r>
        <w:tab/>
        <w:t xml:space="preserve">one is to be a medical practitioner specialising in neonatal paediatrics at Perth Children’s Hospital, nominated by the chief executive of the health service provider for that hospital under the </w:t>
      </w:r>
      <w:r>
        <w:rPr>
          <w:i/>
        </w:rPr>
        <w:t>Health Services Act 2016</w:t>
      </w:r>
      <w:r>
        <w:t>; and</w:t>
      </w:r>
    </w:p>
    <w:p>
      <w:pPr>
        <w:pStyle w:val="Indenta"/>
      </w:pPr>
      <w:r>
        <w:tab/>
        <w:t>(e)</w:t>
      </w:r>
      <w:r>
        <w:tab/>
        <w:t>one is to be a medical practitioner specialising in obstetrics and perinatal care, nominated by the Royal Australian and New Zealand College of Obstetricians and Gynaecologists (W.A. Branch); and</w:t>
      </w:r>
    </w:p>
    <w:p>
      <w:pPr>
        <w:pStyle w:val="Indenta"/>
      </w:pPr>
      <w:r>
        <w:tab/>
        <w:t>(f)</w:t>
      </w:r>
      <w:r>
        <w:tab/>
        <w:t xml:space="preserve">3 are to be general medical practitioners (one of whom practises outside the metropolitan area), of whom — </w:t>
      </w:r>
    </w:p>
    <w:p>
      <w:pPr>
        <w:pStyle w:val="Indenti"/>
      </w:pPr>
      <w:r>
        <w:tab/>
        <w:t>(i)</w:t>
      </w:r>
      <w:r>
        <w:tab/>
        <w:t>one is to be nominated by the Australian Medical Association (WA) Incorporated; and</w:t>
      </w:r>
    </w:p>
    <w:p>
      <w:pPr>
        <w:pStyle w:val="Indenti"/>
      </w:pPr>
      <w:r>
        <w:tab/>
        <w:t>(ii)</w:t>
      </w:r>
      <w:r>
        <w:tab/>
        <w:t>one is to be nominated by the Royal Australian College of General Practitioners; and</w:t>
      </w:r>
    </w:p>
    <w:p>
      <w:pPr>
        <w:pStyle w:val="Indenti"/>
      </w:pPr>
      <w:r>
        <w:tab/>
        <w:t>(iii)</w:t>
      </w:r>
      <w:r>
        <w:tab/>
        <w:t>one is to be nominated by the Chief Health Officer;</w:t>
      </w:r>
    </w:p>
    <w:p>
      <w:pPr>
        <w:pStyle w:val="Indenta"/>
      </w:pPr>
      <w:r>
        <w:tab/>
      </w:r>
      <w:r>
        <w:tab/>
        <w:t>and</w:t>
      </w:r>
    </w:p>
    <w:p>
      <w:pPr>
        <w:pStyle w:val="Indenta"/>
      </w:pPr>
      <w:r>
        <w:tab/>
        <w:t>(g)</w:t>
      </w:r>
      <w:r>
        <w:tab/>
        <w:t>one is to be a medical practitioner specialising in clinical epidemiology, nominated by the Chief Health Officer; and</w:t>
      </w:r>
    </w:p>
    <w:p>
      <w:pPr>
        <w:pStyle w:val="Indenta"/>
      </w:pPr>
      <w:r>
        <w:tab/>
        <w:t>(h)</w:t>
      </w:r>
      <w:r>
        <w:tab/>
        <w:t>one is to be a medical practitioner specialising in perinatal pathology, nominated by the Chief Health Officer; and</w:t>
      </w:r>
    </w:p>
    <w:p>
      <w:pPr>
        <w:pStyle w:val="Indenta"/>
      </w:pPr>
      <w:r>
        <w:tab/>
        <w:t>(i)</w:t>
      </w:r>
      <w:r>
        <w:tab/>
        <w:t>one is to be a midwife in clinical practice, nominated by the Chief Health Officer; and</w:t>
      </w:r>
    </w:p>
    <w:p>
      <w:pPr>
        <w:pStyle w:val="Indenta"/>
      </w:pPr>
      <w:r>
        <w:tab/>
        <w:t>(j)</w:t>
      </w:r>
      <w:r>
        <w:tab/>
        <w:t>one is to be a nurse specialising in neonatal paediatrics, nominated by the Chief Health Officer.</w:t>
      </w:r>
    </w:p>
    <w:p>
      <w:pPr>
        <w:pStyle w:val="Subsection"/>
      </w:pPr>
      <w:r>
        <w:tab/>
        <w:t>(4)</w:t>
      </w:r>
      <w:r>
        <w:tab/>
        <w:t>The Chairperson of the Committee is to be appointed by the Minister from among the members of the Committee.</w:t>
      </w:r>
    </w:p>
    <w:p>
      <w:pPr>
        <w:pStyle w:val="Footnotesection"/>
        <w:keepLines w:val="0"/>
        <w:widowControl w:val="0"/>
        <w:spacing w:before="80"/>
        <w:ind w:left="890" w:hanging="890"/>
      </w:pPr>
      <w:r>
        <w:tab/>
        <w:t>[Section 340AB inserted: No. 47 of 1978 s. 34; amended: No. 30 of 1982 s. 15; No. 28 of 1984 s. 31; No. 27 of 1992 s. 84; No. 10 of 1998 s. 39(6); No. 24 of 2000 s. 16(3); No. 28 of 2006 s. 251; No. 8 of 2009 s. 71(4); No. 11 of 2016 s. 291(3); No. 19 of 2016 s. 55 and 248.]</w:t>
      </w:r>
    </w:p>
    <w:p>
      <w:pPr>
        <w:pStyle w:val="Heading5"/>
        <w:rPr>
          <w:snapToGrid w:val="0"/>
        </w:rPr>
      </w:pPr>
      <w:bookmarkStart w:id="671" w:name="_Toc225765951"/>
      <w:bookmarkStart w:id="672" w:name="_Toc209710876"/>
      <w:r>
        <w:rPr>
          <w:rStyle w:val="CharSectno"/>
        </w:rPr>
        <w:t>340AC</w:t>
      </w:r>
      <w:r>
        <w:rPr>
          <w:snapToGrid w:val="0"/>
        </w:rPr>
        <w:t>.</w:t>
      </w:r>
      <w:r>
        <w:rPr>
          <w:snapToGrid w:val="0"/>
        </w:rPr>
        <w:tab/>
        <w:t>Appointment of deputies</w:t>
      </w:r>
      <w:bookmarkEnd w:id="671"/>
      <w:bookmarkEnd w:id="672"/>
    </w:p>
    <w:p>
      <w:pPr>
        <w:pStyle w:val="Subsection"/>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w:t>
      </w:r>
      <w:r>
        <w:t xml:space="preserve"> or she</w:t>
      </w:r>
      <w:r>
        <w:rPr>
          <w:snapToGrid w:val="0"/>
        </w:rPr>
        <w:t xml:space="preserve"> is nominated as deputy by that body or unless he</w:t>
      </w:r>
      <w:r>
        <w:t xml:space="preserve"> or she</w:t>
      </w:r>
      <w:r>
        <w:rPr>
          <w:snapToGrid w:val="0"/>
        </w:rPr>
        <w:t xml:space="preserve"> is appointed by the Minister under the provisions of section 340AD(3).</w:t>
      </w:r>
    </w:p>
    <w:p>
      <w:pPr>
        <w:pStyle w:val="Footnotesection"/>
      </w:pPr>
      <w:r>
        <w:tab/>
        <w:t>[Section 340AC inserted: No. 47 of 1978 s. 34; amended: No. 19 of 2016 s. 56.]</w:t>
      </w:r>
    </w:p>
    <w:p>
      <w:pPr>
        <w:pStyle w:val="Heading5"/>
        <w:rPr>
          <w:snapToGrid w:val="0"/>
        </w:rPr>
      </w:pPr>
      <w:bookmarkStart w:id="673" w:name="_Toc225765952"/>
      <w:bookmarkStart w:id="674" w:name="_Toc209710877"/>
      <w:r>
        <w:rPr>
          <w:rStyle w:val="CharSectno"/>
        </w:rPr>
        <w:t>340AD</w:t>
      </w:r>
      <w:r>
        <w:rPr>
          <w:snapToGrid w:val="0"/>
        </w:rPr>
        <w:t xml:space="preserve">. </w:t>
      </w:r>
      <w:r>
        <w:rPr>
          <w:snapToGrid w:val="0"/>
        </w:rPr>
        <w:tab/>
        <w:t>Nominations to be made to Minister</w:t>
      </w:r>
      <w:bookmarkEnd w:id="673"/>
      <w:bookmarkEnd w:id="674"/>
    </w:p>
    <w:p>
      <w:pPr>
        <w:pStyle w:val="Subsection"/>
      </w:pPr>
      <w:r>
        <w:tab/>
        <w:t>(1)</w:t>
      </w:r>
      <w:r>
        <w:tab/>
        <w:t>The bodies mentioned in section 340AB(3) must nominate to the Minister, when he or she so requests, or when a vacancy occurs in accordance with section 340AF,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340AB(3) </w:t>
      </w:r>
      <w:r>
        <w:rPr>
          <w:snapToGrid w:val="0"/>
        </w:rPr>
        <w:t xml:space="preserve">to nominate, within a specified period, for appointment as a member of the Committee, or as a deputy member, any number of persons not exceeding 3, and may appoint such one as </w:t>
      </w:r>
      <w:r>
        <w:t xml:space="preserve">the Minister </w:t>
      </w:r>
      <w:r>
        <w:rPr>
          <w:snapToGrid w:val="0"/>
        </w:rPr>
        <w:t>thinks fit.</w:t>
      </w:r>
    </w:p>
    <w:p>
      <w:pPr>
        <w:pStyle w:val="Subsection"/>
        <w:rPr>
          <w:snapToGrid w:val="0"/>
        </w:rPr>
      </w:pPr>
      <w:r>
        <w:rPr>
          <w:snapToGrid w:val="0"/>
        </w:rPr>
        <w:tab/>
        <w:t>(3)</w:t>
      </w:r>
      <w:r>
        <w:rPr>
          <w:snapToGrid w:val="0"/>
        </w:rPr>
        <w:tab/>
        <w:t xml:space="preserve">If no nomination is made within the period specified by the Minister, </w:t>
      </w:r>
      <w:r>
        <w:t xml:space="preserve">the Minister </w:t>
      </w:r>
      <w:r>
        <w:rPr>
          <w:snapToGrid w:val="0"/>
        </w:rPr>
        <w:t xml:space="preserve">may appoint such a person or persons as </w:t>
      </w:r>
      <w:r>
        <w:t xml:space="preserve">the Minister </w:t>
      </w:r>
      <w:r>
        <w:rPr>
          <w:snapToGrid w:val="0"/>
        </w:rPr>
        <w:t>thinks fit to fill the office or to be a deputy as the case may be.</w:t>
      </w:r>
    </w:p>
    <w:p>
      <w:pPr>
        <w:pStyle w:val="Footnotesection"/>
        <w:ind w:left="890" w:hanging="890"/>
      </w:pPr>
      <w:r>
        <w:tab/>
        <w:t>[Section 340AD inserted: No. 47 of 1978 s. 34; amended: No. 19 of 2016 s. 57.]</w:t>
      </w:r>
    </w:p>
    <w:p>
      <w:pPr>
        <w:pStyle w:val="Heading5"/>
        <w:rPr>
          <w:snapToGrid w:val="0"/>
        </w:rPr>
      </w:pPr>
      <w:bookmarkStart w:id="675" w:name="_Toc225765953"/>
      <w:bookmarkStart w:id="676" w:name="_Toc209710878"/>
      <w:r>
        <w:rPr>
          <w:rStyle w:val="CharSectno"/>
        </w:rPr>
        <w:t>340AE</w:t>
      </w:r>
      <w:r>
        <w:rPr>
          <w:snapToGrid w:val="0"/>
        </w:rPr>
        <w:t xml:space="preserve">. </w:t>
      </w:r>
      <w:r>
        <w:rPr>
          <w:snapToGrid w:val="0"/>
        </w:rPr>
        <w:tab/>
        <w:t>Tenure of office</w:t>
      </w:r>
      <w:bookmarkEnd w:id="675"/>
      <w:bookmarkEnd w:id="676"/>
    </w:p>
    <w:p>
      <w:pPr>
        <w:pStyle w:val="Subsection"/>
        <w:rPr>
          <w:snapToGrid w:val="0"/>
        </w:rPr>
      </w:pPr>
      <w:r>
        <w:rPr>
          <w:snapToGrid w:val="0"/>
        </w:rPr>
        <w:tab/>
        <w:t>(1)</w:t>
      </w:r>
      <w:r>
        <w:rPr>
          <w:snapToGrid w:val="0"/>
        </w:rPr>
        <w:tab/>
        <w:t xml:space="preserve">The term of tenure of office of a person appointed as a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Chairperson holds that office at the pleasure of the Minister.</w:t>
      </w:r>
    </w:p>
    <w:p>
      <w:pPr>
        <w:pStyle w:val="Footnotesection"/>
      </w:pPr>
      <w:r>
        <w:tab/>
        <w:t>[Section 340AE inserted: No. 47 of 1978 s. 34; amended: No. 19 of 2016 s. 58.]</w:t>
      </w:r>
    </w:p>
    <w:p>
      <w:pPr>
        <w:pStyle w:val="Heading5"/>
      </w:pPr>
      <w:bookmarkStart w:id="677" w:name="_Toc225765954"/>
      <w:bookmarkStart w:id="678" w:name="_Toc209710879"/>
      <w:r>
        <w:rPr>
          <w:rStyle w:val="CharSectno"/>
        </w:rPr>
        <w:t>340AF</w:t>
      </w:r>
      <w:r>
        <w:t>.</w:t>
      </w:r>
      <w:r>
        <w:tab/>
        <w:t>When office of member becomes vacant</w:t>
      </w:r>
      <w:bookmarkEnd w:id="677"/>
      <w:bookmarkEnd w:id="678"/>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Chairperson,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340AF inserted: No. 19 of 2016 s. 59.]</w:t>
      </w:r>
    </w:p>
    <w:p>
      <w:pPr>
        <w:pStyle w:val="Heading5"/>
        <w:pageBreakBefore/>
        <w:spacing w:before="100"/>
        <w:rPr>
          <w:snapToGrid w:val="0"/>
        </w:rPr>
      </w:pPr>
      <w:bookmarkStart w:id="679" w:name="_Toc225765955"/>
      <w:bookmarkStart w:id="680" w:name="_Toc209710880"/>
      <w:r>
        <w:rPr>
          <w:rStyle w:val="CharSectno"/>
        </w:rPr>
        <w:t>340AG</w:t>
      </w:r>
      <w:r>
        <w:rPr>
          <w:snapToGrid w:val="0"/>
        </w:rPr>
        <w:t xml:space="preserve">. </w:t>
      </w:r>
      <w:r>
        <w:rPr>
          <w:snapToGrid w:val="0"/>
        </w:rPr>
        <w:tab/>
        <w:t>Vacancies in offices of members to be filled</w:t>
      </w:r>
      <w:bookmarkEnd w:id="679"/>
      <w:bookmarkEnd w:id="680"/>
    </w:p>
    <w:p>
      <w:pPr>
        <w:pStyle w:val="Subsection"/>
      </w:pPr>
      <w:r>
        <w:tab/>
        <w:t>(1)</w:t>
      </w:r>
      <w:r>
        <w:tab/>
        <w:t>When a vacancy occurs in the office of a member of the Committee, the Minister is to appoint a person to fill the vacancy.</w:t>
      </w:r>
    </w:p>
    <w:p>
      <w:pPr>
        <w:pStyle w:val="Subsection"/>
      </w:pPr>
      <w:r>
        <w:tab/>
        <w:t>(2)</w:t>
      </w:r>
      <w:r>
        <w:tab/>
        <w:t>If, under section 340AB(3), a specified body has the right to nominate that member, the Minister is not to appoint a person unless he or she is nominated by the appropriate body mentioned in that section, or unless section 340AD(3)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340AG inserted: No. 47 of 1978 s. 34; amended: No. 19 of 2016 s. 60.]</w:t>
      </w:r>
    </w:p>
    <w:p>
      <w:pPr>
        <w:pStyle w:val="Heading5"/>
      </w:pPr>
      <w:bookmarkStart w:id="681" w:name="_Toc225765956"/>
      <w:bookmarkStart w:id="682" w:name="_Toc209710881"/>
      <w:r>
        <w:rPr>
          <w:rStyle w:val="CharSectno"/>
        </w:rPr>
        <w:t>340AH</w:t>
      </w:r>
      <w:r>
        <w:t>.</w:t>
      </w:r>
      <w:r>
        <w:tab/>
        <w:t>Meetings and procedure of Committee</w:t>
      </w:r>
      <w:bookmarkEnd w:id="681"/>
      <w:bookmarkEnd w:id="682"/>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340AH inserted: No. 19 of 2016 s. 61.]</w:t>
      </w:r>
    </w:p>
    <w:p>
      <w:pPr>
        <w:pStyle w:val="Heading5"/>
        <w:rPr>
          <w:snapToGrid w:val="0"/>
        </w:rPr>
      </w:pPr>
      <w:bookmarkStart w:id="683" w:name="_Toc225765957"/>
      <w:bookmarkStart w:id="684" w:name="_Toc209710882"/>
      <w:r>
        <w:rPr>
          <w:rStyle w:val="CharSectno"/>
        </w:rPr>
        <w:t>340AI</w:t>
      </w:r>
      <w:r>
        <w:rPr>
          <w:snapToGrid w:val="0"/>
        </w:rPr>
        <w:t>.</w:t>
      </w:r>
      <w:r>
        <w:rPr>
          <w:snapToGrid w:val="0"/>
        </w:rPr>
        <w:tab/>
        <w:t>Reimbursement of expenses of members</w:t>
      </w:r>
      <w:bookmarkEnd w:id="683"/>
      <w:bookmarkEnd w:id="684"/>
    </w:p>
    <w:p>
      <w:pPr>
        <w:pStyle w:val="Subsection"/>
        <w:rPr>
          <w:snapToGrid w:val="0"/>
        </w:rPr>
      </w:pPr>
      <w:r>
        <w:rPr>
          <w:snapToGrid w:val="0"/>
        </w:rPr>
        <w:tab/>
      </w:r>
      <w:r>
        <w:rPr>
          <w:snapToGrid w:val="0"/>
        </w:rPr>
        <w:tab/>
        <w:t>The Chairperson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No. 47 of 1978 s. 34; amended: No. 19 of 2016 s. 62.]</w:t>
      </w:r>
    </w:p>
    <w:p>
      <w:pPr>
        <w:pStyle w:val="Heading5"/>
        <w:rPr>
          <w:snapToGrid w:val="0"/>
        </w:rPr>
      </w:pPr>
      <w:bookmarkStart w:id="685" w:name="_Toc225765958"/>
      <w:bookmarkStart w:id="686" w:name="_Toc209710883"/>
      <w:r>
        <w:rPr>
          <w:rStyle w:val="CharSectno"/>
        </w:rPr>
        <w:t>340AJ</w:t>
      </w:r>
      <w:r>
        <w:rPr>
          <w:snapToGrid w:val="0"/>
        </w:rPr>
        <w:t>.</w:t>
      </w:r>
      <w:r>
        <w:rPr>
          <w:snapToGrid w:val="0"/>
        </w:rPr>
        <w:tab/>
        <w:t>Appointment of investigator</w:t>
      </w:r>
      <w:bookmarkEnd w:id="685"/>
      <w:bookmarkEnd w:id="686"/>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pPr>
      <w:r>
        <w:tab/>
        <w:t>(2)</w:t>
      </w:r>
      <w:r>
        <w:tab/>
        <w:t xml:space="preserve">The following provisions apply to the appointment of investigators under subsection (1) — </w:t>
      </w:r>
    </w:p>
    <w:p>
      <w:pPr>
        <w:pStyle w:val="Indenta"/>
      </w:pPr>
      <w:r>
        <w:tab/>
        <w:t>(a)</w:t>
      </w:r>
      <w:r>
        <w:tab/>
        <w:t>if one investigator is appointed, he or she must be a specialist in obstetrics or neonatal paediatrics;</w:t>
      </w:r>
    </w:p>
    <w:p>
      <w:pPr>
        <w:pStyle w:val="Indenta"/>
      </w:pPr>
      <w:r>
        <w:tab/>
        <w:t>(b)</w:t>
      </w:r>
      <w:r>
        <w:tab/>
        <w:t>if 2 investigators are appointed, both of them must be specialists in obstetrics or neonatal paediatrics;</w:t>
      </w:r>
    </w:p>
    <w:p>
      <w:pPr>
        <w:pStyle w:val="Indenta"/>
      </w:pPr>
      <w:r>
        <w:tab/>
        <w:t>(c)</w:t>
      </w:r>
      <w:r>
        <w:tab/>
        <w:t>if 3 or 4 investigators are appointed, 2 of them must be specialists in obstetrics or neonatal paediatrics.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w:t>
      </w:r>
      <w:r>
        <w:t>or her</w:t>
      </w:r>
      <w:r>
        <w:rPr>
          <w:snapToGrid w:val="0"/>
        </w:rPr>
        <w:t xml:space="preserve"> office, or during a vacancy in the office of such an investigator.</w:t>
      </w:r>
    </w:p>
    <w:p>
      <w:pPr>
        <w:pStyle w:val="Footnotesection"/>
      </w:pPr>
      <w:r>
        <w:tab/>
        <w:t>[Section 340AJ inserted: No. 47 of 1978 s. 34; amended: No. 80 of 1987 s. 158; No. 19 of 2016 s. 63.]</w:t>
      </w:r>
    </w:p>
    <w:p>
      <w:pPr>
        <w:pStyle w:val="Heading5"/>
      </w:pPr>
      <w:bookmarkStart w:id="687" w:name="_Toc225765959"/>
      <w:bookmarkStart w:id="688" w:name="_Toc209710884"/>
      <w:r>
        <w:rPr>
          <w:rStyle w:val="CharSectno"/>
        </w:rPr>
        <w:t>340AK</w:t>
      </w:r>
      <w:r>
        <w:t>.</w:t>
      </w:r>
      <w:r>
        <w:tab/>
        <w:t>Functions of Committee</w:t>
      </w:r>
      <w:bookmarkEnd w:id="687"/>
      <w:bookmarkEnd w:id="688"/>
    </w:p>
    <w:p>
      <w:pPr>
        <w:pStyle w:val="Subsection"/>
      </w:pPr>
      <w:r>
        <w:tab/>
        <w:t>(1)</w:t>
      </w:r>
      <w:r>
        <w:tab/>
        <w:t xml:space="preserve">Whenever an investigator presents to the Chairperson of the Committee a report under section 336A,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stillborn or deceased child,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stillbirth or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(if any) who was attending the child concerned at the time of the occurrence of the stillbirth or death investigated under section 336A; and</w:t>
      </w:r>
    </w:p>
    <w:p>
      <w:pPr>
        <w:pStyle w:val="Indenti"/>
      </w:pPr>
      <w:r>
        <w:tab/>
        <w:t>(ii)</w:t>
      </w:r>
      <w:r>
        <w:tab/>
        <w:t>the nurse or midwife (if any) who was attending the child concerned at that time;</w:t>
      </w:r>
    </w:p>
    <w:p>
      <w:pPr>
        <w:pStyle w:val="Indenta"/>
      </w:pPr>
      <w:r>
        <w:tab/>
      </w:r>
      <w:r>
        <w:tab/>
        <w:t>and</w:t>
      </w:r>
    </w:p>
    <w:p>
      <w:pPr>
        <w:pStyle w:val="Indenta"/>
      </w:pPr>
      <w:r>
        <w:tab/>
        <w:t>(b)</w:t>
      </w:r>
      <w:r>
        <w:tab/>
        <w:t>may be notified in writing by the Chairperson to any other medical practitioner, nurse or midwife who attended the child concerned or his or her mother or both before the occurrence of the stillbirth or death if the Committee considers that that medical practitioner, nurse or midwife should be informed of that determination and those comments.</w:t>
      </w:r>
    </w:p>
    <w:p>
      <w:pPr>
        <w:pStyle w:val="Footnotesection"/>
      </w:pPr>
      <w:r>
        <w:tab/>
        <w:t>[Section 340AK inserted: No. 19 of 2016 s. 64.]</w:t>
      </w:r>
    </w:p>
    <w:p>
      <w:pPr>
        <w:pStyle w:val="Heading5"/>
      </w:pPr>
      <w:bookmarkStart w:id="689" w:name="_Toc225765960"/>
      <w:bookmarkStart w:id="690" w:name="_Toc209710885"/>
      <w:r>
        <w:rPr>
          <w:rStyle w:val="CharSectno"/>
        </w:rPr>
        <w:t>340ALA</w:t>
      </w:r>
      <w:r>
        <w:t>. Further provisions relating to proceedings of Committee</w:t>
      </w:r>
      <w:bookmarkEnd w:id="689"/>
      <w:bookmarkEnd w:id="690"/>
    </w:p>
    <w:p>
      <w:pPr>
        <w:pStyle w:val="Subsection"/>
      </w:pPr>
      <w:r>
        <w:tab/>
        <w:t>(1)</w:t>
      </w:r>
      <w:r>
        <w:tab/>
        <w:t>As soon as practicable after the Committee has made a determination under section 340AK,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investigators and considered by the Committee during each year.</w:t>
      </w:r>
    </w:p>
    <w:p>
      <w:pPr>
        <w:pStyle w:val="Footnotesection"/>
      </w:pPr>
      <w:r>
        <w:tab/>
        <w:t>[Section 340ALA inserted: No. 19 of 2016 s. 64.]</w:t>
      </w:r>
    </w:p>
    <w:p>
      <w:pPr>
        <w:pStyle w:val="Heading5"/>
      </w:pPr>
      <w:bookmarkStart w:id="691" w:name="_Toc225765961"/>
      <w:bookmarkStart w:id="692" w:name="_Toc209710886"/>
      <w:r>
        <w:rPr>
          <w:rStyle w:val="CharSectno"/>
        </w:rPr>
        <w:t>340ALB</w:t>
      </w:r>
      <w:r>
        <w:t>. Contents of notification confidential</w:t>
      </w:r>
      <w:bookmarkEnd w:id="691"/>
      <w:bookmarkEnd w:id="692"/>
    </w:p>
    <w:p>
      <w:pPr>
        <w:pStyle w:val="Subsection"/>
      </w:pPr>
      <w:r>
        <w:tab/>
        <w:t>(1)</w:t>
      </w:r>
      <w:r>
        <w:tab/>
        <w:t>The contents of a notification made under section 340AK(5)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340AK(5) to any person except for the purposes of, and in accordance with, this Part commits an offence.</w:t>
      </w:r>
    </w:p>
    <w:p>
      <w:pPr>
        <w:pStyle w:val="Footnotesection"/>
      </w:pPr>
      <w:r>
        <w:tab/>
        <w:t>[Section 340ALB inserted: No. 19 of 2016 s. 64.]</w:t>
      </w:r>
    </w:p>
    <w:p>
      <w:pPr>
        <w:pStyle w:val="Heading5"/>
        <w:rPr>
          <w:snapToGrid w:val="0"/>
        </w:rPr>
      </w:pPr>
      <w:bookmarkStart w:id="693" w:name="_Toc225765962"/>
      <w:bookmarkStart w:id="694" w:name="_Toc209710887"/>
      <w:r>
        <w:rPr>
          <w:rStyle w:val="CharSectno"/>
        </w:rPr>
        <w:t>340AL</w:t>
      </w:r>
      <w:r>
        <w:rPr>
          <w:snapToGrid w:val="0"/>
        </w:rPr>
        <w:t>.</w:t>
      </w:r>
      <w:r>
        <w:rPr>
          <w:snapToGrid w:val="0"/>
        </w:rPr>
        <w:tab/>
        <w:t>When report may be published</w:t>
      </w:r>
      <w:bookmarkEnd w:id="693"/>
      <w:bookmarkEnd w:id="694"/>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t xml:space="preserve">the </w:t>
      </w:r>
      <w:r>
        <w:rPr>
          <w:rStyle w:val="CharDefText"/>
        </w:rPr>
        <w:t>researcher</w:t>
      </w:r>
      <w:r>
        <w:rPr>
          <w:snapToGrid w:val="0"/>
        </w:rPr>
        <w:t xml:space="preserve">), recommend to the </w:t>
      </w:r>
      <w:r>
        <w:t>Chief Health Officer</w:t>
      </w:r>
      <w:r>
        <w:rPr>
          <w:snapToGrid w:val="0"/>
        </w:rPr>
        <w:t xml:space="preserve"> that the identity of that child be so divulged.</w:t>
      </w:r>
    </w:p>
    <w:p>
      <w:pPr>
        <w:pStyle w:val="Subsection"/>
        <w:keepNext/>
        <w:keepLines/>
        <w:rPr>
          <w:snapToGrid w:val="0"/>
        </w:rPr>
      </w:pPr>
      <w:r>
        <w:rPr>
          <w:snapToGrid w:val="0"/>
        </w:rPr>
        <w:tab/>
        <w:t>(1b)</w:t>
      </w:r>
      <w:r>
        <w:rPr>
          <w:snapToGrid w:val="0"/>
        </w:rPr>
        <w:tab/>
        <w:t xml:space="preserve">The </w:t>
      </w:r>
      <w:r>
        <w:t>Chief Health Officer may, if he or she</w:t>
      </w:r>
      <w:r>
        <w:rPr>
          <w:snapToGrid w:val="0"/>
        </w:rPr>
        <w:t xml:space="preserve"> agrees with a recommendation made to him</w:t>
      </w:r>
      <w:r>
        <w:t xml:space="preserve"> or her</w:t>
      </w:r>
      <w:r>
        <w:rPr>
          <w:snapToGrid w:val="0"/>
        </w:rPr>
        <w:t xml:space="preserve"> under subsection (1a), authorise the investigator concerned to divulge the identity of the person or child to whom his</w:t>
      </w:r>
      <w:r>
        <w:t xml:space="preserve"> or her</w:t>
      </w:r>
      <w:r>
        <w:rPr>
          <w:snapToGrid w:val="0"/>
        </w:rPr>
        <w:t xml:space="preserve">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w:t>
      </w:r>
      <w:r>
        <w:t xml:space="preserve"> or her</w:t>
      </w:r>
      <w:r>
        <w:rPr>
          <w:snapToGrid w:val="0"/>
        </w:rPr>
        <w:t xml:space="preserve"> under subsection (1b) commits an offence.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No. 47 of 1978 s. 34; amended: No. 80 of 1987 s. 160; No. 8 of 2009 s. 71(4); No. 19 of 2016 s. 65.]</w:t>
      </w:r>
    </w:p>
    <w:p>
      <w:pPr>
        <w:pStyle w:val="Heading5"/>
        <w:rPr>
          <w:snapToGrid w:val="0"/>
        </w:rPr>
      </w:pPr>
      <w:bookmarkStart w:id="695" w:name="_Toc225765963"/>
      <w:bookmarkStart w:id="696" w:name="_Toc209710888"/>
      <w:r>
        <w:rPr>
          <w:rStyle w:val="CharSectno"/>
        </w:rPr>
        <w:t>340AM</w:t>
      </w:r>
      <w:r>
        <w:rPr>
          <w:snapToGrid w:val="0"/>
        </w:rPr>
        <w:t>.</w:t>
      </w:r>
      <w:r>
        <w:rPr>
          <w:snapToGrid w:val="0"/>
        </w:rPr>
        <w:tab/>
        <w:t>Information for research not to be disclosed</w:t>
      </w:r>
      <w:bookmarkEnd w:id="695"/>
      <w:bookmarkEnd w:id="696"/>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who was attending the child at the time of the occurrence of the stillbirth or death being investigated is first obtained.</w:t>
      </w:r>
    </w:p>
    <w:p>
      <w:pPr>
        <w:pStyle w:val="Footnotesection"/>
      </w:pPr>
      <w:r>
        <w:tab/>
        <w:t>[Section 340AM inserted: No. 47 of 1978 s. 34; amended: No. 80 of 1987 s. 161; No. 19 of 2016 s. 66.]</w:t>
      </w:r>
    </w:p>
    <w:p>
      <w:pPr>
        <w:pStyle w:val="Ednotesection"/>
        <w:spacing w:before="180"/>
        <w:ind w:left="890" w:hanging="890"/>
      </w:pPr>
      <w:r>
        <w:t>[</w:t>
      </w:r>
      <w:r>
        <w:rPr>
          <w:b/>
        </w:rPr>
        <w:t>340AN.</w:t>
      </w:r>
      <w:r>
        <w:tab/>
        <w:t>Deleted: No. 19 of 2016 s. 67.]</w:t>
      </w:r>
    </w:p>
    <w:p>
      <w:pPr>
        <w:pStyle w:val="Heading2"/>
      </w:pPr>
      <w:bookmarkStart w:id="697" w:name="_Toc225760937"/>
      <w:bookmarkStart w:id="698" w:name="_Toc225761269"/>
      <w:bookmarkStart w:id="699" w:name="_Toc225765964"/>
      <w:bookmarkStart w:id="700" w:name="_Toc209701413"/>
      <w:bookmarkStart w:id="701" w:name="_Toc209703031"/>
      <w:bookmarkStart w:id="702" w:name="_Toc209703363"/>
      <w:bookmarkStart w:id="703" w:name="_Toc209710889"/>
      <w:r>
        <w:rPr>
          <w:rStyle w:val="CharPartNo"/>
        </w:rPr>
        <w:t>Part XIIIC</w:t>
      </w:r>
      <w:r>
        <w:rPr>
          <w:rStyle w:val="CharDivNo"/>
        </w:rPr>
        <w:t> </w:t>
      </w:r>
      <w:r>
        <w:t>—</w:t>
      </w:r>
      <w:r>
        <w:rPr>
          <w:rStyle w:val="CharDivText"/>
        </w:rPr>
        <w:t> </w:t>
      </w:r>
      <w:r>
        <w:rPr>
          <w:rStyle w:val="CharPartText"/>
        </w:rPr>
        <w:t>Anaesthetic Mortality Committee</w:t>
      </w:r>
      <w:bookmarkEnd w:id="697"/>
      <w:bookmarkEnd w:id="698"/>
      <w:bookmarkEnd w:id="699"/>
      <w:bookmarkEnd w:id="700"/>
      <w:bookmarkEnd w:id="701"/>
      <w:bookmarkEnd w:id="702"/>
      <w:bookmarkEnd w:id="703"/>
    </w:p>
    <w:p>
      <w:pPr>
        <w:pStyle w:val="Footnoteheading"/>
        <w:ind w:left="890" w:hanging="890"/>
        <w:rPr>
          <w:snapToGrid w:val="0"/>
        </w:rPr>
      </w:pPr>
      <w:r>
        <w:rPr>
          <w:snapToGrid w:val="0"/>
        </w:rPr>
        <w:tab/>
        <w:t>[Heading inserted: No. 47 of 1978 s. 36.]</w:t>
      </w:r>
    </w:p>
    <w:p>
      <w:pPr>
        <w:pStyle w:val="Heading5"/>
        <w:rPr>
          <w:snapToGrid w:val="0"/>
        </w:rPr>
      </w:pPr>
      <w:bookmarkStart w:id="704" w:name="_Toc225765965"/>
      <w:bookmarkStart w:id="705" w:name="_Toc209710890"/>
      <w:r>
        <w:rPr>
          <w:rStyle w:val="CharSectno"/>
        </w:rPr>
        <w:t>340BA</w:t>
      </w:r>
      <w:r>
        <w:rPr>
          <w:snapToGrid w:val="0"/>
        </w:rPr>
        <w:t>.</w:t>
      </w:r>
      <w:r>
        <w:rPr>
          <w:snapToGrid w:val="0"/>
        </w:rPr>
        <w:tab/>
        <w:t>Terms used</w:t>
      </w:r>
      <w:bookmarkEnd w:id="704"/>
      <w:bookmarkEnd w:id="705"/>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340BA inserted: No. 47 of 1978 s. 36; amended: No. 19 of 2016 s. 68.]</w:t>
      </w:r>
    </w:p>
    <w:p>
      <w:pPr>
        <w:pStyle w:val="Heading5"/>
        <w:rPr>
          <w:snapToGrid w:val="0"/>
        </w:rPr>
      </w:pPr>
      <w:bookmarkStart w:id="706" w:name="_Toc225765966"/>
      <w:bookmarkStart w:id="707" w:name="_Toc209710891"/>
      <w:r>
        <w:rPr>
          <w:rStyle w:val="CharSectno"/>
        </w:rPr>
        <w:t>340BB</w:t>
      </w:r>
      <w:r>
        <w:rPr>
          <w:snapToGrid w:val="0"/>
        </w:rPr>
        <w:t xml:space="preserve">. </w:t>
      </w:r>
      <w:r>
        <w:rPr>
          <w:snapToGrid w:val="0"/>
        </w:rPr>
        <w:tab/>
        <w:t>Constitution and offices of Committee</w:t>
      </w:r>
      <w:bookmarkEnd w:id="706"/>
      <w:bookmarkEnd w:id="707"/>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pPr>
      <w:r>
        <w:tab/>
        <w:t>(2)</w:t>
      </w:r>
      <w:r>
        <w:tab/>
        <w:t>The Committee is to consist of 12 members appointed by the Minister.</w:t>
      </w:r>
    </w:p>
    <w:p>
      <w:pPr>
        <w:pStyle w:val="Subsection"/>
      </w:pPr>
      <w:r>
        <w:tab/>
        <w:t>(3)</w:t>
      </w:r>
      <w:r>
        <w:tab/>
        <w:t xml:space="preserve">Of the persons appointed as members of the Committee — </w:t>
      </w:r>
    </w:p>
    <w:p>
      <w:pPr>
        <w:pStyle w:val="Indenta"/>
      </w:pPr>
      <w:r>
        <w:tab/>
        <w:t>(a)</w:t>
      </w:r>
      <w:r>
        <w:tab/>
        <w:t>one is to be nominated by the State Branch of the Australian and New Zealand College of Anaesthetists, and that person is the Chairperson of the Committee; and</w:t>
      </w:r>
    </w:p>
    <w:p>
      <w:pPr>
        <w:pStyle w:val="Indenta"/>
      </w:pPr>
      <w:r>
        <w:tab/>
        <w:t>(b)</w:t>
      </w:r>
      <w:r>
        <w:tab/>
        <w:t>one is to be the Professor of Anaesthesia at the University of Western Australia; and</w:t>
      </w:r>
    </w:p>
    <w:p>
      <w:pPr>
        <w:pStyle w:val="Indenta"/>
      </w:pPr>
      <w:r>
        <w:tab/>
        <w:t>(c)</w:t>
      </w:r>
      <w:r>
        <w:tab/>
        <w:t>one is to be a medical practitioner specialising in anaesthetics, nominated by the State Branch of the Australian and New Zealand College of Anaesthetists; and</w:t>
      </w:r>
    </w:p>
    <w:p>
      <w:pPr>
        <w:pStyle w:val="Indenta"/>
      </w:pPr>
      <w:r>
        <w:tab/>
        <w:t>(d)</w:t>
      </w:r>
      <w:r>
        <w:tab/>
        <w:t>one is to be a medical practitioner specialising in anaesthetics, nominated by the Australian Medical Association (WA) Incorporated; and</w:t>
      </w:r>
    </w:p>
    <w:p>
      <w:pPr>
        <w:pStyle w:val="Indenta"/>
      </w:pPr>
      <w:r>
        <w:tab/>
        <w:t>(e)</w:t>
      </w:r>
      <w:r>
        <w:tab/>
        <w:t>one is to be a medical practitioner specialising in obstetrics and gynaecology, nominated by the Royal Australian and New Zealand College of Obstetricians and Gynaecologists (W.A. Branch); and</w:t>
      </w:r>
    </w:p>
    <w:p>
      <w:pPr>
        <w:pStyle w:val="Indenta"/>
      </w:pPr>
      <w:r>
        <w:tab/>
        <w:t>(f)</w:t>
      </w:r>
      <w:r>
        <w:tab/>
        <w:t>2 are to be general medical practitioners with at least 5 years’ experience and special interest in anaesthesia, nominated by the State Branch of the Royal Australian College of General Practitioners, of whom one practices within the metropolitan area and one outside that area; and</w:t>
      </w:r>
    </w:p>
    <w:p>
      <w:pPr>
        <w:pStyle w:val="Indenta"/>
      </w:pPr>
      <w:r>
        <w:tab/>
        <w:t>(g)</w:t>
      </w:r>
      <w:r>
        <w:tab/>
        <w:t>one is to be a medical practitioner specialising in surgery, nominated by the State Branch of the Royal Australasian College of Surgeons; and</w:t>
      </w:r>
    </w:p>
    <w:p>
      <w:pPr>
        <w:pStyle w:val="Indenta"/>
      </w:pPr>
      <w:r>
        <w:tab/>
        <w:t>(h)</w:t>
      </w:r>
      <w:r>
        <w:tab/>
        <w:t>one is to be a medical practitioner, nominated by the Chief Health Officer; and</w:t>
      </w:r>
    </w:p>
    <w:p>
      <w:pPr>
        <w:pStyle w:val="Indenta"/>
      </w:pPr>
      <w:r>
        <w:tab/>
        <w:t>(i)</w:t>
      </w:r>
      <w:r>
        <w:tab/>
        <w:t>one is to be a midwife having not less than 5 years’ experience in, and currently practising, midwifery, nominated by the Chief Health Officer; and</w:t>
      </w:r>
    </w:p>
    <w:p>
      <w:pPr>
        <w:pStyle w:val="Indenta"/>
      </w:pPr>
      <w:r>
        <w:tab/>
        <w:t>(j)</w:t>
      </w:r>
      <w:r>
        <w:tab/>
        <w:t>one is to be a dental practitioner, nominated by the State Branch of the Australian Dental Association; and</w:t>
      </w:r>
    </w:p>
    <w:p>
      <w:pPr>
        <w:pStyle w:val="Indenta"/>
      </w:pPr>
      <w:r>
        <w:tab/>
        <w:t>(k)</w:t>
      </w:r>
      <w:r>
        <w:tab/>
        <w:t>one is to be the Professor of Clinical Pharmacology at the University of Western Australia.</w:t>
      </w:r>
    </w:p>
    <w:p>
      <w:pPr>
        <w:pStyle w:val="Footnotesection"/>
      </w:pPr>
      <w:r>
        <w:tab/>
        <w:t>[Section 340BB inserted: No. 47 of 1978 s. 36; amended: No. 30 of 1982 s. 16; No. 27 of 1992 s. 84; No. 10 of 1998 s. 39(7) and (9); No. 24 of 2000 s. 16(3); No. 28 of 2006 s. 251; No. 8 of 2009 s. 71(4); No. 19 of 2016 s. 69.]</w:t>
      </w:r>
    </w:p>
    <w:p>
      <w:pPr>
        <w:pStyle w:val="Heading5"/>
        <w:pageBreakBefore/>
        <w:spacing w:before="100"/>
        <w:rPr>
          <w:snapToGrid w:val="0"/>
        </w:rPr>
      </w:pPr>
      <w:bookmarkStart w:id="708" w:name="_Toc225765967"/>
      <w:bookmarkStart w:id="709" w:name="_Toc209710892"/>
      <w:r>
        <w:rPr>
          <w:rStyle w:val="CharSectno"/>
        </w:rPr>
        <w:t>340BC</w:t>
      </w:r>
      <w:r>
        <w:rPr>
          <w:snapToGrid w:val="0"/>
        </w:rPr>
        <w:t xml:space="preserve">. </w:t>
      </w:r>
      <w:r>
        <w:rPr>
          <w:snapToGrid w:val="0"/>
        </w:rPr>
        <w:tab/>
        <w:t>Appointment of deputies</w:t>
      </w:r>
      <w:bookmarkEnd w:id="708"/>
      <w:bookmarkEnd w:id="709"/>
    </w:p>
    <w:p>
      <w:pPr>
        <w:pStyle w:val="Subsection"/>
        <w:spacing w:before="20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200"/>
        <w:rPr>
          <w:snapToGrid w:val="0"/>
        </w:rPr>
      </w:pPr>
      <w:r>
        <w:rPr>
          <w:snapToGrid w:val="0"/>
        </w:rPr>
        <w:tab/>
        <w:t>(2)</w:t>
      </w:r>
      <w:r>
        <w:rPr>
          <w:snapToGrid w:val="0"/>
        </w:rPr>
        <w:tab/>
        <w:t xml:space="preserve">Where a member is required under section 340BB to be nominated by a specified body, a person is not eligible for appointment as a deputy of that member of the Committee unless he </w:t>
      </w:r>
      <w:r>
        <w:t>or she</w:t>
      </w:r>
      <w:r>
        <w:rPr>
          <w:snapToGrid w:val="0"/>
        </w:rPr>
        <w:t xml:space="preserve"> is nominated as deputy by that body or unless he </w:t>
      </w:r>
      <w:r>
        <w:t>or she</w:t>
      </w:r>
      <w:r>
        <w:rPr>
          <w:snapToGrid w:val="0"/>
        </w:rPr>
        <w:t xml:space="preserve"> is appointed by the Minister under the provisions of section 340BD(3).</w:t>
      </w:r>
    </w:p>
    <w:p>
      <w:pPr>
        <w:pStyle w:val="Footnotesection"/>
      </w:pPr>
      <w:r>
        <w:tab/>
        <w:t>[Section 340BC inserted: No. 47 of 1978 s. 36; amended: No. 19 of 2016 s. 70.]</w:t>
      </w:r>
    </w:p>
    <w:p>
      <w:pPr>
        <w:pStyle w:val="Heading5"/>
        <w:spacing w:before="180"/>
        <w:rPr>
          <w:snapToGrid w:val="0"/>
        </w:rPr>
      </w:pPr>
      <w:bookmarkStart w:id="710" w:name="_Toc225765968"/>
      <w:bookmarkStart w:id="711" w:name="_Toc209710893"/>
      <w:r>
        <w:rPr>
          <w:rStyle w:val="CharSectno"/>
        </w:rPr>
        <w:t>340BD</w:t>
      </w:r>
      <w:r>
        <w:rPr>
          <w:snapToGrid w:val="0"/>
        </w:rPr>
        <w:t xml:space="preserve">. </w:t>
      </w:r>
      <w:r>
        <w:rPr>
          <w:snapToGrid w:val="0"/>
        </w:rPr>
        <w:tab/>
        <w:t>Nominations to be made to Minister</w:t>
      </w:r>
      <w:bookmarkEnd w:id="710"/>
      <w:bookmarkEnd w:id="711"/>
    </w:p>
    <w:p>
      <w:pPr>
        <w:pStyle w:val="Subsection"/>
        <w:spacing w:before="200"/>
      </w:pPr>
      <w:r>
        <w:tab/>
        <w:t>(1)</w:t>
      </w:r>
      <w:r>
        <w:tab/>
        <w:t>The bodies mentioned in section 340BB(3) must nominate to the Minister, when he or she so requests, or when a vacancy occurs in accordance with section 340BF, one or more appropriately qualified persons to become members of the Committee.</w:t>
      </w:r>
    </w:p>
    <w:p>
      <w:pPr>
        <w:pStyle w:val="Subsection"/>
        <w:spacing w:before="200"/>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340BB(3) </w:t>
      </w:r>
      <w:r>
        <w:rPr>
          <w:snapToGrid w:val="0"/>
        </w:rPr>
        <w:t>to nominate, within a specified period, for appointment as a member of the Committee, or as a deputy member, any number of persons not exceeding 3, and may appoint such one as he</w:t>
      </w:r>
      <w:r>
        <w:t xml:space="preserve"> or she</w:t>
      </w:r>
      <w:r>
        <w:rPr>
          <w:snapToGrid w:val="0"/>
        </w:rPr>
        <w:t xml:space="preserve"> thinks fit.</w:t>
      </w:r>
    </w:p>
    <w:p>
      <w:pPr>
        <w:pStyle w:val="Subsection"/>
        <w:keepNext/>
        <w:spacing w:before="200"/>
        <w:rPr>
          <w:snapToGrid w:val="0"/>
        </w:rPr>
      </w:pPr>
      <w:r>
        <w:rPr>
          <w:snapToGrid w:val="0"/>
        </w:rPr>
        <w:tab/>
        <w:t>(3)</w:t>
      </w:r>
      <w:r>
        <w:rPr>
          <w:snapToGrid w:val="0"/>
        </w:rPr>
        <w:tab/>
        <w:t>If no nomination is made within the period specified by the Minister, he</w:t>
      </w:r>
      <w:r>
        <w:t xml:space="preserve"> or she</w:t>
      </w:r>
      <w:r>
        <w:rPr>
          <w:snapToGrid w:val="0"/>
        </w:rPr>
        <w:t xml:space="preserve"> may appoint such a person or persons as he</w:t>
      </w:r>
      <w:r>
        <w:t xml:space="preserve"> or she</w:t>
      </w:r>
      <w:r>
        <w:rPr>
          <w:snapToGrid w:val="0"/>
        </w:rPr>
        <w:t xml:space="preserve"> thinks fit to fill the office or to be a deputy as the case may be.</w:t>
      </w:r>
    </w:p>
    <w:p>
      <w:pPr>
        <w:pStyle w:val="Footnotesection"/>
      </w:pPr>
      <w:r>
        <w:tab/>
        <w:t>[Section 340BD inserted: No. 47 of 1978 s. 36; amended: No. 19 of 2016 s. 71.]</w:t>
      </w:r>
    </w:p>
    <w:p>
      <w:pPr>
        <w:pStyle w:val="Heading5"/>
        <w:rPr>
          <w:snapToGrid w:val="0"/>
        </w:rPr>
      </w:pPr>
      <w:bookmarkStart w:id="712" w:name="_Toc225765969"/>
      <w:bookmarkStart w:id="713" w:name="_Toc209710894"/>
      <w:r>
        <w:rPr>
          <w:rStyle w:val="CharSectno"/>
        </w:rPr>
        <w:t>340BE</w:t>
      </w:r>
      <w:r>
        <w:rPr>
          <w:snapToGrid w:val="0"/>
        </w:rPr>
        <w:t xml:space="preserve">. </w:t>
      </w:r>
      <w:r>
        <w:rPr>
          <w:snapToGrid w:val="0"/>
        </w:rPr>
        <w:tab/>
        <w:t>Tenure of office</w:t>
      </w:r>
      <w:bookmarkEnd w:id="712"/>
      <w:bookmarkEnd w:id="713"/>
    </w:p>
    <w:p>
      <w:pPr>
        <w:pStyle w:val="Subsection"/>
        <w:rPr>
          <w:snapToGrid w:val="0"/>
        </w:rPr>
      </w:pPr>
      <w:r>
        <w:rPr>
          <w:snapToGrid w:val="0"/>
        </w:rPr>
        <w:tab/>
        <w:t>(1)</w:t>
      </w:r>
      <w:r>
        <w:rPr>
          <w:snapToGrid w:val="0"/>
        </w:rPr>
        <w:tab/>
        <w:t xml:space="preserve">The term of tenure of office of a person appointed as a member of the Committee (other than the Chairperson)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w:t>
      </w:r>
      <w:r>
        <w:t xml:space="preserve">Chairperson </w:t>
      </w:r>
      <w:r>
        <w:rPr>
          <w:snapToGrid w:val="0"/>
        </w:rPr>
        <w:t>the period shall be 4 years.</w:t>
      </w:r>
    </w:p>
    <w:p>
      <w:pPr>
        <w:pStyle w:val="Ednotesubsection"/>
      </w:pPr>
      <w:r>
        <w:tab/>
        <w:t>[(2)</w:t>
      </w:r>
      <w:r>
        <w:tab/>
        <w:t>deleted]</w:t>
      </w:r>
    </w:p>
    <w:p>
      <w:pPr>
        <w:pStyle w:val="Footnotesection"/>
      </w:pPr>
      <w:r>
        <w:tab/>
        <w:t>[Section 340BE inserted: No. 47 of 1978 s. 36; amended: No. 19 of 2016 s. 72.]</w:t>
      </w:r>
    </w:p>
    <w:p>
      <w:pPr>
        <w:pStyle w:val="Heading5"/>
      </w:pPr>
      <w:bookmarkStart w:id="714" w:name="_Toc225765970"/>
      <w:bookmarkStart w:id="715" w:name="_Toc209710895"/>
      <w:r>
        <w:rPr>
          <w:rStyle w:val="CharSectno"/>
        </w:rPr>
        <w:t>340BF</w:t>
      </w:r>
      <w:r>
        <w:t>.</w:t>
      </w:r>
      <w:r>
        <w:tab/>
        <w:t>When office of member becomes vacant</w:t>
      </w:r>
      <w:bookmarkEnd w:id="714"/>
      <w:bookmarkEnd w:id="715"/>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340BB(3)(a),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keepNext/>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340BF inserted: No. 19 of 2016 s. 73.]</w:t>
      </w:r>
    </w:p>
    <w:p>
      <w:pPr>
        <w:pStyle w:val="Heading5"/>
        <w:rPr>
          <w:snapToGrid w:val="0"/>
        </w:rPr>
      </w:pPr>
      <w:bookmarkStart w:id="716" w:name="_Toc225765971"/>
      <w:bookmarkStart w:id="717" w:name="_Toc209710896"/>
      <w:r>
        <w:rPr>
          <w:rStyle w:val="CharSectno"/>
        </w:rPr>
        <w:t>340BG</w:t>
      </w:r>
      <w:r>
        <w:rPr>
          <w:snapToGrid w:val="0"/>
        </w:rPr>
        <w:t xml:space="preserve">. </w:t>
      </w:r>
      <w:r>
        <w:rPr>
          <w:snapToGrid w:val="0"/>
        </w:rPr>
        <w:tab/>
        <w:t>Vacancies in offices of members to be filled</w:t>
      </w:r>
      <w:bookmarkEnd w:id="716"/>
      <w:bookmarkEnd w:id="717"/>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340BB(3), a specified body has the right to nominate that member, the Minister is not to appoint a person unless he or she is nominated by the appropriate body mentioned in that section, or unless section 340BD(3)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340BG inserted: No. 47 of 1978 s. 36; amended: No. 19 of 2016 s. 74.]</w:t>
      </w:r>
    </w:p>
    <w:p>
      <w:pPr>
        <w:pStyle w:val="Heading5"/>
      </w:pPr>
      <w:bookmarkStart w:id="718" w:name="_Toc225765972"/>
      <w:bookmarkStart w:id="719" w:name="_Toc209710897"/>
      <w:r>
        <w:rPr>
          <w:rStyle w:val="CharSectno"/>
        </w:rPr>
        <w:t>340BH</w:t>
      </w:r>
      <w:r>
        <w:t>.</w:t>
      </w:r>
      <w:r>
        <w:tab/>
        <w:t>Meetings and procedure of Committee</w:t>
      </w:r>
      <w:bookmarkEnd w:id="718"/>
      <w:bookmarkEnd w:id="719"/>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keepNext/>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340BH inserted: No. 19 of 2016 s. 75.]</w:t>
      </w:r>
    </w:p>
    <w:p>
      <w:pPr>
        <w:pStyle w:val="Heading5"/>
        <w:rPr>
          <w:snapToGrid w:val="0"/>
        </w:rPr>
      </w:pPr>
      <w:bookmarkStart w:id="720" w:name="_Toc225765973"/>
      <w:bookmarkStart w:id="721" w:name="_Toc209710898"/>
      <w:r>
        <w:rPr>
          <w:rStyle w:val="CharSectno"/>
        </w:rPr>
        <w:t>340BI</w:t>
      </w:r>
      <w:r>
        <w:rPr>
          <w:snapToGrid w:val="0"/>
        </w:rPr>
        <w:t>.</w:t>
      </w:r>
      <w:r>
        <w:rPr>
          <w:snapToGrid w:val="0"/>
        </w:rPr>
        <w:tab/>
        <w:t>Reimbursement of expenses of members</w:t>
      </w:r>
      <w:bookmarkEnd w:id="720"/>
      <w:bookmarkEnd w:id="721"/>
    </w:p>
    <w:p>
      <w:pPr>
        <w:pStyle w:val="Subsection"/>
        <w:rPr>
          <w:snapToGrid w:val="0"/>
        </w:rPr>
      </w:pPr>
      <w:r>
        <w:rPr>
          <w:snapToGrid w:val="0"/>
        </w:rPr>
        <w:tab/>
      </w:r>
      <w:r>
        <w:rPr>
          <w:snapToGrid w:val="0"/>
        </w:rPr>
        <w:tab/>
        <w:t xml:space="preserve">The </w:t>
      </w:r>
      <w:r>
        <w:t>Chairperson</w:t>
      </w:r>
      <w:r>
        <w:rPr>
          <w:snapToGrid w:val="0"/>
        </w:rPr>
        <w:t xml:space="preserve">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No. 47 of 1978 s. 36; amended: No. 19 of 2016 s. 76.]</w:t>
      </w:r>
    </w:p>
    <w:p>
      <w:pPr>
        <w:pStyle w:val="Heading5"/>
        <w:spacing w:before="180"/>
        <w:rPr>
          <w:snapToGrid w:val="0"/>
        </w:rPr>
      </w:pPr>
      <w:bookmarkStart w:id="722" w:name="_Toc225765974"/>
      <w:bookmarkStart w:id="723" w:name="_Toc209710899"/>
      <w:r>
        <w:rPr>
          <w:rStyle w:val="CharSectno"/>
        </w:rPr>
        <w:t>340BJ</w:t>
      </w:r>
      <w:r>
        <w:rPr>
          <w:snapToGrid w:val="0"/>
        </w:rPr>
        <w:t>.</w:t>
      </w:r>
      <w:r>
        <w:rPr>
          <w:snapToGrid w:val="0"/>
        </w:rPr>
        <w:tab/>
        <w:t>Appointment of investigator</w:t>
      </w:r>
      <w:bookmarkEnd w:id="722"/>
      <w:bookmarkEnd w:id="723"/>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the investigator appointed under subsection (1), or where through any cause such investigator is unable to perform the functions of his </w:t>
      </w:r>
      <w:r>
        <w:t>or her</w:t>
      </w:r>
      <w:r>
        <w:rPr>
          <w:snapToGrid w:val="0"/>
        </w:rPr>
        <w:t xml:space="preserve"> office, or during any vacancy in that office.</w:t>
      </w:r>
    </w:p>
    <w:p>
      <w:pPr>
        <w:pStyle w:val="Footnotesection"/>
      </w:pPr>
      <w:r>
        <w:tab/>
        <w:t>[Section 340BJ inserted: No. 47 of 1978 s. 36; amended: No. 19 of 2016 s. 77.]</w:t>
      </w:r>
    </w:p>
    <w:p>
      <w:pPr>
        <w:pStyle w:val="Heading5"/>
      </w:pPr>
      <w:bookmarkStart w:id="724" w:name="_Toc225765975"/>
      <w:bookmarkStart w:id="725" w:name="_Toc209710900"/>
      <w:r>
        <w:rPr>
          <w:rStyle w:val="CharSectno"/>
        </w:rPr>
        <w:t>340BK</w:t>
      </w:r>
      <w:r>
        <w:t>.</w:t>
      </w:r>
      <w:r>
        <w:tab/>
        <w:t>Functions of Committee</w:t>
      </w:r>
      <w:bookmarkEnd w:id="724"/>
      <w:bookmarkEnd w:id="725"/>
    </w:p>
    <w:p>
      <w:pPr>
        <w:pStyle w:val="Subsection"/>
      </w:pPr>
      <w:r>
        <w:tab/>
        <w:t>(1)</w:t>
      </w:r>
      <w:r>
        <w:tab/>
        <w:t xml:space="preserve">Whenever an investigator presents to the Chairperson of the Committee a report under section 336B,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dental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dental practitioners, nurses and midwives.</w:t>
      </w:r>
    </w:p>
    <w:p>
      <w:pPr>
        <w:pStyle w:val="Subsection"/>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or dental practitioner, or each medical practitioner or dental practitioner, (if any) who was attending the deceased at the time of the occurrence of the death; and</w:t>
      </w:r>
    </w:p>
    <w:p>
      <w:pPr>
        <w:pStyle w:val="Indenti"/>
        <w:keepNext/>
      </w:pPr>
      <w:r>
        <w:tab/>
        <w:t>(ii)</w:t>
      </w:r>
      <w:r>
        <w:tab/>
        <w:t>the nurse or midwife (if any) who was attending the deceased at that time;</w:t>
      </w:r>
    </w:p>
    <w:p>
      <w:pPr>
        <w:pStyle w:val="Indenta"/>
      </w:pPr>
      <w:r>
        <w:tab/>
      </w:r>
      <w:r>
        <w:tab/>
        <w:t>and</w:t>
      </w:r>
    </w:p>
    <w:p>
      <w:pPr>
        <w:pStyle w:val="Indenta"/>
      </w:pPr>
      <w:r>
        <w:tab/>
        <w:t>(b)</w:t>
      </w:r>
      <w:r>
        <w:tab/>
        <w:t>may be notified in writing by the Chairperson to any other medical practitioner, dental practitioner, nurse or midwife who attended the deceased before the occurrence of the death if the Committee considers that that medical practitioner, dental practitioner, nurse or midwife should be informed of that determination and those comments.</w:t>
      </w:r>
    </w:p>
    <w:p>
      <w:pPr>
        <w:pStyle w:val="Footnotesection"/>
      </w:pPr>
      <w:r>
        <w:tab/>
        <w:t>[Section 340BK inserted: No. 19 of 2016 s. 78.]</w:t>
      </w:r>
    </w:p>
    <w:p>
      <w:pPr>
        <w:pStyle w:val="Heading5"/>
      </w:pPr>
      <w:bookmarkStart w:id="726" w:name="_Toc225765976"/>
      <w:bookmarkStart w:id="727" w:name="_Toc209710901"/>
      <w:r>
        <w:rPr>
          <w:rStyle w:val="CharSectno"/>
        </w:rPr>
        <w:t>340BLA</w:t>
      </w:r>
      <w:r>
        <w:t>. Further provisions relating to proceedings of Committee</w:t>
      </w:r>
      <w:bookmarkEnd w:id="726"/>
      <w:bookmarkEnd w:id="727"/>
    </w:p>
    <w:p>
      <w:pPr>
        <w:pStyle w:val="Subsection"/>
      </w:pPr>
      <w:r>
        <w:tab/>
        <w:t>(1)</w:t>
      </w:r>
      <w:r>
        <w:tab/>
        <w:t>As soon as practicable after the Committee has made a determination under section 340BK,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 and considered by the Committee during each year.</w:t>
      </w:r>
    </w:p>
    <w:p>
      <w:pPr>
        <w:pStyle w:val="Footnotesection"/>
      </w:pPr>
      <w:r>
        <w:tab/>
        <w:t>[Section 340BLA inserted: No. 19 of 2016 s. 78.]</w:t>
      </w:r>
    </w:p>
    <w:p>
      <w:pPr>
        <w:pStyle w:val="Heading5"/>
      </w:pPr>
      <w:bookmarkStart w:id="728" w:name="_Toc225765977"/>
      <w:bookmarkStart w:id="729" w:name="_Toc209710902"/>
      <w:r>
        <w:rPr>
          <w:rStyle w:val="CharSectno"/>
        </w:rPr>
        <w:t>340BLB</w:t>
      </w:r>
      <w:r>
        <w:t>. Contents of notification confidential</w:t>
      </w:r>
      <w:bookmarkEnd w:id="728"/>
      <w:bookmarkEnd w:id="729"/>
    </w:p>
    <w:p>
      <w:pPr>
        <w:pStyle w:val="Subsection"/>
      </w:pPr>
      <w:r>
        <w:tab/>
        <w:t>(1)</w:t>
      </w:r>
      <w:r>
        <w:tab/>
        <w:t>The contents of a notification made under section 340BK(5)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340BK(5) to any person except for the purposes of, and in accordance with, this Part commits an offence.</w:t>
      </w:r>
    </w:p>
    <w:p>
      <w:pPr>
        <w:pStyle w:val="Footnotesection"/>
      </w:pPr>
      <w:r>
        <w:tab/>
        <w:t>[Section 340BLB inserted: No. 19 of 2016 s. 78.]</w:t>
      </w:r>
    </w:p>
    <w:p>
      <w:pPr>
        <w:pStyle w:val="Heading5"/>
        <w:rPr>
          <w:snapToGrid w:val="0"/>
        </w:rPr>
      </w:pPr>
      <w:bookmarkStart w:id="730" w:name="_Toc225765978"/>
      <w:bookmarkStart w:id="731" w:name="_Toc209710903"/>
      <w:r>
        <w:rPr>
          <w:rStyle w:val="CharSectno"/>
        </w:rPr>
        <w:t>340BL</w:t>
      </w:r>
      <w:r>
        <w:rPr>
          <w:snapToGrid w:val="0"/>
        </w:rPr>
        <w:t xml:space="preserve">. </w:t>
      </w:r>
      <w:r>
        <w:rPr>
          <w:snapToGrid w:val="0"/>
        </w:rPr>
        <w:tab/>
        <w:t>When report may be published</w:t>
      </w:r>
      <w:bookmarkEnd w:id="730"/>
      <w:bookmarkEnd w:id="731"/>
    </w:p>
    <w:p>
      <w:pPr>
        <w:pStyle w:val="Subsection"/>
        <w:rPr>
          <w:snapToGrid w:val="0"/>
        </w:rPr>
      </w:pPr>
      <w:r>
        <w:rPr>
          <w:snapToGrid w:val="0"/>
        </w:rPr>
        <w:tab/>
        <w:t>(1)</w:t>
      </w:r>
      <w:r>
        <w:rPr>
          <w:snapToGrid w:val="0"/>
        </w:rPr>
        <w:tab/>
        <w:t xml:space="preserve">The Committee may publish, or cause to be published, in any reputable health journal, or may make available to </w:t>
      </w:r>
      <w:r>
        <w:t>any educational institution for use in the teaching of</w:t>
      </w:r>
      <w:r>
        <w:rPr>
          <w:snapToGrid w:val="0"/>
        </w:rPr>
        <w:t xml:space="preserve">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dental practitioners, nurses, midwives and students of any educational institution</w:t>
      </w:r>
      <w:r>
        <w:rPr>
          <w:snapToGrid w:val="0"/>
        </w:rPr>
        <w:t xml:space="preserve">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No. 47 of 1978 s. 36; amended: No. 8 of 2009 s. 71(4); No. 19 of 2016 s. 79.]</w:t>
      </w:r>
    </w:p>
    <w:p>
      <w:pPr>
        <w:pStyle w:val="Heading5"/>
        <w:rPr>
          <w:snapToGrid w:val="0"/>
        </w:rPr>
      </w:pPr>
      <w:bookmarkStart w:id="732" w:name="_Toc225765979"/>
      <w:bookmarkStart w:id="733" w:name="_Toc209710904"/>
      <w:r>
        <w:rPr>
          <w:rStyle w:val="CharSectno"/>
        </w:rPr>
        <w:t>340BM</w:t>
      </w:r>
      <w:r>
        <w:rPr>
          <w:snapToGrid w:val="0"/>
        </w:rPr>
        <w:t xml:space="preserve">. </w:t>
      </w:r>
      <w:r>
        <w:rPr>
          <w:snapToGrid w:val="0"/>
        </w:rPr>
        <w:tab/>
        <w:t>Information for research not to be disclosed</w:t>
      </w:r>
      <w:bookmarkEnd w:id="732"/>
      <w:bookmarkEnd w:id="733"/>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w:t>
      </w:r>
      <w:r>
        <w:t xml:space="preserve"> or her</w:t>
      </w:r>
      <w:r>
        <w:rPr>
          <w:snapToGrid w:val="0"/>
          <w:spacing w:val="-2"/>
        </w:rPr>
        <w:t xml:space="preserve"> duties, who interviews or in any way communicates with any person referred to in any report of the investigator or any relative of that person commits an offence, unless the consent in writing of the medical </w:t>
      </w:r>
      <w:r>
        <w:t xml:space="preserve">practitioner, dental practitioner, nurse or midwife, or any of them, </w:t>
      </w:r>
      <w:r>
        <w:rPr>
          <w:snapToGrid w:val="0"/>
          <w:spacing w:val="-2"/>
        </w:rPr>
        <w:t>attending that person at the time of the occurrence of the death being investigated is first obtained.</w:t>
      </w:r>
    </w:p>
    <w:p>
      <w:pPr>
        <w:pStyle w:val="Footnotesection"/>
      </w:pPr>
      <w:r>
        <w:tab/>
        <w:t>[Section 340BM inserted: No. 47 of 1978 s. 36; amended: No. 30 of 1982 s. 17; No. 80 of 1987 s. 162; No. 19 of 2016 s. 80.]</w:t>
      </w:r>
    </w:p>
    <w:p>
      <w:pPr>
        <w:pStyle w:val="Ednotesection"/>
        <w:spacing w:before="180"/>
        <w:ind w:left="890" w:hanging="890"/>
      </w:pPr>
      <w:r>
        <w:t>[</w:t>
      </w:r>
      <w:r>
        <w:rPr>
          <w:b/>
        </w:rPr>
        <w:t>340BN.</w:t>
      </w:r>
      <w:r>
        <w:tab/>
        <w:t>Deleted: No. 19 of 2016 s. 81.]</w:t>
      </w:r>
    </w:p>
    <w:p>
      <w:pPr>
        <w:pStyle w:val="Heading2"/>
      </w:pPr>
      <w:bookmarkStart w:id="734" w:name="_Toc225760953"/>
      <w:bookmarkStart w:id="735" w:name="_Toc225761285"/>
      <w:bookmarkStart w:id="736" w:name="_Toc225765980"/>
      <w:bookmarkStart w:id="737" w:name="_Toc209701429"/>
      <w:bookmarkStart w:id="738" w:name="_Toc209703047"/>
      <w:bookmarkStart w:id="739" w:name="_Toc209703379"/>
      <w:bookmarkStart w:id="740" w:name="_Toc209710905"/>
      <w:r>
        <w:rPr>
          <w:rStyle w:val="CharPartNo"/>
        </w:rPr>
        <w:t>Part XIV</w:t>
      </w:r>
      <w:r>
        <w:rPr>
          <w:rStyle w:val="CharDivNo"/>
        </w:rPr>
        <w:t> </w:t>
      </w:r>
      <w:r>
        <w:t>—</w:t>
      </w:r>
      <w:r>
        <w:rPr>
          <w:rStyle w:val="CharDivText"/>
        </w:rPr>
        <w:t> </w:t>
      </w:r>
      <w:r>
        <w:rPr>
          <w:rStyle w:val="CharPartText"/>
        </w:rPr>
        <w:t>Regulations and local laws</w:t>
      </w:r>
      <w:bookmarkEnd w:id="734"/>
      <w:bookmarkEnd w:id="735"/>
      <w:bookmarkEnd w:id="736"/>
      <w:bookmarkEnd w:id="737"/>
      <w:bookmarkEnd w:id="738"/>
      <w:bookmarkEnd w:id="739"/>
      <w:bookmarkEnd w:id="740"/>
    </w:p>
    <w:p>
      <w:pPr>
        <w:pStyle w:val="Footnoteheading"/>
      </w:pPr>
      <w:r>
        <w:tab/>
        <w:t>[Heading amended: No. 14 of 1996 s. 4.]</w:t>
      </w:r>
    </w:p>
    <w:p>
      <w:pPr>
        <w:pStyle w:val="Heading5"/>
        <w:rPr>
          <w:snapToGrid w:val="0"/>
        </w:rPr>
      </w:pPr>
      <w:bookmarkStart w:id="741" w:name="_Toc225765981"/>
      <w:bookmarkStart w:id="742" w:name="_Toc209710906"/>
      <w:r>
        <w:rPr>
          <w:rStyle w:val="CharSectno"/>
        </w:rPr>
        <w:t>341</w:t>
      </w:r>
      <w:r>
        <w:rPr>
          <w:snapToGrid w:val="0"/>
        </w:rPr>
        <w:t>.</w:t>
      </w:r>
      <w:r>
        <w:rPr>
          <w:snapToGrid w:val="0"/>
        </w:rPr>
        <w:tab/>
        <w:t>Regulations</w:t>
      </w:r>
      <w:bookmarkEnd w:id="741"/>
      <w:bookmarkEnd w:id="742"/>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CEO or the Chief Health Officer</w:t>
      </w:r>
      <w:r>
        <w:rPr>
          <w:snapToGrid w:val="0"/>
        </w:rPr>
        <w:t xml:space="preserve"> may, from time to time, and shall, when the Minister so requires, make regulations as hereinbefore provided, and generally for carrying into effect the provisions of this Act, and the exercise of any powers conferred on the </w:t>
      </w:r>
      <w:r>
        <w:t>CEO or the Chief Health Officer.</w:t>
      </w:r>
    </w:p>
    <w:p>
      <w:pPr>
        <w:pStyle w:val="Footnotesection"/>
      </w:pPr>
      <w:r>
        <w:tab/>
        <w:t>[Section 341, formerly section 265, renumbered as section 341: No. 38 of 1933 s. 42; amended: No. 80 of 1987 s. 163; No. 28 of 2006 s. 251; No. 19 of 2016 s. 82.]</w:t>
      </w:r>
    </w:p>
    <w:p>
      <w:pPr>
        <w:pStyle w:val="Heading5"/>
        <w:rPr>
          <w:snapToGrid w:val="0"/>
        </w:rPr>
      </w:pPr>
      <w:bookmarkStart w:id="743" w:name="_Toc225765982"/>
      <w:bookmarkStart w:id="744" w:name="_Toc209710907"/>
      <w:r>
        <w:rPr>
          <w:rStyle w:val="CharSectno"/>
        </w:rPr>
        <w:t>342</w:t>
      </w:r>
      <w:r>
        <w:rPr>
          <w:snapToGrid w:val="0"/>
        </w:rPr>
        <w:t>.</w:t>
      </w:r>
      <w:r>
        <w:rPr>
          <w:snapToGrid w:val="0"/>
        </w:rPr>
        <w:tab/>
        <w:t>Local laws</w:t>
      </w:r>
      <w:bookmarkEnd w:id="743"/>
      <w:bookmarkEnd w:id="744"/>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 xml:space="preserve">may, if the </w:t>
      </w:r>
      <w:r>
        <w:t>Chief Health Officer</w:t>
      </w:r>
      <w:r>
        <w:rPr>
          <w:snapToGrid w:val="0"/>
        </w:rPr>
        <w:t xml:space="preserve"> consents; and</w:t>
      </w:r>
    </w:p>
    <w:p>
      <w:pPr>
        <w:pStyle w:val="Indenta"/>
        <w:rPr>
          <w:snapToGrid w:val="0"/>
        </w:rPr>
      </w:pPr>
      <w:r>
        <w:rPr>
          <w:snapToGrid w:val="0"/>
        </w:rPr>
        <w:tab/>
        <w:t>(b)</w:t>
      </w:r>
      <w:r>
        <w:rPr>
          <w:snapToGrid w:val="0"/>
        </w:rPr>
        <w:tab/>
        <w:t xml:space="preserve">shall, if the </w:t>
      </w:r>
      <w:r>
        <w:t xml:space="preserve">Chief Health Officer </w:t>
      </w:r>
      <w:r>
        <w:rPr>
          <w:snapToGrid w:val="0"/>
        </w:rPr>
        <w:t>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Chief Health Officer.</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Sections </w:t>
      </w:r>
      <w:r>
        <w:t>3.12(3) to</w:t>
      </w:r>
      <w:r>
        <w:rPr>
          <w:snapToGrid w:val="0"/>
        </w:rPr>
        <w:t xml:space="preserve"> (4) and 3.13 of the </w:t>
      </w:r>
      <w:r>
        <w:rPr>
          <w:i/>
          <w:snapToGrid w:val="0"/>
        </w:rPr>
        <w:t xml:space="preserve">Local Government Act 1995 </w:t>
      </w:r>
      <w:r>
        <w:rPr>
          <w:snapToGrid w:val="0"/>
        </w:rPr>
        <w:t xml:space="preserve">do not apply if a local government is acting on the direction of the </w:t>
      </w:r>
      <w:r>
        <w:t xml:space="preserve">Chief Health Officer </w:t>
      </w:r>
      <w:r>
        <w:rPr>
          <w:snapToGrid w:val="0"/>
        </w:rPr>
        <w:t>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No. 14 of 1996 s. 4; amended: No. 28 of 2006 s. 251; No. 19 of 2016 s. 83; No. 47 of 2024 s. 168.]</w:t>
      </w:r>
    </w:p>
    <w:p>
      <w:pPr>
        <w:pStyle w:val="Heading5"/>
        <w:rPr>
          <w:snapToGrid w:val="0"/>
        </w:rPr>
      </w:pPr>
      <w:bookmarkStart w:id="745" w:name="_Toc225765983"/>
      <w:bookmarkStart w:id="746" w:name="_Toc209710908"/>
      <w:r>
        <w:rPr>
          <w:rStyle w:val="CharSectno"/>
        </w:rPr>
        <w:t>343</w:t>
      </w:r>
      <w:r>
        <w:rPr>
          <w:snapToGrid w:val="0"/>
        </w:rPr>
        <w:t>.</w:t>
      </w:r>
      <w:r>
        <w:rPr>
          <w:snapToGrid w:val="0"/>
        </w:rPr>
        <w:tab/>
        <w:t>Model local laws</w:t>
      </w:r>
      <w:bookmarkEnd w:id="745"/>
      <w:bookmarkEnd w:id="746"/>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No. 14 of 1996 s. 4.]</w:t>
      </w:r>
    </w:p>
    <w:p>
      <w:pPr>
        <w:pStyle w:val="Heading5"/>
        <w:rPr>
          <w:snapToGrid w:val="0"/>
        </w:rPr>
      </w:pPr>
      <w:bookmarkStart w:id="747" w:name="_Toc225765984"/>
      <w:bookmarkStart w:id="748" w:name="_Toc209710909"/>
      <w:r>
        <w:rPr>
          <w:rStyle w:val="CharSectno"/>
        </w:rPr>
        <w:t>343A</w:t>
      </w:r>
      <w:r>
        <w:rPr>
          <w:snapToGrid w:val="0"/>
        </w:rPr>
        <w:t>.</w:t>
      </w:r>
      <w:r>
        <w:rPr>
          <w:snapToGrid w:val="0"/>
        </w:rPr>
        <w:tab/>
        <w:t>Regulations to operate as local laws</w:t>
      </w:r>
      <w:bookmarkEnd w:id="747"/>
      <w:bookmarkEnd w:id="748"/>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No. 14 of 1996 s. 4.]</w:t>
      </w:r>
    </w:p>
    <w:p>
      <w:pPr>
        <w:pStyle w:val="Heading5"/>
        <w:rPr>
          <w:snapToGrid w:val="0"/>
        </w:rPr>
      </w:pPr>
      <w:bookmarkStart w:id="749" w:name="_Toc225765985"/>
      <w:bookmarkStart w:id="750" w:name="_Toc209710910"/>
      <w:r>
        <w:rPr>
          <w:rStyle w:val="CharSectno"/>
        </w:rPr>
        <w:t>343B</w:t>
      </w:r>
      <w:r>
        <w:rPr>
          <w:snapToGrid w:val="0"/>
        </w:rPr>
        <w:t>.</w:t>
      </w:r>
      <w:r>
        <w:rPr>
          <w:snapToGrid w:val="0"/>
        </w:rPr>
        <w:tab/>
        <w:t>Governor may amend or repeal local laws</w:t>
      </w:r>
      <w:bookmarkEnd w:id="749"/>
      <w:bookmarkEnd w:id="750"/>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No. 14 of 1996 s. 4.]</w:t>
      </w:r>
    </w:p>
    <w:p>
      <w:pPr>
        <w:pStyle w:val="Heading5"/>
        <w:rPr>
          <w:snapToGrid w:val="0"/>
        </w:rPr>
      </w:pPr>
      <w:bookmarkStart w:id="751" w:name="_Toc225765986"/>
      <w:bookmarkStart w:id="752" w:name="_Toc209710911"/>
      <w:r>
        <w:rPr>
          <w:rStyle w:val="CharSectno"/>
        </w:rPr>
        <w:t>344</w:t>
      </w:r>
      <w:r>
        <w:rPr>
          <w:snapToGrid w:val="0"/>
        </w:rPr>
        <w:t>.</w:t>
      </w:r>
      <w:r>
        <w:rPr>
          <w:snapToGrid w:val="0"/>
        </w:rPr>
        <w:tab/>
        <w:t>Penalties, fees etc.</w:t>
      </w:r>
      <w:bookmarkEnd w:id="751"/>
      <w:bookmarkEnd w:id="752"/>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 and</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xml:space="preserve">, the </w:t>
      </w:r>
      <w:r>
        <w:t>Chief Health Officer</w:t>
      </w:r>
      <w:r>
        <w:rPr>
          <w:snapToGrid w:val="0"/>
        </w:rPr>
        <w:t xml:space="preserve">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formerly section 268, renumbered as section 344: No. 38 of 1933 s. 42; amended: No. 113 of 1965 s. 8(1); No. 35 of 1966 s. 7; No. 52 of 1968 s. 9; No. 28 of 1984 s. 33; No. 80 of 1987 s. 164; No. 14 of 1996 s. 4; No. 28 of 2006 s. 251; No. 19 of 2016 s. 84.]</w:t>
      </w:r>
    </w:p>
    <w:p>
      <w:pPr>
        <w:pStyle w:val="Heading5"/>
        <w:rPr>
          <w:snapToGrid w:val="0"/>
        </w:rPr>
      </w:pPr>
      <w:bookmarkStart w:id="753" w:name="_Toc225765987"/>
      <w:bookmarkStart w:id="754" w:name="_Toc209710912"/>
      <w:r>
        <w:rPr>
          <w:rStyle w:val="CharSectno"/>
        </w:rPr>
        <w:t>344A</w:t>
      </w:r>
      <w:r>
        <w:rPr>
          <w:snapToGrid w:val="0"/>
        </w:rPr>
        <w:t>.</w:t>
      </w:r>
      <w:r>
        <w:rPr>
          <w:snapToGrid w:val="0"/>
        </w:rPr>
        <w:tab/>
        <w:t>Incorporation by reference</w:t>
      </w:r>
      <w:bookmarkEnd w:id="753"/>
      <w:bookmarkEnd w:id="754"/>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r>
      <w:r>
        <w:t>The CEO or the Chief Health Officer</w:t>
      </w:r>
      <w:r>
        <w:rPr>
          <w:snapToGrid w:val="0"/>
        </w:rPr>
        <w:t xml:space="preserve"> may cause to be published, and amended from time to time, a code of practice in respect of any matter or thing relating to the public health of the people of Western Australia.</w:t>
      </w:r>
    </w:p>
    <w:p>
      <w:pPr>
        <w:pStyle w:val="Subsection"/>
      </w:pPr>
      <w:r>
        <w:tab/>
        <w:t>(3)</w:t>
      </w:r>
      <w:r>
        <w:tab/>
        <w:t>If any standard, rule, code or other provision is adopted under subsection (1), the relevant local government (in the case of adoption by a local law) or the Chief Health Officer (in the case of adoption by any regulations) must ensure that a copy of the standard, rule, code or other provision (as amended, if applicable) is available for public inspection, without charge, during normal office hours at a place prescribed by regulation.</w:t>
      </w:r>
    </w:p>
    <w:p>
      <w:pPr>
        <w:pStyle w:val="Footnotesection"/>
      </w:pPr>
      <w:r>
        <w:tab/>
        <w:t>[Section 344A inserted: No. 28 of 1996 s. 18; amended: No. 74 of 2003 s. 64(2); No. 28 of 2006 s. 251; No. 19 of 2016 s. 85.]</w:t>
      </w:r>
    </w:p>
    <w:p>
      <w:pPr>
        <w:pStyle w:val="Heading5"/>
        <w:rPr>
          <w:snapToGrid w:val="0"/>
        </w:rPr>
      </w:pPr>
      <w:bookmarkStart w:id="755" w:name="_Toc225765988"/>
      <w:bookmarkStart w:id="756" w:name="_Toc209710913"/>
      <w:r>
        <w:rPr>
          <w:rStyle w:val="CharSectno"/>
        </w:rPr>
        <w:t>344B</w:t>
      </w:r>
      <w:r>
        <w:rPr>
          <w:snapToGrid w:val="0"/>
        </w:rPr>
        <w:t>.</w:t>
      </w:r>
      <w:r>
        <w:rPr>
          <w:snapToGrid w:val="0"/>
        </w:rPr>
        <w:tab/>
        <w:t>Evidence of contents of standard etc. adopted</w:t>
      </w:r>
      <w:bookmarkEnd w:id="755"/>
      <w:bookmarkEnd w:id="756"/>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or the Chief Health Officer </w:t>
      </w:r>
      <w:r>
        <w:rPr>
          <w:snapToGrid w:val="0"/>
        </w:rPr>
        <w:t xml:space="preserve">to be a true copy as at any date or during any period is, without proof of the signature of the </w:t>
      </w:r>
      <w:r>
        <w:t xml:space="preserve">CEO or the Chief Health Officer, </w:t>
      </w:r>
      <w:r>
        <w:rPr>
          <w:snapToGrid w:val="0"/>
        </w:rPr>
        <w:t>sufficient evidence of the contents of the standard, rule, code or other provision as at that date or during that period.</w:t>
      </w:r>
    </w:p>
    <w:p>
      <w:pPr>
        <w:pStyle w:val="Footnotesection"/>
      </w:pPr>
      <w:r>
        <w:tab/>
        <w:t>[Section 344B inserted: No. 28 of 1996 s. 18; amended: No. 28 of 2006 s. 251; No. 19 of 2016 s. 86.]</w:t>
      </w:r>
    </w:p>
    <w:p>
      <w:pPr>
        <w:pStyle w:val="Heading5"/>
        <w:rPr>
          <w:snapToGrid w:val="0"/>
        </w:rPr>
      </w:pPr>
      <w:bookmarkStart w:id="757" w:name="_Toc225765989"/>
      <w:bookmarkStart w:id="758" w:name="_Toc209710914"/>
      <w:r>
        <w:rPr>
          <w:rStyle w:val="CharSectno"/>
        </w:rPr>
        <w:t>344C</w:t>
      </w:r>
      <w:r>
        <w:rPr>
          <w:snapToGrid w:val="0"/>
        </w:rPr>
        <w:t>.</w:t>
      </w:r>
      <w:r>
        <w:rPr>
          <w:snapToGrid w:val="0"/>
        </w:rPr>
        <w:tab/>
        <w:t>Fees and charges may be fixed by resolution</w:t>
      </w:r>
      <w:bookmarkEnd w:id="757"/>
      <w:bookmarkEnd w:id="758"/>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keepLines/>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spacing w:before="180"/>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spacing w:before="180"/>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spacing w:before="180"/>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spacing w:before="180"/>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spacing w:before="180"/>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keepNext/>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spacing w:after="8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keepNext/>
              <w:rPr>
                <w:snapToGrid w:val="0"/>
              </w:rPr>
            </w:pPr>
            <w:r>
              <w:rPr>
                <w:snapToGrid w:val="0"/>
              </w:rPr>
              <w:t>Sections 133(1), 134(6), (11), (12), (29), (44), (45) and (46), 146(3), 158(3), 199(10) and 344(1)(a).</w:t>
            </w:r>
          </w:p>
        </w:tc>
      </w:tr>
    </w:tbl>
    <w:p>
      <w:pPr>
        <w:pStyle w:val="Footnotesection"/>
        <w:spacing w:after="400"/>
        <w:ind w:left="890" w:hanging="890"/>
      </w:pPr>
      <w:r>
        <w:tab/>
        <w:t>[Section 344C inserted: No. 28 of 1996 s. 18; amended: No. 36 of 2007 Sch. 4 cl. 4(7); No. 43 of 2008 s. 147(15).]</w:t>
      </w:r>
    </w:p>
    <w:p>
      <w:pPr>
        <w:pStyle w:val="Heading5"/>
        <w:rPr>
          <w:snapToGrid w:val="0"/>
        </w:rPr>
      </w:pPr>
      <w:bookmarkStart w:id="759" w:name="_Toc225765990"/>
      <w:bookmarkStart w:id="760" w:name="_Toc209710915"/>
      <w:r>
        <w:rPr>
          <w:rStyle w:val="CharSectno"/>
        </w:rPr>
        <w:t>345</w:t>
      </w:r>
      <w:r>
        <w:rPr>
          <w:snapToGrid w:val="0"/>
        </w:rPr>
        <w:t>.</w:t>
      </w:r>
      <w:r>
        <w:rPr>
          <w:snapToGrid w:val="0"/>
        </w:rPr>
        <w:tab/>
        <w:t>Regulations to be confirmed</w:t>
      </w:r>
      <w:bookmarkEnd w:id="759"/>
      <w:bookmarkEnd w:id="760"/>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formerly section 269, renumbered as section 345: No. 38 of 1933 s. 42; amended: No. 28 of 1984 s. 45; No. 14 of 1996 s. 4.]</w:t>
      </w:r>
    </w:p>
    <w:p>
      <w:pPr>
        <w:pStyle w:val="Ednotesection"/>
      </w:pPr>
      <w:r>
        <w:t>[</w:t>
      </w:r>
      <w:r>
        <w:rPr>
          <w:b/>
        </w:rPr>
        <w:t>346</w:t>
      </w:r>
      <w:r>
        <w:rPr>
          <w:b/>
        </w:rPr>
        <w:noBreakHyphen/>
        <w:t xml:space="preserve">347. </w:t>
      </w:r>
      <w:r>
        <w:t>Deleted: No. 14 of 1996 s. 4.]</w:t>
      </w:r>
    </w:p>
    <w:p>
      <w:pPr>
        <w:pStyle w:val="Heading5"/>
        <w:rPr>
          <w:snapToGrid w:val="0"/>
        </w:rPr>
      </w:pPr>
      <w:bookmarkStart w:id="761" w:name="_Toc225765991"/>
      <w:bookmarkStart w:id="762" w:name="_Toc209710916"/>
      <w:r>
        <w:rPr>
          <w:rStyle w:val="CharSectno"/>
        </w:rPr>
        <w:t>348</w:t>
      </w:r>
      <w:r>
        <w:rPr>
          <w:snapToGrid w:val="0"/>
        </w:rPr>
        <w:t>.</w:t>
      </w:r>
      <w:r>
        <w:rPr>
          <w:snapToGrid w:val="0"/>
        </w:rPr>
        <w:tab/>
        <w:t>Evidence of local laws</w:t>
      </w:r>
      <w:bookmarkEnd w:id="761"/>
      <w:bookmarkEnd w:id="762"/>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formerly section 272, renumbered as section 348: No. 38 of 1933 s. 42; amended: No. 14 of 1996 s. 4.]</w:t>
      </w:r>
    </w:p>
    <w:p>
      <w:pPr>
        <w:pStyle w:val="Heading5"/>
        <w:rPr>
          <w:snapToGrid w:val="0"/>
        </w:rPr>
      </w:pPr>
      <w:bookmarkStart w:id="763" w:name="_Toc225765992"/>
      <w:bookmarkStart w:id="764" w:name="_Toc209710917"/>
      <w:r>
        <w:rPr>
          <w:rStyle w:val="CharSectno"/>
        </w:rPr>
        <w:t>348A</w:t>
      </w:r>
      <w:r>
        <w:rPr>
          <w:snapToGrid w:val="0"/>
        </w:rPr>
        <w:t>.</w:t>
      </w:r>
      <w:r>
        <w:rPr>
          <w:snapToGrid w:val="0"/>
        </w:rPr>
        <w:tab/>
        <w:t>Proclamations etc. may be revoked or varied</w:t>
      </w:r>
      <w:bookmarkEnd w:id="763"/>
      <w:bookmarkEnd w:id="764"/>
    </w:p>
    <w:p>
      <w:pPr>
        <w:pStyle w:val="Subsection"/>
        <w:keepNext/>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keepNext/>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w:t>
      </w:r>
    </w:p>
    <w:p>
      <w:pPr>
        <w:pStyle w:val="Footnotesection"/>
      </w:pPr>
      <w:r>
        <w:tab/>
        <w:t>[Section 348A inserted: No. 38 of 1960 s. 7.]</w:t>
      </w:r>
    </w:p>
    <w:p>
      <w:pPr>
        <w:pStyle w:val="Heading2"/>
      </w:pPr>
      <w:bookmarkStart w:id="765" w:name="_Toc225760966"/>
      <w:bookmarkStart w:id="766" w:name="_Toc225761298"/>
      <w:bookmarkStart w:id="767" w:name="_Toc225765993"/>
      <w:bookmarkStart w:id="768" w:name="_Toc209701442"/>
      <w:bookmarkStart w:id="769" w:name="_Toc209703060"/>
      <w:bookmarkStart w:id="770" w:name="_Toc209703392"/>
      <w:bookmarkStart w:id="771" w:name="_Toc209710918"/>
      <w:r>
        <w:rPr>
          <w:rStyle w:val="CharPartNo"/>
        </w:rPr>
        <w:t>Part XV</w:t>
      </w:r>
      <w:r>
        <w:rPr>
          <w:rStyle w:val="CharDivNo"/>
        </w:rPr>
        <w:t> </w:t>
      </w:r>
      <w:r>
        <w:t>—</w:t>
      </w:r>
      <w:r>
        <w:rPr>
          <w:rStyle w:val="CharDivText"/>
        </w:rPr>
        <w:t> </w:t>
      </w:r>
      <w:r>
        <w:rPr>
          <w:rStyle w:val="CharPartText"/>
        </w:rPr>
        <w:t>Miscellaneous provisions</w:t>
      </w:r>
      <w:bookmarkEnd w:id="765"/>
      <w:bookmarkEnd w:id="766"/>
      <w:bookmarkEnd w:id="767"/>
      <w:bookmarkEnd w:id="768"/>
      <w:bookmarkEnd w:id="769"/>
      <w:bookmarkEnd w:id="770"/>
      <w:bookmarkEnd w:id="771"/>
    </w:p>
    <w:p>
      <w:pPr>
        <w:pStyle w:val="Heading5"/>
        <w:rPr>
          <w:snapToGrid w:val="0"/>
        </w:rPr>
      </w:pPr>
      <w:bookmarkStart w:id="772" w:name="_Toc225765994"/>
      <w:bookmarkStart w:id="773" w:name="_Toc209710919"/>
      <w:r>
        <w:rPr>
          <w:rStyle w:val="CharSectno"/>
        </w:rPr>
        <w:t>349</w:t>
      </w:r>
      <w:r>
        <w:rPr>
          <w:snapToGrid w:val="0"/>
        </w:rPr>
        <w:t>.</w:t>
      </w:r>
      <w:r>
        <w:rPr>
          <w:snapToGrid w:val="0"/>
        </w:rPr>
        <w:tab/>
        <w:t>Entry</w:t>
      </w:r>
      <w:bookmarkEnd w:id="772"/>
      <w:bookmarkEnd w:id="773"/>
    </w:p>
    <w:p>
      <w:pPr>
        <w:pStyle w:val="Subsection"/>
        <w:rPr>
          <w:snapToGrid w:val="0"/>
        </w:rPr>
      </w:pPr>
      <w:r>
        <w:rPr>
          <w:snapToGrid w:val="0"/>
        </w:rPr>
        <w:tab/>
        <w:t>(1)</w:t>
      </w:r>
      <w:r>
        <w:rPr>
          <w:snapToGrid w:val="0"/>
        </w:rPr>
        <w:tab/>
      </w:r>
      <w:r>
        <w:t>Authorised officers</w:t>
      </w:r>
      <w:r>
        <w:rPr>
          <w:snapToGrid w:val="0"/>
        </w:rPr>
        <w:t xml:space="preserve">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formerly section 273, amended: No. 17 of 1918 s. 50; renumbered as section 349: No. 38 of 1933 s. 42; amended: No. 113 of 1965 s. 8(1); No. 28 of 1984 s. 34; No. 80 of 1987 s. 165; No. 14 of 1996 s. 4; No. 28 of 2006 s. 251; No. 19 of 2016 s. 87.]</w:t>
      </w:r>
    </w:p>
    <w:p>
      <w:pPr>
        <w:pStyle w:val="Heading5"/>
        <w:rPr>
          <w:snapToGrid w:val="0"/>
        </w:rPr>
      </w:pPr>
      <w:bookmarkStart w:id="774" w:name="_Toc225765995"/>
      <w:bookmarkStart w:id="775" w:name="_Toc209710920"/>
      <w:r>
        <w:rPr>
          <w:rStyle w:val="CharSectno"/>
        </w:rPr>
        <w:t>350</w:t>
      </w:r>
      <w:r>
        <w:rPr>
          <w:snapToGrid w:val="0"/>
        </w:rPr>
        <w:t>.</w:t>
      </w:r>
      <w:r>
        <w:rPr>
          <w:snapToGrid w:val="0"/>
        </w:rPr>
        <w:tab/>
        <w:t>Vessels</w:t>
      </w:r>
      <w:bookmarkEnd w:id="774"/>
      <w:bookmarkEnd w:id="775"/>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formerly section 274, renumbered as section 350: No. 38 of 1933 s. 42; amended: No. 14 of 1996 s. 4.]</w:t>
      </w:r>
    </w:p>
    <w:p>
      <w:pPr>
        <w:pStyle w:val="Heading5"/>
        <w:rPr>
          <w:snapToGrid w:val="0"/>
        </w:rPr>
      </w:pPr>
      <w:bookmarkStart w:id="776" w:name="_Toc225765996"/>
      <w:bookmarkStart w:id="777" w:name="_Toc209710921"/>
      <w:r>
        <w:rPr>
          <w:rStyle w:val="CharSectno"/>
        </w:rPr>
        <w:t>351</w:t>
      </w:r>
      <w:r>
        <w:rPr>
          <w:snapToGrid w:val="0"/>
        </w:rPr>
        <w:t>.</w:t>
      </w:r>
      <w:r>
        <w:rPr>
          <w:snapToGrid w:val="0"/>
        </w:rPr>
        <w:tab/>
        <w:t>Obstructing execution of Act</w:t>
      </w:r>
      <w:bookmarkEnd w:id="776"/>
      <w:bookmarkEnd w:id="777"/>
    </w:p>
    <w:p>
      <w:pPr>
        <w:pStyle w:val="Subsection"/>
        <w:rPr>
          <w:snapToGrid w:val="0"/>
        </w:rPr>
      </w:pPr>
      <w:r>
        <w:rPr>
          <w:snapToGrid w:val="0"/>
        </w:rPr>
        <w:tab/>
        <w:t>(1)</w:t>
      </w:r>
      <w:r>
        <w:rPr>
          <w:snapToGrid w:val="0"/>
        </w:rPr>
        <w:tab/>
        <w:t>Any person who obstructs, hinders, resists, or in anywise opposes the</w:t>
      </w:r>
      <w:r>
        <w:t xml:space="preserve"> CEO, the Chief Health Officer, any authorised officer, </w:t>
      </w:r>
      <w:r>
        <w:rPr>
          <w:snapToGrid w:val="0"/>
        </w:rPr>
        <w:t>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 the Chief Health Officer, an authorised officer </w:t>
      </w:r>
      <w:r>
        <w:rPr>
          <w:snapToGrid w:val="0"/>
        </w:rPr>
        <w:t>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xml:space="preserve">, the </w:t>
      </w:r>
      <w:r>
        <w:t>Chief Health Officer, an authorised officer</w:t>
      </w:r>
      <w:r>
        <w:rPr>
          <w:snapToGrid w:val="0"/>
        </w:rPr>
        <w:t xml:space="preserve"> or the local government to state the name of the owner of such premises, refuses or wilfully omits to disclose, or wilfully misstates the name of such owner, commits an offence.</w:t>
      </w:r>
    </w:p>
    <w:p>
      <w:pPr>
        <w:pStyle w:val="Footnotesection"/>
      </w:pPr>
      <w:r>
        <w:tab/>
        <w:t>[Section 351, formerly section 275, renumbered as section 351: No. 38 of 1933 s. 42; amended: No. 113 of 1965 s. 8(1); No. 28 of 1984 s. 35; No. 80 of 1987 s. 166; No. 14 of 1996 s. 4; No. 28 of 2006 s. 251; No. 19 of 2016 s. 88.]</w:t>
      </w:r>
    </w:p>
    <w:p>
      <w:pPr>
        <w:pStyle w:val="Heading5"/>
        <w:rPr>
          <w:snapToGrid w:val="0"/>
        </w:rPr>
      </w:pPr>
      <w:bookmarkStart w:id="778" w:name="_Toc225765997"/>
      <w:bookmarkStart w:id="779" w:name="_Toc209710922"/>
      <w:r>
        <w:rPr>
          <w:rStyle w:val="CharSectno"/>
        </w:rPr>
        <w:t>352</w:t>
      </w:r>
      <w:r>
        <w:rPr>
          <w:snapToGrid w:val="0"/>
        </w:rPr>
        <w:t>.</w:t>
      </w:r>
      <w:r>
        <w:rPr>
          <w:snapToGrid w:val="0"/>
        </w:rPr>
        <w:tab/>
        <w:t>Duty of police officers and authorised officers</w:t>
      </w:r>
      <w:bookmarkEnd w:id="778"/>
      <w:bookmarkEnd w:id="779"/>
    </w:p>
    <w:p>
      <w:pPr>
        <w:pStyle w:val="Subsection"/>
        <w:rPr>
          <w:snapToGrid w:val="0"/>
        </w:rPr>
      </w:pPr>
      <w:r>
        <w:rPr>
          <w:snapToGrid w:val="0"/>
        </w:rPr>
        <w:tab/>
        <w:t>(1)</w:t>
      </w:r>
      <w:r>
        <w:rPr>
          <w:snapToGrid w:val="0"/>
        </w:rPr>
        <w:tab/>
        <w:t xml:space="preserve">It shall be the duty of every member of the police force and </w:t>
      </w:r>
      <w:r>
        <w:t>authorised</w:t>
      </w:r>
      <w:r>
        <w:rPr>
          <w:snapToGrid w:val="0"/>
        </w:rPr>
        <w:t xml:space="preserve">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 xml:space="preserve">Any such person who refuses to state his name and place of abode when required by a member of the police force or </w:t>
      </w:r>
      <w:r>
        <w:t>authorised</w:t>
      </w:r>
      <w:r>
        <w:rPr>
          <w:snapToGrid w:val="0"/>
        </w:rPr>
        <w:t xml:space="preserve"> officer who produces his authority so to do, may, without any other warrant than this Act, be apprehended by such officer to be dealt with according to law.</w:t>
      </w:r>
    </w:p>
    <w:p>
      <w:pPr>
        <w:pStyle w:val="Subsection"/>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keepLines w:val="0"/>
        <w:ind w:left="890" w:hanging="890"/>
      </w:pPr>
      <w:r>
        <w:tab/>
        <w:t>[Section 352, formerly section 276, renumbered as section 352: No. 38 of 1933 s. 42; amended: No. 71 of 1948 s. 14; No. 113 of 1965 s. 8(1); No. 24 of 1970 s. 12; No. 80 of 1987 s. 167; No. 59 of 1991 s. 5; No. 14 of 1996 s. 4; No. 59 of 2004 s. 141; No. 19 of 2016 s. 99.]</w:t>
      </w:r>
    </w:p>
    <w:p>
      <w:pPr>
        <w:pStyle w:val="Heading5"/>
        <w:rPr>
          <w:snapToGrid w:val="0"/>
        </w:rPr>
      </w:pPr>
      <w:bookmarkStart w:id="780" w:name="_Toc225765998"/>
      <w:bookmarkStart w:id="781" w:name="_Toc209710923"/>
      <w:r>
        <w:rPr>
          <w:rStyle w:val="CharSectno"/>
        </w:rPr>
        <w:t>353</w:t>
      </w:r>
      <w:r>
        <w:rPr>
          <w:snapToGrid w:val="0"/>
        </w:rPr>
        <w:t>.</w:t>
      </w:r>
      <w:r>
        <w:rPr>
          <w:snapToGrid w:val="0"/>
        </w:rPr>
        <w:tab/>
        <w:t>Power to take possession of and lease land or premises on which expenses are due</w:t>
      </w:r>
      <w:bookmarkEnd w:id="780"/>
      <w:bookmarkEnd w:id="781"/>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formerly section 277, renumbered as section 353: No. 38 of 1933 s. 42; amended: No. 14 of 1996 s. 4.]</w:t>
      </w:r>
    </w:p>
    <w:p>
      <w:pPr>
        <w:pStyle w:val="Heading5"/>
        <w:rPr>
          <w:snapToGrid w:val="0"/>
        </w:rPr>
      </w:pPr>
      <w:bookmarkStart w:id="782" w:name="_Toc225765999"/>
      <w:bookmarkStart w:id="783" w:name="_Toc209710924"/>
      <w:r>
        <w:rPr>
          <w:rStyle w:val="CharSectno"/>
        </w:rPr>
        <w:t>354</w:t>
      </w:r>
      <w:r>
        <w:rPr>
          <w:snapToGrid w:val="0"/>
        </w:rPr>
        <w:t>.</w:t>
      </w:r>
      <w:r>
        <w:rPr>
          <w:snapToGrid w:val="0"/>
        </w:rPr>
        <w:tab/>
        <w:t>Service of notice</w:t>
      </w:r>
      <w:bookmarkEnd w:id="782"/>
      <w:bookmarkEnd w:id="783"/>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keepLines/>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keepNext/>
        <w:keepLines/>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ind w:left="890" w:hanging="890"/>
      </w:pPr>
      <w:r>
        <w:tab/>
        <w:t>[Section 354, formerly section 278, amended: No. 17 of 1918 s. 52; renumbered as section 354: No. 38 of 1933 s. 42; amended: No. 28 of 1984 s. 36; No. 14 of 1996 s. 4; No. 84 of 2004 s. 80 and 82; No. 28 of 2006 s. 251.]</w:t>
      </w:r>
    </w:p>
    <w:p>
      <w:pPr>
        <w:pStyle w:val="Heading5"/>
        <w:spacing w:before="260"/>
        <w:rPr>
          <w:snapToGrid w:val="0"/>
        </w:rPr>
      </w:pPr>
      <w:bookmarkStart w:id="784" w:name="_Toc225766000"/>
      <w:bookmarkStart w:id="785" w:name="_Toc209710925"/>
      <w:r>
        <w:rPr>
          <w:rStyle w:val="CharSectno"/>
        </w:rPr>
        <w:t>355</w:t>
      </w:r>
      <w:r>
        <w:rPr>
          <w:snapToGrid w:val="0"/>
        </w:rPr>
        <w:t>.</w:t>
      </w:r>
      <w:r>
        <w:rPr>
          <w:snapToGrid w:val="0"/>
        </w:rPr>
        <w:tab/>
        <w:t>Continued operation of notices and orders</w:t>
      </w:r>
      <w:bookmarkEnd w:id="784"/>
      <w:bookmarkEnd w:id="785"/>
    </w:p>
    <w:p>
      <w:pPr>
        <w:pStyle w:val="Subsection"/>
        <w:spacing w:before="200"/>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Footnotesection"/>
        <w:ind w:left="890" w:hanging="890"/>
      </w:pPr>
      <w:r>
        <w:tab/>
        <w:t>[Section 355, formerly section 279, renumbered as section 355: No. 38 of 1933 s. 42.]</w:t>
      </w:r>
    </w:p>
    <w:p>
      <w:pPr>
        <w:pStyle w:val="Heading5"/>
        <w:spacing w:before="260"/>
        <w:rPr>
          <w:snapToGrid w:val="0"/>
        </w:rPr>
      </w:pPr>
      <w:bookmarkStart w:id="786" w:name="_Toc225766001"/>
      <w:bookmarkStart w:id="787" w:name="_Toc209710926"/>
      <w:r>
        <w:rPr>
          <w:rStyle w:val="CharSectno"/>
        </w:rPr>
        <w:t>356</w:t>
      </w:r>
      <w:r>
        <w:rPr>
          <w:snapToGrid w:val="0"/>
        </w:rPr>
        <w:t>.</w:t>
      </w:r>
      <w:r>
        <w:rPr>
          <w:snapToGrid w:val="0"/>
        </w:rPr>
        <w:tab/>
        <w:t>Proof of ownership</w:t>
      </w:r>
      <w:bookmarkEnd w:id="786"/>
      <w:bookmarkEnd w:id="787"/>
    </w:p>
    <w:p>
      <w:pPr>
        <w:pStyle w:val="Subsection"/>
        <w:spacing w:before="200"/>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spacing w:before="80"/>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spacing w:before="200"/>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spacing w:before="200"/>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spacing w:before="200"/>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spacing w:before="200"/>
        <w:rPr>
          <w:snapToGrid w:val="0"/>
        </w:rPr>
      </w:pPr>
      <w:r>
        <w:rPr>
          <w:snapToGrid w:val="0"/>
        </w:rPr>
        <w:tab/>
      </w:r>
      <w:r>
        <w:rPr>
          <w:snapToGrid w:val="0"/>
        </w:rPr>
        <w:tab/>
        <w:t>Provided also, that nothing in this section shall exclude or take away existing methods of proof.</w:t>
      </w:r>
    </w:p>
    <w:p>
      <w:pPr>
        <w:pStyle w:val="Footnotesection"/>
      </w:pPr>
      <w:r>
        <w:tab/>
        <w:t>[Section 356, formerly section 280, amended: No. 28 of 1912 s. 9; renumbered as section 356: No. 38 of 1933 s. 42; amended: No. 81 of 1996 s. 153(1).]</w:t>
      </w:r>
    </w:p>
    <w:p>
      <w:pPr>
        <w:pStyle w:val="Heading5"/>
        <w:rPr>
          <w:snapToGrid w:val="0"/>
        </w:rPr>
      </w:pPr>
      <w:bookmarkStart w:id="788" w:name="_Toc225766002"/>
      <w:bookmarkStart w:id="789" w:name="_Toc209710927"/>
      <w:r>
        <w:rPr>
          <w:rStyle w:val="CharSectno"/>
        </w:rPr>
        <w:t>357</w:t>
      </w:r>
      <w:r>
        <w:rPr>
          <w:snapToGrid w:val="0"/>
        </w:rPr>
        <w:t>.</w:t>
      </w:r>
      <w:r>
        <w:rPr>
          <w:snapToGrid w:val="0"/>
        </w:rPr>
        <w:tab/>
        <w:t>Power to suspend or cancel licences</w:t>
      </w:r>
      <w:bookmarkEnd w:id="788"/>
      <w:bookmarkEnd w:id="789"/>
    </w:p>
    <w:p>
      <w:pPr>
        <w:pStyle w:val="Subsection"/>
        <w:spacing w:before="200"/>
        <w:rPr>
          <w:snapToGrid w:val="0"/>
        </w:rPr>
      </w:pPr>
      <w:r>
        <w:rPr>
          <w:snapToGrid w:val="0"/>
        </w:rPr>
        <w:tab/>
      </w:r>
      <w:r>
        <w:rPr>
          <w:snapToGrid w:val="0"/>
        </w:rPr>
        <w:tab/>
        <w:t>On the conviction of any person for any offence under this Act, the</w:t>
      </w:r>
      <w:r>
        <w:t xml:space="preserve"> CEO</w:t>
      </w:r>
      <w:r>
        <w:rPr>
          <w:snapToGrid w:val="0"/>
        </w:rPr>
        <w:t xml:space="preserve">, the </w:t>
      </w:r>
      <w:r>
        <w:t>Chief Health Officer or the local government</w:t>
      </w:r>
      <w:r>
        <w:rPr>
          <w:snapToGrid w:val="0"/>
        </w:rPr>
        <w:t xml:space="preserve">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formerly section 281, amended: No. 30 of 1932 s. 44; renumbered as section 356: No. 38 of 1933 s. 42; amended: No. 28 of 1984 s. 37; No. 80 of 1987 s. 168; No. 14 of 1996 s. 4; No. 28 of 2006 s. 251; No. 19 of 2016 s. 89.]</w:t>
      </w:r>
    </w:p>
    <w:p>
      <w:pPr>
        <w:pStyle w:val="Heading5"/>
        <w:rPr>
          <w:snapToGrid w:val="0"/>
        </w:rPr>
      </w:pPr>
      <w:bookmarkStart w:id="790" w:name="_Toc225766003"/>
      <w:bookmarkStart w:id="791" w:name="_Toc209710928"/>
      <w:r>
        <w:rPr>
          <w:rStyle w:val="CharSectno"/>
        </w:rPr>
        <w:t>358</w:t>
      </w:r>
      <w:r>
        <w:rPr>
          <w:snapToGrid w:val="0"/>
        </w:rPr>
        <w:t>.</w:t>
      </w:r>
      <w:r>
        <w:rPr>
          <w:snapToGrid w:val="0"/>
        </w:rPr>
        <w:tab/>
        <w:t>Prosecution of offences</w:t>
      </w:r>
      <w:bookmarkEnd w:id="790"/>
      <w:bookmarkEnd w:id="791"/>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 xml:space="preserve">An </w:t>
      </w:r>
      <w:r>
        <w:t>authorised</w:t>
      </w:r>
      <w:r>
        <w:rPr>
          <w:snapToGrid w:val="0"/>
        </w:rPr>
        <w:t xml:space="preserve">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formerly section 282, renumbered as section 358: No. 38 of 1933 s. 42; amended: No. 24 of 1970 s. 12; No. 80 of 1987 s. 169; No. 59 of 1991 s. 5(1); No. 14 of 1996 s. 4; No. 28 of 1996 s. 21; No. 19 of 2016 s. 99.]</w:t>
      </w:r>
    </w:p>
    <w:p>
      <w:pPr>
        <w:pStyle w:val="Heading5"/>
        <w:rPr>
          <w:snapToGrid w:val="0"/>
        </w:rPr>
      </w:pPr>
      <w:bookmarkStart w:id="792" w:name="_Toc225766004"/>
      <w:bookmarkStart w:id="793" w:name="_Toc209710929"/>
      <w:r>
        <w:rPr>
          <w:rStyle w:val="CharSectno"/>
        </w:rPr>
        <w:t>359</w:t>
      </w:r>
      <w:r>
        <w:rPr>
          <w:snapToGrid w:val="0"/>
        </w:rPr>
        <w:t>.</w:t>
      </w:r>
      <w:r>
        <w:rPr>
          <w:snapToGrid w:val="0"/>
        </w:rPr>
        <w:tab/>
        <w:t>No abatement</w:t>
      </w:r>
      <w:bookmarkEnd w:id="792"/>
      <w:bookmarkEnd w:id="793"/>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formerly section 283, renumbered as section 359: No. 38 of 1933 s. 42; amended: No. 84 of 2004 s. 80.]</w:t>
      </w:r>
    </w:p>
    <w:p>
      <w:pPr>
        <w:pStyle w:val="Heading5"/>
        <w:rPr>
          <w:snapToGrid w:val="0"/>
        </w:rPr>
      </w:pPr>
      <w:bookmarkStart w:id="794" w:name="_Toc225766005"/>
      <w:bookmarkStart w:id="795" w:name="_Toc209710930"/>
      <w:r>
        <w:rPr>
          <w:rStyle w:val="CharSectno"/>
        </w:rPr>
        <w:t>360</w:t>
      </w:r>
      <w:r>
        <w:rPr>
          <w:snapToGrid w:val="0"/>
        </w:rPr>
        <w:t>.</w:t>
      </w:r>
      <w:r>
        <w:rPr>
          <w:snapToGrid w:val="0"/>
        </w:rPr>
        <w:tab/>
        <w:t>Penalties</w:t>
      </w:r>
      <w:bookmarkEnd w:id="794"/>
      <w:bookmarkEnd w:id="795"/>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spacing w:before="60"/>
        <w:rPr>
          <w:snapToGrid w:val="0"/>
        </w:rPr>
      </w:pPr>
      <w:r>
        <w:rPr>
          <w:snapToGrid w:val="0"/>
        </w:rPr>
        <w:tab/>
        <w:t>(i)</w:t>
      </w:r>
      <w:r>
        <w:rPr>
          <w:snapToGrid w:val="0"/>
        </w:rPr>
        <w:tab/>
        <w:t>a penalty which is not more than $500 and not less than —</w:t>
      </w:r>
    </w:p>
    <w:p>
      <w:pPr>
        <w:pStyle w:val="IndentI0"/>
        <w:spacing w:before="60"/>
        <w:rPr>
          <w:snapToGrid w:val="0"/>
        </w:rPr>
      </w:pPr>
      <w:r>
        <w:rPr>
          <w:snapToGrid w:val="0"/>
        </w:rPr>
        <w:tab/>
        <w:t>(A)</w:t>
      </w:r>
      <w:r>
        <w:rPr>
          <w:snapToGrid w:val="0"/>
        </w:rPr>
        <w:tab/>
        <w:t>in the case of a first such offence, $50; and</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 and</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keepNext/>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 and</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rPr>
          <w:snapToGrid w:val="0"/>
        </w:rPr>
      </w:pPr>
      <w:r>
        <w:rPr>
          <w:snapToGrid w:val="0"/>
        </w:rPr>
        <w:tab/>
        <w:t>(A)</w:t>
      </w:r>
      <w:r>
        <w:rPr>
          <w:snapToGrid w:val="0"/>
        </w:rPr>
        <w:tab/>
        <w:t>in the case of a first such offence, $250; and</w:t>
      </w:r>
    </w:p>
    <w:p>
      <w:pPr>
        <w:pStyle w:val="IndentI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keepNext/>
        <w:rPr>
          <w:snapToGrid w:val="0"/>
        </w:rPr>
      </w:pPr>
      <w:r>
        <w:rPr>
          <w:snapToGrid w:val="0"/>
        </w:rPr>
        <w:tab/>
        <w:t>(e)</w:t>
      </w:r>
      <w:r>
        <w:rPr>
          <w:snapToGrid w:val="0"/>
        </w:rPr>
        <w:tab/>
        <w:t>Part V of Schedule 5 is liable to —</w:t>
      </w:r>
    </w:p>
    <w:p>
      <w:pPr>
        <w:pStyle w:val="Indenti"/>
        <w:keepNext/>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 and</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 and</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spacing w:before="100"/>
        <w:rPr>
          <w:snapToGrid w:val="0"/>
        </w:rPr>
      </w:pPr>
      <w:r>
        <w:rPr>
          <w:snapToGrid w:val="0"/>
        </w:rPr>
        <w:tab/>
      </w:r>
      <w:r>
        <w:rPr>
          <w:snapToGrid w:val="0"/>
        </w:rPr>
        <w:tab/>
        <w:t>or</w:t>
      </w:r>
    </w:p>
    <w:p>
      <w:pPr>
        <w:pStyle w:val="Indenta"/>
        <w:keepNext/>
        <w:spacing w:before="100"/>
        <w:rPr>
          <w:snapToGrid w:val="0"/>
        </w:rPr>
      </w:pPr>
      <w:r>
        <w:rPr>
          <w:snapToGrid w:val="0"/>
        </w:rPr>
        <w:tab/>
        <w:t>(g)</w:t>
      </w:r>
      <w:r>
        <w:rPr>
          <w:snapToGrid w:val="0"/>
        </w:rPr>
        <w:tab/>
        <w:t>Part VII of Schedule 5 is liable to —</w:t>
      </w:r>
    </w:p>
    <w:p>
      <w:pPr>
        <w:pStyle w:val="Indenti"/>
        <w:keepNext/>
        <w:spacing w:before="100"/>
        <w:rPr>
          <w:snapToGrid w:val="0"/>
        </w:rPr>
      </w:pPr>
      <w:r>
        <w:rPr>
          <w:snapToGrid w:val="0"/>
        </w:rPr>
        <w:tab/>
        <w:t>(i)</w:t>
      </w:r>
      <w:r>
        <w:rPr>
          <w:snapToGrid w:val="0"/>
        </w:rPr>
        <w:tab/>
        <w:t>a penalty which is not more than $10 000 or imprisonment for a period of 12 months and not less than —</w:t>
      </w:r>
    </w:p>
    <w:p>
      <w:pPr>
        <w:pStyle w:val="IndentI0"/>
        <w:spacing w:before="100"/>
        <w:rPr>
          <w:snapToGrid w:val="0"/>
        </w:rPr>
      </w:pPr>
      <w:r>
        <w:rPr>
          <w:snapToGrid w:val="0"/>
        </w:rPr>
        <w:tab/>
        <w:t>(A)</w:t>
      </w:r>
      <w:r>
        <w:rPr>
          <w:snapToGrid w:val="0"/>
        </w:rPr>
        <w:tab/>
        <w:t>in the case of a first such offence, $1 000; and</w:t>
      </w:r>
    </w:p>
    <w:p>
      <w:pPr>
        <w:pStyle w:val="IndentI0"/>
        <w:spacing w:before="100"/>
        <w:rPr>
          <w:snapToGrid w:val="0"/>
        </w:rPr>
      </w:pPr>
      <w:r>
        <w:rPr>
          <w:snapToGrid w:val="0"/>
        </w:rPr>
        <w:tab/>
        <w:t>(B)</w:t>
      </w:r>
      <w:r>
        <w:rPr>
          <w:snapToGrid w:val="0"/>
        </w:rPr>
        <w:tab/>
        <w:t>in the case of a second such offence, $2 000; and</w:t>
      </w:r>
    </w:p>
    <w:p>
      <w:pPr>
        <w:pStyle w:val="IndentI0"/>
        <w:spacing w:before="100"/>
        <w:rPr>
          <w:snapToGrid w:val="0"/>
        </w:rPr>
      </w:pPr>
      <w:r>
        <w:rPr>
          <w:snapToGrid w:val="0"/>
        </w:rPr>
        <w:tab/>
        <w:t>(C)</w:t>
      </w:r>
      <w:r>
        <w:rPr>
          <w:snapToGrid w:val="0"/>
        </w:rPr>
        <w:tab/>
        <w:t>in the case of a third or subsequent such offence, $5 000;</w:t>
      </w:r>
    </w:p>
    <w:p>
      <w:pPr>
        <w:pStyle w:val="Indenti"/>
        <w:spacing w:before="100"/>
        <w:rPr>
          <w:snapToGrid w:val="0"/>
        </w:rPr>
      </w:pPr>
      <w:r>
        <w:rPr>
          <w:snapToGrid w:val="0"/>
        </w:rPr>
        <w:tab/>
      </w:r>
      <w:r>
        <w:rPr>
          <w:snapToGrid w:val="0"/>
        </w:rPr>
        <w:tab/>
        <w:t>and</w:t>
      </w:r>
    </w:p>
    <w:p>
      <w:pPr>
        <w:pStyle w:val="Indenti"/>
        <w:spacing w:before="10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100"/>
        <w:rPr>
          <w:snapToGrid w:val="0"/>
        </w:rPr>
      </w:pPr>
      <w:r>
        <w:rPr>
          <w:snapToGrid w:val="0"/>
        </w:rPr>
        <w:tab/>
        <w:t>(h)</w:t>
      </w:r>
      <w:r>
        <w:rPr>
          <w:snapToGrid w:val="0"/>
        </w:rPr>
        <w:tab/>
        <w:t>Part VIII of Schedule 5 is liable to —</w:t>
      </w:r>
    </w:p>
    <w:p>
      <w:pPr>
        <w:pStyle w:val="Indenti"/>
        <w:spacing w:before="100"/>
        <w:rPr>
          <w:snapToGrid w:val="0"/>
        </w:rPr>
      </w:pPr>
      <w:r>
        <w:rPr>
          <w:snapToGrid w:val="0"/>
        </w:rPr>
        <w:tab/>
        <w:t>(i)</w:t>
      </w:r>
      <w:r>
        <w:rPr>
          <w:snapToGrid w:val="0"/>
        </w:rPr>
        <w:tab/>
        <w:t>a penalty which is not more than $15 000; and</w:t>
      </w:r>
    </w:p>
    <w:p>
      <w:pPr>
        <w:pStyle w:val="Indenti"/>
        <w:spacing w:before="100"/>
        <w:rPr>
          <w:snapToGrid w:val="0"/>
        </w:rPr>
      </w:pPr>
      <w:r>
        <w:rPr>
          <w:snapToGrid w:val="0"/>
        </w:rPr>
        <w:tab/>
        <w:t>(ii)</w:t>
      </w:r>
      <w:r>
        <w:rPr>
          <w:snapToGrid w:val="0"/>
        </w:rPr>
        <w:tab/>
        <w:t>if that offence is a continuing offence, a daily penalty which is not more than $1 000.</w:t>
      </w:r>
    </w:p>
    <w:p>
      <w:pPr>
        <w:pStyle w:val="Subsection"/>
        <w:spacing w:before="200"/>
      </w:pPr>
      <w:r>
        <w:tab/>
        <w:t>(2)</w:t>
      </w:r>
      <w:r>
        <w:tab/>
        <w:t>Local laws and regulations made under this Act may create offences with —</w:t>
      </w:r>
    </w:p>
    <w:p>
      <w:pPr>
        <w:pStyle w:val="Indenta"/>
      </w:pPr>
      <w:r>
        <w:tab/>
        <w:t>(a)</w:t>
      </w:r>
      <w:r>
        <w:tab/>
        <w:t>a maximum penalty of not more than $10 000; and</w:t>
      </w:r>
    </w:p>
    <w:p>
      <w:pPr>
        <w:pStyle w:val="Indenta"/>
      </w:pPr>
      <w:r>
        <w:tab/>
        <w:t>(b)</w:t>
      </w:r>
      <w:r>
        <w:tab/>
        <w:t>if the offence is a continuing offence, a daily penalty of not more than $1 000.</w:t>
      </w:r>
    </w:p>
    <w:p>
      <w:pPr>
        <w:pStyle w:val="Subsection"/>
        <w:spacing w:before="200"/>
      </w:pPr>
      <w:r>
        <w:tab/>
        <w:t>(3)</w:t>
      </w:r>
      <w:r>
        <w:tab/>
        <w:t>For the purposes of subsection  (2) —</w:t>
      </w:r>
    </w:p>
    <w:p>
      <w:pPr>
        <w:pStyle w:val="Indenta"/>
      </w:pPr>
      <w:r>
        <w:tab/>
        <w:t>(a)</w:t>
      </w:r>
      <w:r>
        <w:tab/>
        <w:t>local laws and regulations may provide for the imposition of a minimum penalty for an offence; and</w:t>
      </w:r>
    </w:p>
    <w:p>
      <w:pPr>
        <w:pStyle w:val="Indenta"/>
      </w:pPr>
      <w:r>
        <w:tab/>
        <w:t>(b)</w:t>
      </w:r>
      <w:r>
        <w:tab/>
        <w:t>the level of the penalty for an offence (whether the maximum penalty or a minimum penalty) may be related to either or both of the following —</w:t>
      </w:r>
    </w:p>
    <w:p>
      <w:pPr>
        <w:pStyle w:val="Indenti"/>
      </w:pPr>
      <w:r>
        <w:tab/>
        <w:t>(i)</w:t>
      </w:r>
      <w:r>
        <w:tab/>
        <w:t>the circumstances or extent of the offence;</w:t>
      </w:r>
    </w:p>
    <w:p>
      <w:pPr>
        <w:pStyle w:val="Indenti"/>
      </w:pPr>
      <w:r>
        <w:tab/>
        <w:t>(ii)</w:t>
      </w:r>
      <w:r>
        <w:tab/>
        <w:t>whether the offender has committed previous offences and, if so, the number of previous offences that the offender has committed.</w:t>
      </w:r>
    </w:p>
    <w:p>
      <w:pPr>
        <w:pStyle w:val="Footnotesection"/>
        <w:keepLines w:val="0"/>
      </w:pPr>
      <w:r>
        <w:tab/>
        <w:t>[Section 360 inserted: No. 80 of 1987 s. 170; amended: No. 59 of 1991 s. 18 and 26; No. 78 of 1995 s. 147; No. 14 of 1996 s. 4; No. 57 of 1997 s. 68(2); No. 62 of 1998 s. 6; No. 50 of 2003 s. 71(2); No. 43 of 2008 s. 147(16); No. 13 of 2014 s. 157; No. 19 of 2016 s. 90.]</w:t>
      </w:r>
    </w:p>
    <w:p>
      <w:pPr>
        <w:pStyle w:val="Heading5"/>
        <w:spacing w:before="260"/>
        <w:rPr>
          <w:snapToGrid w:val="0"/>
        </w:rPr>
      </w:pPr>
      <w:bookmarkStart w:id="796" w:name="_Toc225766006"/>
      <w:bookmarkStart w:id="797" w:name="_Toc209710931"/>
      <w:r>
        <w:rPr>
          <w:rStyle w:val="CharSectno"/>
        </w:rPr>
        <w:t>361</w:t>
      </w:r>
      <w:r>
        <w:rPr>
          <w:snapToGrid w:val="0"/>
        </w:rPr>
        <w:t>.</w:t>
      </w:r>
      <w:r>
        <w:rPr>
          <w:snapToGrid w:val="0"/>
        </w:rPr>
        <w:tab/>
        <w:t>General penalty</w:t>
      </w:r>
      <w:bookmarkEnd w:id="796"/>
      <w:bookmarkEnd w:id="797"/>
    </w:p>
    <w:p>
      <w:pPr>
        <w:pStyle w:val="Subsection"/>
        <w:spacing w:before="200"/>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No. 59 of 1991 s. 27; amended: No. 14 of 1996 s. 4.]</w:t>
      </w:r>
    </w:p>
    <w:p>
      <w:pPr>
        <w:pStyle w:val="Ednotesection"/>
      </w:pPr>
      <w:r>
        <w:t>[</w:t>
      </w:r>
      <w:r>
        <w:rPr>
          <w:b/>
        </w:rPr>
        <w:t>361A.</w:t>
      </w:r>
      <w:r>
        <w:tab/>
        <w:t>Deleted: No. 35 of 1966 s. 10.]</w:t>
      </w:r>
    </w:p>
    <w:p>
      <w:pPr>
        <w:pStyle w:val="Heading5"/>
        <w:rPr>
          <w:snapToGrid w:val="0"/>
        </w:rPr>
      </w:pPr>
      <w:bookmarkStart w:id="798" w:name="_Toc225766007"/>
      <w:bookmarkStart w:id="799" w:name="_Toc209710932"/>
      <w:r>
        <w:rPr>
          <w:rStyle w:val="CharSectno"/>
        </w:rPr>
        <w:t>362</w:t>
      </w:r>
      <w:r>
        <w:rPr>
          <w:snapToGrid w:val="0"/>
        </w:rPr>
        <w:t>.</w:t>
      </w:r>
      <w:r>
        <w:rPr>
          <w:snapToGrid w:val="0"/>
        </w:rPr>
        <w:tab/>
        <w:t>Proceedings for offence</w:t>
      </w:r>
      <w:bookmarkEnd w:id="798"/>
      <w:bookmarkEnd w:id="799"/>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xml:space="preserve">, the </w:t>
      </w:r>
      <w:r>
        <w:t xml:space="preserve">Chief Health Officer </w:t>
      </w:r>
      <w:r>
        <w:rPr>
          <w:snapToGrid w:val="0"/>
        </w:rPr>
        <w:t>or the local government of the district in which the offence is committed, or an officer of the local government, or a member of the police force, without the consent in writing of the Attorney General.</w:t>
      </w:r>
    </w:p>
    <w:p>
      <w:pPr>
        <w:pStyle w:val="Footnotesection"/>
      </w:pPr>
      <w:r>
        <w:tab/>
        <w:t>[Section 362, formerly section 286, renumbered as section 362: No. 38 of 1933 s. 42; amended: No. 28 of 1984 s. 38; No. 80 of 1987 s. 171; No. 14 of 1996 s. 4; No. 59 of 2004 s. 141; No. 28 of 2006 s. 251; No. 19 of 2016 s. 91.]</w:t>
      </w:r>
    </w:p>
    <w:p>
      <w:pPr>
        <w:pStyle w:val="Ednotesection"/>
        <w:ind w:left="890" w:hanging="890"/>
      </w:pPr>
      <w:r>
        <w:t>[</w:t>
      </w:r>
      <w:r>
        <w:rPr>
          <w:b/>
        </w:rPr>
        <w:t>363.</w:t>
      </w:r>
      <w:r>
        <w:t xml:space="preserve"> </w:t>
      </w:r>
      <w:r>
        <w:tab/>
        <w:t>Deleted: No. 59 of 2004 s. 141.]</w:t>
      </w:r>
    </w:p>
    <w:p>
      <w:pPr>
        <w:pStyle w:val="Ednotesection"/>
        <w:ind w:left="890" w:hanging="890"/>
      </w:pPr>
      <w:r>
        <w:t>[</w:t>
      </w:r>
      <w:r>
        <w:rPr>
          <w:b/>
        </w:rPr>
        <w:t>364.</w:t>
      </w:r>
      <w:r>
        <w:tab/>
        <w:t>Deleted: No. 35 of 1935 s. 48A (as amended: No. 73 of 1954 s. 8).]</w:t>
      </w:r>
    </w:p>
    <w:p>
      <w:pPr>
        <w:pStyle w:val="Heading5"/>
        <w:rPr>
          <w:snapToGrid w:val="0"/>
        </w:rPr>
      </w:pPr>
      <w:bookmarkStart w:id="800" w:name="_Toc225766008"/>
      <w:bookmarkStart w:id="801" w:name="_Toc209710933"/>
      <w:r>
        <w:rPr>
          <w:rStyle w:val="CharSectno"/>
        </w:rPr>
        <w:t>365</w:t>
      </w:r>
      <w:r>
        <w:rPr>
          <w:snapToGrid w:val="0"/>
        </w:rPr>
        <w:t>.</w:t>
      </w:r>
      <w:r>
        <w:rPr>
          <w:snapToGrid w:val="0"/>
        </w:rPr>
        <w:tab/>
        <w:t>Protection against personal liability</w:t>
      </w:r>
      <w:bookmarkEnd w:id="800"/>
      <w:bookmarkEnd w:id="801"/>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xml:space="preserve">, the </w:t>
      </w:r>
      <w:r>
        <w:t xml:space="preserve">Chief Health Officer </w:t>
      </w:r>
      <w:r>
        <w:rPr>
          <w:snapToGrid w:val="0"/>
        </w:rPr>
        <w:t>or the local government, and no matter or thing done by any officer or other person acting under the direction of the</w:t>
      </w:r>
      <w:r>
        <w:t xml:space="preserve"> CEO</w:t>
      </w:r>
      <w:r>
        <w:rPr>
          <w:snapToGrid w:val="0"/>
        </w:rPr>
        <w:t xml:space="preserve">, the </w:t>
      </w:r>
      <w:r>
        <w:t xml:space="preserve">Chief Health Officer </w:t>
      </w:r>
      <w:r>
        <w:rPr>
          <w:snapToGrid w:val="0"/>
        </w:rPr>
        <w:t xml:space="preserve">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xml:space="preserve">, the </w:t>
      </w:r>
      <w:r>
        <w:t xml:space="preserve">Chief Health Officer </w:t>
      </w:r>
      <w:r>
        <w:rPr>
          <w:snapToGrid w:val="0"/>
        </w:rPr>
        <w:t>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formerly section 289, renumbered as section 365: No. 38 of 1933 s. 42; amended: No. 28 of 1984 s. 39; No. 14 of 1996 s. 4; No. 28 of 2006 s. 251; No. 19 of 2016 s. 92.]</w:t>
      </w:r>
    </w:p>
    <w:p>
      <w:pPr>
        <w:pStyle w:val="Heading5"/>
        <w:rPr>
          <w:snapToGrid w:val="0"/>
        </w:rPr>
      </w:pPr>
      <w:bookmarkStart w:id="802" w:name="_Toc225766009"/>
      <w:bookmarkStart w:id="803" w:name="_Toc209710934"/>
      <w:r>
        <w:rPr>
          <w:rStyle w:val="CharSectno"/>
        </w:rPr>
        <w:t>366</w:t>
      </w:r>
      <w:r>
        <w:rPr>
          <w:snapToGrid w:val="0"/>
        </w:rPr>
        <w:t>.</w:t>
      </w:r>
      <w:r>
        <w:rPr>
          <w:snapToGrid w:val="0"/>
        </w:rPr>
        <w:tab/>
        <w:t>No officer to be concerned in contract</w:t>
      </w:r>
      <w:bookmarkEnd w:id="802"/>
      <w:bookmarkEnd w:id="803"/>
    </w:p>
    <w:p>
      <w:pPr>
        <w:pStyle w:val="Subsection"/>
        <w:spacing w:before="180"/>
        <w:rPr>
          <w:snapToGrid w:val="0"/>
        </w:rPr>
      </w:pPr>
      <w:r>
        <w:rPr>
          <w:snapToGrid w:val="0"/>
        </w:rPr>
        <w:tab/>
        <w:t>(1)</w:t>
      </w:r>
      <w:r>
        <w:rPr>
          <w:snapToGrid w:val="0"/>
        </w:rPr>
        <w:tab/>
      </w:r>
      <w:r>
        <w:t xml:space="preserve">No CEO or Chief Health Officer, </w:t>
      </w:r>
      <w:r>
        <w:rPr>
          <w:snapToGrid w:val="0"/>
        </w:rPr>
        <w:t>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spacing w:before="180"/>
        <w:rPr>
          <w:snapToGrid w:val="0"/>
        </w:rPr>
      </w:pPr>
      <w:r>
        <w:rPr>
          <w:snapToGrid w:val="0"/>
        </w:rPr>
        <w:tab/>
      </w:r>
      <w:r>
        <w:rPr>
          <w:snapToGrid w:val="0"/>
        </w:rPr>
        <w:tab/>
        <w:t xml:space="preserve">But this subsection shall not apply to any such bargain or contract entered into by a member of the council of a local government as </w:t>
      </w:r>
      <w:r>
        <w:t xml:space="preserve">he or she, </w:t>
      </w:r>
      <w:r>
        <w:rPr>
          <w:snapToGrid w:val="0"/>
        </w:rPr>
        <w:t>while being such member, could lawfully enter into.</w:t>
      </w:r>
    </w:p>
    <w:p>
      <w:pPr>
        <w:pStyle w:val="Subsection"/>
        <w:spacing w:before="180"/>
        <w:rPr>
          <w:snapToGrid w:val="0"/>
        </w:rPr>
      </w:pPr>
      <w:r>
        <w:rPr>
          <w:snapToGrid w:val="0"/>
        </w:rPr>
        <w:tab/>
        <w:t>(2)</w:t>
      </w:r>
      <w:r>
        <w:rPr>
          <w:snapToGrid w:val="0"/>
        </w:rPr>
        <w:tab/>
        <w:t xml:space="preserve">If </w:t>
      </w:r>
      <w:r>
        <w:t>the CEO, the Chief Health Officer or any member or person is concerned or interested in the circumstances referred to in subsection (1), or if the CEO, the Chief Health Officer or any member</w:t>
      </w:r>
      <w:r>
        <w:rPr>
          <w:snapToGrid w:val="0"/>
        </w:rPr>
        <w:t xml:space="preserve"> or person, under colour of his</w:t>
      </w:r>
      <w:r>
        <w:t xml:space="preserve"> or her</w:t>
      </w:r>
      <w:r>
        <w:rPr>
          <w:snapToGrid w:val="0"/>
        </w:rPr>
        <w:t xml:space="preserve"> office or employment, exacts, takes, or accepts any fee or reward whatsoever, other than his</w:t>
      </w:r>
      <w:r>
        <w:t xml:space="preserve"> or her</w:t>
      </w:r>
      <w:r>
        <w:rPr>
          <w:snapToGrid w:val="0"/>
        </w:rPr>
        <w:t xml:space="preserve"> proper salary, wages, remuneration, and allowances, he</w:t>
      </w:r>
      <w:r>
        <w:t xml:space="preserve"> or she</w:t>
      </w:r>
      <w:r>
        <w:rPr>
          <w:snapToGrid w:val="0"/>
        </w:rPr>
        <w:t xml:space="preserve"> shall be incapable of afterwards holding or continuing in any office or employment under this Act, and commits an offence.</w:t>
      </w:r>
    </w:p>
    <w:p>
      <w:pPr>
        <w:pStyle w:val="Footnotesection"/>
        <w:ind w:left="890" w:hanging="890"/>
      </w:pPr>
      <w:r>
        <w:tab/>
        <w:t>[Section 366, formerly section 290, renumbered as section 366: No. 38 of 1933 s. 42; amended: No. 113 of 1965 s. 8(1); No. 28 of 1984 s. 40; No. 80 of 1987 s. 173; No. 14 of 1996 s. 4; No. 28 of 2006 s. 251; No. 19 of 2016 s. 93.]</w:t>
      </w:r>
    </w:p>
    <w:p>
      <w:pPr>
        <w:pStyle w:val="Heading5"/>
        <w:spacing w:before="240"/>
        <w:rPr>
          <w:snapToGrid w:val="0"/>
        </w:rPr>
      </w:pPr>
      <w:bookmarkStart w:id="804" w:name="_Toc225766010"/>
      <w:bookmarkStart w:id="805" w:name="_Toc209710935"/>
      <w:r>
        <w:rPr>
          <w:rStyle w:val="CharSectno"/>
        </w:rPr>
        <w:t>367</w:t>
      </w:r>
      <w:r>
        <w:rPr>
          <w:snapToGrid w:val="0"/>
        </w:rPr>
        <w:t>.</w:t>
      </w:r>
      <w:r>
        <w:rPr>
          <w:snapToGrid w:val="0"/>
        </w:rPr>
        <w:tab/>
        <w:t>Recovery of expenses from local government</w:t>
      </w:r>
      <w:bookmarkEnd w:id="804"/>
      <w:bookmarkEnd w:id="805"/>
    </w:p>
    <w:p>
      <w:pPr>
        <w:pStyle w:val="Subsection"/>
        <w:spacing w:before="180"/>
        <w:rPr>
          <w:snapToGrid w:val="0"/>
        </w:rPr>
      </w:pPr>
      <w:r>
        <w:rPr>
          <w:snapToGrid w:val="0"/>
        </w:rPr>
        <w:tab/>
        <w:t>(1)</w:t>
      </w:r>
      <w:r>
        <w:rPr>
          <w:snapToGrid w:val="0"/>
        </w:rPr>
        <w:tab/>
        <w:t xml:space="preserve">All expenses incurred by the </w:t>
      </w:r>
      <w:r>
        <w:t>Chief Health Officer</w:t>
      </w:r>
      <w:r>
        <w:rPr>
          <w:snapToGrid w:val="0"/>
        </w:rPr>
        <w:t xml:space="preserve"> on behalf of a local government, or for which a local government is liable under this Act, shall be recoverable as a debt due to the Crown.</w:t>
      </w:r>
    </w:p>
    <w:p>
      <w:pPr>
        <w:pStyle w:val="Subsection"/>
        <w:spacing w:before="18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ind w:left="890" w:hanging="890"/>
      </w:pPr>
      <w:r>
        <w:tab/>
        <w:t>[Section 367, formerly section 291, renumbered as section 367: No. 38 of 1933 s. 42; amended: No. 28 of 1984 s. 45; No. 14 of 1996 s. 4; No. 19 of 2016 s. 100.]</w:t>
      </w:r>
    </w:p>
    <w:p>
      <w:pPr>
        <w:pStyle w:val="Heading5"/>
        <w:spacing w:before="180"/>
        <w:rPr>
          <w:snapToGrid w:val="0"/>
        </w:rPr>
      </w:pPr>
      <w:bookmarkStart w:id="806" w:name="_Toc225766011"/>
      <w:bookmarkStart w:id="807" w:name="_Toc209710936"/>
      <w:r>
        <w:rPr>
          <w:rStyle w:val="CharSectno"/>
        </w:rPr>
        <w:t>368</w:t>
      </w:r>
      <w:r>
        <w:rPr>
          <w:snapToGrid w:val="0"/>
        </w:rPr>
        <w:t>.</w:t>
      </w:r>
      <w:r>
        <w:rPr>
          <w:snapToGrid w:val="0"/>
        </w:rPr>
        <w:tab/>
        <w:t>Contribution</w:t>
      </w:r>
      <w:bookmarkEnd w:id="806"/>
      <w:bookmarkEnd w:id="807"/>
    </w:p>
    <w:p>
      <w:pPr>
        <w:pStyle w:val="Subsection"/>
        <w:spacing w:before="12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Footnotesection"/>
      </w:pPr>
      <w:r>
        <w:tab/>
        <w:t>[Section 368, formerly section 292, renumbered as section 368: No. 38 of 1933 s. 42.]</w:t>
      </w:r>
    </w:p>
    <w:p>
      <w:pPr>
        <w:pStyle w:val="Heading5"/>
        <w:spacing w:before="180"/>
        <w:rPr>
          <w:snapToGrid w:val="0"/>
        </w:rPr>
      </w:pPr>
      <w:bookmarkStart w:id="808" w:name="_Toc225766012"/>
      <w:bookmarkStart w:id="809" w:name="_Toc209710937"/>
      <w:r>
        <w:rPr>
          <w:rStyle w:val="CharSectno"/>
        </w:rPr>
        <w:t>369</w:t>
      </w:r>
      <w:r>
        <w:rPr>
          <w:snapToGrid w:val="0"/>
        </w:rPr>
        <w:t>.</w:t>
      </w:r>
      <w:r>
        <w:rPr>
          <w:snapToGrid w:val="0"/>
        </w:rPr>
        <w:tab/>
        <w:t>Liability of owner and occupier under requisition or order</w:t>
      </w:r>
      <w:bookmarkEnd w:id="808"/>
      <w:bookmarkEnd w:id="809"/>
    </w:p>
    <w:p>
      <w:pPr>
        <w:pStyle w:val="Subsection"/>
        <w:keepNext/>
        <w:keepLines/>
        <w:spacing w:before="12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xml:space="preserve">, the </w:t>
      </w:r>
      <w:r>
        <w:t>Chief Health Officer</w:t>
      </w:r>
      <w:r>
        <w:rPr>
          <w:snapToGrid w:val="0"/>
        </w:rPr>
        <w:t xml:space="preserve"> or a local government in connection with any such work;</w:t>
      </w:r>
    </w:p>
    <w:p>
      <w:pPr>
        <w:pStyle w:val="Subsection"/>
        <w:spacing w:before="12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formerly section 293, renumbered as section 369: No. 38 of 1933 s. 42; amended: No. 28 of 1984 s. 41; No. 14 of 1996 s. 4; No. 28 of 2006 s. 251; No. 19 of 2016 s. 100.]</w:t>
      </w:r>
    </w:p>
    <w:p>
      <w:pPr>
        <w:pStyle w:val="Heading5"/>
        <w:spacing w:before="180"/>
        <w:rPr>
          <w:snapToGrid w:val="0"/>
        </w:rPr>
      </w:pPr>
      <w:bookmarkStart w:id="810" w:name="_Toc225766013"/>
      <w:bookmarkStart w:id="811" w:name="_Toc209710938"/>
      <w:r>
        <w:rPr>
          <w:rStyle w:val="CharSectno"/>
        </w:rPr>
        <w:t>370</w:t>
      </w:r>
      <w:r>
        <w:rPr>
          <w:snapToGrid w:val="0"/>
        </w:rPr>
        <w:t>.</w:t>
      </w:r>
      <w:r>
        <w:rPr>
          <w:snapToGrid w:val="0"/>
        </w:rPr>
        <w:tab/>
        <w:t>Penalty if owner or occupier hinders the other</w:t>
      </w:r>
      <w:bookmarkEnd w:id="810"/>
      <w:bookmarkEnd w:id="811"/>
    </w:p>
    <w:p>
      <w:pPr>
        <w:pStyle w:val="Subsection"/>
        <w:spacing w:before="120"/>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formerly section 294, renumbered as section 370: No. 38 of 1933 s. 42; amended: No. 113 of 1965 s. 8(1); No. 80 of 1987 s. 174.]</w:t>
      </w:r>
    </w:p>
    <w:p>
      <w:pPr>
        <w:pStyle w:val="Heading5"/>
        <w:spacing w:before="180"/>
        <w:rPr>
          <w:snapToGrid w:val="0"/>
        </w:rPr>
      </w:pPr>
      <w:bookmarkStart w:id="812" w:name="_Toc225766014"/>
      <w:bookmarkStart w:id="813" w:name="_Toc209710939"/>
      <w:r>
        <w:rPr>
          <w:rStyle w:val="CharSectno"/>
        </w:rPr>
        <w:t>371</w:t>
      </w:r>
      <w:r>
        <w:rPr>
          <w:snapToGrid w:val="0"/>
        </w:rPr>
        <w:t>.</w:t>
      </w:r>
      <w:r>
        <w:rPr>
          <w:snapToGrid w:val="0"/>
        </w:rPr>
        <w:tab/>
        <w:t>Money owing to local government to be charge against land in certain cases</w:t>
      </w:r>
      <w:bookmarkEnd w:id="812"/>
      <w:bookmarkEnd w:id="813"/>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ind w:left="890" w:hanging="890"/>
      </w:pPr>
      <w:r>
        <w:tab/>
        <w:t>[Section 371, inserted as section 322A: No. 30 of 1932 s. 45; renumbered as section 371: No. 38 of 1933 s. 42; amended: No. 14 of 1996 s. 4.]</w:t>
      </w:r>
    </w:p>
    <w:p>
      <w:pPr>
        <w:pStyle w:val="Heading5"/>
        <w:spacing w:before="240"/>
        <w:rPr>
          <w:snapToGrid w:val="0"/>
        </w:rPr>
      </w:pPr>
      <w:bookmarkStart w:id="814" w:name="_Toc225766015"/>
      <w:bookmarkStart w:id="815" w:name="_Toc209710940"/>
      <w:r>
        <w:rPr>
          <w:rStyle w:val="CharSectno"/>
        </w:rPr>
        <w:t>372</w:t>
      </w:r>
      <w:r>
        <w:rPr>
          <w:snapToGrid w:val="0"/>
        </w:rPr>
        <w:t>.</w:t>
      </w:r>
      <w:r>
        <w:rPr>
          <w:snapToGrid w:val="0"/>
        </w:rPr>
        <w:tab/>
        <w:t>Provisions as to charge on land or premises</w:t>
      </w:r>
      <w:bookmarkEnd w:id="814"/>
      <w:bookmarkEnd w:id="815"/>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keepLines w:val="0"/>
        <w:ind w:left="890" w:hanging="890"/>
      </w:pPr>
      <w:r>
        <w:tab/>
        <w:t>[Section 372, formerly section 295, amended: No. 17 of 1918 s. 52; No. 30 of 1932 s. 46; renumbered as section 372: No. 38 of 1933 s. 42; amended: No. 28 of 1984 s. 42; No. 14 of 1996 s. 4; No. 81 of 1996 s. 153(2); No. 57 of 1997 s. 68(3); No. 59 of 2004 s. 141; No. 28 of 2006 s. 251; No. 60 of 2006 s. 135(2).]</w:t>
      </w:r>
    </w:p>
    <w:p>
      <w:pPr>
        <w:pStyle w:val="Heading5"/>
        <w:spacing w:before="240"/>
        <w:rPr>
          <w:snapToGrid w:val="0"/>
        </w:rPr>
      </w:pPr>
      <w:bookmarkStart w:id="816" w:name="_Toc225766016"/>
      <w:bookmarkStart w:id="817" w:name="_Toc209710941"/>
      <w:r>
        <w:rPr>
          <w:rStyle w:val="CharSectno"/>
        </w:rPr>
        <w:t>373</w:t>
      </w:r>
      <w:r>
        <w:rPr>
          <w:snapToGrid w:val="0"/>
        </w:rPr>
        <w:t>.</w:t>
      </w:r>
      <w:r>
        <w:rPr>
          <w:snapToGrid w:val="0"/>
        </w:rPr>
        <w:tab/>
        <w:t>References to owner and occupier</w:t>
      </w:r>
      <w:bookmarkEnd w:id="816"/>
      <w:bookmarkEnd w:id="817"/>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ind w:left="890" w:hanging="890"/>
      </w:pPr>
      <w:r>
        <w:tab/>
        <w:t>[Section 373, formerly section 296, renumbered as section 373: No. 38 of 1933 s. 42; amended: No. 14 of 1996 s. 4.]</w:t>
      </w:r>
    </w:p>
    <w:p>
      <w:pPr>
        <w:pStyle w:val="Heading5"/>
        <w:spacing w:before="240"/>
        <w:rPr>
          <w:snapToGrid w:val="0"/>
        </w:rPr>
      </w:pPr>
      <w:bookmarkStart w:id="818" w:name="_Toc225766017"/>
      <w:bookmarkStart w:id="819" w:name="_Toc209710942"/>
      <w:r>
        <w:rPr>
          <w:rStyle w:val="CharSectno"/>
        </w:rPr>
        <w:t>374</w:t>
      </w:r>
      <w:r>
        <w:rPr>
          <w:snapToGrid w:val="0"/>
        </w:rPr>
        <w:t>.</w:t>
      </w:r>
      <w:r>
        <w:rPr>
          <w:snapToGrid w:val="0"/>
        </w:rPr>
        <w:tab/>
        <w:t>Appearance of local governments in legal proceedings</w:t>
      </w:r>
      <w:bookmarkEnd w:id="818"/>
      <w:bookmarkEnd w:id="819"/>
    </w:p>
    <w:p>
      <w:pPr>
        <w:pStyle w:val="Subsection"/>
        <w:spacing w:before="200"/>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ind w:left="890" w:hanging="890"/>
      </w:pPr>
      <w:r>
        <w:tab/>
        <w:t>[Section 374, formerly section 297, renumbered as section 374: No. 38 of 1933 s. 42; amended: No. 14 of 1996 s. 4.]</w:t>
      </w:r>
    </w:p>
    <w:p>
      <w:pPr>
        <w:pStyle w:val="Heading5"/>
        <w:rPr>
          <w:snapToGrid w:val="0"/>
        </w:rPr>
      </w:pPr>
      <w:bookmarkStart w:id="820" w:name="_Toc225766018"/>
      <w:bookmarkStart w:id="821" w:name="_Toc209710943"/>
      <w:r>
        <w:rPr>
          <w:rStyle w:val="CharSectno"/>
        </w:rPr>
        <w:t>375</w:t>
      </w:r>
      <w:r>
        <w:rPr>
          <w:snapToGrid w:val="0"/>
        </w:rPr>
        <w:t>.</w:t>
      </w:r>
      <w:r>
        <w:rPr>
          <w:snapToGrid w:val="0"/>
        </w:rPr>
        <w:tab/>
        <w:t>Power to inspect register of births and deaths</w:t>
      </w:r>
      <w:bookmarkEnd w:id="820"/>
      <w:bookmarkEnd w:id="821"/>
    </w:p>
    <w:p>
      <w:pPr>
        <w:pStyle w:val="Subsection"/>
        <w:keepNext/>
        <w:rPr>
          <w:snapToGrid w:val="0"/>
        </w:rPr>
      </w:pPr>
      <w:r>
        <w:rPr>
          <w:snapToGrid w:val="0"/>
        </w:rPr>
        <w:tab/>
      </w:r>
      <w:r>
        <w:rPr>
          <w:snapToGrid w:val="0"/>
        </w:rPr>
        <w:tab/>
        <w:t xml:space="preserve">Any </w:t>
      </w:r>
      <w:r>
        <w:t>authorised officer</w:t>
      </w:r>
      <w:r>
        <w:rPr>
          <w:snapToGrid w:val="0"/>
        </w:rPr>
        <w:t xml:space="preserve">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
          <w:iCs/>
        </w:rPr>
        <w:t>1997</w:t>
      </w:r>
      <w:r>
        <w:rPr>
          <w:iCs/>
        </w:rPr>
        <w:t>,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ind w:left="890" w:hanging="890"/>
      </w:pPr>
      <w:r>
        <w:tab/>
        <w:t>[Section 375, formerly section 298, renumbered as section 375: No. 38 of 1933 s. 42; amended: No. 14 of 1996 s. 4; No. 81 of 1996 s. 153(2); No. 60 of 2006 s. 135(3); No. 19 of 2016 s. 99.]</w:t>
      </w:r>
    </w:p>
    <w:p>
      <w:pPr>
        <w:pStyle w:val="Heading5"/>
        <w:rPr>
          <w:snapToGrid w:val="0"/>
        </w:rPr>
      </w:pPr>
      <w:bookmarkStart w:id="822" w:name="_Toc225766019"/>
      <w:bookmarkStart w:id="823" w:name="_Toc209710944"/>
      <w:r>
        <w:rPr>
          <w:rStyle w:val="CharSectno"/>
        </w:rPr>
        <w:t>376</w:t>
      </w:r>
      <w:r>
        <w:rPr>
          <w:snapToGrid w:val="0"/>
        </w:rPr>
        <w:t>.</w:t>
      </w:r>
      <w:r>
        <w:rPr>
          <w:snapToGrid w:val="0"/>
        </w:rPr>
        <w:tab/>
        <w:t>Authentication of documents</w:t>
      </w:r>
      <w:bookmarkEnd w:id="822"/>
      <w:bookmarkEnd w:id="823"/>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xml:space="preserve">, the </w:t>
      </w:r>
      <w:r>
        <w:t>Chief Health Officer</w:t>
      </w:r>
      <w:r>
        <w:rPr>
          <w:snapToGrid w:val="0"/>
        </w:rPr>
        <w:t xml:space="preserve"> or by any local government shall (unless otherwise provided) be sufficiently authenticated if appearing to be signed by an officer of the Department authorised for that purpose by the</w:t>
      </w:r>
      <w:r>
        <w:t xml:space="preserve"> CEO or the Chief Health Officer, </w:t>
      </w:r>
      <w:r>
        <w:rPr>
          <w:snapToGrid w:val="0"/>
        </w:rPr>
        <w:t>or by any member or officer of the local government.</w:t>
      </w:r>
    </w:p>
    <w:p>
      <w:pPr>
        <w:pStyle w:val="Footnotesection"/>
        <w:ind w:left="890" w:hanging="890"/>
      </w:pPr>
      <w:r>
        <w:tab/>
        <w:t>[Section 376, formerly section 299, amended: No. 17 of 1918 s. 52; renumbered as section 376: No. 38 of 1933 s. 42; amended: No. 28 of 1984 s. 43; No. 14 of 1996 s. 4; No. 28 of 2006 s. 251; No. 19 of 2016 s. 94.]</w:t>
      </w:r>
    </w:p>
    <w:p>
      <w:pPr>
        <w:pStyle w:val="Heading5"/>
        <w:rPr>
          <w:snapToGrid w:val="0"/>
        </w:rPr>
      </w:pPr>
      <w:bookmarkStart w:id="824" w:name="_Toc225766020"/>
      <w:bookmarkStart w:id="825" w:name="_Toc209710945"/>
      <w:r>
        <w:rPr>
          <w:rStyle w:val="CharSectno"/>
        </w:rPr>
        <w:t>377</w:t>
      </w:r>
      <w:r>
        <w:rPr>
          <w:snapToGrid w:val="0"/>
        </w:rPr>
        <w:t>.</w:t>
      </w:r>
      <w:r>
        <w:rPr>
          <w:snapToGrid w:val="0"/>
        </w:rPr>
        <w:tab/>
        <w:t>Evidence</w:t>
      </w:r>
      <w:bookmarkEnd w:id="824"/>
      <w:bookmarkEnd w:id="825"/>
    </w:p>
    <w:p>
      <w:pPr>
        <w:pStyle w:val="Subsection"/>
        <w:keepNext/>
        <w:keepLines/>
        <w:spacing w:before="180"/>
        <w:rPr>
          <w:snapToGrid w:val="0"/>
        </w:rPr>
      </w:pPr>
      <w:r>
        <w:rPr>
          <w:snapToGrid w:val="0"/>
        </w:rPr>
        <w:tab/>
      </w:r>
      <w:r>
        <w:rPr>
          <w:snapToGrid w:val="0"/>
        </w:rPr>
        <w:tab/>
        <w:t>In any prosecution or other legal proceeding under this Act or any regulation or local law —</w:t>
      </w:r>
    </w:p>
    <w:p>
      <w:pPr>
        <w:pStyle w:val="Indenta"/>
        <w:spacing w:before="100"/>
        <w:rPr>
          <w:snapToGrid w:val="0"/>
        </w:rPr>
      </w:pPr>
      <w:r>
        <w:rPr>
          <w:snapToGrid w:val="0"/>
        </w:rPr>
        <w:tab/>
        <w:t>(1)</w:t>
      </w:r>
      <w:r>
        <w:rPr>
          <w:snapToGrid w:val="0"/>
        </w:rPr>
        <w:tab/>
        <w:t>the signature of the</w:t>
      </w:r>
      <w:r>
        <w:t xml:space="preserve"> CEO</w:t>
      </w:r>
      <w:r>
        <w:rPr>
          <w:snapToGrid w:val="0"/>
        </w:rPr>
        <w:t xml:space="preserve">, the </w:t>
      </w:r>
      <w:r>
        <w:t xml:space="preserve">Chief Health Officer, </w:t>
      </w:r>
      <w:r>
        <w:rPr>
          <w:snapToGrid w:val="0"/>
        </w:rPr>
        <w:t xml:space="preserve">an officer of the Department authorised for that purpose by the </w:t>
      </w:r>
      <w:r>
        <w:t xml:space="preserve">CEO </w:t>
      </w:r>
      <w:r>
        <w:rPr>
          <w:snapToGrid w:val="0"/>
        </w:rPr>
        <w:t>and of the chief executive officer of the local government shall be judicially noticed;</w:t>
      </w:r>
    </w:p>
    <w:p>
      <w:pPr>
        <w:pStyle w:val="Indenta"/>
        <w:spacing w:before="10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xml:space="preserve">, the </w:t>
      </w:r>
      <w:r>
        <w:t xml:space="preserve">Chief Health Officer </w:t>
      </w:r>
      <w:r>
        <w:rPr>
          <w:snapToGrid w:val="0"/>
        </w:rPr>
        <w:t>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0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0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00"/>
        <w:rPr>
          <w:snapToGrid w:val="0"/>
        </w:rPr>
      </w:pPr>
      <w:r>
        <w:rPr>
          <w:snapToGrid w:val="0"/>
        </w:rPr>
        <w:tab/>
        <w:t>(4)</w:t>
      </w:r>
      <w:r>
        <w:rPr>
          <w:snapToGrid w:val="0"/>
        </w:rPr>
        <w:tab/>
        <w:t xml:space="preserve">no proof shall be required of the particular or general appointment or qualification of any </w:t>
      </w:r>
      <w:r>
        <w:t>authorised officer</w:t>
      </w:r>
      <w:r>
        <w:rPr>
          <w:snapToGrid w:val="0"/>
        </w:rPr>
        <w:t xml:space="preserve"> or any officer of a local government;</w:t>
      </w:r>
    </w:p>
    <w:p>
      <w:pPr>
        <w:pStyle w:val="Ednotepara"/>
        <w:keepNext/>
        <w:spacing w:before="100"/>
        <w:ind w:left="1610" w:hanging="1610"/>
        <w:rPr>
          <w:snapToGrid w:val="0"/>
        </w:rPr>
      </w:pPr>
      <w:r>
        <w:tab/>
        <w:t>[(5)</w:t>
      </w:r>
      <w:r>
        <w:tab/>
        <w:t>deleted]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Ednotepara"/>
        <w:keepNext/>
        <w:spacing w:before="100"/>
        <w:ind w:left="1610" w:hanging="1610"/>
      </w:pPr>
      <w:r>
        <w:tab/>
        <w:t>[(10)</w:t>
      </w:r>
      <w:r>
        <w:tab/>
      </w:r>
      <w:r>
        <w:tab/>
        <w:t>deleted]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after="120"/>
        <w:ind w:left="890" w:hanging="890"/>
      </w:pPr>
      <w:r>
        <w:tab/>
        <w:t>[Section 377, formerly section 300, amended: No. 28 of 1912 s. 10; No. 17 of 1918 s. 51 and 52; No. 30 of 1932 s. 47; renumbered as section 377: No. 38 of 1933 s. 42; amended: No. 21 of 1944 s. 14; No. 28 of 1984 s. 44; No. 80 of 1987 s. 175; No. 14 of 1996 s. 4; No. 57 of 1997 s. 68(3); No. 59 of 2004 s. 141; No. 84 of 2004 s. 80 and 82; No. 28 of 2006 s. 251; No. 43 of 2008 s. 147(17); No. 13 of 2014 s. 158; No. 19 of 2016 s. 95.]</w:t>
      </w:r>
    </w:p>
    <w:p>
      <w:pPr>
        <w:pStyle w:val="Heading5"/>
        <w:rPr>
          <w:snapToGrid w:val="0"/>
        </w:rPr>
      </w:pPr>
      <w:bookmarkStart w:id="826" w:name="_Toc225766021"/>
      <w:bookmarkStart w:id="827" w:name="_Toc209710946"/>
      <w:r>
        <w:rPr>
          <w:rStyle w:val="CharSectno"/>
        </w:rPr>
        <w:t>378</w:t>
      </w:r>
      <w:r>
        <w:rPr>
          <w:snapToGrid w:val="0"/>
        </w:rPr>
        <w:t>.</w:t>
      </w:r>
      <w:r>
        <w:rPr>
          <w:snapToGrid w:val="0"/>
        </w:rPr>
        <w:tab/>
        <w:t>Regulations and local laws to be judicially noticed</w:t>
      </w:r>
      <w:bookmarkEnd w:id="826"/>
      <w:bookmarkEnd w:id="827"/>
    </w:p>
    <w:p>
      <w:pPr>
        <w:pStyle w:val="Subsection"/>
        <w:keepNext/>
        <w:keepLines/>
        <w:rPr>
          <w:snapToGrid w:val="0"/>
        </w:rPr>
      </w:pPr>
      <w:r>
        <w:rPr>
          <w:snapToGrid w:val="0"/>
        </w:rPr>
        <w:tab/>
      </w:r>
      <w:r>
        <w:rPr>
          <w:snapToGrid w:val="0"/>
        </w:rPr>
        <w:tab/>
        <w:t>All courts shall take judicial notice of all local laws and regulations under this Act.</w:t>
      </w:r>
    </w:p>
    <w:p>
      <w:pPr>
        <w:pStyle w:val="Footnotesection"/>
        <w:ind w:left="890" w:hanging="890"/>
      </w:pPr>
      <w:r>
        <w:tab/>
        <w:t>[Section 378 inserted as section 301: No. 55 of 1915 s. 4; renumbered as section 378: No. 38 of 1933 s. 42; amended: No. 14 of 1996 s. 4; No. 59 of 2004 s. 141.]</w:t>
      </w:r>
    </w:p>
    <w:p>
      <w:pPr>
        <w:pStyle w:val="Heading5"/>
      </w:pPr>
      <w:bookmarkStart w:id="828" w:name="_Toc225766022"/>
      <w:bookmarkStart w:id="829" w:name="_Toc209710947"/>
      <w:r>
        <w:rPr>
          <w:rStyle w:val="CharSectno"/>
        </w:rPr>
        <w:t>379</w:t>
      </w:r>
      <w:r>
        <w:t>.</w:t>
      </w:r>
      <w:r>
        <w:tab/>
        <w:t xml:space="preserve">Transitional provisions for </w:t>
      </w:r>
      <w:r>
        <w:rPr>
          <w:i/>
        </w:rPr>
        <w:t>Public Health (Consequential Provisions) Act 2016</w:t>
      </w:r>
      <w:bookmarkEnd w:id="828"/>
      <w:bookmarkEnd w:id="829"/>
    </w:p>
    <w:p>
      <w:pPr>
        <w:pStyle w:val="Subsection"/>
      </w:pPr>
      <w:r>
        <w:tab/>
      </w:r>
      <w:r>
        <w:tab/>
        <w:t>Schedule 6 sets out transitional provisions.</w:t>
      </w:r>
    </w:p>
    <w:p>
      <w:pPr>
        <w:pStyle w:val="Footnotesection"/>
      </w:pPr>
      <w:r>
        <w:tab/>
        <w:t>[Section 379 inserted: No. 19 of 2016 s. 96.]</w:t>
      </w:r>
    </w:p>
    <w:p>
      <w:pPr>
        <w:pStyle w:val="yEdnoteschedule"/>
        <w:spacing w:before="120"/>
      </w:pPr>
      <w:r>
        <w:t>[Schedule 1 deleted: No. 19 of 2016 s. 272.]</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10" w:bottom="3544" w:left="2410" w:header="709" w:footer="3544" w:gutter="0"/>
          <w:pgNumType w:start="1"/>
          <w:cols w:space="720"/>
          <w:noEndnote/>
          <w:titlePg/>
          <w:docGrid w:linePitch="326"/>
        </w:sectPr>
      </w:pPr>
    </w:p>
    <w:p>
      <w:pPr>
        <w:pStyle w:val="yScheduleHeading"/>
      </w:pPr>
      <w:bookmarkStart w:id="830" w:name="_Toc225760996"/>
      <w:bookmarkStart w:id="831" w:name="_Toc225761328"/>
      <w:bookmarkStart w:id="832" w:name="_Toc225766023"/>
      <w:bookmarkStart w:id="833" w:name="_Toc209701472"/>
      <w:bookmarkStart w:id="834" w:name="_Toc209703090"/>
      <w:bookmarkStart w:id="835" w:name="_Toc209703422"/>
      <w:bookmarkStart w:id="836" w:name="_Toc209710948"/>
      <w:r>
        <w:rPr>
          <w:rStyle w:val="CharSchNo"/>
        </w:rPr>
        <w:t>Schedule 2</w:t>
      </w:r>
      <w:bookmarkEnd w:id="830"/>
      <w:bookmarkEnd w:id="831"/>
      <w:bookmarkEnd w:id="832"/>
      <w:bookmarkEnd w:id="833"/>
      <w:bookmarkEnd w:id="834"/>
      <w:bookmarkEnd w:id="835"/>
      <w:bookmarkEnd w:id="836"/>
    </w:p>
    <w:p>
      <w:pPr>
        <w:pStyle w:val="yShoulderClause"/>
      </w:pPr>
      <w:r>
        <w:t>[Section 186]</w:t>
      </w:r>
    </w:p>
    <w:p>
      <w:pPr>
        <w:pStyle w:val="yFootnoteheading"/>
      </w:pPr>
      <w:r>
        <w:tab/>
        <w:t>[Heading amended: No. 26 of 1985 s. 10.]</w:t>
      </w:r>
    </w:p>
    <w:p>
      <w:pPr>
        <w:pStyle w:val="yHeading2"/>
        <w:spacing w:after="120"/>
      </w:pPr>
      <w:bookmarkStart w:id="837" w:name="_Toc225760997"/>
      <w:bookmarkStart w:id="838" w:name="_Toc225761329"/>
      <w:bookmarkStart w:id="839" w:name="_Toc225766024"/>
      <w:bookmarkStart w:id="840" w:name="_Toc209701473"/>
      <w:bookmarkStart w:id="841" w:name="_Toc209703091"/>
      <w:bookmarkStart w:id="842" w:name="_Toc209703423"/>
      <w:bookmarkStart w:id="843" w:name="_Toc209710949"/>
      <w:r>
        <w:rPr>
          <w:rStyle w:val="CharSchText"/>
        </w:rPr>
        <w:t>Offensive trades</w:t>
      </w:r>
      <w:bookmarkEnd w:id="837"/>
      <w:bookmarkEnd w:id="838"/>
      <w:bookmarkEnd w:id="839"/>
      <w:bookmarkEnd w:id="840"/>
      <w:bookmarkEnd w:id="841"/>
      <w:bookmarkEnd w:id="842"/>
      <w:bookmarkEnd w:id="843"/>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Footnotesection"/>
      </w:pPr>
      <w:r>
        <w:tab/>
        <w:t>[Schedule 2 amended: No. 25 of 1952 s. 10; No. 26 of 1985 s. 10; and Gazette 20 Sep 1918 p. 1453; 26 Nov 1993 p. 6321; 17 Nov 2000 p. 6289; SL 2024/53 cl. 4.]</w:t>
      </w:r>
    </w:p>
    <w:p>
      <w:pPr>
        <w:pStyle w:val="yEdnoteschedule"/>
        <w:keepNext/>
        <w:spacing w:before="120"/>
      </w:pPr>
      <w:r>
        <w:t>[Schedule 3 deleted: No. 43 of 2008 s. 147(14).]</w:t>
      </w:r>
    </w:p>
    <w:p>
      <w:pPr>
        <w:pStyle w:val="yEdnoteschedule"/>
        <w:spacing w:before="120"/>
      </w:pPr>
      <w:r>
        <w:t>[Schedule 4 deleted: No. 19 of 2016 s. 274.]</w:t>
      </w:r>
    </w:p>
    <w:p>
      <w:pPr>
        <w:pStyle w:val="yScheduleHeading"/>
      </w:pPr>
      <w:bookmarkStart w:id="844" w:name="_Toc225760998"/>
      <w:bookmarkStart w:id="845" w:name="_Toc225761330"/>
      <w:bookmarkStart w:id="846" w:name="_Toc225766025"/>
      <w:bookmarkStart w:id="847" w:name="_Toc209701474"/>
      <w:bookmarkStart w:id="848" w:name="_Toc209703092"/>
      <w:bookmarkStart w:id="849" w:name="_Toc209703424"/>
      <w:bookmarkStart w:id="850" w:name="_Toc209710950"/>
      <w:r>
        <w:rPr>
          <w:rStyle w:val="CharSchNo"/>
        </w:rPr>
        <w:t>Schedule 5</w:t>
      </w:r>
      <w:bookmarkEnd w:id="844"/>
      <w:bookmarkEnd w:id="845"/>
      <w:bookmarkEnd w:id="846"/>
      <w:bookmarkEnd w:id="847"/>
      <w:bookmarkEnd w:id="848"/>
      <w:bookmarkEnd w:id="849"/>
      <w:bookmarkEnd w:id="850"/>
    </w:p>
    <w:p>
      <w:pPr>
        <w:pStyle w:val="yShoulderClause"/>
      </w:pPr>
      <w:r>
        <w:t>[Section 360(1)]</w:t>
      </w:r>
    </w:p>
    <w:p>
      <w:pPr>
        <w:pStyle w:val="yHeading2"/>
      </w:pPr>
      <w:bookmarkStart w:id="851" w:name="_Toc225760999"/>
      <w:bookmarkStart w:id="852" w:name="_Toc225761331"/>
      <w:bookmarkStart w:id="853" w:name="_Toc225766026"/>
      <w:bookmarkStart w:id="854" w:name="_Toc209701475"/>
      <w:bookmarkStart w:id="855" w:name="_Toc209703093"/>
      <w:bookmarkStart w:id="856" w:name="_Toc209703425"/>
      <w:bookmarkStart w:id="857" w:name="_Toc209710951"/>
      <w:r>
        <w:rPr>
          <w:rStyle w:val="CharSchText"/>
        </w:rPr>
        <w:t>Penalties</w:t>
      </w:r>
      <w:bookmarkEnd w:id="851"/>
      <w:bookmarkEnd w:id="852"/>
      <w:bookmarkEnd w:id="853"/>
      <w:bookmarkEnd w:id="854"/>
      <w:bookmarkEnd w:id="855"/>
      <w:bookmarkEnd w:id="856"/>
      <w:bookmarkEnd w:id="857"/>
    </w:p>
    <w:p>
      <w:pPr>
        <w:pStyle w:val="yFootnoteheading"/>
      </w:pPr>
      <w:r>
        <w:tab/>
        <w:t>[Heading inserted: No. 80 of 1987 s. 176.]</w:t>
      </w:r>
    </w:p>
    <w:p>
      <w:pPr>
        <w:pStyle w:val="MiscellaneousHeading"/>
        <w:rPr>
          <w:sz w:val="22"/>
        </w:rPr>
      </w:pPr>
      <w:r>
        <w:rPr>
          <w:i/>
          <w:sz w:val="22"/>
        </w:rPr>
        <w:t>Part I</w:t>
      </w:r>
    </w:p>
    <w:p>
      <w:pPr>
        <w:pStyle w:val="yMiscellaneousBody"/>
        <w:tabs>
          <w:tab w:val="left" w:pos="560"/>
        </w:tabs>
        <w:ind w:left="588" w:hanging="588"/>
      </w:pPr>
      <w:r>
        <w:t>Sections 77, 78(1a), 86(2), 92(1), 101(3), 102, 114(1), 116(d), 120(2), 126(1a), 151, 153(2), 157(4), 181(2), 184(3), 189, 203(2), 263(4), 285(1), 306(1) and (2), 311, 349(2), 351(2) and (5) and 352(3).</w:t>
      </w:r>
    </w:p>
    <w:p>
      <w:pPr>
        <w:pStyle w:val="yFootnotesection"/>
      </w:pPr>
      <w:r>
        <w:tab/>
        <w:t>[Part I inserted: No. 80 of 1987 s. 176; amended: No. 23 of 2006 s. 13(1); No. 36 of 2007 Sch. 4 cl. 4(8); No. 43 of 2008 s. 147(18); No. 13 of 2014 s. 159(a).]</w:t>
      </w:r>
    </w:p>
    <w:p>
      <w:pPr>
        <w:pStyle w:val="MiscellaneousHeading"/>
        <w:rPr>
          <w:i/>
          <w:sz w:val="22"/>
        </w:rPr>
      </w:pPr>
      <w:r>
        <w:rPr>
          <w:i/>
          <w:sz w:val="22"/>
        </w:rPr>
        <w:t>Part II</w:t>
      </w:r>
    </w:p>
    <w:p>
      <w:pPr>
        <w:pStyle w:val="yMiscellaneousBody"/>
        <w:tabs>
          <w:tab w:val="left" w:pos="560"/>
        </w:tabs>
        <w:ind w:left="588" w:hanging="588"/>
      </w:pPr>
      <w:r>
        <w:t>Sections 79(1), 91(2), 93, 94(1), 107(2) and (4), 107A, 132(2), 136, 140(1), 141(2), 144, 147, 154, 196(2), 260(3), 262(4), 266, 268, 269, 273(4) and (6), 277(5), 280(4), 294(7)(a), 307(8), 332(2), 335(3), 337(6), 338(1), 351(1) and (3) and 370.</w:t>
      </w:r>
    </w:p>
    <w:p>
      <w:pPr>
        <w:pStyle w:val="yFootnotesection"/>
      </w:pPr>
      <w:r>
        <w:tab/>
        <w:t>[Part II inserted: No. 80 of 1987 s. 176; amended: No. 59 of 1991 s. 28(a); No. 28 of 1996 s. 19; No. 28 of 2003 s. 77(3); No. 23 of 2006 s. 13(2); No. 43 of 2008 s. 147(19); No. 13 of 2014 s. 159(b).]</w:t>
      </w:r>
    </w:p>
    <w:p>
      <w:pPr>
        <w:pStyle w:val="MiscellaneousHeading"/>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No. 80 of 1987 s. 176; amended: No. 57 of 1997 s. 68(4); No. 23 of 2006 s. 13(3); No. 43 of 2008 s. 147(20).]</w:t>
      </w:r>
    </w:p>
    <w:p>
      <w:pPr>
        <w:pStyle w:val="MiscellaneousHeading"/>
        <w:rPr>
          <w:i/>
          <w:sz w:val="22"/>
        </w:rPr>
      </w:pPr>
      <w:r>
        <w:rPr>
          <w:i/>
          <w:sz w:val="22"/>
        </w:rPr>
        <w:t>Part IV</w:t>
      </w:r>
    </w:p>
    <w:p>
      <w:pPr>
        <w:pStyle w:val="yMiscellaneousBody"/>
        <w:keepNext/>
        <w:tabs>
          <w:tab w:val="left" w:pos="560"/>
        </w:tabs>
        <w:ind w:left="588" w:hanging="588"/>
      </w:pPr>
      <w:r>
        <w:t>Sections 98, 99(4), 108(4), 109, 188, 267(1), 278(1), 279, 282(2), 310(1), 313(1), 332(1), 336(5a), 336A(5a), 336B(7a), 340LB(2), 340M(1) and (2), 340ALB(2), 340AM(1) and (2), 340BLB(2), 340BM(1) and (2) and 366(2).</w:t>
      </w:r>
    </w:p>
    <w:p>
      <w:pPr>
        <w:pStyle w:val="yFootnotesection"/>
      </w:pPr>
      <w:r>
        <w:tab/>
        <w:t>[Part IV inserted: No. 80 of 1987 s. 176; amended: No. 59 of 1991 s. 19 and 28(b); No. 74 of 2003 s. 64(3); No. 23 of 2006 s. 13(4); No. 43 of 2008 s. 147(21); No. 13 of 2014 s. 159(c); No. 19 of 2016 s. 97.]</w:t>
      </w:r>
    </w:p>
    <w:p>
      <w:pPr>
        <w:pStyle w:val="MiscellaneousHeading"/>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No. 80 of 1987 s. 176; amended: No. 43 of 2008 s. 147(22).]</w:t>
      </w:r>
    </w:p>
    <w:p>
      <w:pPr>
        <w:pStyle w:val="MiscellaneousHeading"/>
        <w:rPr>
          <w:i/>
          <w:sz w:val="22"/>
        </w:rPr>
      </w:pPr>
      <w:r>
        <w:rPr>
          <w:i/>
          <w:sz w:val="22"/>
        </w:rPr>
        <w:t>Part VI</w:t>
      </w:r>
    </w:p>
    <w:p>
      <w:pPr>
        <w:pStyle w:val="yMiscellaneousBody"/>
        <w:tabs>
          <w:tab w:val="left" w:pos="560"/>
        </w:tabs>
        <w:ind w:left="588" w:hanging="588"/>
      </w:pPr>
      <w:r>
        <w:t>Sections 182, 193(2), 195, 246FD(1), 246FE(1), 246FF(1), 246FG(1), 297(1), 314(1) and 340AL(1c).</w:t>
      </w:r>
    </w:p>
    <w:p>
      <w:pPr>
        <w:pStyle w:val="yFootnotesection"/>
      </w:pPr>
      <w:r>
        <w:tab/>
        <w:t>[Part VI inserted: No. 80 of 1987 s. 176; amended: No. 59 of 1991 s. 28(c); No. 43 of 2008 s. 147(23); No. 13 of 2014 s. 159(d).]</w:t>
      </w:r>
    </w:p>
    <w:p>
      <w:pPr>
        <w:pStyle w:val="MiscellaneousHeading"/>
        <w:rPr>
          <w:i/>
          <w:sz w:val="22"/>
        </w:rPr>
      </w:pPr>
      <w:r>
        <w:rPr>
          <w:i/>
          <w:sz w:val="22"/>
        </w:rPr>
        <w:t>Part VII</w:t>
      </w:r>
    </w:p>
    <w:p>
      <w:pPr>
        <w:pStyle w:val="yMiscellaneousBody"/>
        <w:tabs>
          <w:tab w:val="left" w:pos="560"/>
        </w:tabs>
        <w:ind w:left="588" w:hanging="588"/>
      </w:pPr>
      <w:r>
        <w:t>Sections 129, 131(2) and 312.</w:t>
      </w:r>
    </w:p>
    <w:p>
      <w:pPr>
        <w:pStyle w:val="yFootnotesection"/>
      </w:pPr>
      <w:r>
        <w:tab/>
        <w:t>[Part VII inserted: No. 80 of 1987 s. 176; amended: No. 43 of 2008 s. 147(24); No. 13 of 2014 s. 159(e).]</w:t>
      </w:r>
    </w:p>
    <w:p>
      <w:pPr>
        <w:pStyle w:val="MiscellaneousHeading"/>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No. 50 of 1996 s. 6.]</w:t>
      </w:r>
    </w:p>
    <w:p>
      <w:pPr>
        <w:sectPr>
          <w:headerReference w:type="even" r:id="rId21"/>
          <w:headerReference w:type="default" r:id="rId22"/>
          <w:headerReference w:type="first" r:id="rId23"/>
          <w:pgSz w:w="11907" w:h="16840" w:code="9"/>
          <w:pgMar w:top="2376" w:right="2410" w:bottom="3544" w:left="2410" w:header="709" w:footer="3544" w:gutter="0"/>
          <w:cols w:space="720"/>
          <w:noEndnote/>
          <w:docGrid w:linePitch="326"/>
        </w:sectPr>
      </w:pPr>
    </w:p>
    <w:p>
      <w:pPr>
        <w:pStyle w:val="yScheduleHeading"/>
      </w:pPr>
      <w:bookmarkStart w:id="859" w:name="_Toc225761000"/>
      <w:bookmarkStart w:id="860" w:name="_Toc225761332"/>
      <w:bookmarkStart w:id="861" w:name="_Toc225766027"/>
      <w:bookmarkStart w:id="862" w:name="_Toc209701476"/>
      <w:bookmarkStart w:id="863" w:name="_Toc209703094"/>
      <w:bookmarkStart w:id="864" w:name="_Toc209703426"/>
      <w:bookmarkStart w:id="865" w:name="_Toc209710952"/>
      <w:r>
        <w:rPr>
          <w:rStyle w:val="CharSchNo"/>
        </w:rPr>
        <w:t>Schedule 6</w:t>
      </w:r>
      <w:r>
        <w:t> — </w:t>
      </w:r>
      <w:r>
        <w:rPr>
          <w:rStyle w:val="CharSchText"/>
        </w:rPr>
        <w:t xml:space="preserve">Transitional provisions for </w:t>
      </w:r>
      <w:r>
        <w:rPr>
          <w:rStyle w:val="CharSchText"/>
          <w:i/>
        </w:rPr>
        <w:t>Public Health (Consequential Provisions) Act 2016</w:t>
      </w:r>
      <w:bookmarkEnd w:id="859"/>
      <w:bookmarkEnd w:id="860"/>
      <w:bookmarkEnd w:id="861"/>
      <w:bookmarkEnd w:id="862"/>
      <w:bookmarkEnd w:id="863"/>
      <w:bookmarkEnd w:id="864"/>
      <w:bookmarkEnd w:id="865"/>
    </w:p>
    <w:p>
      <w:pPr>
        <w:pStyle w:val="yShoulderClause"/>
      </w:pPr>
      <w:r>
        <w:t>[s. 379]</w:t>
      </w:r>
    </w:p>
    <w:p>
      <w:pPr>
        <w:pStyle w:val="yFootnoteheading"/>
      </w:pPr>
      <w:r>
        <w:tab/>
        <w:t>[Heading inserted: No. 19 of 2016 s. 98.]</w:t>
      </w:r>
    </w:p>
    <w:p>
      <w:pPr>
        <w:pStyle w:val="yHeading5"/>
      </w:pPr>
      <w:bookmarkStart w:id="866" w:name="_Toc225766028"/>
      <w:bookmarkStart w:id="867" w:name="_Toc209710953"/>
      <w:r>
        <w:rPr>
          <w:rStyle w:val="CharSClsNo"/>
        </w:rPr>
        <w:t>1</w:t>
      </w:r>
      <w:r>
        <w:t>.</w:t>
      </w:r>
      <w:r>
        <w:tab/>
        <w:t xml:space="preserve">References to </w:t>
      </w:r>
      <w:r>
        <w:rPr>
          <w:i/>
        </w:rPr>
        <w:t>Health Act 1911</w:t>
      </w:r>
      <w:r>
        <w:t xml:space="preserve"> may be taken to be references to </w:t>
      </w:r>
      <w:r>
        <w:rPr>
          <w:i/>
        </w:rPr>
        <w:t>Health (Miscellaneous Provisions) Act 1911</w:t>
      </w:r>
      <w:bookmarkEnd w:id="866"/>
      <w:bookmarkEnd w:id="867"/>
    </w:p>
    <w:p>
      <w:pPr>
        <w:pStyle w:val="ySubsection"/>
      </w:pPr>
      <w:r>
        <w:tab/>
        <w:t>(1)</w:t>
      </w:r>
      <w:r>
        <w:tab/>
        <w:t xml:space="preserve">A reference in a document (other than a written law) to the </w:t>
      </w:r>
      <w:r>
        <w:rPr>
          <w:i/>
        </w:rPr>
        <w:t>Health Act 1911</w:t>
      </w:r>
      <w:r>
        <w:t xml:space="preserve"> may be taken to be a reference to the </w:t>
      </w:r>
      <w:r>
        <w:rPr>
          <w:i/>
        </w:rPr>
        <w:t>Health (Miscellaneous Provisions) Act 1911</w:t>
      </w:r>
      <w:r>
        <w:t xml:space="preserve"> if it would be appropriate in the context to do so.</w:t>
      </w:r>
    </w:p>
    <w:p>
      <w:pPr>
        <w:pStyle w:val="ySubsection"/>
      </w:pPr>
      <w:r>
        <w:tab/>
        <w:t>(2)</w:t>
      </w:r>
      <w:r>
        <w:tab/>
        <w:t xml:space="preserve">This clause does not prejudice or affect the application of the </w:t>
      </w:r>
      <w:r>
        <w:rPr>
          <w:i/>
        </w:rPr>
        <w:t>Interpretation Act 1984</w:t>
      </w:r>
      <w:r>
        <w:t xml:space="preserve"> section 16(1).</w:t>
      </w:r>
    </w:p>
    <w:p>
      <w:pPr>
        <w:pStyle w:val="yFootnotesection"/>
      </w:pPr>
      <w:r>
        <w:tab/>
        <w:t>[Clause 1 inserted: No. 19 of 2016 s. 98.]</w:t>
      </w:r>
    </w:p>
    <w:p>
      <w:pPr>
        <w:pStyle w:val="yHeading5"/>
      </w:pPr>
      <w:bookmarkStart w:id="868" w:name="_Toc225766029"/>
      <w:bookmarkStart w:id="869" w:name="_Toc209710954"/>
      <w:r>
        <w:rPr>
          <w:rStyle w:val="CharSClsNo"/>
        </w:rPr>
        <w:t>2</w:t>
      </w:r>
      <w:r>
        <w:t>.</w:t>
      </w:r>
      <w:r>
        <w:tab/>
        <w:t>Continuing effect of things done by Executive Director, Public Health and Executive Director, Personal Health</w:t>
      </w:r>
      <w:bookmarkEnd w:id="868"/>
      <w:bookmarkEnd w:id="869"/>
    </w:p>
    <w:p>
      <w:pPr>
        <w:pStyle w:val="ySubsection"/>
      </w:pPr>
      <w:r>
        <w:tab/>
      </w:r>
      <w:r>
        <w:tab/>
        <w:t xml:space="preserve">A thing done or omitted to be done by, to or in relation to the Executive Director, Public Health or the Executive Director, Personal Health before the day on which the </w:t>
      </w:r>
      <w:r>
        <w:rPr>
          <w:i/>
        </w:rPr>
        <w:t>Public Health (Consequential Provisions) Act 2016</w:t>
      </w:r>
      <w:r>
        <w:t xml:space="preserve"> section 96 comes into operation (the </w:t>
      </w:r>
      <w:r>
        <w:rPr>
          <w:rStyle w:val="CharDefText"/>
        </w:rPr>
        <w:t>commencement day</w:t>
      </w:r>
      <w:r>
        <w:t>), whether under this Act or any other written law, has the same effect on and from the commencement day, to the extent that it has any force or significance on or after the commencement day, as if it had been done or omitted by, to or in relation to the Chief Health Officer.</w:t>
      </w:r>
    </w:p>
    <w:p>
      <w:pPr>
        <w:pStyle w:val="yFootnotesection"/>
      </w:pPr>
      <w:r>
        <w:tab/>
        <w:t>[Clause 2 inserted: No. 19 of 2016 s. 98.]</w:t>
      </w:r>
    </w:p>
    <w:p>
      <w:pPr>
        <w:pStyle w:val="yHeading5"/>
      </w:pPr>
      <w:bookmarkStart w:id="870" w:name="_Toc225766030"/>
      <w:bookmarkStart w:id="871" w:name="_Toc209710955"/>
      <w:r>
        <w:rPr>
          <w:rStyle w:val="CharSClsNo"/>
        </w:rPr>
        <w:t>3</w:t>
      </w:r>
      <w:r>
        <w:t>.</w:t>
      </w:r>
      <w:r>
        <w:tab/>
        <w:t>References to former titles</w:t>
      </w:r>
      <w:bookmarkEnd w:id="870"/>
      <w:bookmarkEnd w:id="871"/>
    </w:p>
    <w:p>
      <w:pPr>
        <w:pStyle w:val="ySubsection"/>
      </w:pPr>
      <w:r>
        <w:tab/>
        <w:t>(1)</w:t>
      </w:r>
      <w:r>
        <w:tab/>
        <w:t>A reference in a written law or document to the Executive Director, Public Health or the Executive Director, Personal Health may, if the context permits, be taken to be a reference to the Chief Health Officer.</w:t>
      </w:r>
    </w:p>
    <w:p>
      <w:pPr>
        <w:pStyle w:val="ySubsection"/>
        <w:keepNext/>
      </w:pPr>
      <w:r>
        <w:tab/>
        <w:t>(2)</w:t>
      </w:r>
      <w:r>
        <w:tab/>
        <w:t>A reference in a written law or document to an environmental health officer, medical officer or public health official may, if the context permits, be taken to be a reference to an authorised officer.</w:t>
      </w:r>
    </w:p>
    <w:p>
      <w:pPr>
        <w:pStyle w:val="yFootnotesection"/>
      </w:pPr>
      <w:r>
        <w:tab/>
        <w:t>[Clause 3 inserted: No. 19 of 2016 s. 98.]</w:t>
      </w:r>
    </w:p>
    <w:p>
      <w:pPr>
        <w:pStyle w:val="yHeading5"/>
      </w:pPr>
      <w:bookmarkStart w:id="872" w:name="_Toc225766031"/>
      <w:bookmarkStart w:id="873" w:name="_Toc209710956"/>
      <w:r>
        <w:rPr>
          <w:rStyle w:val="CharSClsNo"/>
        </w:rPr>
        <w:t>4</w:t>
      </w:r>
      <w:r>
        <w:t>.</w:t>
      </w:r>
      <w:r>
        <w:tab/>
        <w:t>Transitional provisions for Local Health Authorities Analytical Committee</w:t>
      </w:r>
      <w:bookmarkEnd w:id="872"/>
      <w:bookmarkEnd w:id="873"/>
    </w:p>
    <w:p>
      <w:pPr>
        <w:pStyle w:val="ySubsection"/>
      </w:pPr>
      <w:r>
        <w:tab/>
      </w:r>
      <w:r>
        <w:tab/>
        <w:t xml:space="preserve">Despite sections 247A(3) and 247BA(1), the members of the Local Health Authorities Analytical Committee who held office immediately before the day on which the </w:t>
      </w:r>
      <w:r>
        <w:rPr>
          <w:i/>
        </w:rPr>
        <w:t>Public Health (Consequential Provisions) Act 2016</w:t>
      </w:r>
      <w:r>
        <w:t xml:space="preserve"> section 32 comes into operation (the </w:t>
      </w:r>
      <w:r>
        <w:rPr>
          <w:rStyle w:val="CharDefText"/>
        </w:rPr>
        <w:t>commencement day</w:t>
      </w:r>
      <w:r>
        <w:t xml:space="preserve">) continue in office, under and subject to Part VIIIA, as members of that Committee — </w:t>
      </w:r>
    </w:p>
    <w:p>
      <w:pPr>
        <w:pStyle w:val="yIndenta"/>
      </w:pPr>
      <w:r>
        <w:tab/>
        <w:t>(a)</w:t>
      </w:r>
      <w:r>
        <w:tab/>
        <w:t xml:space="preserve">in the case of the members appointed under section 247A(3)(a)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of 3 years beginning on the commencement day;</w:t>
      </w:r>
    </w:p>
    <w:p>
      <w:pPr>
        <w:pStyle w:val="yIndenta"/>
      </w:pPr>
      <w:r>
        <w:tab/>
      </w:r>
      <w:r>
        <w:tab/>
        <w:t>and</w:t>
      </w:r>
    </w:p>
    <w:p>
      <w:pPr>
        <w:pStyle w:val="yIndenta"/>
      </w:pPr>
      <w:r>
        <w:tab/>
        <w:t>(b)</w:t>
      </w:r>
      <w:r>
        <w:tab/>
        <w:t xml:space="preserve">in the case of the members appointed under section 247A(3)(b) or (c)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beginning on the commencement day that is the balance of the member’s term of office remaining immediately before the commencement day.</w:t>
      </w:r>
    </w:p>
    <w:p>
      <w:pPr>
        <w:pStyle w:val="yFootnotesection"/>
      </w:pPr>
      <w:r>
        <w:tab/>
        <w:t>[Clause 4 inserted: No. 19 of 2016 s. 98.]</w:t>
      </w:r>
    </w:p>
    <w:p>
      <w:pPr>
        <w:pStyle w:val="yHeading5"/>
      </w:pPr>
      <w:bookmarkStart w:id="874" w:name="_Toc225766032"/>
      <w:bookmarkStart w:id="875" w:name="_Toc209710957"/>
      <w:r>
        <w:rPr>
          <w:rStyle w:val="CharSClsNo"/>
        </w:rPr>
        <w:t>5</w:t>
      </w:r>
      <w:r>
        <w:t>.</w:t>
      </w:r>
      <w:r>
        <w:tab/>
        <w:t>Transitional provisions for Maternal Mortality Committee, Perinatal and Infant Mortality Committee and Anaesthetic Mortality Committee</w:t>
      </w:r>
      <w:bookmarkEnd w:id="874"/>
      <w:bookmarkEnd w:id="875"/>
    </w:p>
    <w:p>
      <w:pPr>
        <w:pStyle w:val="ySubsection"/>
      </w:pPr>
      <w:r>
        <w:tab/>
        <w:t>(1)</w:t>
      </w:r>
      <w:r>
        <w:tab/>
        <w:t xml:space="preserve">The persons who held office under Part XIIIA as permanent or provisional members of the Maternal Mortality Committee, or as deputies of members of that Committee, immediately before the coming into operation of the </w:t>
      </w:r>
      <w:r>
        <w:rPr>
          <w:i/>
        </w:rPr>
        <w:t>Public Health (Consequential Provisions) Act 2016</w:t>
      </w:r>
      <w:r>
        <w:t xml:space="preserve"> section 42 — </w:t>
      </w:r>
    </w:p>
    <w:p>
      <w:pPr>
        <w:pStyle w:val="yIndenta"/>
      </w:pPr>
      <w:r>
        <w:tab/>
        <w:t>(a)</w:t>
      </w:r>
      <w:r>
        <w:tab/>
        <w:t>continue in office, under and subject to Part XIIIA,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(2)</w:t>
      </w:r>
      <w:r>
        <w:tab/>
        <w:t xml:space="preserve">The persons who held office under Part XIIIB as permanent or provisional members of the Perinatal and Infant Mortality Committee, or as deputies of members of that Committee, immediately before the coming into operation of the </w:t>
      </w:r>
      <w:r>
        <w:rPr>
          <w:i/>
        </w:rPr>
        <w:t>Public Health (Consequential Provisions) Act 2016</w:t>
      </w:r>
      <w:r>
        <w:t xml:space="preserve"> section 55 — </w:t>
      </w:r>
    </w:p>
    <w:p>
      <w:pPr>
        <w:pStyle w:val="yIndenta"/>
      </w:pPr>
      <w:r>
        <w:tab/>
        <w:t>(a)</w:t>
      </w:r>
      <w:r>
        <w:tab/>
        <w:t>continue in office, under and subject to Part XIIIB,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(2A)</w:t>
      </w:r>
      <w:r>
        <w:tab/>
        <w:t xml:space="preserve">The persons who held office under section 340AB(3)(d) as members of the Perinatal and Infant Mortality Committee, or as deputies of those members, immediately before the coming into operation of the </w:t>
      </w:r>
      <w:r>
        <w:rPr>
          <w:i/>
        </w:rPr>
        <w:t>Public Health (Consequential Provisions) Act 2016</w:t>
      </w:r>
      <w:r>
        <w:t xml:space="preserve"> section 248 continue in office, under and subject to Part XIIIB, as members or, as the case requires, deputies of members of the Committee until the expiry of their respective terms as if they had been appointed by the Minister on the nomination of the chief executive of the health service provider for Perth Children’s Hospital under the </w:t>
      </w:r>
      <w:r>
        <w:rPr>
          <w:i/>
        </w:rPr>
        <w:t>Health Services Act 2016</w:t>
      </w:r>
      <w:r>
        <w:t>.</w:t>
      </w:r>
    </w:p>
    <w:p>
      <w:pPr>
        <w:pStyle w:val="ySubsection"/>
      </w:pPr>
      <w:r>
        <w:tab/>
        <w:t>(3)</w:t>
      </w:r>
      <w:r>
        <w:tab/>
        <w:t xml:space="preserve">The persons who held office under Part XIIIC as permanent or provisional members of the Anaesthetic Mortality Committee, or as deputies of members of that Committee, immediately before the coming into operation of the </w:t>
      </w:r>
      <w:r>
        <w:rPr>
          <w:i/>
        </w:rPr>
        <w:t>Public Health (Consequential Provisions) Act 2016</w:t>
      </w:r>
      <w:r>
        <w:t xml:space="preserve"> section 69 — </w:t>
      </w:r>
    </w:p>
    <w:p>
      <w:pPr>
        <w:pStyle w:val="yIndenta"/>
      </w:pPr>
      <w:r>
        <w:tab/>
        <w:t>(a)</w:t>
      </w:r>
      <w:r>
        <w:tab/>
        <w:t>continue in office, under and subject to Part XIIIC,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Footnotesection"/>
      </w:pPr>
      <w:r>
        <w:tab/>
        <w:t>[Clause 5 inserted: No. 19 of 2016 s. 98; amended: No. 19 of 2016 s. 276.]</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pgSz w:w="11907" w:h="16840" w:code="9"/>
          <w:pgMar w:top="2376" w:right="2410" w:bottom="3544" w:left="2410" w:header="709" w:footer="3544" w:gutter="0"/>
          <w:cols w:space="720"/>
          <w:noEndnote/>
          <w:docGrid w:linePitch="326"/>
        </w:sectPr>
      </w:pPr>
    </w:p>
    <w:p>
      <w:pPr>
        <w:pStyle w:val="nHeading2"/>
      </w:pPr>
      <w:bookmarkStart w:id="876" w:name="_Toc225761006"/>
      <w:bookmarkStart w:id="877" w:name="_Toc225761338"/>
      <w:bookmarkStart w:id="878" w:name="_Toc225766033"/>
      <w:bookmarkStart w:id="879" w:name="_Toc209701482"/>
      <w:bookmarkStart w:id="880" w:name="_Toc209703100"/>
      <w:bookmarkStart w:id="881" w:name="_Toc209703432"/>
      <w:bookmarkStart w:id="882" w:name="_Toc209710958"/>
      <w:r>
        <w:t>Notes</w:t>
      </w:r>
      <w:bookmarkEnd w:id="876"/>
      <w:bookmarkEnd w:id="877"/>
      <w:bookmarkEnd w:id="878"/>
      <w:bookmarkEnd w:id="879"/>
      <w:bookmarkEnd w:id="880"/>
      <w:bookmarkEnd w:id="881"/>
      <w:bookmarkEnd w:id="882"/>
    </w:p>
    <w:p>
      <w:pPr>
        <w:pStyle w:val="nStatement"/>
      </w:pPr>
      <w:r>
        <w:t xml:space="preserve">This is a compilation of the </w:t>
      </w:r>
      <w:r>
        <w:rPr>
          <w:i/>
          <w:noProof/>
        </w:rPr>
        <w:t>Health (Miscellaneous Provisions) Act 1911</w:t>
      </w:r>
      <w:r>
        <w:t xml:space="preserve"> and includes amendments made by other written laws </w:t>
      </w:r>
      <w:r>
        <w:rPr>
          <w:vertAlign w:val="superscript"/>
        </w:rPr>
        <w:t>6, 7</w:t>
      </w:r>
      <w:r>
        <w:t>. For provisions that have come into operation, and for information about any reprints, see the compilation table. For provisions that have not yet come into operation see the uncommenced provisions table.</w:t>
      </w:r>
    </w:p>
    <w:p>
      <w:pPr>
        <w:pStyle w:val="nHeading3"/>
      </w:pPr>
      <w:bookmarkStart w:id="883" w:name="_Toc225766034"/>
      <w:bookmarkStart w:id="884" w:name="_Toc209710959"/>
      <w:r>
        <w:t>Compilation table</w:t>
      </w:r>
      <w:bookmarkEnd w:id="883"/>
      <w:bookmarkEnd w:id="884"/>
    </w:p>
    <w:tbl>
      <w:tblPr>
        <w:tblW w:w="7076" w:type="dxa"/>
        <w:tblInd w:w="56" w:type="dxa"/>
        <w:tblLayout w:type="fixed"/>
        <w:tblCellMar>
          <w:left w:w="56" w:type="dxa"/>
          <w:right w:w="56" w:type="dxa"/>
        </w:tblCellMar>
        <w:tblLook w:val="0000" w:firstRow="0" w:lastRow="0" w:firstColumn="0" w:lastColumn="0" w:noHBand="0" w:noVBand="0"/>
      </w:tblPr>
      <w:tblGrid>
        <w:gridCol w:w="51"/>
        <w:gridCol w:w="2208"/>
        <w:gridCol w:w="56"/>
        <w:gridCol w:w="1076"/>
        <w:gridCol w:w="58"/>
        <w:gridCol w:w="1075"/>
        <w:gridCol w:w="98"/>
        <w:gridCol w:w="2410"/>
        <w:gridCol w:w="44"/>
      </w:tblGrid>
      <w:tr>
        <w:trPr>
          <w:cantSplit/>
          <w:tblHeader/>
        </w:trPr>
        <w:tc>
          <w:tcPr>
            <w:tcW w:w="2259" w:type="dxa"/>
            <w:gridSpan w:val="2"/>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2"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gridSpan w:val="3"/>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59" w:type="dxa"/>
            <w:gridSpan w:val="2"/>
          </w:tcPr>
          <w:p>
            <w:pPr>
              <w:pStyle w:val="nTable"/>
              <w:spacing w:after="40"/>
              <w:ind w:right="170"/>
              <w:rPr>
                <w:vertAlign w:val="superscript"/>
              </w:rPr>
            </w:pPr>
            <w:r>
              <w:rPr>
                <w:i/>
              </w:rPr>
              <w:t>Health Act 1911 </w:t>
            </w:r>
            <w:r>
              <w:rPr>
                <w:vertAlign w:val="superscript"/>
              </w:rPr>
              <w:t>8</w:t>
            </w:r>
          </w:p>
        </w:tc>
        <w:tc>
          <w:tcPr>
            <w:tcW w:w="1132" w:type="dxa"/>
            <w:gridSpan w:val="2"/>
          </w:tcPr>
          <w:p>
            <w:pPr>
              <w:pStyle w:val="nTable"/>
              <w:spacing w:after="40"/>
            </w:pPr>
            <w:r>
              <w:t>34 of 1911</w:t>
            </w:r>
            <w:r>
              <w:br/>
              <w:t>(1 Geo. V No. 45)</w:t>
            </w:r>
          </w:p>
        </w:tc>
        <w:tc>
          <w:tcPr>
            <w:tcW w:w="1133" w:type="dxa"/>
            <w:gridSpan w:val="2"/>
          </w:tcPr>
          <w:p>
            <w:pPr>
              <w:pStyle w:val="nTable"/>
              <w:spacing w:after="40"/>
            </w:pPr>
            <w:r>
              <w:t>16 Feb 1911</w:t>
            </w:r>
          </w:p>
        </w:tc>
        <w:tc>
          <w:tcPr>
            <w:tcW w:w="2552" w:type="dxa"/>
            <w:gridSpan w:val="3"/>
          </w:tcPr>
          <w:p>
            <w:pPr>
              <w:pStyle w:val="nTable"/>
              <w:spacing w:after="40"/>
            </w:pPr>
            <w:r>
              <w:t xml:space="preserve">1 Jun 1911 (see s. 1 and </w:t>
            </w:r>
            <w:r>
              <w:rPr>
                <w:i/>
              </w:rPr>
              <w:t>Gazette</w:t>
            </w:r>
            <w:r>
              <w:t xml:space="preserve"> 3 Mar 1911 p. 961)</w:t>
            </w:r>
          </w:p>
        </w:tc>
      </w:tr>
      <w:tr>
        <w:trPr>
          <w:cantSplit/>
        </w:trPr>
        <w:tc>
          <w:tcPr>
            <w:tcW w:w="2259" w:type="dxa"/>
            <w:gridSpan w:val="2"/>
          </w:tcPr>
          <w:p>
            <w:pPr>
              <w:pStyle w:val="nTable"/>
              <w:spacing w:after="40"/>
              <w:ind w:right="170"/>
            </w:pPr>
            <w:r>
              <w:rPr>
                <w:i/>
              </w:rPr>
              <w:t>Health Act Amendment Act 1911</w:t>
            </w:r>
          </w:p>
        </w:tc>
        <w:tc>
          <w:tcPr>
            <w:tcW w:w="1132" w:type="dxa"/>
            <w:gridSpan w:val="2"/>
          </w:tcPr>
          <w:p>
            <w:pPr>
              <w:pStyle w:val="nTable"/>
              <w:spacing w:after="40"/>
            </w:pPr>
            <w:r>
              <w:t>3 of 1912</w:t>
            </w:r>
            <w:r>
              <w:br/>
              <w:t>(2 Geo. V No. 11)</w:t>
            </w:r>
          </w:p>
        </w:tc>
        <w:tc>
          <w:tcPr>
            <w:tcW w:w="1133" w:type="dxa"/>
            <w:gridSpan w:val="2"/>
          </w:tcPr>
          <w:p>
            <w:pPr>
              <w:pStyle w:val="nTable"/>
              <w:spacing w:after="40"/>
            </w:pPr>
            <w:r>
              <w:t>9 Jan 1912</w:t>
            </w:r>
          </w:p>
        </w:tc>
        <w:tc>
          <w:tcPr>
            <w:tcW w:w="2552" w:type="dxa"/>
            <w:gridSpan w:val="3"/>
          </w:tcPr>
          <w:p>
            <w:pPr>
              <w:pStyle w:val="nTable"/>
              <w:spacing w:after="40"/>
            </w:pPr>
            <w:r>
              <w:t>9 Jan 1912</w:t>
            </w:r>
          </w:p>
        </w:tc>
      </w:tr>
      <w:tr>
        <w:trPr>
          <w:cantSplit/>
        </w:trPr>
        <w:tc>
          <w:tcPr>
            <w:tcW w:w="2259" w:type="dxa"/>
            <w:gridSpan w:val="2"/>
          </w:tcPr>
          <w:p>
            <w:pPr>
              <w:pStyle w:val="nTable"/>
              <w:spacing w:after="40"/>
              <w:ind w:right="170"/>
            </w:pPr>
            <w:r>
              <w:rPr>
                <w:i/>
              </w:rPr>
              <w:t>Health Act Amendment Act 1912</w:t>
            </w:r>
          </w:p>
        </w:tc>
        <w:tc>
          <w:tcPr>
            <w:tcW w:w="1132" w:type="dxa"/>
            <w:gridSpan w:val="2"/>
          </w:tcPr>
          <w:p>
            <w:pPr>
              <w:pStyle w:val="nTable"/>
              <w:spacing w:after="40"/>
            </w:pPr>
            <w:r>
              <w:t>28 of 1912</w:t>
            </w:r>
            <w:r>
              <w:br/>
              <w:t>(3 Geo. V No. 9)</w:t>
            </w:r>
          </w:p>
        </w:tc>
        <w:tc>
          <w:tcPr>
            <w:tcW w:w="1133" w:type="dxa"/>
            <w:gridSpan w:val="2"/>
          </w:tcPr>
          <w:p>
            <w:pPr>
              <w:pStyle w:val="nTable"/>
              <w:spacing w:after="40"/>
            </w:pPr>
            <w:r>
              <w:t>27 Sep 1912</w:t>
            </w:r>
          </w:p>
        </w:tc>
        <w:tc>
          <w:tcPr>
            <w:tcW w:w="2552" w:type="dxa"/>
            <w:gridSpan w:val="3"/>
          </w:tcPr>
          <w:p>
            <w:pPr>
              <w:pStyle w:val="nTable"/>
              <w:spacing w:after="40"/>
            </w:pPr>
            <w:r>
              <w:t>27 Sep 1912</w:t>
            </w:r>
          </w:p>
        </w:tc>
      </w:tr>
      <w:tr>
        <w:trPr>
          <w:cantSplit/>
        </w:trPr>
        <w:tc>
          <w:tcPr>
            <w:tcW w:w="2259" w:type="dxa"/>
            <w:gridSpan w:val="2"/>
          </w:tcPr>
          <w:p>
            <w:pPr>
              <w:pStyle w:val="nTable"/>
              <w:spacing w:after="40"/>
              <w:ind w:right="170"/>
            </w:pPr>
            <w:r>
              <w:rPr>
                <w:i/>
              </w:rPr>
              <w:t>Health Act Amendment Act 1915</w:t>
            </w:r>
          </w:p>
        </w:tc>
        <w:tc>
          <w:tcPr>
            <w:tcW w:w="1132" w:type="dxa"/>
            <w:gridSpan w:val="2"/>
          </w:tcPr>
          <w:p>
            <w:pPr>
              <w:pStyle w:val="nTable"/>
              <w:spacing w:after="40"/>
            </w:pPr>
            <w:r>
              <w:t>55 of 1915</w:t>
            </w:r>
            <w:r>
              <w:br/>
              <w:t>(6 Geo. V No. 22)</w:t>
            </w:r>
          </w:p>
        </w:tc>
        <w:tc>
          <w:tcPr>
            <w:tcW w:w="1133" w:type="dxa"/>
            <w:gridSpan w:val="2"/>
          </w:tcPr>
          <w:p>
            <w:pPr>
              <w:pStyle w:val="nTable"/>
              <w:spacing w:after="40"/>
            </w:pPr>
            <w:r>
              <w:t>8 Dec 1915</w:t>
            </w:r>
          </w:p>
        </w:tc>
        <w:tc>
          <w:tcPr>
            <w:tcW w:w="2552" w:type="dxa"/>
            <w:gridSpan w:val="3"/>
          </w:tcPr>
          <w:p>
            <w:pPr>
              <w:pStyle w:val="nTable"/>
              <w:spacing w:after="40"/>
            </w:pPr>
            <w:r>
              <w:t>8 Dec 1915</w:t>
            </w:r>
          </w:p>
        </w:tc>
      </w:tr>
      <w:tr>
        <w:trPr>
          <w:cantSplit/>
        </w:trPr>
        <w:tc>
          <w:tcPr>
            <w:tcW w:w="2259" w:type="dxa"/>
            <w:gridSpan w:val="2"/>
          </w:tcPr>
          <w:p>
            <w:pPr>
              <w:pStyle w:val="nTable"/>
              <w:spacing w:after="40"/>
              <w:ind w:right="170"/>
            </w:pPr>
            <w:r>
              <w:rPr>
                <w:i/>
              </w:rPr>
              <w:t>Health Act Amendment Act 1918</w:t>
            </w:r>
          </w:p>
        </w:tc>
        <w:tc>
          <w:tcPr>
            <w:tcW w:w="1132" w:type="dxa"/>
            <w:gridSpan w:val="2"/>
          </w:tcPr>
          <w:p>
            <w:pPr>
              <w:pStyle w:val="nTable"/>
              <w:spacing w:after="40"/>
            </w:pPr>
            <w:r>
              <w:t>17 of 1918</w:t>
            </w:r>
            <w:r>
              <w:br/>
              <w:t>(9 Geo. V No. 7)</w:t>
            </w:r>
          </w:p>
        </w:tc>
        <w:tc>
          <w:tcPr>
            <w:tcW w:w="1133" w:type="dxa"/>
            <w:gridSpan w:val="2"/>
          </w:tcPr>
          <w:p>
            <w:pPr>
              <w:pStyle w:val="nTable"/>
              <w:spacing w:after="40"/>
            </w:pPr>
            <w:r>
              <w:t>13 Jun 1918</w:t>
            </w:r>
          </w:p>
        </w:tc>
        <w:tc>
          <w:tcPr>
            <w:tcW w:w="2552" w:type="dxa"/>
            <w:gridSpan w:val="3"/>
          </w:tcPr>
          <w:p>
            <w:pPr>
              <w:pStyle w:val="nTable"/>
              <w:spacing w:after="40"/>
            </w:pPr>
            <w:r>
              <w:t>13 Jun 1918</w:t>
            </w:r>
          </w:p>
        </w:tc>
      </w:tr>
      <w:tr>
        <w:trPr>
          <w:cantSplit/>
        </w:trPr>
        <w:tc>
          <w:tcPr>
            <w:tcW w:w="2259" w:type="dxa"/>
            <w:gridSpan w:val="2"/>
          </w:tcPr>
          <w:p>
            <w:pPr>
              <w:pStyle w:val="nTable"/>
              <w:spacing w:after="40"/>
              <w:ind w:right="170"/>
            </w:pPr>
            <w:r>
              <w:rPr>
                <w:i/>
              </w:rPr>
              <w:t>Health Act Amendment Act 1919</w:t>
            </w:r>
          </w:p>
        </w:tc>
        <w:tc>
          <w:tcPr>
            <w:tcW w:w="1132" w:type="dxa"/>
            <w:gridSpan w:val="2"/>
          </w:tcPr>
          <w:p>
            <w:pPr>
              <w:pStyle w:val="nTable"/>
              <w:spacing w:after="40"/>
            </w:pPr>
            <w:r>
              <w:t>15 of 1919</w:t>
            </w:r>
            <w:r>
              <w:br/>
              <w:t>(10 Geo. V No. 3)</w:t>
            </w:r>
          </w:p>
        </w:tc>
        <w:tc>
          <w:tcPr>
            <w:tcW w:w="1133" w:type="dxa"/>
            <w:gridSpan w:val="2"/>
          </w:tcPr>
          <w:p>
            <w:pPr>
              <w:pStyle w:val="nTable"/>
              <w:spacing w:after="40"/>
            </w:pPr>
            <w:r>
              <w:t>30 Sep 1919</w:t>
            </w:r>
          </w:p>
        </w:tc>
        <w:tc>
          <w:tcPr>
            <w:tcW w:w="2552" w:type="dxa"/>
            <w:gridSpan w:val="3"/>
          </w:tcPr>
          <w:p>
            <w:pPr>
              <w:pStyle w:val="nTable"/>
              <w:spacing w:after="40"/>
            </w:pPr>
            <w:r>
              <w:t>30 Sep 1919</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in Appendix to Session Volume 1919</w:t>
            </w:r>
            <w:r>
              <w:t xml:space="preserve"> (includes amendments listed above)</w:t>
            </w:r>
          </w:p>
        </w:tc>
      </w:tr>
      <w:tr>
        <w:trPr>
          <w:cantSplit/>
        </w:trPr>
        <w:tc>
          <w:tcPr>
            <w:tcW w:w="2259" w:type="dxa"/>
            <w:gridSpan w:val="2"/>
          </w:tcPr>
          <w:p>
            <w:pPr>
              <w:pStyle w:val="nTable"/>
              <w:spacing w:after="40"/>
              <w:ind w:right="170"/>
            </w:pPr>
            <w:r>
              <w:rPr>
                <w:i/>
              </w:rPr>
              <w:t>Health Act Continuation Act 1920</w:t>
            </w:r>
          </w:p>
        </w:tc>
        <w:tc>
          <w:tcPr>
            <w:tcW w:w="1132" w:type="dxa"/>
            <w:gridSpan w:val="2"/>
          </w:tcPr>
          <w:p>
            <w:pPr>
              <w:pStyle w:val="nTable"/>
              <w:spacing w:after="40"/>
            </w:pPr>
            <w:r>
              <w:t>12 of 1920</w:t>
            </w:r>
            <w:r>
              <w:br/>
              <w:t>(11 Geo. V No. 12)</w:t>
            </w:r>
          </w:p>
        </w:tc>
        <w:tc>
          <w:tcPr>
            <w:tcW w:w="1133" w:type="dxa"/>
            <w:gridSpan w:val="2"/>
          </w:tcPr>
          <w:p>
            <w:pPr>
              <w:pStyle w:val="nTable"/>
              <w:spacing w:after="40"/>
            </w:pPr>
            <w:r>
              <w:t>29 Nov 1920</w:t>
            </w:r>
          </w:p>
        </w:tc>
        <w:tc>
          <w:tcPr>
            <w:tcW w:w="2552" w:type="dxa"/>
            <w:gridSpan w:val="3"/>
          </w:tcPr>
          <w:p>
            <w:pPr>
              <w:pStyle w:val="nTable"/>
              <w:spacing w:after="40"/>
            </w:pPr>
            <w:r>
              <w:t>29 Nov 1920</w:t>
            </w:r>
          </w:p>
        </w:tc>
      </w:tr>
      <w:tr>
        <w:trPr>
          <w:cantSplit/>
        </w:trPr>
        <w:tc>
          <w:tcPr>
            <w:tcW w:w="2259" w:type="dxa"/>
            <w:gridSpan w:val="2"/>
          </w:tcPr>
          <w:p>
            <w:pPr>
              <w:pStyle w:val="nTable"/>
              <w:spacing w:after="40"/>
              <w:ind w:right="170"/>
            </w:pPr>
            <w:r>
              <w:rPr>
                <w:i/>
              </w:rPr>
              <w:t>Health Act Amendment Act 1921</w:t>
            </w:r>
          </w:p>
        </w:tc>
        <w:tc>
          <w:tcPr>
            <w:tcW w:w="1132" w:type="dxa"/>
            <w:gridSpan w:val="2"/>
          </w:tcPr>
          <w:p>
            <w:pPr>
              <w:pStyle w:val="nTable"/>
              <w:spacing w:after="40"/>
            </w:pPr>
            <w:r>
              <w:t>5 of 1922</w:t>
            </w:r>
            <w:r>
              <w:br/>
              <w:t>(12 Geo. V No. 39)</w:t>
            </w:r>
          </w:p>
        </w:tc>
        <w:tc>
          <w:tcPr>
            <w:tcW w:w="1133" w:type="dxa"/>
            <w:gridSpan w:val="2"/>
          </w:tcPr>
          <w:p>
            <w:pPr>
              <w:pStyle w:val="nTable"/>
              <w:spacing w:after="40"/>
            </w:pPr>
            <w:r>
              <w:t>31 Jan 1922</w:t>
            </w:r>
          </w:p>
        </w:tc>
        <w:tc>
          <w:tcPr>
            <w:tcW w:w="2552" w:type="dxa"/>
            <w:gridSpan w:val="3"/>
          </w:tcPr>
          <w:p>
            <w:pPr>
              <w:pStyle w:val="nTable"/>
              <w:spacing w:after="40"/>
            </w:pPr>
            <w:r>
              <w:t>31 Jan 1922</w:t>
            </w:r>
          </w:p>
        </w:tc>
      </w:tr>
      <w:tr>
        <w:trPr>
          <w:cantSplit/>
        </w:trPr>
        <w:tc>
          <w:tcPr>
            <w:tcW w:w="2259" w:type="dxa"/>
            <w:gridSpan w:val="2"/>
          </w:tcPr>
          <w:p>
            <w:pPr>
              <w:pStyle w:val="nTable"/>
              <w:spacing w:after="40"/>
              <w:ind w:right="170"/>
            </w:pPr>
            <w:r>
              <w:rPr>
                <w:i/>
              </w:rPr>
              <w:t>Health Act Amendment Act 1926</w:t>
            </w:r>
          </w:p>
        </w:tc>
        <w:tc>
          <w:tcPr>
            <w:tcW w:w="1132" w:type="dxa"/>
            <w:gridSpan w:val="2"/>
          </w:tcPr>
          <w:p>
            <w:pPr>
              <w:pStyle w:val="nTable"/>
              <w:spacing w:after="40"/>
            </w:pPr>
            <w:r>
              <w:t>50 of 1926</w:t>
            </w:r>
            <w:r>
              <w:br/>
              <w:t>(17 Geo. V No. 50)</w:t>
            </w:r>
          </w:p>
        </w:tc>
        <w:tc>
          <w:tcPr>
            <w:tcW w:w="1133" w:type="dxa"/>
            <w:gridSpan w:val="2"/>
          </w:tcPr>
          <w:p>
            <w:pPr>
              <w:pStyle w:val="nTable"/>
              <w:spacing w:after="40"/>
            </w:pPr>
            <w:r>
              <w:t>24 Dec 1926</w:t>
            </w:r>
          </w:p>
        </w:tc>
        <w:tc>
          <w:tcPr>
            <w:tcW w:w="2552" w:type="dxa"/>
            <w:gridSpan w:val="3"/>
          </w:tcPr>
          <w:p>
            <w:pPr>
              <w:pStyle w:val="nTable"/>
              <w:spacing w:after="40"/>
            </w:pPr>
            <w:r>
              <w:t>24 Dec 1926</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in Appendix to Session Volume 1931</w:t>
            </w:r>
            <w:r>
              <w:t xml:space="preserve"> (includes amendments listed above)</w:t>
            </w:r>
          </w:p>
        </w:tc>
      </w:tr>
      <w:tr>
        <w:trPr>
          <w:cantSplit/>
        </w:trPr>
        <w:tc>
          <w:tcPr>
            <w:tcW w:w="2259" w:type="dxa"/>
            <w:gridSpan w:val="2"/>
          </w:tcPr>
          <w:p>
            <w:pPr>
              <w:pStyle w:val="nTable"/>
              <w:spacing w:after="40"/>
              <w:ind w:right="170"/>
            </w:pPr>
            <w:r>
              <w:rPr>
                <w:i/>
              </w:rPr>
              <w:t>Health Act Amendment Act 1932</w:t>
            </w:r>
          </w:p>
        </w:tc>
        <w:tc>
          <w:tcPr>
            <w:tcW w:w="1132" w:type="dxa"/>
            <w:gridSpan w:val="2"/>
          </w:tcPr>
          <w:p>
            <w:pPr>
              <w:pStyle w:val="nTable"/>
              <w:spacing w:after="40"/>
            </w:pPr>
            <w:r>
              <w:t>30 of 1932</w:t>
            </w:r>
            <w:r>
              <w:br/>
              <w:t>(23 Geo. V No. 30)</w:t>
            </w:r>
          </w:p>
        </w:tc>
        <w:tc>
          <w:tcPr>
            <w:tcW w:w="1133" w:type="dxa"/>
            <w:gridSpan w:val="2"/>
          </w:tcPr>
          <w:p>
            <w:pPr>
              <w:pStyle w:val="nTable"/>
              <w:spacing w:after="40"/>
            </w:pPr>
            <w:r>
              <w:t>30 Dec 1932</w:t>
            </w:r>
          </w:p>
        </w:tc>
        <w:tc>
          <w:tcPr>
            <w:tcW w:w="2552" w:type="dxa"/>
            <w:gridSpan w:val="3"/>
          </w:tcPr>
          <w:p>
            <w:pPr>
              <w:pStyle w:val="nTable"/>
              <w:spacing w:after="40"/>
            </w:pPr>
            <w:r>
              <w:t>30 Dec 1932</w:t>
            </w:r>
          </w:p>
        </w:tc>
      </w:tr>
      <w:tr>
        <w:trPr>
          <w:cantSplit/>
        </w:trPr>
        <w:tc>
          <w:tcPr>
            <w:tcW w:w="2259" w:type="dxa"/>
            <w:gridSpan w:val="2"/>
          </w:tcPr>
          <w:p>
            <w:pPr>
              <w:pStyle w:val="nTable"/>
              <w:spacing w:after="40"/>
              <w:ind w:right="170"/>
            </w:pPr>
            <w:r>
              <w:rPr>
                <w:i/>
              </w:rPr>
              <w:t>Health Act Amendment Act 1933</w:t>
            </w:r>
          </w:p>
        </w:tc>
        <w:tc>
          <w:tcPr>
            <w:tcW w:w="1132" w:type="dxa"/>
            <w:gridSpan w:val="2"/>
          </w:tcPr>
          <w:p>
            <w:pPr>
              <w:pStyle w:val="nTable"/>
              <w:spacing w:after="40"/>
            </w:pPr>
            <w:r>
              <w:t>5 of 1933</w:t>
            </w:r>
            <w:r>
              <w:br/>
              <w:t>(24 Geo. V No. 5)</w:t>
            </w:r>
          </w:p>
        </w:tc>
        <w:tc>
          <w:tcPr>
            <w:tcW w:w="1133" w:type="dxa"/>
            <w:gridSpan w:val="2"/>
          </w:tcPr>
          <w:p>
            <w:pPr>
              <w:pStyle w:val="nTable"/>
              <w:spacing w:after="40"/>
            </w:pPr>
            <w:r>
              <w:t>2 Oct 1933</w:t>
            </w:r>
          </w:p>
        </w:tc>
        <w:tc>
          <w:tcPr>
            <w:tcW w:w="2552" w:type="dxa"/>
            <w:gridSpan w:val="3"/>
          </w:tcPr>
          <w:p>
            <w:pPr>
              <w:pStyle w:val="nTable"/>
              <w:spacing w:after="40"/>
            </w:pPr>
            <w:r>
              <w:t>2 Oct 1933</w:t>
            </w:r>
          </w:p>
        </w:tc>
      </w:tr>
      <w:tr>
        <w:trPr>
          <w:cantSplit/>
        </w:trPr>
        <w:tc>
          <w:tcPr>
            <w:tcW w:w="2259" w:type="dxa"/>
            <w:gridSpan w:val="2"/>
          </w:tcPr>
          <w:p>
            <w:pPr>
              <w:pStyle w:val="nTable"/>
              <w:spacing w:after="40"/>
              <w:ind w:right="170"/>
            </w:pPr>
            <w:r>
              <w:rPr>
                <w:i/>
              </w:rPr>
              <w:t>Health Act Amendment Act 1933 (No. 2)</w:t>
            </w:r>
          </w:p>
        </w:tc>
        <w:tc>
          <w:tcPr>
            <w:tcW w:w="1132" w:type="dxa"/>
            <w:gridSpan w:val="2"/>
          </w:tcPr>
          <w:p>
            <w:pPr>
              <w:pStyle w:val="nTable"/>
              <w:spacing w:after="40"/>
            </w:pPr>
            <w:r>
              <w:t>38 of 1933</w:t>
            </w:r>
            <w:r>
              <w:br/>
              <w:t>(24 Geo. V No. 38)</w:t>
            </w:r>
            <w:r>
              <w:br/>
              <w:t>(as amended by No. 16 of 1935)</w:t>
            </w:r>
          </w:p>
        </w:tc>
        <w:tc>
          <w:tcPr>
            <w:tcW w:w="1133" w:type="dxa"/>
            <w:gridSpan w:val="2"/>
          </w:tcPr>
          <w:p>
            <w:pPr>
              <w:pStyle w:val="nTable"/>
              <w:spacing w:after="40"/>
            </w:pPr>
            <w:r>
              <w:t>4 Jan 1934</w:t>
            </w:r>
          </w:p>
        </w:tc>
        <w:tc>
          <w:tcPr>
            <w:tcW w:w="2552" w:type="dxa"/>
            <w:gridSpan w:val="3"/>
          </w:tcPr>
          <w:p>
            <w:pPr>
              <w:pStyle w:val="nTable"/>
              <w:spacing w:after="40"/>
            </w:pPr>
            <w:r>
              <w:t>4 Jan 1934</w:t>
            </w:r>
          </w:p>
        </w:tc>
      </w:tr>
      <w:tr>
        <w:trPr>
          <w:cantSplit/>
        </w:trPr>
        <w:tc>
          <w:tcPr>
            <w:tcW w:w="2259" w:type="dxa"/>
            <w:gridSpan w:val="2"/>
          </w:tcPr>
          <w:p>
            <w:pPr>
              <w:pStyle w:val="nTable"/>
              <w:spacing w:after="40"/>
              <w:ind w:right="170"/>
            </w:pPr>
            <w:r>
              <w:rPr>
                <w:i/>
              </w:rPr>
              <w:t>Health Act Amendment Act 1937</w:t>
            </w:r>
          </w:p>
        </w:tc>
        <w:tc>
          <w:tcPr>
            <w:tcW w:w="1132" w:type="dxa"/>
            <w:gridSpan w:val="2"/>
          </w:tcPr>
          <w:p>
            <w:pPr>
              <w:pStyle w:val="nTable"/>
              <w:spacing w:after="40"/>
            </w:pPr>
            <w:r>
              <w:t>32 of 1937</w:t>
            </w:r>
            <w:r>
              <w:br/>
              <w:t>(1 and 2 Geo. VI No. 32)</w:t>
            </w:r>
          </w:p>
        </w:tc>
        <w:tc>
          <w:tcPr>
            <w:tcW w:w="1133" w:type="dxa"/>
            <w:gridSpan w:val="2"/>
          </w:tcPr>
          <w:p>
            <w:pPr>
              <w:pStyle w:val="nTable"/>
              <w:spacing w:after="40"/>
            </w:pPr>
            <w:r>
              <w:t>18 Jan 1938</w:t>
            </w:r>
          </w:p>
        </w:tc>
        <w:tc>
          <w:tcPr>
            <w:tcW w:w="2552" w:type="dxa"/>
            <w:gridSpan w:val="3"/>
          </w:tcPr>
          <w:p>
            <w:pPr>
              <w:pStyle w:val="nTable"/>
              <w:spacing w:after="40"/>
            </w:pPr>
            <w:r>
              <w:t>18 Jan 1938</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in Volume 1 of Reprinted Acts </w:t>
            </w:r>
            <w:r>
              <w:t>(includes amendments listed above)</w:t>
            </w:r>
          </w:p>
        </w:tc>
      </w:tr>
      <w:tr>
        <w:trPr>
          <w:cantSplit/>
        </w:trPr>
        <w:tc>
          <w:tcPr>
            <w:tcW w:w="2259" w:type="dxa"/>
            <w:gridSpan w:val="2"/>
          </w:tcPr>
          <w:p>
            <w:pPr>
              <w:pStyle w:val="nTable"/>
              <w:spacing w:after="40"/>
              <w:ind w:right="170"/>
            </w:pPr>
            <w:r>
              <w:rPr>
                <w:i/>
              </w:rPr>
              <w:t>Health Act Amendment Act 1942</w:t>
            </w:r>
          </w:p>
        </w:tc>
        <w:tc>
          <w:tcPr>
            <w:tcW w:w="1132" w:type="dxa"/>
            <w:gridSpan w:val="2"/>
          </w:tcPr>
          <w:p>
            <w:pPr>
              <w:pStyle w:val="nTable"/>
              <w:spacing w:after="40"/>
            </w:pPr>
            <w:r>
              <w:t>34 of 1942</w:t>
            </w:r>
            <w:r>
              <w:br/>
              <w:t>(6 and 7 Geo. VI No. 34)</w:t>
            </w:r>
          </w:p>
        </w:tc>
        <w:tc>
          <w:tcPr>
            <w:tcW w:w="1133" w:type="dxa"/>
            <w:gridSpan w:val="2"/>
          </w:tcPr>
          <w:p>
            <w:pPr>
              <w:pStyle w:val="nTable"/>
              <w:spacing w:after="40"/>
            </w:pPr>
            <w:r>
              <w:t>23 Dec 1942</w:t>
            </w:r>
          </w:p>
        </w:tc>
        <w:tc>
          <w:tcPr>
            <w:tcW w:w="2552" w:type="dxa"/>
            <w:gridSpan w:val="3"/>
          </w:tcPr>
          <w:p>
            <w:pPr>
              <w:pStyle w:val="nTable"/>
              <w:spacing w:after="40"/>
            </w:pPr>
            <w:r>
              <w:t>23 Dec 1942</w:t>
            </w:r>
          </w:p>
        </w:tc>
      </w:tr>
      <w:tr>
        <w:trPr>
          <w:cantSplit/>
        </w:trPr>
        <w:tc>
          <w:tcPr>
            <w:tcW w:w="2259" w:type="dxa"/>
            <w:gridSpan w:val="2"/>
          </w:tcPr>
          <w:p>
            <w:pPr>
              <w:pStyle w:val="nTable"/>
              <w:spacing w:after="40"/>
              <w:ind w:right="170"/>
            </w:pPr>
            <w:r>
              <w:rPr>
                <w:i/>
              </w:rPr>
              <w:t>Nurses Registration Act Amendment Act 1944</w:t>
            </w:r>
            <w:r>
              <w:t xml:space="preserve"> s. 12</w:t>
            </w:r>
          </w:p>
        </w:tc>
        <w:tc>
          <w:tcPr>
            <w:tcW w:w="1132" w:type="dxa"/>
            <w:gridSpan w:val="2"/>
          </w:tcPr>
          <w:p>
            <w:pPr>
              <w:pStyle w:val="nTable"/>
              <w:spacing w:after="40"/>
            </w:pPr>
            <w:r>
              <w:t>14 of 1944</w:t>
            </w:r>
            <w:r>
              <w:br/>
              <w:t>(8 Geo. VI No. 14)</w:t>
            </w:r>
          </w:p>
        </w:tc>
        <w:tc>
          <w:tcPr>
            <w:tcW w:w="1133" w:type="dxa"/>
            <w:gridSpan w:val="2"/>
          </w:tcPr>
          <w:p>
            <w:pPr>
              <w:pStyle w:val="nTable"/>
              <w:spacing w:after="40"/>
            </w:pPr>
            <w:r>
              <w:t>8 Dec 1944</w:t>
            </w:r>
          </w:p>
        </w:tc>
        <w:tc>
          <w:tcPr>
            <w:tcW w:w="2552" w:type="dxa"/>
            <w:gridSpan w:val="3"/>
          </w:tcPr>
          <w:p>
            <w:pPr>
              <w:pStyle w:val="nTable"/>
              <w:spacing w:after="40"/>
            </w:pPr>
            <w:r>
              <w:t>8 Dec 1944</w:t>
            </w:r>
          </w:p>
        </w:tc>
      </w:tr>
      <w:tr>
        <w:trPr>
          <w:cantSplit/>
        </w:trPr>
        <w:tc>
          <w:tcPr>
            <w:tcW w:w="2259" w:type="dxa"/>
            <w:gridSpan w:val="2"/>
          </w:tcPr>
          <w:p>
            <w:pPr>
              <w:pStyle w:val="nTable"/>
              <w:spacing w:after="40"/>
              <w:ind w:right="170"/>
            </w:pPr>
            <w:r>
              <w:rPr>
                <w:i/>
              </w:rPr>
              <w:t>Health Act Amendment Act 1944</w:t>
            </w:r>
          </w:p>
        </w:tc>
        <w:tc>
          <w:tcPr>
            <w:tcW w:w="1132" w:type="dxa"/>
            <w:gridSpan w:val="2"/>
          </w:tcPr>
          <w:p>
            <w:pPr>
              <w:pStyle w:val="nTable"/>
              <w:spacing w:after="40"/>
            </w:pPr>
            <w:r>
              <w:t>21 of 1944</w:t>
            </w:r>
            <w:r>
              <w:br/>
              <w:t>(8 and 9 Geo. VI No. 21)</w:t>
            </w:r>
          </w:p>
        </w:tc>
        <w:tc>
          <w:tcPr>
            <w:tcW w:w="1133" w:type="dxa"/>
            <w:gridSpan w:val="2"/>
          </w:tcPr>
          <w:p>
            <w:pPr>
              <w:pStyle w:val="nTable"/>
              <w:spacing w:after="40"/>
            </w:pPr>
            <w:r>
              <w:t>23 Dec 1944</w:t>
            </w:r>
          </w:p>
        </w:tc>
        <w:tc>
          <w:tcPr>
            <w:tcW w:w="2552" w:type="dxa"/>
            <w:gridSpan w:val="3"/>
          </w:tcPr>
          <w:p>
            <w:pPr>
              <w:pStyle w:val="nTable"/>
              <w:spacing w:after="40"/>
            </w:pPr>
            <w:r>
              <w:t>23 Dec 1944</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not in a Volume </w:t>
            </w:r>
            <w:r>
              <w:t>(includes amendments listed above)</w:t>
            </w:r>
          </w:p>
        </w:tc>
      </w:tr>
      <w:tr>
        <w:trPr>
          <w:cantSplit/>
        </w:trPr>
        <w:tc>
          <w:tcPr>
            <w:tcW w:w="2259" w:type="dxa"/>
            <w:gridSpan w:val="2"/>
          </w:tcPr>
          <w:p>
            <w:pPr>
              <w:pStyle w:val="nTable"/>
              <w:spacing w:after="40"/>
              <w:ind w:right="170"/>
            </w:pPr>
            <w:r>
              <w:rPr>
                <w:i/>
              </w:rPr>
              <w:t>Health Act Amendment Act 1948</w:t>
            </w:r>
          </w:p>
        </w:tc>
        <w:tc>
          <w:tcPr>
            <w:tcW w:w="1132" w:type="dxa"/>
            <w:gridSpan w:val="2"/>
          </w:tcPr>
          <w:p>
            <w:pPr>
              <w:pStyle w:val="nTable"/>
              <w:spacing w:after="40"/>
            </w:pPr>
            <w:r>
              <w:t>22 of 1948</w:t>
            </w:r>
            <w:r>
              <w:br/>
              <w:t>(12 Geo. VI No. 22)</w:t>
            </w:r>
          </w:p>
        </w:tc>
        <w:tc>
          <w:tcPr>
            <w:tcW w:w="1133" w:type="dxa"/>
            <w:gridSpan w:val="2"/>
          </w:tcPr>
          <w:p>
            <w:pPr>
              <w:pStyle w:val="nTable"/>
              <w:spacing w:after="40"/>
            </w:pPr>
            <w:r>
              <w:t>18 Nov 1948</w:t>
            </w:r>
          </w:p>
        </w:tc>
        <w:tc>
          <w:tcPr>
            <w:tcW w:w="2552" w:type="dxa"/>
            <w:gridSpan w:val="3"/>
          </w:tcPr>
          <w:p>
            <w:pPr>
              <w:pStyle w:val="nTable"/>
              <w:spacing w:after="40"/>
            </w:pPr>
            <w:r>
              <w:t>18 Nov 1948</w:t>
            </w:r>
          </w:p>
        </w:tc>
      </w:tr>
      <w:tr>
        <w:trPr>
          <w:cantSplit/>
        </w:trPr>
        <w:tc>
          <w:tcPr>
            <w:tcW w:w="2259" w:type="dxa"/>
            <w:gridSpan w:val="2"/>
          </w:tcPr>
          <w:p>
            <w:pPr>
              <w:pStyle w:val="nTable"/>
              <w:spacing w:after="40"/>
              <w:ind w:right="170"/>
            </w:pPr>
            <w:r>
              <w:rPr>
                <w:i/>
              </w:rPr>
              <w:t>Health Act Amendment Act (No. 2) 1948</w:t>
            </w:r>
          </w:p>
        </w:tc>
        <w:tc>
          <w:tcPr>
            <w:tcW w:w="1132" w:type="dxa"/>
            <w:gridSpan w:val="2"/>
          </w:tcPr>
          <w:p>
            <w:pPr>
              <w:pStyle w:val="nTable"/>
              <w:spacing w:after="40"/>
            </w:pPr>
            <w:r>
              <w:t>70 of 1948</w:t>
            </w:r>
            <w:r>
              <w:br/>
              <w:t>(12 and 13 Geo. VI No. 70)</w:t>
            </w:r>
          </w:p>
        </w:tc>
        <w:tc>
          <w:tcPr>
            <w:tcW w:w="1133" w:type="dxa"/>
            <w:gridSpan w:val="2"/>
          </w:tcPr>
          <w:p>
            <w:pPr>
              <w:pStyle w:val="nTable"/>
              <w:spacing w:after="40"/>
            </w:pPr>
            <w:r>
              <w:t>21 Jan 1949</w:t>
            </w:r>
          </w:p>
        </w:tc>
        <w:tc>
          <w:tcPr>
            <w:tcW w:w="2552" w:type="dxa"/>
            <w:gridSpan w:val="3"/>
          </w:tcPr>
          <w:p>
            <w:pPr>
              <w:pStyle w:val="nTable"/>
              <w:spacing w:after="40"/>
            </w:pPr>
            <w:r>
              <w:t>21 Jan 1949</w:t>
            </w:r>
          </w:p>
        </w:tc>
      </w:tr>
      <w:tr>
        <w:tc>
          <w:tcPr>
            <w:tcW w:w="2259" w:type="dxa"/>
            <w:gridSpan w:val="2"/>
          </w:tcPr>
          <w:p>
            <w:pPr>
              <w:pStyle w:val="nTable"/>
              <w:keepNext/>
              <w:spacing w:after="40"/>
              <w:ind w:right="170"/>
            </w:pPr>
            <w:r>
              <w:rPr>
                <w:i/>
              </w:rPr>
              <w:t>Health Act Amendment Act (No. 3) 1948</w:t>
            </w:r>
          </w:p>
        </w:tc>
        <w:tc>
          <w:tcPr>
            <w:tcW w:w="1132" w:type="dxa"/>
            <w:gridSpan w:val="2"/>
          </w:tcPr>
          <w:p>
            <w:pPr>
              <w:pStyle w:val="nTable"/>
              <w:keepNext/>
              <w:spacing w:after="40"/>
            </w:pPr>
            <w:r>
              <w:t>71 of 1948</w:t>
            </w:r>
            <w:r>
              <w:br/>
              <w:t>(12 and 13 Geo. VI No. 71)</w:t>
            </w:r>
          </w:p>
        </w:tc>
        <w:tc>
          <w:tcPr>
            <w:tcW w:w="1133" w:type="dxa"/>
            <w:gridSpan w:val="2"/>
          </w:tcPr>
          <w:p>
            <w:pPr>
              <w:pStyle w:val="nTable"/>
              <w:keepNext/>
              <w:spacing w:after="40"/>
            </w:pPr>
            <w:r>
              <w:t>21 Jan 1949</w:t>
            </w:r>
          </w:p>
        </w:tc>
        <w:tc>
          <w:tcPr>
            <w:tcW w:w="2552" w:type="dxa"/>
            <w:gridSpan w:val="3"/>
          </w:tcPr>
          <w:p>
            <w:pPr>
              <w:pStyle w:val="nTable"/>
              <w:keepNext/>
              <w:spacing w:after="40"/>
            </w:pPr>
            <w:r>
              <w:t>21 Jan 1949</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approved 17 Mar 1949 in Volume 3 of Reprinted Acts </w:t>
            </w:r>
            <w:r>
              <w:t>(includes amendments listed above)</w:t>
            </w:r>
          </w:p>
        </w:tc>
      </w:tr>
      <w:tr>
        <w:trPr>
          <w:cantSplit/>
        </w:trPr>
        <w:tc>
          <w:tcPr>
            <w:tcW w:w="2259" w:type="dxa"/>
            <w:gridSpan w:val="2"/>
          </w:tcPr>
          <w:p>
            <w:pPr>
              <w:pStyle w:val="nTable"/>
              <w:spacing w:after="40"/>
              <w:ind w:right="170"/>
            </w:pPr>
            <w:r>
              <w:rPr>
                <w:i/>
              </w:rPr>
              <w:t>Health Act Amendment Act 1950</w:t>
            </w:r>
          </w:p>
        </w:tc>
        <w:tc>
          <w:tcPr>
            <w:tcW w:w="1132" w:type="dxa"/>
            <w:gridSpan w:val="2"/>
          </w:tcPr>
          <w:p>
            <w:pPr>
              <w:pStyle w:val="nTable"/>
              <w:spacing w:after="40"/>
            </w:pPr>
            <w:r>
              <w:t>25 of 1950</w:t>
            </w:r>
            <w:r>
              <w:br/>
              <w:t>(14 Geo. VI No. 25)</w:t>
            </w:r>
          </w:p>
        </w:tc>
        <w:tc>
          <w:tcPr>
            <w:tcW w:w="1133" w:type="dxa"/>
            <w:gridSpan w:val="2"/>
          </w:tcPr>
          <w:p>
            <w:pPr>
              <w:pStyle w:val="nTable"/>
              <w:spacing w:after="40"/>
            </w:pPr>
            <w:r>
              <w:t>5 Dec 1950</w:t>
            </w:r>
          </w:p>
        </w:tc>
        <w:tc>
          <w:tcPr>
            <w:tcW w:w="2552" w:type="dxa"/>
            <w:gridSpan w:val="3"/>
          </w:tcPr>
          <w:p>
            <w:pPr>
              <w:pStyle w:val="nTable"/>
              <w:spacing w:after="40"/>
            </w:pPr>
            <w:r>
              <w:t>5 Dec 1950</w:t>
            </w:r>
          </w:p>
        </w:tc>
      </w:tr>
      <w:tr>
        <w:trPr>
          <w:cantSplit/>
        </w:trPr>
        <w:tc>
          <w:tcPr>
            <w:tcW w:w="2259" w:type="dxa"/>
            <w:gridSpan w:val="2"/>
          </w:tcPr>
          <w:p>
            <w:pPr>
              <w:pStyle w:val="nTable"/>
              <w:spacing w:after="40"/>
              <w:ind w:right="170"/>
            </w:pPr>
            <w:r>
              <w:rPr>
                <w:i/>
              </w:rPr>
              <w:t>Health Act Amendment Act 1952</w:t>
            </w:r>
          </w:p>
        </w:tc>
        <w:tc>
          <w:tcPr>
            <w:tcW w:w="1132" w:type="dxa"/>
            <w:gridSpan w:val="2"/>
          </w:tcPr>
          <w:p>
            <w:pPr>
              <w:pStyle w:val="nTable"/>
              <w:spacing w:after="40"/>
            </w:pPr>
            <w:r>
              <w:t>11 of 1952</w:t>
            </w:r>
            <w:r>
              <w:br/>
              <w:t>(1 Eliz. II No. 11)</w:t>
            </w:r>
          </w:p>
        </w:tc>
        <w:tc>
          <w:tcPr>
            <w:tcW w:w="1133" w:type="dxa"/>
            <w:gridSpan w:val="2"/>
          </w:tcPr>
          <w:p>
            <w:pPr>
              <w:pStyle w:val="nTable"/>
              <w:spacing w:after="40"/>
            </w:pPr>
            <w:r>
              <w:t>4 Nov 1952</w:t>
            </w:r>
          </w:p>
        </w:tc>
        <w:tc>
          <w:tcPr>
            <w:tcW w:w="2552" w:type="dxa"/>
            <w:gridSpan w:val="3"/>
          </w:tcPr>
          <w:p>
            <w:pPr>
              <w:pStyle w:val="nTable"/>
              <w:spacing w:after="40"/>
            </w:pPr>
            <w:r>
              <w:t>4 Nov 1952</w:t>
            </w:r>
          </w:p>
        </w:tc>
      </w:tr>
      <w:tr>
        <w:trPr>
          <w:cantSplit/>
        </w:trPr>
        <w:tc>
          <w:tcPr>
            <w:tcW w:w="2259" w:type="dxa"/>
            <w:gridSpan w:val="2"/>
          </w:tcPr>
          <w:p>
            <w:pPr>
              <w:pStyle w:val="nTable"/>
              <w:spacing w:after="40"/>
              <w:ind w:right="170"/>
            </w:pPr>
            <w:r>
              <w:rPr>
                <w:i/>
              </w:rPr>
              <w:t>Health Act Amendment Act (No. 2) 1952</w:t>
            </w:r>
          </w:p>
        </w:tc>
        <w:tc>
          <w:tcPr>
            <w:tcW w:w="1132" w:type="dxa"/>
            <w:gridSpan w:val="2"/>
          </w:tcPr>
          <w:p>
            <w:pPr>
              <w:pStyle w:val="nTable"/>
              <w:spacing w:after="40"/>
            </w:pPr>
            <w:r>
              <w:t>25 of 1952</w:t>
            </w:r>
            <w:r>
              <w:br/>
              <w:t>(1 Eliz. II No. 25)</w:t>
            </w:r>
          </w:p>
        </w:tc>
        <w:tc>
          <w:tcPr>
            <w:tcW w:w="1133" w:type="dxa"/>
            <w:gridSpan w:val="2"/>
          </w:tcPr>
          <w:p>
            <w:pPr>
              <w:pStyle w:val="nTable"/>
              <w:spacing w:after="40"/>
            </w:pPr>
            <w:r>
              <w:t>28 Nov 1952</w:t>
            </w:r>
          </w:p>
        </w:tc>
        <w:tc>
          <w:tcPr>
            <w:tcW w:w="2552" w:type="dxa"/>
            <w:gridSpan w:val="3"/>
          </w:tcPr>
          <w:p>
            <w:pPr>
              <w:pStyle w:val="nTable"/>
              <w:spacing w:after="40"/>
            </w:pPr>
            <w:r>
              <w:t>28 Nov 1952</w:t>
            </w:r>
          </w:p>
        </w:tc>
      </w:tr>
      <w:tr>
        <w:trPr>
          <w:cantSplit/>
        </w:trPr>
        <w:tc>
          <w:tcPr>
            <w:tcW w:w="2259" w:type="dxa"/>
            <w:gridSpan w:val="2"/>
          </w:tcPr>
          <w:p>
            <w:pPr>
              <w:pStyle w:val="nTable"/>
              <w:spacing w:after="40"/>
              <w:ind w:right="170"/>
            </w:pPr>
            <w:r>
              <w:rPr>
                <w:i/>
              </w:rPr>
              <w:t>Health Act Amendment Act (No. 2) 1954</w:t>
            </w:r>
          </w:p>
        </w:tc>
        <w:tc>
          <w:tcPr>
            <w:tcW w:w="1132" w:type="dxa"/>
            <w:gridSpan w:val="2"/>
          </w:tcPr>
          <w:p>
            <w:pPr>
              <w:pStyle w:val="nTable"/>
              <w:spacing w:after="40"/>
            </w:pPr>
            <w:r>
              <w:t>34 of 1954</w:t>
            </w:r>
            <w:r>
              <w:br/>
              <w:t>(3 Eliz. II No. 34)</w:t>
            </w:r>
          </w:p>
        </w:tc>
        <w:tc>
          <w:tcPr>
            <w:tcW w:w="1133" w:type="dxa"/>
            <w:gridSpan w:val="2"/>
          </w:tcPr>
          <w:p>
            <w:pPr>
              <w:pStyle w:val="nTable"/>
              <w:spacing w:after="40"/>
            </w:pPr>
            <w:r>
              <w:t>18 Nov 1954</w:t>
            </w:r>
          </w:p>
        </w:tc>
        <w:tc>
          <w:tcPr>
            <w:tcW w:w="2552" w:type="dxa"/>
            <w:gridSpan w:val="3"/>
          </w:tcPr>
          <w:p>
            <w:pPr>
              <w:pStyle w:val="nTable"/>
              <w:spacing w:after="40"/>
            </w:pPr>
            <w:r>
              <w:t xml:space="preserve">12 Apr 1957 (see s. 2 and </w:t>
            </w:r>
            <w:r>
              <w:rPr>
                <w:i/>
              </w:rPr>
              <w:t>Gazette</w:t>
            </w:r>
            <w:r>
              <w:t xml:space="preserve"> 12 Apr 1957 p. 1081)</w:t>
            </w:r>
          </w:p>
        </w:tc>
      </w:tr>
      <w:tr>
        <w:trPr>
          <w:cantSplit/>
        </w:trPr>
        <w:tc>
          <w:tcPr>
            <w:tcW w:w="2259" w:type="dxa"/>
            <w:gridSpan w:val="2"/>
          </w:tcPr>
          <w:p>
            <w:pPr>
              <w:pStyle w:val="nTable"/>
              <w:spacing w:after="40"/>
              <w:ind w:right="170"/>
            </w:pPr>
            <w:r>
              <w:rPr>
                <w:i/>
              </w:rPr>
              <w:t>Health Act Amendment Act 1954</w:t>
            </w:r>
          </w:p>
        </w:tc>
        <w:tc>
          <w:tcPr>
            <w:tcW w:w="1132" w:type="dxa"/>
            <w:gridSpan w:val="2"/>
          </w:tcPr>
          <w:p>
            <w:pPr>
              <w:pStyle w:val="nTable"/>
              <w:spacing w:after="40"/>
            </w:pPr>
            <w:r>
              <w:t>45 of 1954</w:t>
            </w:r>
            <w:r>
              <w:br/>
              <w:t>(3 Eliz. II No. 45)</w:t>
            </w:r>
          </w:p>
        </w:tc>
        <w:tc>
          <w:tcPr>
            <w:tcW w:w="1133" w:type="dxa"/>
            <w:gridSpan w:val="2"/>
          </w:tcPr>
          <w:p>
            <w:pPr>
              <w:pStyle w:val="nTable"/>
              <w:spacing w:after="40"/>
            </w:pPr>
            <w:r>
              <w:t>8 Dec 1954</w:t>
            </w:r>
          </w:p>
        </w:tc>
        <w:tc>
          <w:tcPr>
            <w:tcW w:w="2552" w:type="dxa"/>
            <w:gridSpan w:val="3"/>
          </w:tcPr>
          <w:p>
            <w:pPr>
              <w:pStyle w:val="nTable"/>
              <w:spacing w:after="40"/>
            </w:pPr>
            <w:r>
              <w:t>8 Dec 1954</w:t>
            </w:r>
          </w:p>
        </w:tc>
      </w:tr>
      <w:tr>
        <w:trPr>
          <w:cantSplit/>
        </w:trPr>
        <w:tc>
          <w:tcPr>
            <w:tcW w:w="2259" w:type="dxa"/>
            <w:gridSpan w:val="2"/>
          </w:tcPr>
          <w:p>
            <w:pPr>
              <w:pStyle w:val="nTable"/>
              <w:spacing w:after="40"/>
              <w:ind w:right="170"/>
            </w:pPr>
            <w:r>
              <w:rPr>
                <w:i/>
              </w:rPr>
              <w:t xml:space="preserve">Limitation Act 1935 </w:t>
            </w:r>
            <w:r>
              <w:t>s. 48A(1)</w:t>
            </w:r>
          </w:p>
        </w:tc>
        <w:tc>
          <w:tcPr>
            <w:tcW w:w="1132" w:type="dxa"/>
            <w:gridSpan w:val="2"/>
          </w:tcPr>
          <w:p>
            <w:pPr>
              <w:pStyle w:val="nTable"/>
              <w:spacing w:after="40"/>
            </w:pPr>
            <w:r>
              <w:t>35 of 1935</w:t>
            </w:r>
            <w:r>
              <w:br/>
              <w:t>(26 Geo. V No. 35)</w:t>
            </w:r>
            <w:r>
              <w:br/>
              <w:t>(as amended by No. 73 of 1954 s. 8)</w:t>
            </w:r>
          </w:p>
        </w:tc>
        <w:tc>
          <w:tcPr>
            <w:tcW w:w="1133" w:type="dxa"/>
            <w:gridSpan w:val="2"/>
          </w:tcPr>
          <w:p>
            <w:pPr>
              <w:pStyle w:val="nTable"/>
              <w:spacing w:after="40"/>
            </w:pPr>
            <w:r>
              <w:t>14 Jan 1955</w:t>
            </w:r>
          </w:p>
        </w:tc>
        <w:tc>
          <w:tcPr>
            <w:tcW w:w="2552" w:type="dxa"/>
            <w:gridSpan w:val="3"/>
          </w:tcPr>
          <w:p>
            <w:pPr>
              <w:pStyle w:val="nTable"/>
              <w:spacing w:after="40"/>
            </w:pPr>
            <w:r>
              <w:t>Relevant amendments (see s. 48A and Second Sch.</w:t>
            </w:r>
            <w:r>
              <w:rPr>
                <w:vertAlign w:val="superscript"/>
              </w:rPr>
              <w:t xml:space="preserve">  9</w:t>
            </w:r>
            <w:r>
              <w:t>)</w:t>
            </w:r>
            <w:r>
              <w:br/>
              <w:t>took effect on 1 Mar 1955</w:t>
            </w:r>
            <w:r>
              <w:br/>
              <w:t xml:space="preserve">(see s. 2 and </w:t>
            </w:r>
            <w:r>
              <w:rPr>
                <w:i/>
              </w:rPr>
              <w:t>Gazette</w:t>
            </w:r>
            <w:r>
              <w:t xml:space="preserve"> 18 Feb 1955 p. 343) </w:t>
            </w:r>
          </w:p>
        </w:tc>
      </w:tr>
      <w:tr>
        <w:trPr>
          <w:cantSplit/>
        </w:trPr>
        <w:tc>
          <w:tcPr>
            <w:tcW w:w="2259" w:type="dxa"/>
            <w:gridSpan w:val="2"/>
          </w:tcPr>
          <w:p>
            <w:pPr>
              <w:pStyle w:val="nTable"/>
              <w:spacing w:after="40"/>
              <w:ind w:right="170"/>
            </w:pPr>
            <w:r>
              <w:rPr>
                <w:i/>
              </w:rPr>
              <w:t>Health Act Amendment Act 1955</w:t>
            </w:r>
          </w:p>
        </w:tc>
        <w:tc>
          <w:tcPr>
            <w:tcW w:w="1132" w:type="dxa"/>
            <w:gridSpan w:val="2"/>
          </w:tcPr>
          <w:p>
            <w:pPr>
              <w:pStyle w:val="nTable"/>
              <w:spacing w:after="40"/>
            </w:pPr>
            <w:r>
              <w:t>29 of 1955</w:t>
            </w:r>
            <w:r>
              <w:br/>
              <w:t>(4 Eliz. II No. 29)</w:t>
            </w:r>
          </w:p>
        </w:tc>
        <w:tc>
          <w:tcPr>
            <w:tcW w:w="1133" w:type="dxa"/>
            <w:gridSpan w:val="2"/>
          </w:tcPr>
          <w:p>
            <w:pPr>
              <w:pStyle w:val="nTable"/>
              <w:spacing w:after="40"/>
            </w:pPr>
            <w:r>
              <w:t>15 Nov 1955</w:t>
            </w:r>
          </w:p>
        </w:tc>
        <w:tc>
          <w:tcPr>
            <w:tcW w:w="2552" w:type="dxa"/>
            <w:gridSpan w:val="3"/>
          </w:tcPr>
          <w:p>
            <w:pPr>
              <w:pStyle w:val="nTable"/>
              <w:spacing w:after="40"/>
            </w:pPr>
            <w:r>
              <w:t>15 Nov 1955</w:t>
            </w:r>
          </w:p>
        </w:tc>
      </w:tr>
      <w:tr>
        <w:trPr>
          <w:cantSplit/>
        </w:trPr>
        <w:tc>
          <w:tcPr>
            <w:tcW w:w="2259" w:type="dxa"/>
            <w:gridSpan w:val="2"/>
          </w:tcPr>
          <w:p>
            <w:pPr>
              <w:pStyle w:val="nTable"/>
              <w:spacing w:after="40"/>
              <w:ind w:right="170"/>
            </w:pPr>
            <w:r>
              <w:rPr>
                <w:i/>
              </w:rPr>
              <w:t>Health Act Amendment Act 1956</w:t>
            </w:r>
          </w:p>
        </w:tc>
        <w:tc>
          <w:tcPr>
            <w:tcW w:w="1132" w:type="dxa"/>
            <w:gridSpan w:val="2"/>
          </w:tcPr>
          <w:p>
            <w:pPr>
              <w:pStyle w:val="nTable"/>
              <w:spacing w:after="40"/>
            </w:pPr>
            <w:r>
              <w:t>17 of 1956</w:t>
            </w:r>
            <w:r>
              <w:br/>
              <w:t>(5 Eliz. II No. 17)</w:t>
            </w:r>
          </w:p>
        </w:tc>
        <w:tc>
          <w:tcPr>
            <w:tcW w:w="1133" w:type="dxa"/>
            <w:gridSpan w:val="2"/>
          </w:tcPr>
          <w:p>
            <w:pPr>
              <w:pStyle w:val="nTable"/>
              <w:spacing w:after="40"/>
            </w:pPr>
            <w:r>
              <w:t>26 Oct 1956</w:t>
            </w:r>
          </w:p>
        </w:tc>
        <w:tc>
          <w:tcPr>
            <w:tcW w:w="2552" w:type="dxa"/>
            <w:gridSpan w:val="3"/>
          </w:tcPr>
          <w:p>
            <w:pPr>
              <w:pStyle w:val="nTable"/>
              <w:spacing w:after="40"/>
            </w:pPr>
            <w:r>
              <w:t>26 Oct 1956</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approved 5 Jun 1957 in Volume 11 of Reprinted Acts </w:t>
            </w:r>
            <w:r>
              <w:t>(includes amendments listed above)</w:t>
            </w:r>
          </w:p>
        </w:tc>
      </w:tr>
      <w:tr>
        <w:trPr>
          <w:cantSplit/>
        </w:trPr>
        <w:tc>
          <w:tcPr>
            <w:tcW w:w="2259" w:type="dxa"/>
            <w:gridSpan w:val="2"/>
          </w:tcPr>
          <w:p>
            <w:pPr>
              <w:pStyle w:val="nTable"/>
              <w:spacing w:after="40"/>
              <w:ind w:right="170"/>
            </w:pPr>
            <w:r>
              <w:rPr>
                <w:i/>
              </w:rPr>
              <w:t>Health Act Amendment Act 1957</w:t>
            </w:r>
          </w:p>
        </w:tc>
        <w:tc>
          <w:tcPr>
            <w:tcW w:w="1132" w:type="dxa"/>
            <w:gridSpan w:val="2"/>
          </w:tcPr>
          <w:p>
            <w:pPr>
              <w:pStyle w:val="nTable"/>
              <w:spacing w:after="40"/>
            </w:pPr>
            <w:r>
              <w:t>21 of 1957</w:t>
            </w:r>
            <w:r>
              <w:br/>
              <w:t>(6 Eliz. II No. 21)</w:t>
            </w:r>
          </w:p>
        </w:tc>
        <w:tc>
          <w:tcPr>
            <w:tcW w:w="1133" w:type="dxa"/>
            <w:gridSpan w:val="2"/>
          </w:tcPr>
          <w:p>
            <w:pPr>
              <w:pStyle w:val="nTable"/>
              <w:spacing w:after="40"/>
            </w:pPr>
            <w:r>
              <w:t>9 Oct 1957</w:t>
            </w:r>
          </w:p>
        </w:tc>
        <w:tc>
          <w:tcPr>
            <w:tcW w:w="2552" w:type="dxa"/>
            <w:gridSpan w:val="3"/>
          </w:tcPr>
          <w:p>
            <w:pPr>
              <w:pStyle w:val="nTable"/>
              <w:spacing w:after="40"/>
            </w:pPr>
            <w:r>
              <w:t xml:space="preserve">1 Dec 1957 (see s. 2 and </w:t>
            </w:r>
            <w:r>
              <w:rPr>
                <w:i/>
              </w:rPr>
              <w:t>Gazette</w:t>
            </w:r>
            <w:r>
              <w:t xml:space="preserve"> 29 Nov 1957 p. 3445)</w:t>
            </w:r>
          </w:p>
        </w:tc>
      </w:tr>
      <w:tr>
        <w:trPr>
          <w:cantSplit/>
        </w:trPr>
        <w:tc>
          <w:tcPr>
            <w:tcW w:w="2259" w:type="dxa"/>
            <w:gridSpan w:val="2"/>
          </w:tcPr>
          <w:p>
            <w:pPr>
              <w:pStyle w:val="nTable"/>
              <w:spacing w:after="40"/>
              <w:ind w:right="170"/>
            </w:pPr>
            <w:r>
              <w:rPr>
                <w:i/>
              </w:rPr>
              <w:t>Health Act Amendment Act 1959</w:t>
            </w:r>
          </w:p>
        </w:tc>
        <w:tc>
          <w:tcPr>
            <w:tcW w:w="1132" w:type="dxa"/>
            <w:gridSpan w:val="2"/>
          </w:tcPr>
          <w:p>
            <w:pPr>
              <w:pStyle w:val="nTable"/>
              <w:spacing w:after="40"/>
            </w:pPr>
            <w:r>
              <w:t>22 of 1959</w:t>
            </w:r>
            <w:r>
              <w:br/>
              <w:t>(8 Eliz. II No. 22)</w:t>
            </w:r>
          </w:p>
        </w:tc>
        <w:tc>
          <w:tcPr>
            <w:tcW w:w="1133" w:type="dxa"/>
            <w:gridSpan w:val="2"/>
          </w:tcPr>
          <w:p>
            <w:pPr>
              <w:pStyle w:val="nTable"/>
              <w:spacing w:after="40"/>
            </w:pPr>
            <w:r>
              <w:t>8 Oct 1959</w:t>
            </w:r>
          </w:p>
        </w:tc>
        <w:tc>
          <w:tcPr>
            <w:tcW w:w="2552" w:type="dxa"/>
            <w:gridSpan w:val="3"/>
          </w:tcPr>
          <w:p>
            <w:pPr>
              <w:pStyle w:val="nTable"/>
              <w:spacing w:after="40"/>
            </w:pPr>
            <w:r>
              <w:t>8 Oct 1959</w:t>
            </w:r>
          </w:p>
        </w:tc>
      </w:tr>
      <w:tr>
        <w:trPr>
          <w:cantSplit/>
        </w:trPr>
        <w:tc>
          <w:tcPr>
            <w:tcW w:w="2259" w:type="dxa"/>
            <w:gridSpan w:val="2"/>
          </w:tcPr>
          <w:p>
            <w:pPr>
              <w:pStyle w:val="nTable"/>
              <w:spacing w:after="40"/>
              <w:ind w:right="170"/>
            </w:pPr>
            <w:r>
              <w:rPr>
                <w:i/>
              </w:rPr>
              <w:t>Health Act Amendment Act 1960</w:t>
            </w:r>
          </w:p>
        </w:tc>
        <w:tc>
          <w:tcPr>
            <w:tcW w:w="1132" w:type="dxa"/>
            <w:gridSpan w:val="2"/>
          </w:tcPr>
          <w:p>
            <w:pPr>
              <w:pStyle w:val="nTable"/>
              <w:spacing w:after="40"/>
            </w:pPr>
            <w:r>
              <w:t>23 of 1960</w:t>
            </w:r>
            <w:r>
              <w:br/>
              <w:t>(9 Eliz. II No. 23)</w:t>
            </w:r>
          </w:p>
        </w:tc>
        <w:tc>
          <w:tcPr>
            <w:tcW w:w="1133" w:type="dxa"/>
            <w:gridSpan w:val="2"/>
          </w:tcPr>
          <w:p>
            <w:pPr>
              <w:pStyle w:val="nTable"/>
              <w:spacing w:after="40"/>
            </w:pPr>
            <w:r>
              <w:t>11 Oct 1960</w:t>
            </w:r>
          </w:p>
        </w:tc>
        <w:tc>
          <w:tcPr>
            <w:tcW w:w="2552" w:type="dxa"/>
            <w:gridSpan w:val="3"/>
          </w:tcPr>
          <w:p>
            <w:pPr>
              <w:pStyle w:val="nTable"/>
              <w:spacing w:after="40"/>
            </w:pPr>
            <w:r>
              <w:t>11 Oct 1960</w:t>
            </w:r>
          </w:p>
        </w:tc>
      </w:tr>
      <w:tr>
        <w:trPr>
          <w:cantSplit/>
        </w:trPr>
        <w:tc>
          <w:tcPr>
            <w:tcW w:w="2259" w:type="dxa"/>
            <w:gridSpan w:val="2"/>
          </w:tcPr>
          <w:p>
            <w:pPr>
              <w:pStyle w:val="nTable"/>
              <w:spacing w:after="40"/>
              <w:ind w:right="170"/>
            </w:pPr>
            <w:r>
              <w:rPr>
                <w:i/>
              </w:rPr>
              <w:t>Health Act Amendment Act (No. 2) 1960</w:t>
            </w:r>
          </w:p>
        </w:tc>
        <w:tc>
          <w:tcPr>
            <w:tcW w:w="1132" w:type="dxa"/>
            <w:gridSpan w:val="2"/>
          </w:tcPr>
          <w:p>
            <w:pPr>
              <w:pStyle w:val="nTable"/>
              <w:spacing w:after="40"/>
            </w:pPr>
            <w:r>
              <w:t>38 of 1960</w:t>
            </w:r>
            <w:r>
              <w:br/>
              <w:t>(9 Eliz. II No. 38)</w:t>
            </w:r>
          </w:p>
        </w:tc>
        <w:tc>
          <w:tcPr>
            <w:tcW w:w="1133" w:type="dxa"/>
            <w:gridSpan w:val="2"/>
          </w:tcPr>
          <w:p>
            <w:pPr>
              <w:pStyle w:val="nTable"/>
              <w:spacing w:after="40"/>
            </w:pPr>
            <w:r>
              <w:t>3 Nov 1960</w:t>
            </w:r>
          </w:p>
        </w:tc>
        <w:tc>
          <w:tcPr>
            <w:tcW w:w="2552" w:type="dxa"/>
            <w:gridSpan w:val="3"/>
          </w:tcPr>
          <w:p>
            <w:pPr>
              <w:pStyle w:val="nTable"/>
              <w:spacing w:after="40"/>
            </w:pPr>
            <w:r>
              <w:t>3 Nov 1960</w:t>
            </w:r>
          </w:p>
        </w:tc>
      </w:tr>
      <w:tr>
        <w:trPr>
          <w:cantSplit/>
        </w:trPr>
        <w:tc>
          <w:tcPr>
            <w:tcW w:w="2259" w:type="dxa"/>
            <w:gridSpan w:val="2"/>
          </w:tcPr>
          <w:p>
            <w:pPr>
              <w:pStyle w:val="nTable"/>
              <w:spacing w:after="40"/>
              <w:ind w:right="170"/>
            </w:pPr>
            <w:r>
              <w:rPr>
                <w:i/>
              </w:rPr>
              <w:t>Health Act Amendment Act 1962</w:t>
            </w:r>
          </w:p>
        </w:tc>
        <w:tc>
          <w:tcPr>
            <w:tcW w:w="1132" w:type="dxa"/>
            <w:gridSpan w:val="2"/>
          </w:tcPr>
          <w:p>
            <w:pPr>
              <w:pStyle w:val="nTable"/>
              <w:spacing w:after="40"/>
            </w:pPr>
            <w:r>
              <w:t>33 of 1962</w:t>
            </w:r>
            <w:r>
              <w:br/>
              <w:t>(11 Eliz. II No. 33)</w:t>
            </w:r>
          </w:p>
        </w:tc>
        <w:tc>
          <w:tcPr>
            <w:tcW w:w="1133" w:type="dxa"/>
            <w:gridSpan w:val="2"/>
          </w:tcPr>
          <w:p>
            <w:pPr>
              <w:pStyle w:val="nTable"/>
              <w:spacing w:after="40"/>
            </w:pPr>
            <w:r>
              <w:t>29 Oct 1962</w:t>
            </w:r>
          </w:p>
        </w:tc>
        <w:tc>
          <w:tcPr>
            <w:tcW w:w="2552" w:type="dxa"/>
            <w:gridSpan w:val="3"/>
          </w:tcPr>
          <w:p>
            <w:pPr>
              <w:pStyle w:val="nTable"/>
              <w:spacing w:after="40"/>
            </w:pPr>
            <w:r>
              <w:t>29 Oct 1962</w:t>
            </w:r>
          </w:p>
        </w:tc>
      </w:tr>
      <w:tr>
        <w:trPr>
          <w:cantSplit/>
        </w:trPr>
        <w:tc>
          <w:tcPr>
            <w:tcW w:w="2259" w:type="dxa"/>
            <w:gridSpan w:val="2"/>
          </w:tcPr>
          <w:p>
            <w:pPr>
              <w:pStyle w:val="nTable"/>
              <w:spacing w:after="40"/>
              <w:ind w:right="170"/>
            </w:pPr>
            <w:r>
              <w:rPr>
                <w:i/>
              </w:rPr>
              <w:t>Health Act Amendment Act (No. 3) 1962</w:t>
            </w:r>
          </w:p>
        </w:tc>
        <w:tc>
          <w:tcPr>
            <w:tcW w:w="1132" w:type="dxa"/>
            <w:gridSpan w:val="2"/>
          </w:tcPr>
          <w:p>
            <w:pPr>
              <w:pStyle w:val="nTable"/>
              <w:spacing w:after="40"/>
            </w:pPr>
            <w:r>
              <w:t>49 of 1962</w:t>
            </w:r>
            <w:r>
              <w:br/>
              <w:t>(11 Eliz. II No. 49)</w:t>
            </w:r>
          </w:p>
        </w:tc>
        <w:tc>
          <w:tcPr>
            <w:tcW w:w="1133" w:type="dxa"/>
            <w:gridSpan w:val="2"/>
          </w:tcPr>
          <w:p>
            <w:pPr>
              <w:pStyle w:val="nTable"/>
              <w:spacing w:after="40"/>
            </w:pPr>
            <w:r>
              <w:t>20 Nov 1962</w:t>
            </w:r>
          </w:p>
        </w:tc>
        <w:tc>
          <w:tcPr>
            <w:tcW w:w="2552" w:type="dxa"/>
            <w:gridSpan w:val="3"/>
          </w:tcPr>
          <w:p>
            <w:pPr>
              <w:pStyle w:val="nTable"/>
              <w:spacing w:after="40"/>
            </w:pPr>
            <w:r>
              <w:t>20 Nov 1962</w:t>
            </w:r>
          </w:p>
        </w:tc>
      </w:tr>
      <w:tr>
        <w:trPr>
          <w:cantSplit/>
        </w:trPr>
        <w:tc>
          <w:tcPr>
            <w:tcW w:w="2259" w:type="dxa"/>
            <w:gridSpan w:val="2"/>
          </w:tcPr>
          <w:p>
            <w:pPr>
              <w:pStyle w:val="nTable"/>
              <w:spacing w:after="40"/>
              <w:ind w:right="170"/>
            </w:pPr>
            <w:r>
              <w:rPr>
                <w:i/>
              </w:rPr>
              <w:t>Health Act Amendment Act 1964</w:t>
            </w:r>
          </w:p>
        </w:tc>
        <w:tc>
          <w:tcPr>
            <w:tcW w:w="1132" w:type="dxa"/>
            <w:gridSpan w:val="2"/>
          </w:tcPr>
          <w:p>
            <w:pPr>
              <w:pStyle w:val="nTable"/>
              <w:spacing w:after="40"/>
            </w:pPr>
            <w:r>
              <w:t>18 of 1964</w:t>
            </w:r>
            <w:r>
              <w:br/>
              <w:t>(13 Eliz. II No. 18)</w:t>
            </w:r>
          </w:p>
        </w:tc>
        <w:tc>
          <w:tcPr>
            <w:tcW w:w="1133" w:type="dxa"/>
            <w:gridSpan w:val="2"/>
          </w:tcPr>
          <w:p>
            <w:pPr>
              <w:pStyle w:val="nTable"/>
              <w:spacing w:after="40"/>
            </w:pPr>
            <w:r>
              <w:t>8 Oct 1964</w:t>
            </w:r>
          </w:p>
        </w:tc>
        <w:tc>
          <w:tcPr>
            <w:tcW w:w="2552" w:type="dxa"/>
            <w:gridSpan w:val="3"/>
          </w:tcPr>
          <w:p>
            <w:pPr>
              <w:pStyle w:val="nTable"/>
              <w:spacing w:after="40"/>
            </w:pPr>
            <w:r>
              <w:t>8 Oct 1964</w:t>
            </w:r>
          </w:p>
        </w:tc>
      </w:tr>
      <w:tr>
        <w:trPr>
          <w:cantSplit/>
        </w:trPr>
        <w:tc>
          <w:tcPr>
            <w:tcW w:w="2259" w:type="dxa"/>
            <w:gridSpan w:val="2"/>
          </w:tcPr>
          <w:p>
            <w:pPr>
              <w:pStyle w:val="nTable"/>
              <w:spacing w:after="40"/>
              <w:ind w:right="170"/>
            </w:pPr>
            <w:r>
              <w:rPr>
                <w:i/>
              </w:rPr>
              <w:t>Health Act Amendment Act 1965</w:t>
            </w:r>
          </w:p>
        </w:tc>
        <w:tc>
          <w:tcPr>
            <w:tcW w:w="1132" w:type="dxa"/>
            <w:gridSpan w:val="2"/>
          </w:tcPr>
          <w:p>
            <w:pPr>
              <w:pStyle w:val="nTable"/>
              <w:spacing w:after="40"/>
            </w:pPr>
            <w:r>
              <w:t>8 of 1965</w:t>
            </w:r>
          </w:p>
        </w:tc>
        <w:tc>
          <w:tcPr>
            <w:tcW w:w="1133" w:type="dxa"/>
            <w:gridSpan w:val="2"/>
          </w:tcPr>
          <w:p>
            <w:pPr>
              <w:pStyle w:val="nTable"/>
              <w:spacing w:after="40"/>
            </w:pPr>
            <w:r>
              <w:t>15 Sep 1965</w:t>
            </w:r>
          </w:p>
        </w:tc>
        <w:tc>
          <w:tcPr>
            <w:tcW w:w="2552" w:type="dxa"/>
            <w:gridSpan w:val="3"/>
          </w:tcPr>
          <w:p>
            <w:pPr>
              <w:pStyle w:val="nTable"/>
              <w:spacing w:after="40"/>
            </w:pPr>
            <w:r>
              <w:t>15 Sep 1965</w:t>
            </w:r>
          </w:p>
        </w:tc>
      </w:tr>
      <w:tr>
        <w:trPr>
          <w:cantSplit/>
        </w:trPr>
        <w:tc>
          <w:tcPr>
            <w:tcW w:w="2259" w:type="dxa"/>
            <w:gridSpan w:val="2"/>
          </w:tcPr>
          <w:p>
            <w:pPr>
              <w:pStyle w:val="nTable"/>
              <w:spacing w:after="40"/>
              <w:ind w:right="170"/>
            </w:pPr>
            <w:r>
              <w:rPr>
                <w:i/>
              </w:rPr>
              <w:t>Decimal Currency Act 1965</w:t>
            </w:r>
          </w:p>
        </w:tc>
        <w:tc>
          <w:tcPr>
            <w:tcW w:w="1132" w:type="dxa"/>
            <w:gridSpan w:val="2"/>
          </w:tcPr>
          <w:p>
            <w:pPr>
              <w:pStyle w:val="nTable"/>
              <w:spacing w:after="40"/>
            </w:pPr>
            <w:r>
              <w:t>113 of 1965</w:t>
            </w:r>
          </w:p>
        </w:tc>
        <w:tc>
          <w:tcPr>
            <w:tcW w:w="1133" w:type="dxa"/>
            <w:gridSpan w:val="2"/>
          </w:tcPr>
          <w:p>
            <w:pPr>
              <w:pStyle w:val="nTable"/>
              <w:spacing w:after="40"/>
            </w:pPr>
            <w:r>
              <w:t>21 Dec 1965</w:t>
            </w:r>
          </w:p>
        </w:tc>
        <w:tc>
          <w:tcPr>
            <w:tcW w:w="2552" w:type="dxa"/>
            <w:gridSpan w:val="3"/>
          </w:tcPr>
          <w:p>
            <w:pPr>
              <w:pStyle w:val="nTable"/>
              <w:spacing w:after="40"/>
            </w:pPr>
            <w:r>
              <w:t>Act other than s. 4-9: 21 Dec 1965 (see s. 2(1));</w:t>
            </w:r>
            <w:r>
              <w:br/>
              <w:t>s. 4-9: 14 Feb 1966 (see s. 2(2))</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approved 1 Jun 1966 in Volume 19 of Reprinted Acts </w:t>
            </w:r>
            <w:r>
              <w:t>(includes amendments listed above)</w:t>
            </w:r>
          </w:p>
        </w:tc>
      </w:tr>
      <w:tr>
        <w:trPr>
          <w:cantSplit/>
        </w:trPr>
        <w:tc>
          <w:tcPr>
            <w:tcW w:w="2259" w:type="dxa"/>
            <w:gridSpan w:val="2"/>
          </w:tcPr>
          <w:p>
            <w:pPr>
              <w:pStyle w:val="nTable"/>
              <w:spacing w:after="40"/>
              <w:ind w:right="170"/>
            </w:pPr>
            <w:r>
              <w:rPr>
                <w:i/>
              </w:rPr>
              <w:t>Health Act Amendment Act 1966</w:t>
            </w:r>
          </w:p>
        </w:tc>
        <w:tc>
          <w:tcPr>
            <w:tcW w:w="1132" w:type="dxa"/>
            <w:gridSpan w:val="2"/>
          </w:tcPr>
          <w:p>
            <w:pPr>
              <w:pStyle w:val="nTable"/>
              <w:spacing w:after="40"/>
            </w:pPr>
            <w:r>
              <w:t>35 of 1966</w:t>
            </w:r>
          </w:p>
        </w:tc>
        <w:tc>
          <w:tcPr>
            <w:tcW w:w="1133" w:type="dxa"/>
            <w:gridSpan w:val="2"/>
          </w:tcPr>
          <w:p>
            <w:pPr>
              <w:pStyle w:val="nTable"/>
              <w:spacing w:after="40"/>
            </w:pPr>
            <w:r>
              <w:t>31 Oct 1966</w:t>
            </w:r>
          </w:p>
        </w:tc>
        <w:tc>
          <w:tcPr>
            <w:tcW w:w="2552" w:type="dxa"/>
            <w:gridSpan w:val="3"/>
          </w:tcPr>
          <w:p>
            <w:pPr>
              <w:pStyle w:val="nTable"/>
              <w:spacing w:after="40"/>
            </w:pPr>
            <w:r>
              <w:t xml:space="preserve">16 Dec 1966 (see s. 2 and </w:t>
            </w:r>
            <w:r>
              <w:rPr>
                <w:i/>
              </w:rPr>
              <w:t xml:space="preserve">Gazette </w:t>
            </w:r>
            <w:r>
              <w:t>16 Dec 1966 p. 3315)</w:t>
            </w:r>
          </w:p>
        </w:tc>
      </w:tr>
      <w:tr>
        <w:trPr>
          <w:cantSplit/>
        </w:trPr>
        <w:tc>
          <w:tcPr>
            <w:tcW w:w="2259" w:type="dxa"/>
            <w:gridSpan w:val="2"/>
          </w:tcPr>
          <w:p>
            <w:pPr>
              <w:pStyle w:val="nTable"/>
              <w:spacing w:after="40"/>
              <w:ind w:right="170"/>
            </w:pPr>
            <w:r>
              <w:rPr>
                <w:i/>
              </w:rPr>
              <w:t>Health Act Amendment Act 1968</w:t>
            </w:r>
          </w:p>
        </w:tc>
        <w:tc>
          <w:tcPr>
            <w:tcW w:w="1132" w:type="dxa"/>
            <w:gridSpan w:val="2"/>
          </w:tcPr>
          <w:p>
            <w:pPr>
              <w:pStyle w:val="nTable"/>
              <w:spacing w:after="40"/>
            </w:pPr>
            <w:r>
              <w:t>52 of 1968</w:t>
            </w:r>
          </w:p>
        </w:tc>
        <w:tc>
          <w:tcPr>
            <w:tcW w:w="1133" w:type="dxa"/>
            <w:gridSpan w:val="2"/>
          </w:tcPr>
          <w:p>
            <w:pPr>
              <w:pStyle w:val="nTable"/>
              <w:spacing w:after="40"/>
              <w:rPr>
                <w:spacing w:val="-4"/>
              </w:rPr>
            </w:pPr>
            <w:r>
              <w:rPr>
                <w:spacing w:val="-4"/>
              </w:rPr>
              <w:t>12 Nov 1968</w:t>
            </w:r>
          </w:p>
        </w:tc>
        <w:tc>
          <w:tcPr>
            <w:tcW w:w="2552" w:type="dxa"/>
            <w:gridSpan w:val="3"/>
          </w:tcPr>
          <w:p>
            <w:pPr>
              <w:pStyle w:val="nTable"/>
              <w:spacing w:after="40"/>
            </w:pPr>
            <w:r>
              <w:t>12 Nov 1968</w:t>
            </w:r>
          </w:p>
        </w:tc>
      </w:tr>
      <w:tr>
        <w:trPr>
          <w:cantSplit/>
        </w:trPr>
        <w:tc>
          <w:tcPr>
            <w:tcW w:w="2259" w:type="dxa"/>
            <w:gridSpan w:val="2"/>
          </w:tcPr>
          <w:p>
            <w:pPr>
              <w:pStyle w:val="nTable"/>
              <w:spacing w:after="40"/>
              <w:ind w:right="170"/>
            </w:pPr>
            <w:r>
              <w:rPr>
                <w:i/>
              </w:rPr>
              <w:t>Health Act Amendment Act 1970</w:t>
            </w:r>
          </w:p>
        </w:tc>
        <w:tc>
          <w:tcPr>
            <w:tcW w:w="1132" w:type="dxa"/>
            <w:gridSpan w:val="2"/>
          </w:tcPr>
          <w:p>
            <w:pPr>
              <w:pStyle w:val="nTable"/>
              <w:keepNext/>
              <w:keepLines/>
              <w:spacing w:after="40"/>
            </w:pPr>
            <w:r>
              <w:t>24 of 1970</w:t>
            </w:r>
          </w:p>
        </w:tc>
        <w:tc>
          <w:tcPr>
            <w:tcW w:w="1133" w:type="dxa"/>
            <w:gridSpan w:val="2"/>
          </w:tcPr>
          <w:p>
            <w:pPr>
              <w:pStyle w:val="nTable"/>
              <w:keepNext/>
              <w:keepLines/>
              <w:spacing w:after="40"/>
              <w:rPr>
                <w:spacing w:val="-4"/>
              </w:rPr>
            </w:pPr>
            <w:r>
              <w:rPr>
                <w:spacing w:val="-4"/>
              </w:rPr>
              <w:t>20 May 1970</w:t>
            </w:r>
          </w:p>
        </w:tc>
        <w:tc>
          <w:tcPr>
            <w:tcW w:w="2552" w:type="dxa"/>
            <w:gridSpan w:val="3"/>
          </w:tcPr>
          <w:p>
            <w:pPr>
              <w:pStyle w:val="nTable"/>
              <w:keepNext/>
              <w:keepLines/>
              <w:spacing w:after="40"/>
            </w:pPr>
            <w:r>
              <w:t xml:space="preserve">1 Oct 1970 (see s. 2 and </w:t>
            </w:r>
            <w:r>
              <w:rPr>
                <w:i/>
              </w:rPr>
              <w:t>Gazette</w:t>
            </w:r>
            <w:r>
              <w:t xml:space="preserve"> 25 Sep 1970 p. 3015)</w:t>
            </w:r>
          </w:p>
        </w:tc>
      </w:tr>
      <w:tr>
        <w:trPr>
          <w:cantSplit/>
        </w:trPr>
        <w:tc>
          <w:tcPr>
            <w:tcW w:w="2259" w:type="dxa"/>
            <w:gridSpan w:val="2"/>
          </w:tcPr>
          <w:p>
            <w:pPr>
              <w:pStyle w:val="nTable"/>
              <w:spacing w:after="40"/>
              <w:ind w:right="170"/>
            </w:pPr>
            <w:r>
              <w:rPr>
                <w:i/>
              </w:rPr>
              <w:t>Age of Majority Act 1972</w:t>
            </w:r>
            <w:r>
              <w:t xml:space="preserve"> s. 6(2)</w:t>
            </w:r>
          </w:p>
        </w:tc>
        <w:tc>
          <w:tcPr>
            <w:tcW w:w="1132" w:type="dxa"/>
            <w:gridSpan w:val="2"/>
          </w:tcPr>
          <w:p>
            <w:pPr>
              <w:pStyle w:val="nTable"/>
              <w:spacing w:after="40"/>
            </w:pPr>
            <w:r>
              <w:t>46 of 1972</w:t>
            </w:r>
          </w:p>
        </w:tc>
        <w:tc>
          <w:tcPr>
            <w:tcW w:w="1133" w:type="dxa"/>
            <w:gridSpan w:val="2"/>
          </w:tcPr>
          <w:p>
            <w:pPr>
              <w:pStyle w:val="nTable"/>
              <w:spacing w:after="40"/>
            </w:pPr>
            <w:r>
              <w:t>18 Sep 1972</w:t>
            </w:r>
          </w:p>
        </w:tc>
        <w:tc>
          <w:tcPr>
            <w:tcW w:w="2552" w:type="dxa"/>
            <w:gridSpan w:val="3"/>
          </w:tcPr>
          <w:p>
            <w:pPr>
              <w:pStyle w:val="nTable"/>
              <w:spacing w:after="40"/>
            </w:pPr>
            <w:r>
              <w:t xml:space="preserve">1 Nov 1972 (see s. 2 and </w:t>
            </w:r>
            <w:r>
              <w:rPr>
                <w:i/>
              </w:rPr>
              <w:t>Gazette</w:t>
            </w:r>
            <w:r>
              <w:t xml:space="preserve"> 13 Oct 1972 p. 4069)</w:t>
            </w:r>
          </w:p>
        </w:tc>
      </w:tr>
      <w:tr>
        <w:tc>
          <w:tcPr>
            <w:tcW w:w="2259" w:type="dxa"/>
            <w:gridSpan w:val="2"/>
          </w:tcPr>
          <w:p>
            <w:pPr>
              <w:pStyle w:val="nTable"/>
              <w:keepNext/>
              <w:spacing w:after="40"/>
              <w:ind w:right="170"/>
            </w:pPr>
            <w:r>
              <w:rPr>
                <w:i/>
              </w:rPr>
              <w:t>Metric Conversion Act 1972</w:t>
            </w:r>
          </w:p>
        </w:tc>
        <w:tc>
          <w:tcPr>
            <w:tcW w:w="1132" w:type="dxa"/>
            <w:gridSpan w:val="2"/>
          </w:tcPr>
          <w:p>
            <w:pPr>
              <w:pStyle w:val="nTable"/>
              <w:keepNext/>
              <w:spacing w:after="40"/>
            </w:pPr>
            <w:r>
              <w:t>94 of 1972 (as amended by No. 19, 83 of 1973 and 42 of 1975)</w:t>
            </w:r>
          </w:p>
        </w:tc>
        <w:tc>
          <w:tcPr>
            <w:tcW w:w="1133" w:type="dxa"/>
            <w:gridSpan w:val="2"/>
            <w:tcBorders>
              <w:bottom w:val="nil"/>
            </w:tcBorders>
          </w:tcPr>
          <w:p>
            <w:pPr>
              <w:pStyle w:val="nTable"/>
              <w:keepNext/>
              <w:spacing w:after="40"/>
            </w:pPr>
            <w:r>
              <w:t>4 Dec 1972</w:t>
            </w:r>
          </w:p>
        </w:tc>
        <w:tc>
          <w:tcPr>
            <w:tcW w:w="2552" w:type="dxa"/>
            <w:gridSpan w:val="3"/>
          </w:tcPr>
          <w:p>
            <w:pPr>
              <w:pStyle w:val="nTable"/>
              <w:keepNext/>
              <w:spacing w:after="40"/>
            </w:pPr>
            <w:r>
              <w:t>Relevant amendments (see Third Sch.</w:t>
            </w:r>
            <w:r>
              <w:rPr>
                <w:vertAlign w:val="superscript"/>
              </w:rPr>
              <w:t> 10</w:t>
            </w:r>
            <w:r>
              <w:t xml:space="preserve">) took effect on 8 Feb 1974 (see s. 4(2) and </w:t>
            </w:r>
            <w:r>
              <w:rPr>
                <w:i/>
              </w:rPr>
              <w:t>Gazette</w:t>
            </w:r>
            <w:r>
              <w:t xml:space="preserve"> 8 Feb 1974 p. 325);</w:t>
            </w:r>
            <w:r>
              <w:br/>
              <w:t>Relevant amendments (see Fourth Sch.</w:t>
            </w:r>
            <w:r>
              <w:rPr>
                <w:vertAlign w:val="superscript"/>
              </w:rPr>
              <w:t> 10</w:t>
            </w:r>
            <w:r>
              <w:t xml:space="preserve">) took effect on 19 Dec 1975 (see s. 4(2) and </w:t>
            </w:r>
            <w:r>
              <w:rPr>
                <w:i/>
              </w:rPr>
              <w:t>Gazette</w:t>
            </w:r>
            <w:r>
              <w:t xml:space="preserve"> 19 Dec 1975 p. 4577)</w:t>
            </w:r>
          </w:p>
        </w:tc>
      </w:tr>
      <w:tr>
        <w:trPr>
          <w:cantSplit/>
        </w:trPr>
        <w:tc>
          <w:tcPr>
            <w:tcW w:w="2259" w:type="dxa"/>
            <w:gridSpan w:val="2"/>
          </w:tcPr>
          <w:p>
            <w:pPr>
              <w:pStyle w:val="nTable"/>
              <w:spacing w:after="40"/>
              <w:ind w:right="170"/>
            </w:pPr>
            <w:r>
              <w:rPr>
                <w:i/>
              </w:rPr>
              <w:t>Health Act Amendment Act 1973</w:t>
            </w:r>
          </w:p>
        </w:tc>
        <w:tc>
          <w:tcPr>
            <w:tcW w:w="1132" w:type="dxa"/>
            <w:gridSpan w:val="2"/>
          </w:tcPr>
          <w:p>
            <w:pPr>
              <w:pStyle w:val="nTable"/>
              <w:spacing w:after="40"/>
            </w:pPr>
            <w:r>
              <w:t>102 of 1973</w:t>
            </w:r>
          </w:p>
        </w:tc>
        <w:tc>
          <w:tcPr>
            <w:tcW w:w="1133" w:type="dxa"/>
            <w:gridSpan w:val="2"/>
          </w:tcPr>
          <w:p>
            <w:pPr>
              <w:pStyle w:val="nTable"/>
              <w:spacing w:after="40"/>
            </w:pPr>
            <w:r>
              <w:t>28 Dec 1973</w:t>
            </w:r>
          </w:p>
        </w:tc>
        <w:tc>
          <w:tcPr>
            <w:tcW w:w="2552" w:type="dxa"/>
            <w:gridSpan w:val="3"/>
          </w:tcPr>
          <w:p>
            <w:pPr>
              <w:pStyle w:val="nTable"/>
              <w:spacing w:after="40"/>
            </w:pPr>
            <w:r>
              <w:t xml:space="preserve">22 Mar 1974 (see s. 2 and </w:t>
            </w:r>
            <w:r>
              <w:rPr>
                <w:i/>
              </w:rPr>
              <w:t>Gazette</w:t>
            </w:r>
            <w:r>
              <w:t xml:space="preserve"> 22 Mar 1974 p. 902)</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approved 14 Apr 1975 </w:t>
            </w:r>
            <w:r>
              <w:t xml:space="preserve">(includes amendments listed above except those listed in the </w:t>
            </w:r>
            <w:r>
              <w:rPr>
                <w:i/>
              </w:rPr>
              <w:t>Metric Conversion Act 1972</w:t>
            </w:r>
            <w:r>
              <w:t xml:space="preserve"> Fourth Sch.)</w:t>
            </w:r>
          </w:p>
        </w:tc>
      </w:tr>
      <w:tr>
        <w:trPr>
          <w:cantSplit/>
        </w:trPr>
        <w:tc>
          <w:tcPr>
            <w:tcW w:w="2259" w:type="dxa"/>
            <w:gridSpan w:val="2"/>
          </w:tcPr>
          <w:p>
            <w:pPr>
              <w:pStyle w:val="nTable"/>
              <w:spacing w:after="40"/>
              <w:ind w:right="170"/>
            </w:pPr>
            <w:r>
              <w:rPr>
                <w:i/>
              </w:rPr>
              <w:t>Health Act Amendment Act 1975</w:t>
            </w:r>
          </w:p>
        </w:tc>
        <w:tc>
          <w:tcPr>
            <w:tcW w:w="1132" w:type="dxa"/>
            <w:gridSpan w:val="2"/>
          </w:tcPr>
          <w:p>
            <w:pPr>
              <w:pStyle w:val="nTable"/>
              <w:spacing w:after="40"/>
            </w:pPr>
            <w:r>
              <w:t>2 of 1975</w:t>
            </w:r>
          </w:p>
        </w:tc>
        <w:tc>
          <w:tcPr>
            <w:tcW w:w="1133" w:type="dxa"/>
            <w:gridSpan w:val="2"/>
          </w:tcPr>
          <w:p>
            <w:pPr>
              <w:pStyle w:val="nTable"/>
              <w:spacing w:after="40"/>
            </w:pPr>
            <w:r>
              <w:t>9 May 1975</w:t>
            </w:r>
          </w:p>
        </w:tc>
        <w:tc>
          <w:tcPr>
            <w:tcW w:w="2552" w:type="dxa"/>
            <w:gridSpan w:val="3"/>
          </w:tcPr>
          <w:p>
            <w:pPr>
              <w:pStyle w:val="nTable"/>
              <w:spacing w:after="40"/>
            </w:pPr>
            <w:r>
              <w:t>Act other than s. 7: 9 May 1975 (see s. 2(1));</w:t>
            </w:r>
            <w:r>
              <w:br/>
              <w:t xml:space="preserve">s. 7: 6 Feb 1976 (see s. 2(2) and </w:t>
            </w:r>
            <w:r>
              <w:rPr>
                <w:i/>
              </w:rPr>
              <w:t>Gazette</w:t>
            </w:r>
            <w:r>
              <w:t xml:space="preserve"> 6 Feb 1976 p. 273)</w:t>
            </w:r>
          </w:p>
        </w:tc>
      </w:tr>
      <w:tr>
        <w:trPr>
          <w:cantSplit/>
        </w:trPr>
        <w:tc>
          <w:tcPr>
            <w:tcW w:w="2259" w:type="dxa"/>
            <w:gridSpan w:val="2"/>
          </w:tcPr>
          <w:p>
            <w:pPr>
              <w:pStyle w:val="nTable"/>
              <w:spacing w:after="40"/>
              <w:ind w:right="170"/>
            </w:pPr>
            <w:r>
              <w:rPr>
                <w:i/>
              </w:rPr>
              <w:t>Health Act Amendment Act 1976</w:t>
            </w:r>
          </w:p>
        </w:tc>
        <w:tc>
          <w:tcPr>
            <w:tcW w:w="1132" w:type="dxa"/>
            <w:gridSpan w:val="2"/>
          </w:tcPr>
          <w:p>
            <w:pPr>
              <w:pStyle w:val="nTable"/>
              <w:spacing w:after="40"/>
            </w:pPr>
            <w:r>
              <w:t>101 of 1976</w:t>
            </w:r>
          </w:p>
        </w:tc>
        <w:tc>
          <w:tcPr>
            <w:tcW w:w="1133" w:type="dxa"/>
            <w:gridSpan w:val="2"/>
          </w:tcPr>
          <w:p>
            <w:pPr>
              <w:pStyle w:val="nTable"/>
              <w:spacing w:after="40"/>
            </w:pPr>
            <w:r>
              <w:t>17 Nov 1976</w:t>
            </w:r>
          </w:p>
        </w:tc>
        <w:tc>
          <w:tcPr>
            <w:tcW w:w="2552" w:type="dxa"/>
            <w:gridSpan w:val="3"/>
          </w:tcPr>
          <w:p>
            <w:pPr>
              <w:pStyle w:val="nTable"/>
              <w:spacing w:after="40"/>
            </w:pPr>
            <w:r>
              <w:t xml:space="preserve">18 Feb 1977 (see s. 2 and </w:t>
            </w:r>
            <w:r>
              <w:rPr>
                <w:i/>
              </w:rPr>
              <w:t>Gazette</w:t>
            </w:r>
            <w:r>
              <w:t xml:space="preserve"> 18 Feb 1977 p. 467)</w:t>
            </w:r>
          </w:p>
        </w:tc>
      </w:tr>
      <w:tr>
        <w:trPr>
          <w:cantSplit/>
        </w:trPr>
        <w:tc>
          <w:tcPr>
            <w:tcW w:w="2259" w:type="dxa"/>
            <w:gridSpan w:val="2"/>
          </w:tcPr>
          <w:p>
            <w:pPr>
              <w:pStyle w:val="nTable"/>
              <w:spacing w:after="40"/>
              <w:ind w:right="170"/>
            </w:pPr>
            <w:r>
              <w:rPr>
                <w:i/>
              </w:rPr>
              <w:t>Health Act Amendment Act 1978</w:t>
            </w:r>
          </w:p>
        </w:tc>
        <w:tc>
          <w:tcPr>
            <w:tcW w:w="1132" w:type="dxa"/>
            <w:gridSpan w:val="2"/>
          </w:tcPr>
          <w:p>
            <w:pPr>
              <w:pStyle w:val="nTable"/>
              <w:spacing w:after="40"/>
            </w:pPr>
            <w:r>
              <w:t>47 of 1978</w:t>
            </w:r>
          </w:p>
        </w:tc>
        <w:tc>
          <w:tcPr>
            <w:tcW w:w="1133" w:type="dxa"/>
            <w:gridSpan w:val="2"/>
          </w:tcPr>
          <w:p>
            <w:pPr>
              <w:pStyle w:val="nTable"/>
              <w:spacing w:after="40"/>
            </w:pPr>
            <w:r>
              <w:t>29 Aug 1978</w:t>
            </w:r>
          </w:p>
        </w:tc>
        <w:tc>
          <w:tcPr>
            <w:tcW w:w="2552" w:type="dxa"/>
            <w:gridSpan w:val="3"/>
          </w:tcPr>
          <w:p>
            <w:pPr>
              <w:pStyle w:val="nTable"/>
              <w:spacing w:after="40"/>
            </w:pPr>
            <w:r>
              <w:t xml:space="preserve">Act other than s. 3(a) and 30: 16 Mar 1979 (see s. 2 and </w:t>
            </w:r>
            <w:r>
              <w:rPr>
                <w:i/>
              </w:rPr>
              <w:t>Gazette</w:t>
            </w:r>
            <w:r>
              <w:t xml:space="preserve"> 16 Mar 1979 p. 676);</w:t>
            </w:r>
            <w:r>
              <w:br/>
              <w:t xml:space="preserve">s. 3(a) and 30: 21 Dec 1979 (see s. 2 and </w:t>
            </w:r>
            <w:r>
              <w:rPr>
                <w:i/>
              </w:rPr>
              <w:t>Gazette</w:t>
            </w:r>
            <w:r>
              <w:t xml:space="preserve"> 21 Dec 1979 p. 3906)</w:t>
            </w:r>
          </w:p>
        </w:tc>
      </w:tr>
      <w:tr>
        <w:trPr>
          <w:cantSplit/>
        </w:trPr>
        <w:tc>
          <w:tcPr>
            <w:tcW w:w="2259" w:type="dxa"/>
            <w:gridSpan w:val="2"/>
          </w:tcPr>
          <w:p>
            <w:pPr>
              <w:pStyle w:val="nTable"/>
              <w:spacing w:after="40"/>
              <w:ind w:right="170"/>
            </w:pPr>
            <w:r>
              <w:rPr>
                <w:i/>
              </w:rPr>
              <w:t>Acts Amendment and Repeal (Valuation of Land) Act 1978</w:t>
            </w:r>
            <w:r>
              <w:t xml:space="preserve"> Pt. VII</w:t>
            </w:r>
          </w:p>
        </w:tc>
        <w:tc>
          <w:tcPr>
            <w:tcW w:w="1132" w:type="dxa"/>
            <w:gridSpan w:val="2"/>
          </w:tcPr>
          <w:p>
            <w:pPr>
              <w:pStyle w:val="nTable"/>
              <w:keepNext/>
              <w:keepLines/>
              <w:spacing w:after="40"/>
            </w:pPr>
            <w:r>
              <w:t>76 of 1978</w:t>
            </w:r>
          </w:p>
        </w:tc>
        <w:tc>
          <w:tcPr>
            <w:tcW w:w="1133" w:type="dxa"/>
            <w:gridSpan w:val="2"/>
          </w:tcPr>
          <w:p>
            <w:pPr>
              <w:pStyle w:val="nTable"/>
              <w:keepNext/>
              <w:keepLines/>
              <w:spacing w:after="40"/>
            </w:pPr>
            <w:r>
              <w:t>20 Oct 1978</w:t>
            </w:r>
          </w:p>
        </w:tc>
        <w:tc>
          <w:tcPr>
            <w:tcW w:w="2552" w:type="dxa"/>
            <w:gridSpan w:val="3"/>
          </w:tcPr>
          <w:p>
            <w:pPr>
              <w:pStyle w:val="nTable"/>
              <w:keepNext/>
              <w:keepLines/>
              <w:spacing w:after="40"/>
            </w:pPr>
            <w:r>
              <w:t xml:space="preserve">1 Jul 1979 (see s. 2 and </w:t>
            </w:r>
            <w:r>
              <w:rPr>
                <w:i/>
              </w:rPr>
              <w:t>Gazette</w:t>
            </w:r>
            <w:r>
              <w:t xml:space="preserve"> 11 May 1979 p. 1211)</w:t>
            </w:r>
          </w:p>
        </w:tc>
      </w:tr>
      <w:tr>
        <w:trPr>
          <w:cantSplit/>
        </w:trPr>
        <w:tc>
          <w:tcPr>
            <w:tcW w:w="2259" w:type="dxa"/>
            <w:gridSpan w:val="2"/>
          </w:tcPr>
          <w:p>
            <w:pPr>
              <w:pStyle w:val="nTable"/>
              <w:spacing w:after="40"/>
              <w:ind w:right="170"/>
            </w:pPr>
            <w:r>
              <w:rPr>
                <w:i/>
              </w:rPr>
              <w:t>Health Act Amendment Act 1979</w:t>
            </w:r>
          </w:p>
        </w:tc>
        <w:tc>
          <w:tcPr>
            <w:tcW w:w="1132" w:type="dxa"/>
            <w:gridSpan w:val="2"/>
          </w:tcPr>
          <w:p>
            <w:pPr>
              <w:pStyle w:val="nTable"/>
              <w:spacing w:after="40"/>
            </w:pPr>
            <w:r>
              <w:t>72 of 1979</w:t>
            </w:r>
          </w:p>
        </w:tc>
        <w:tc>
          <w:tcPr>
            <w:tcW w:w="1133" w:type="dxa"/>
            <w:gridSpan w:val="2"/>
          </w:tcPr>
          <w:p>
            <w:pPr>
              <w:pStyle w:val="nTable"/>
              <w:spacing w:after="40"/>
            </w:pPr>
            <w:r>
              <w:t>27 Nov 1979</w:t>
            </w:r>
          </w:p>
        </w:tc>
        <w:tc>
          <w:tcPr>
            <w:tcW w:w="2552" w:type="dxa"/>
            <w:gridSpan w:val="3"/>
          </w:tcPr>
          <w:p>
            <w:pPr>
              <w:pStyle w:val="nTable"/>
              <w:spacing w:after="40"/>
            </w:pPr>
            <w:r>
              <w:t>27 Nov 1979</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approved 14 May 1981 </w:t>
            </w:r>
            <w:r>
              <w:t>(includes amendments listed above)</w:t>
            </w:r>
          </w:p>
        </w:tc>
      </w:tr>
      <w:tr>
        <w:trPr>
          <w:cantSplit/>
        </w:trPr>
        <w:tc>
          <w:tcPr>
            <w:tcW w:w="2259" w:type="dxa"/>
            <w:gridSpan w:val="2"/>
          </w:tcPr>
          <w:p>
            <w:pPr>
              <w:pStyle w:val="nTable"/>
              <w:spacing w:after="40"/>
              <w:ind w:right="170"/>
            </w:pPr>
            <w:r>
              <w:rPr>
                <w:i/>
              </w:rPr>
              <w:t>Acts Amendment (Statutory Designations) and Validation Act 1981</w:t>
            </w:r>
            <w:r>
              <w:t xml:space="preserve"> s. 4</w:t>
            </w:r>
            <w:r>
              <w:rPr>
                <w:vertAlign w:val="superscript"/>
              </w:rPr>
              <w:t> 11</w:t>
            </w:r>
          </w:p>
        </w:tc>
        <w:tc>
          <w:tcPr>
            <w:tcW w:w="1132" w:type="dxa"/>
            <w:gridSpan w:val="2"/>
          </w:tcPr>
          <w:p>
            <w:pPr>
              <w:pStyle w:val="nTable"/>
              <w:spacing w:after="40"/>
            </w:pPr>
            <w:r>
              <w:t>63 of 1981</w:t>
            </w:r>
          </w:p>
        </w:tc>
        <w:tc>
          <w:tcPr>
            <w:tcW w:w="1133" w:type="dxa"/>
            <w:gridSpan w:val="2"/>
          </w:tcPr>
          <w:p>
            <w:pPr>
              <w:pStyle w:val="nTable"/>
              <w:spacing w:after="40"/>
            </w:pPr>
            <w:r>
              <w:t>13 Oct 1981</w:t>
            </w:r>
          </w:p>
        </w:tc>
        <w:tc>
          <w:tcPr>
            <w:tcW w:w="2552" w:type="dxa"/>
            <w:gridSpan w:val="3"/>
          </w:tcPr>
          <w:p>
            <w:pPr>
              <w:pStyle w:val="nTable"/>
              <w:spacing w:after="40"/>
            </w:pPr>
            <w:r>
              <w:t>13 Oct 1981</w:t>
            </w:r>
          </w:p>
        </w:tc>
      </w:tr>
      <w:tr>
        <w:trPr>
          <w:cantSplit/>
        </w:trPr>
        <w:tc>
          <w:tcPr>
            <w:tcW w:w="2259" w:type="dxa"/>
            <w:gridSpan w:val="2"/>
          </w:tcPr>
          <w:p>
            <w:pPr>
              <w:pStyle w:val="nTable"/>
              <w:spacing w:after="40"/>
              <w:ind w:right="170"/>
            </w:pPr>
            <w:r>
              <w:rPr>
                <w:i/>
              </w:rPr>
              <w:t>Health Amendment Act 1982</w:t>
            </w:r>
          </w:p>
        </w:tc>
        <w:tc>
          <w:tcPr>
            <w:tcW w:w="1132" w:type="dxa"/>
            <w:gridSpan w:val="2"/>
          </w:tcPr>
          <w:p>
            <w:pPr>
              <w:pStyle w:val="nTable"/>
              <w:spacing w:after="40"/>
            </w:pPr>
            <w:r>
              <w:t>30 of 1982</w:t>
            </w:r>
          </w:p>
        </w:tc>
        <w:tc>
          <w:tcPr>
            <w:tcW w:w="1133" w:type="dxa"/>
            <w:gridSpan w:val="2"/>
          </w:tcPr>
          <w:p>
            <w:pPr>
              <w:pStyle w:val="nTable"/>
              <w:spacing w:after="40"/>
            </w:pPr>
            <w:r>
              <w:t>27 May 1982</w:t>
            </w:r>
          </w:p>
        </w:tc>
        <w:tc>
          <w:tcPr>
            <w:tcW w:w="2552" w:type="dxa"/>
            <w:gridSpan w:val="3"/>
          </w:tcPr>
          <w:p>
            <w:pPr>
              <w:pStyle w:val="nTable"/>
              <w:spacing w:after="40"/>
            </w:pPr>
            <w:r>
              <w:t xml:space="preserve">30 Jul 1982 (see s. 2 and </w:t>
            </w:r>
            <w:r>
              <w:rPr>
                <w:i/>
              </w:rPr>
              <w:t>Gazette</w:t>
            </w:r>
            <w:r>
              <w:t xml:space="preserve"> 30 Jul 1982 p. 2931)</w:t>
            </w:r>
          </w:p>
        </w:tc>
      </w:tr>
      <w:tr>
        <w:trPr>
          <w:cantSplit/>
        </w:trPr>
        <w:tc>
          <w:tcPr>
            <w:tcW w:w="2259" w:type="dxa"/>
            <w:gridSpan w:val="2"/>
          </w:tcPr>
          <w:p>
            <w:pPr>
              <w:pStyle w:val="nTable"/>
              <w:spacing w:after="40"/>
              <w:ind w:right="170"/>
            </w:pPr>
            <w:r>
              <w:rPr>
                <w:i/>
              </w:rPr>
              <w:t>Human Tissue and Transplant Act 1982</w:t>
            </w:r>
            <w:r>
              <w:t xml:space="preserve"> s. 36(2)</w:t>
            </w:r>
          </w:p>
        </w:tc>
        <w:tc>
          <w:tcPr>
            <w:tcW w:w="1132" w:type="dxa"/>
            <w:gridSpan w:val="2"/>
          </w:tcPr>
          <w:p>
            <w:pPr>
              <w:pStyle w:val="nTable"/>
              <w:spacing w:after="40"/>
            </w:pPr>
            <w:r>
              <w:t>116 of 1982</w:t>
            </w:r>
          </w:p>
        </w:tc>
        <w:tc>
          <w:tcPr>
            <w:tcW w:w="1133" w:type="dxa"/>
            <w:gridSpan w:val="2"/>
          </w:tcPr>
          <w:p>
            <w:pPr>
              <w:pStyle w:val="nTable"/>
              <w:spacing w:after="40"/>
            </w:pPr>
            <w:r>
              <w:t>8 Dec 1982</w:t>
            </w:r>
          </w:p>
        </w:tc>
        <w:tc>
          <w:tcPr>
            <w:tcW w:w="2552" w:type="dxa"/>
            <w:gridSpan w:val="3"/>
          </w:tcPr>
          <w:p>
            <w:pPr>
              <w:pStyle w:val="nTable"/>
              <w:spacing w:after="40"/>
            </w:pPr>
            <w:r>
              <w:t>1 Mar 1983 (see s. 2)</w:t>
            </w:r>
          </w:p>
        </w:tc>
      </w:tr>
      <w:tr>
        <w:trPr>
          <w:cantSplit/>
        </w:trPr>
        <w:tc>
          <w:tcPr>
            <w:tcW w:w="2259" w:type="dxa"/>
            <w:gridSpan w:val="2"/>
          </w:tcPr>
          <w:p>
            <w:pPr>
              <w:pStyle w:val="nTable"/>
              <w:spacing w:after="40"/>
              <w:ind w:right="170"/>
            </w:pPr>
            <w:r>
              <w:rPr>
                <w:i/>
              </w:rPr>
              <w:t>Health Legislation Amendment Act 1984</w:t>
            </w:r>
            <w:r>
              <w:t xml:space="preserve"> Pt. VIII</w:t>
            </w:r>
            <w:r>
              <w:rPr>
                <w:vertAlign w:val="superscript"/>
              </w:rPr>
              <w:t> 12</w:t>
            </w:r>
          </w:p>
        </w:tc>
        <w:tc>
          <w:tcPr>
            <w:tcW w:w="1132" w:type="dxa"/>
            <w:gridSpan w:val="2"/>
          </w:tcPr>
          <w:p>
            <w:pPr>
              <w:pStyle w:val="nTable"/>
              <w:spacing w:after="40"/>
            </w:pPr>
            <w:r>
              <w:t>28 of 1984</w:t>
            </w:r>
          </w:p>
        </w:tc>
        <w:tc>
          <w:tcPr>
            <w:tcW w:w="1133" w:type="dxa"/>
            <w:gridSpan w:val="2"/>
          </w:tcPr>
          <w:p>
            <w:pPr>
              <w:pStyle w:val="nTable"/>
              <w:spacing w:after="40"/>
            </w:pPr>
            <w:r>
              <w:t>31 May 1984</w:t>
            </w:r>
          </w:p>
        </w:tc>
        <w:tc>
          <w:tcPr>
            <w:tcW w:w="2552" w:type="dxa"/>
            <w:gridSpan w:val="3"/>
          </w:tcPr>
          <w:p>
            <w:pPr>
              <w:pStyle w:val="nTable"/>
              <w:spacing w:after="40"/>
            </w:pPr>
            <w:r>
              <w:t xml:space="preserve">1 Jul 1984 (see s. 2 and </w:t>
            </w:r>
            <w:r>
              <w:rPr>
                <w:i/>
              </w:rPr>
              <w:t xml:space="preserve">Gazette </w:t>
            </w:r>
            <w:r>
              <w:t>15 Jun 1984 p. 1629)</w:t>
            </w:r>
          </w:p>
        </w:tc>
      </w:tr>
      <w:tr>
        <w:trPr>
          <w:cantSplit/>
        </w:trPr>
        <w:tc>
          <w:tcPr>
            <w:tcW w:w="2259" w:type="dxa"/>
            <w:gridSpan w:val="2"/>
          </w:tcPr>
          <w:p>
            <w:pPr>
              <w:pStyle w:val="nTable"/>
              <w:spacing w:after="40"/>
              <w:ind w:right="170"/>
            </w:pPr>
            <w:r>
              <w:rPr>
                <w:i/>
              </w:rPr>
              <w:t>Health Amendment Act 1985</w:t>
            </w:r>
            <w:r>
              <w:rPr>
                <w:vertAlign w:val="superscript"/>
              </w:rPr>
              <w:t> 13</w:t>
            </w:r>
          </w:p>
        </w:tc>
        <w:tc>
          <w:tcPr>
            <w:tcW w:w="1132" w:type="dxa"/>
            <w:gridSpan w:val="2"/>
          </w:tcPr>
          <w:p>
            <w:pPr>
              <w:pStyle w:val="nTable"/>
              <w:spacing w:after="40"/>
            </w:pPr>
            <w:r>
              <w:t>26 of 1985</w:t>
            </w:r>
          </w:p>
        </w:tc>
        <w:tc>
          <w:tcPr>
            <w:tcW w:w="1133" w:type="dxa"/>
            <w:gridSpan w:val="2"/>
          </w:tcPr>
          <w:p>
            <w:pPr>
              <w:pStyle w:val="nTable"/>
              <w:spacing w:after="40"/>
            </w:pPr>
            <w:r>
              <w:t>6 May 1985</w:t>
            </w:r>
          </w:p>
        </w:tc>
        <w:tc>
          <w:tcPr>
            <w:tcW w:w="2552" w:type="dxa"/>
            <w:gridSpan w:val="3"/>
          </w:tcPr>
          <w:p>
            <w:pPr>
              <w:pStyle w:val="nTable"/>
              <w:spacing w:after="40"/>
            </w:pPr>
            <w:r>
              <w:t>6 Nov 1985 (see s. 2)</w:t>
            </w:r>
          </w:p>
        </w:tc>
      </w:tr>
      <w:tr>
        <w:trPr>
          <w:cantSplit/>
        </w:trPr>
        <w:tc>
          <w:tcPr>
            <w:tcW w:w="2259" w:type="dxa"/>
            <w:gridSpan w:val="2"/>
          </w:tcPr>
          <w:p>
            <w:pPr>
              <w:pStyle w:val="nTable"/>
              <w:spacing w:after="40"/>
              <w:ind w:right="170"/>
            </w:pPr>
            <w:r>
              <w:rPr>
                <w:i/>
              </w:rPr>
              <w:t>Acts Amendment and Repeal (Statutory Bodies) Act 1985</w:t>
            </w:r>
            <w:r>
              <w:t xml:space="preserve"> Pt. II</w:t>
            </w:r>
          </w:p>
        </w:tc>
        <w:tc>
          <w:tcPr>
            <w:tcW w:w="1132" w:type="dxa"/>
            <w:gridSpan w:val="2"/>
          </w:tcPr>
          <w:p>
            <w:pPr>
              <w:pStyle w:val="nTable"/>
              <w:spacing w:after="40"/>
            </w:pPr>
            <w:r>
              <w:t>57 of 1985</w:t>
            </w:r>
          </w:p>
        </w:tc>
        <w:tc>
          <w:tcPr>
            <w:tcW w:w="1133" w:type="dxa"/>
            <w:gridSpan w:val="2"/>
          </w:tcPr>
          <w:p>
            <w:pPr>
              <w:pStyle w:val="nTable"/>
              <w:spacing w:after="40"/>
            </w:pPr>
            <w:r>
              <w:t>28 Oct 1985</w:t>
            </w:r>
          </w:p>
        </w:tc>
        <w:tc>
          <w:tcPr>
            <w:tcW w:w="2552" w:type="dxa"/>
            <w:gridSpan w:val="3"/>
          </w:tcPr>
          <w:p>
            <w:pPr>
              <w:pStyle w:val="nTable"/>
              <w:spacing w:after="40"/>
            </w:pPr>
            <w:r>
              <w:t>25 Nov 1985</w:t>
            </w:r>
          </w:p>
        </w:tc>
      </w:tr>
      <w:tr>
        <w:trPr>
          <w:cantSplit/>
        </w:trPr>
        <w:tc>
          <w:tcPr>
            <w:tcW w:w="2259" w:type="dxa"/>
            <w:gridSpan w:val="2"/>
          </w:tcPr>
          <w:p>
            <w:pPr>
              <w:pStyle w:val="nTable"/>
              <w:spacing w:after="40"/>
              <w:ind w:right="170"/>
            </w:pPr>
            <w:r>
              <w:rPr>
                <w:i/>
              </w:rPr>
              <w:t>Acts Amendment (Hospitals) Act 1985</w:t>
            </w:r>
            <w:r>
              <w:t xml:space="preserve"> Pt. II</w:t>
            </w:r>
          </w:p>
        </w:tc>
        <w:tc>
          <w:tcPr>
            <w:tcW w:w="1132" w:type="dxa"/>
            <w:gridSpan w:val="2"/>
          </w:tcPr>
          <w:p>
            <w:pPr>
              <w:pStyle w:val="nTable"/>
              <w:spacing w:after="40"/>
            </w:pPr>
            <w:r>
              <w:t>53 of 1985</w:t>
            </w:r>
          </w:p>
        </w:tc>
        <w:tc>
          <w:tcPr>
            <w:tcW w:w="1133" w:type="dxa"/>
            <w:gridSpan w:val="2"/>
          </w:tcPr>
          <w:p>
            <w:pPr>
              <w:pStyle w:val="nTable"/>
              <w:spacing w:after="40"/>
            </w:pPr>
            <w:r>
              <w:t>5 Nov 1985</w:t>
            </w:r>
          </w:p>
        </w:tc>
        <w:tc>
          <w:tcPr>
            <w:tcW w:w="2552" w:type="dxa"/>
            <w:gridSpan w:val="3"/>
          </w:tcPr>
          <w:p>
            <w:pPr>
              <w:pStyle w:val="nTable"/>
              <w:spacing w:after="40"/>
            </w:pPr>
            <w:r>
              <w:t xml:space="preserve">23 Jan 1987 (see s. 2 and </w:t>
            </w:r>
            <w:r>
              <w:rPr>
                <w:i/>
              </w:rPr>
              <w:t>Gazette</w:t>
            </w:r>
            <w:r>
              <w:t xml:space="preserve"> 23 Jan 1987 p. 179)</w:t>
            </w:r>
          </w:p>
        </w:tc>
      </w:tr>
      <w:tr>
        <w:trPr>
          <w:cantSplit/>
        </w:trPr>
        <w:tc>
          <w:tcPr>
            <w:tcW w:w="2259" w:type="dxa"/>
            <w:gridSpan w:val="2"/>
          </w:tcPr>
          <w:p>
            <w:pPr>
              <w:pStyle w:val="nTable"/>
              <w:spacing w:after="40"/>
              <w:ind w:right="170"/>
            </w:pPr>
            <w:r>
              <w:rPr>
                <w:i/>
              </w:rPr>
              <w:t>Acts Amendment (Financial Administration and Audit) Act 1985</w:t>
            </w:r>
            <w:r>
              <w:t xml:space="preserve"> s. 3</w:t>
            </w:r>
            <w:r>
              <w:rPr>
                <w:vertAlign w:val="superscript"/>
              </w:rPr>
              <w:t> 14</w:t>
            </w:r>
          </w:p>
        </w:tc>
        <w:tc>
          <w:tcPr>
            <w:tcW w:w="1132" w:type="dxa"/>
            <w:gridSpan w:val="2"/>
          </w:tcPr>
          <w:p>
            <w:pPr>
              <w:pStyle w:val="nTable"/>
              <w:spacing w:after="40"/>
            </w:pPr>
            <w:r>
              <w:t>98 of 1985</w:t>
            </w:r>
          </w:p>
        </w:tc>
        <w:tc>
          <w:tcPr>
            <w:tcW w:w="1133" w:type="dxa"/>
            <w:gridSpan w:val="2"/>
          </w:tcPr>
          <w:p>
            <w:pPr>
              <w:pStyle w:val="nTable"/>
              <w:spacing w:after="40"/>
            </w:pPr>
            <w:r>
              <w:t>4 Dec 1985</w:t>
            </w:r>
          </w:p>
        </w:tc>
        <w:tc>
          <w:tcPr>
            <w:tcW w:w="2552" w:type="dxa"/>
            <w:gridSpan w:val="3"/>
          </w:tcPr>
          <w:p>
            <w:pPr>
              <w:pStyle w:val="nTable"/>
              <w:spacing w:after="40"/>
            </w:pPr>
            <w:r>
              <w:t xml:space="preserve">1 Jul 1986 (see s. 2 and </w:t>
            </w:r>
            <w:r>
              <w:rPr>
                <w:i/>
              </w:rPr>
              <w:t>Gazette</w:t>
            </w:r>
            <w:r>
              <w:t xml:space="preserve"> 30 Jun 1986 p. 2255)</w:t>
            </w:r>
          </w:p>
        </w:tc>
      </w:tr>
      <w:tr>
        <w:trPr>
          <w:cantSplit/>
        </w:trPr>
        <w:tc>
          <w:tcPr>
            <w:tcW w:w="2259" w:type="dxa"/>
            <w:gridSpan w:val="2"/>
          </w:tcPr>
          <w:p>
            <w:pPr>
              <w:pStyle w:val="nTable"/>
              <w:spacing w:after="40"/>
              <w:ind w:right="170"/>
            </w:pPr>
            <w:r>
              <w:rPr>
                <w:i/>
              </w:rPr>
              <w:t>Commercial Arbitration Act 1985</w:t>
            </w:r>
            <w:r>
              <w:t xml:space="preserve"> s. 3(1)</w:t>
            </w:r>
            <w:r>
              <w:rPr>
                <w:vertAlign w:val="superscript"/>
              </w:rPr>
              <w:t> 15</w:t>
            </w:r>
          </w:p>
        </w:tc>
        <w:tc>
          <w:tcPr>
            <w:tcW w:w="1132" w:type="dxa"/>
            <w:gridSpan w:val="2"/>
          </w:tcPr>
          <w:p>
            <w:pPr>
              <w:pStyle w:val="nTable"/>
              <w:keepNext/>
              <w:keepLines/>
              <w:spacing w:after="40"/>
            </w:pPr>
            <w:r>
              <w:t>109 of 1985</w:t>
            </w:r>
          </w:p>
        </w:tc>
        <w:tc>
          <w:tcPr>
            <w:tcW w:w="1133" w:type="dxa"/>
            <w:gridSpan w:val="2"/>
          </w:tcPr>
          <w:p>
            <w:pPr>
              <w:pStyle w:val="nTable"/>
              <w:keepNext/>
              <w:keepLines/>
              <w:spacing w:after="40"/>
            </w:pPr>
            <w:r>
              <w:t>7 Jan 1986</w:t>
            </w:r>
          </w:p>
        </w:tc>
        <w:tc>
          <w:tcPr>
            <w:tcW w:w="2552" w:type="dxa"/>
            <w:gridSpan w:val="3"/>
          </w:tcPr>
          <w:p>
            <w:pPr>
              <w:pStyle w:val="nTable"/>
              <w:keepNext/>
              <w:keepLines/>
              <w:spacing w:after="40"/>
            </w:pPr>
            <w:r>
              <w:t xml:space="preserve">1 Apr 1986 (see s. 2 and </w:t>
            </w:r>
            <w:r>
              <w:rPr>
                <w:i/>
              </w:rPr>
              <w:t>Gazette</w:t>
            </w:r>
            <w:r>
              <w:t xml:space="preserve"> 28 Feb 1986 p. 605)</w:t>
            </w:r>
          </w:p>
        </w:tc>
      </w:tr>
      <w:tr>
        <w:trPr>
          <w:cantSplit/>
        </w:trPr>
        <w:tc>
          <w:tcPr>
            <w:tcW w:w="2259" w:type="dxa"/>
            <w:gridSpan w:val="2"/>
          </w:tcPr>
          <w:p>
            <w:pPr>
              <w:pStyle w:val="nTable"/>
              <w:spacing w:after="40"/>
              <w:ind w:right="170"/>
            </w:pPr>
            <w:r>
              <w:rPr>
                <w:i/>
              </w:rPr>
              <w:t>Health Amendment Act 1986</w:t>
            </w:r>
          </w:p>
        </w:tc>
        <w:tc>
          <w:tcPr>
            <w:tcW w:w="1132" w:type="dxa"/>
            <w:gridSpan w:val="2"/>
          </w:tcPr>
          <w:p>
            <w:pPr>
              <w:pStyle w:val="nTable"/>
              <w:spacing w:after="40"/>
            </w:pPr>
            <w:r>
              <w:t>93 of 1986</w:t>
            </w:r>
          </w:p>
        </w:tc>
        <w:tc>
          <w:tcPr>
            <w:tcW w:w="1133" w:type="dxa"/>
            <w:gridSpan w:val="2"/>
          </w:tcPr>
          <w:p>
            <w:pPr>
              <w:pStyle w:val="nTable"/>
              <w:spacing w:after="40"/>
            </w:pPr>
            <w:r>
              <w:t>10 Dec 1986</w:t>
            </w:r>
          </w:p>
        </w:tc>
        <w:tc>
          <w:tcPr>
            <w:tcW w:w="2552" w:type="dxa"/>
            <w:gridSpan w:val="3"/>
          </w:tcPr>
          <w:p>
            <w:pPr>
              <w:pStyle w:val="nTable"/>
              <w:spacing w:after="40"/>
            </w:pPr>
            <w:r>
              <w:t>10 Dec 1986 (see s. 2)</w:t>
            </w:r>
          </w:p>
        </w:tc>
      </w:tr>
      <w:tr>
        <w:trPr>
          <w:cantSplit/>
        </w:trPr>
        <w:tc>
          <w:tcPr>
            <w:tcW w:w="2259" w:type="dxa"/>
            <w:gridSpan w:val="2"/>
          </w:tcPr>
          <w:p>
            <w:pPr>
              <w:pStyle w:val="nTable"/>
              <w:spacing w:after="40"/>
              <w:ind w:right="170"/>
            </w:pPr>
            <w:r>
              <w:rPr>
                <w:i/>
              </w:rPr>
              <w:t>Health Amendment Act 1987</w:t>
            </w:r>
            <w:r>
              <w:rPr>
                <w:vertAlign w:val="superscript"/>
              </w:rPr>
              <w:t> 16</w:t>
            </w:r>
          </w:p>
        </w:tc>
        <w:tc>
          <w:tcPr>
            <w:tcW w:w="1132" w:type="dxa"/>
            <w:gridSpan w:val="2"/>
          </w:tcPr>
          <w:p>
            <w:pPr>
              <w:pStyle w:val="nTable"/>
              <w:spacing w:after="40"/>
            </w:pPr>
            <w:r>
              <w:t>80 of 1987 (as amended by No. 8 of 2009 s. 72)</w:t>
            </w:r>
          </w:p>
        </w:tc>
        <w:tc>
          <w:tcPr>
            <w:tcW w:w="1133" w:type="dxa"/>
            <w:gridSpan w:val="2"/>
          </w:tcPr>
          <w:p>
            <w:pPr>
              <w:pStyle w:val="nTable"/>
              <w:spacing w:after="40"/>
            </w:pPr>
            <w:r>
              <w:t>28 Nov 1987</w:t>
            </w:r>
          </w:p>
        </w:tc>
        <w:tc>
          <w:tcPr>
            <w:tcW w:w="2552" w:type="dxa"/>
            <w:gridSpan w:val="3"/>
          </w:tcPr>
          <w:p>
            <w:pPr>
              <w:pStyle w:val="nTable"/>
              <w:spacing w:after="40"/>
            </w:pPr>
            <w:r>
              <w:t>s. 1 and 2: 28 Nov 1987;</w:t>
            </w:r>
            <w:r>
              <w:br/>
              <w:t xml:space="preserve">Act other than s. 1, 2, 4(d), 83 and 90: 1 Jan 1988 (see s. 2 and </w:t>
            </w:r>
            <w:r>
              <w:rPr>
                <w:i/>
              </w:rPr>
              <w:t>Gazette</w:t>
            </w:r>
            <w:r>
              <w:t xml:space="preserve"> 31 Dec 1987 p. 4567)</w:t>
            </w:r>
          </w:p>
        </w:tc>
      </w:tr>
      <w:tr>
        <w:trPr>
          <w:cantSplit/>
        </w:trPr>
        <w:tc>
          <w:tcPr>
            <w:tcW w:w="2259" w:type="dxa"/>
            <w:gridSpan w:val="2"/>
          </w:tcPr>
          <w:p>
            <w:pPr>
              <w:pStyle w:val="nTable"/>
              <w:spacing w:after="40"/>
              <w:ind w:right="170"/>
            </w:pPr>
            <w:r>
              <w:rPr>
                <w:i/>
              </w:rPr>
              <w:t>Guardianship and Administration Act 1990</w:t>
            </w:r>
            <w:r>
              <w:t xml:space="preserve"> s. 123</w:t>
            </w:r>
          </w:p>
        </w:tc>
        <w:tc>
          <w:tcPr>
            <w:tcW w:w="1132" w:type="dxa"/>
            <w:gridSpan w:val="2"/>
          </w:tcPr>
          <w:p>
            <w:pPr>
              <w:pStyle w:val="nTable"/>
              <w:spacing w:after="40"/>
            </w:pPr>
            <w:r>
              <w:t>24 of 1990</w:t>
            </w:r>
          </w:p>
        </w:tc>
        <w:tc>
          <w:tcPr>
            <w:tcW w:w="1133" w:type="dxa"/>
            <w:gridSpan w:val="2"/>
          </w:tcPr>
          <w:p>
            <w:pPr>
              <w:pStyle w:val="nTable"/>
              <w:spacing w:after="40"/>
            </w:pPr>
            <w:r>
              <w:t>7 Sep 1990</w:t>
            </w:r>
          </w:p>
        </w:tc>
        <w:tc>
          <w:tcPr>
            <w:tcW w:w="2552" w:type="dxa"/>
            <w:gridSpan w:val="3"/>
          </w:tcPr>
          <w:p>
            <w:pPr>
              <w:pStyle w:val="nTable"/>
              <w:spacing w:after="40"/>
            </w:pPr>
            <w:r>
              <w:t xml:space="preserve">20 Oct 1992 (see s. 2 and </w:t>
            </w:r>
            <w:r>
              <w:rPr>
                <w:i/>
              </w:rPr>
              <w:t>Gazette</w:t>
            </w:r>
            <w:r>
              <w:t xml:space="preserve"> 2 Oct 1992 p. 4811)</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as at 18 Dec 1990 </w:t>
            </w:r>
            <w:r>
              <w:t xml:space="preserve">(includes amendments listed above except those in the </w:t>
            </w:r>
            <w:r>
              <w:rPr>
                <w:i/>
              </w:rPr>
              <w:t>Guardianship and Administration Act 1990</w:t>
            </w:r>
            <w:r>
              <w:t>)</w:t>
            </w:r>
          </w:p>
        </w:tc>
      </w:tr>
      <w:tr>
        <w:trPr>
          <w:cantSplit/>
        </w:trPr>
        <w:tc>
          <w:tcPr>
            <w:tcW w:w="2259" w:type="dxa"/>
            <w:gridSpan w:val="2"/>
          </w:tcPr>
          <w:p>
            <w:pPr>
              <w:pStyle w:val="nTable"/>
              <w:spacing w:after="40"/>
              <w:ind w:right="170"/>
            </w:pPr>
            <w:r>
              <w:rPr>
                <w:i/>
              </w:rPr>
              <w:t>Tobacco Control Act 1990</w:t>
            </w:r>
            <w:r>
              <w:t xml:space="preserve"> s. 38(1)</w:t>
            </w:r>
            <w:r>
              <w:rPr>
                <w:vertAlign w:val="superscript"/>
              </w:rPr>
              <w:t> 17</w:t>
            </w:r>
          </w:p>
        </w:tc>
        <w:tc>
          <w:tcPr>
            <w:tcW w:w="1132" w:type="dxa"/>
            <w:gridSpan w:val="2"/>
          </w:tcPr>
          <w:p>
            <w:pPr>
              <w:pStyle w:val="nTable"/>
              <w:spacing w:after="40"/>
            </w:pPr>
            <w:r>
              <w:t>104 of 1990</w:t>
            </w:r>
          </w:p>
        </w:tc>
        <w:tc>
          <w:tcPr>
            <w:tcW w:w="1133" w:type="dxa"/>
            <w:gridSpan w:val="2"/>
          </w:tcPr>
          <w:p>
            <w:pPr>
              <w:pStyle w:val="nTable"/>
              <w:spacing w:after="40"/>
            </w:pPr>
            <w:r>
              <w:t>2 Jan 1991</w:t>
            </w:r>
          </w:p>
        </w:tc>
        <w:tc>
          <w:tcPr>
            <w:tcW w:w="2552" w:type="dxa"/>
            <w:gridSpan w:val="3"/>
          </w:tcPr>
          <w:p>
            <w:pPr>
              <w:pStyle w:val="nTable"/>
              <w:spacing w:after="40"/>
            </w:pPr>
            <w:r>
              <w:t xml:space="preserve">8 Feb 1991 (see s. 2(1) and </w:t>
            </w:r>
            <w:r>
              <w:rPr>
                <w:i/>
              </w:rPr>
              <w:t xml:space="preserve">Gazette </w:t>
            </w:r>
            <w:r>
              <w:t>8 Feb 1991 p. 575)</w:t>
            </w:r>
          </w:p>
        </w:tc>
      </w:tr>
      <w:tr>
        <w:trPr>
          <w:trHeight w:val="1701"/>
        </w:trPr>
        <w:tc>
          <w:tcPr>
            <w:tcW w:w="2259" w:type="dxa"/>
            <w:gridSpan w:val="2"/>
            <w:tcBorders>
              <w:bottom w:val="nil"/>
            </w:tcBorders>
          </w:tcPr>
          <w:p>
            <w:pPr>
              <w:pStyle w:val="nTable"/>
              <w:spacing w:after="40"/>
              <w:ind w:right="170"/>
            </w:pPr>
            <w:r>
              <w:rPr>
                <w:i/>
              </w:rPr>
              <w:t>Health Amendment Act 1991</w:t>
            </w:r>
            <w:r>
              <w:rPr>
                <w:vertAlign w:val="superscript"/>
              </w:rPr>
              <w:t> 18, 19</w:t>
            </w:r>
          </w:p>
        </w:tc>
        <w:tc>
          <w:tcPr>
            <w:tcW w:w="1132" w:type="dxa"/>
            <w:gridSpan w:val="2"/>
            <w:tcBorders>
              <w:bottom w:val="nil"/>
            </w:tcBorders>
          </w:tcPr>
          <w:p>
            <w:pPr>
              <w:pStyle w:val="nTable"/>
              <w:keepNext/>
              <w:keepLines/>
              <w:spacing w:after="40"/>
            </w:pPr>
            <w:r>
              <w:t>59 of 1991</w:t>
            </w:r>
          </w:p>
        </w:tc>
        <w:tc>
          <w:tcPr>
            <w:tcW w:w="1133" w:type="dxa"/>
            <w:gridSpan w:val="2"/>
            <w:tcBorders>
              <w:bottom w:val="nil"/>
            </w:tcBorders>
          </w:tcPr>
          <w:p>
            <w:pPr>
              <w:pStyle w:val="nTable"/>
              <w:keepNext/>
              <w:keepLines/>
              <w:spacing w:after="40"/>
            </w:pPr>
            <w:r>
              <w:t>23 Dec 1991</w:t>
            </w:r>
          </w:p>
        </w:tc>
        <w:tc>
          <w:tcPr>
            <w:tcW w:w="2552" w:type="dxa"/>
            <w:gridSpan w:val="3"/>
            <w:tcBorders>
              <w:bottom w:val="nil"/>
            </w:tcBorders>
          </w:tcPr>
          <w:p>
            <w:pPr>
              <w:pStyle w:val="nTable"/>
              <w:keepLines/>
              <w:spacing w:after="40"/>
            </w:pPr>
            <w:r>
              <w:t>s. 1 and 2: 23 Dec 1991;</w:t>
            </w:r>
            <w:r>
              <w:br/>
              <w:t xml:space="preserve">s. 3-5, 20-24, 28(a): 24 Jan 1992 (see s. 2 and </w:t>
            </w:r>
            <w:r>
              <w:rPr>
                <w:i/>
              </w:rPr>
              <w:t>Gazette</w:t>
            </w:r>
            <w:r>
              <w:t xml:space="preserve"> 24 Jan 1992 p. 349); s. 14, 15, 26, 27 and 28(b),</w:t>
            </w:r>
            <w:r>
              <w:br/>
              <w:t>(c) and (d): 1 Apr 1992</w:t>
            </w:r>
            <w:r>
              <w:br/>
              <w:t xml:space="preserve">(see s. 2 and </w:t>
            </w:r>
            <w:r>
              <w:rPr>
                <w:i/>
              </w:rPr>
              <w:t>Gazette</w:t>
            </w:r>
            <w:r>
              <w:t xml:space="preserve"> 1 Apr 1992 p. 1427);</w:t>
            </w:r>
          </w:p>
        </w:tc>
      </w:tr>
      <w:tr>
        <w:trPr>
          <w:cantSplit/>
        </w:trPr>
        <w:tc>
          <w:tcPr>
            <w:tcW w:w="2259" w:type="dxa"/>
            <w:gridSpan w:val="2"/>
          </w:tcPr>
          <w:p>
            <w:pPr>
              <w:pStyle w:val="nTable"/>
              <w:spacing w:after="40"/>
              <w:ind w:right="170"/>
              <w:rPr>
                <w:i/>
              </w:rPr>
            </w:pPr>
          </w:p>
        </w:tc>
        <w:tc>
          <w:tcPr>
            <w:tcW w:w="1132" w:type="dxa"/>
            <w:gridSpan w:val="2"/>
          </w:tcPr>
          <w:p>
            <w:pPr>
              <w:pStyle w:val="nTable"/>
              <w:spacing w:after="40"/>
            </w:pPr>
          </w:p>
        </w:tc>
        <w:tc>
          <w:tcPr>
            <w:tcW w:w="1133" w:type="dxa"/>
            <w:gridSpan w:val="2"/>
          </w:tcPr>
          <w:p>
            <w:pPr>
              <w:pStyle w:val="nTable"/>
              <w:spacing w:after="40"/>
            </w:pPr>
          </w:p>
        </w:tc>
        <w:tc>
          <w:tcPr>
            <w:tcW w:w="2552" w:type="dxa"/>
            <w:gridSpan w:val="3"/>
          </w:tcPr>
          <w:p>
            <w:pPr>
              <w:pStyle w:val="nTable"/>
              <w:spacing w:after="40"/>
            </w:pPr>
            <w:r>
              <w:t xml:space="preserve">s. 25: 1 Jul 1992 (see s. 2 and </w:t>
            </w:r>
            <w:r>
              <w:rPr>
                <w:i/>
              </w:rPr>
              <w:t>Gazette</w:t>
            </w:r>
            <w:r>
              <w:t xml:space="preserve"> 26 Jun 1992 p. 2644);</w:t>
            </w:r>
            <w:r>
              <w:br/>
              <w:t xml:space="preserve">Pt. 3: 4 Sep 1992 (see s. 2 and </w:t>
            </w:r>
            <w:r>
              <w:rPr>
                <w:i/>
              </w:rPr>
              <w:t>Gazette</w:t>
            </w:r>
            <w:r>
              <w:t xml:space="preserve"> 4 Sep 1992 p. 4453);</w:t>
            </w:r>
            <w:r>
              <w:br/>
              <w:t xml:space="preserve">Pt. 5: 23 Dec 1992 (see s. 2 and </w:t>
            </w:r>
            <w:r>
              <w:rPr>
                <w:i/>
              </w:rPr>
              <w:t>Gazette</w:t>
            </w:r>
            <w:r>
              <w:t xml:space="preserve"> 23 Dec 1992 p. 6209)</w:t>
            </w:r>
          </w:p>
        </w:tc>
      </w:tr>
      <w:tr>
        <w:trPr>
          <w:cantSplit/>
        </w:trPr>
        <w:tc>
          <w:tcPr>
            <w:tcW w:w="2259" w:type="dxa"/>
            <w:gridSpan w:val="2"/>
          </w:tcPr>
          <w:p>
            <w:pPr>
              <w:pStyle w:val="nTable"/>
              <w:spacing w:after="40"/>
              <w:ind w:right="170"/>
            </w:pPr>
            <w:r>
              <w:rPr>
                <w:i/>
              </w:rPr>
              <w:t>Nurses Act 1992</w:t>
            </w:r>
            <w:r>
              <w:t xml:space="preserve"> s. 84</w:t>
            </w:r>
          </w:p>
        </w:tc>
        <w:tc>
          <w:tcPr>
            <w:tcW w:w="1132" w:type="dxa"/>
            <w:gridSpan w:val="2"/>
          </w:tcPr>
          <w:p>
            <w:pPr>
              <w:pStyle w:val="nTable"/>
              <w:spacing w:after="40"/>
            </w:pPr>
            <w:r>
              <w:t>27 of 1992</w:t>
            </w:r>
          </w:p>
        </w:tc>
        <w:tc>
          <w:tcPr>
            <w:tcW w:w="1133" w:type="dxa"/>
            <w:gridSpan w:val="2"/>
          </w:tcPr>
          <w:p>
            <w:pPr>
              <w:pStyle w:val="nTable"/>
              <w:spacing w:after="40"/>
            </w:pPr>
            <w:r>
              <w:t>23 Jun 1992</w:t>
            </w:r>
          </w:p>
        </w:tc>
        <w:tc>
          <w:tcPr>
            <w:tcW w:w="2552" w:type="dxa"/>
            <w:gridSpan w:val="3"/>
          </w:tcPr>
          <w:p>
            <w:pPr>
              <w:pStyle w:val="nTable"/>
              <w:spacing w:after="40"/>
            </w:pPr>
            <w:r>
              <w:t xml:space="preserve">29 Oct 1993 (see s. 2 and </w:t>
            </w:r>
            <w:r>
              <w:rPr>
                <w:i/>
              </w:rPr>
              <w:t>Gazette</w:t>
            </w:r>
            <w:r>
              <w:t xml:space="preserve"> 29 Oct 1993 p. 5881)</w:t>
            </w:r>
          </w:p>
        </w:tc>
      </w:tr>
      <w:tr>
        <w:trPr>
          <w:cantSplit/>
        </w:trPr>
        <w:tc>
          <w:tcPr>
            <w:tcW w:w="2259" w:type="dxa"/>
            <w:gridSpan w:val="2"/>
          </w:tcPr>
          <w:p>
            <w:pPr>
              <w:pStyle w:val="nTable"/>
              <w:spacing w:after="40"/>
              <w:ind w:right="170"/>
            </w:pPr>
            <w:r>
              <w:rPr>
                <w:i/>
              </w:rPr>
              <w:t>Financial Administration Legislation Amendment Act 1993</w:t>
            </w:r>
            <w:r>
              <w:t xml:space="preserve"> s. 11</w:t>
            </w:r>
          </w:p>
        </w:tc>
        <w:tc>
          <w:tcPr>
            <w:tcW w:w="1132" w:type="dxa"/>
            <w:gridSpan w:val="2"/>
          </w:tcPr>
          <w:p>
            <w:pPr>
              <w:pStyle w:val="nTable"/>
              <w:spacing w:after="40"/>
            </w:pPr>
            <w:r>
              <w:t>6 of 1993</w:t>
            </w:r>
          </w:p>
        </w:tc>
        <w:tc>
          <w:tcPr>
            <w:tcW w:w="1133" w:type="dxa"/>
            <w:gridSpan w:val="2"/>
          </w:tcPr>
          <w:p>
            <w:pPr>
              <w:pStyle w:val="nTable"/>
              <w:spacing w:after="40"/>
            </w:pPr>
            <w:r>
              <w:t>27 Aug 1993</w:t>
            </w:r>
          </w:p>
        </w:tc>
        <w:tc>
          <w:tcPr>
            <w:tcW w:w="2552" w:type="dxa"/>
            <w:gridSpan w:val="3"/>
          </w:tcPr>
          <w:p>
            <w:pPr>
              <w:pStyle w:val="nTable"/>
              <w:spacing w:after="40"/>
            </w:pPr>
            <w:r>
              <w:t>1 Jul 1993 (see s. 2(1))</w:t>
            </w:r>
          </w:p>
        </w:tc>
      </w:tr>
      <w:tr>
        <w:trPr>
          <w:cantSplit/>
        </w:trPr>
        <w:tc>
          <w:tcPr>
            <w:tcW w:w="4524" w:type="dxa"/>
            <w:gridSpan w:val="6"/>
          </w:tcPr>
          <w:p>
            <w:pPr>
              <w:pStyle w:val="nTable"/>
              <w:spacing w:after="40"/>
            </w:pPr>
            <w:r>
              <w:t>Untitled proclamation published by</w:t>
            </w:r>
            <w:r>
              <w:rPr>
                <w:i/>
              </w:rPr>
              <w:t xml:space="preserve"> Gazette </w:t>
            </w:r>
            <w:r>
              <w:t>26 Nov 1993 p. 6321</w:t>
            </w:r>
          </w:p>
        </w:tc>
        <w:tc>
          <w:tcPr>
            <w:tcW w:w="2552" w:type="dxa"/>
            <w:gridSpan w:val="3"/>
          </w:tcPr>
          <w:p>
            <w:pPr>
              <w:pStyle w:val="nTable"/>
              <w:spacing w:after="40"/>
            </w:pPr>
            <w:r>
              <w:t xml:space="preserve"> 26 Nov 1993</w:t>
            </w:r>
          </w:p>
        </w:tc>
      </w:tr>
      <w:tr>
        <w:trPr>
          <w:cantSplit/>
        </w:trPr>
        <w:tc>
          <w:tcPr>
            <w:tcW w:w="2259" w:type="dxa"/>
            <w:gridSpan w:val="2"/>
          </w:tcPr>
          <w:p>
            <w:pPr>
              <w:pStyle w:val="nTable"/>
              <w:spacing w:after="40"/>
              <w:ind w:right="170"/>
            </w:pPr>
            <w:r>
              <w:rPr>
                <w:i/>
              </w:rPr>
              <w:t>Local Government Amendment Act 1994</w:t>
            </w:r>
            <w:r>
              <w:t xml:space="preserve"> s. 42</w:t>
            </w:r>
          </w:p>
        </w:tc>
        <w:tc>
          <w:tcPr>
            <w:tcW w:w="1132" w:type="dxa"/>
            <w:gridSpan w:val="2"/>
          </w:tcPr>
          <w:p>
            <w:pPr>
              <w:pStyle w:val="nTable"/>
              <w:spacing w:after="40"/>
            </w:pPr>
            <w:r>
              <w:t>27 of 1994</w:t>
            </w:r>
          </w:p>
        </w:tc>
        <w:tc>
          <w:tcPr>
            <w:tcW w:w="1133" w:type="dxa"/>
            <w:gridSpan w:val="2"/>
          </w:tcPr>
          <w:p>
            <w:pPr>
              <w:pStyle w:val="nTable"/>
              <w:spacing w:after="40"/>
            </w:pPr>
            <w:r>
              <w:t>23 Jun 1994</w:t>
            </w:r>
          </w:p>
        </w:tc>
        <w:tc>
          <w:tcPr>
            <w:tcW w:w="2552" w:type="dxa"/>
            <w:gridSpan w:val="3"/>
          </w:tcPr>
          <w:p>
            <w:pPr>
              <w:pStyle w:val="nTable"/>
              <w:spacing w:after="40"/>
            </w:pPr>
            <w:r>
              <w:t>1 Jul 1994 (see s. 2)</w:t>
            </w:r>
          </w:p>
        </w:tc>
      </w:tr>
      <w:tr>
        <w:trPr>
          <w:cantSplit/>
        </w:trPr>
        <w:tc>
          <w:tcPr>
            <w:tcW w:w="2259" w:type="dxa"/>
            <w:gridSpan w:val="2"/>
          </w:tcPr>
          <w:p>
            <w:pPr>
              <w:pStyle w:val="nTable"/>
              <w:spacing w:after="40"/>
              <w:ind w:right="170"/>
            </w:pPr>
            <w:r>
              <w:rPr>
                <w:i/>
              </w:rPr>
              <w:t>Acts Amendment (Public Sector Management) Act 1994</w:t>
            </w:r>
            <w:r>
              <w:t xml:space="preserve"> s. 3(2)</w:t>
            </w:r>
          </w:p>
        </w:tc>
        <w:tc>
          <w:tcPr>
            <w:tcW w:w="1132" w:type="dxa"/>
            <w:gridSpan w:val="2"/>
          </w:tcPr>
          <w:p>
            <w:pPr>
              <w:pStyle w:val="nTable"/>
              <w:spacing w:after="40"/>
            </w:pPr>
            <w:r>
              <w:t>32 of 1994</w:t>
            </w:r>
          </w:p>
        </w:tc>
        <w:tc>
          <w:tcPr>
            <w:tcW w:w="1133" w:type="dxa"/>
            <w:gridSpan w:val="2"/>
          </w:tcPr>
          <w:p>
            <w:pPr>
              <w:pStyle w:val="nTable"/>
              <w:spacing w:after="40"/>
            </w:pPr>
            <w:r>
              <w:t>29 Jun 1994</w:t>
            </w:r>
          </w:p>
        </w:tc>
        <w:tc>
          <w:tcPr>
            <w:tcW w:w="2552" w:type="dxa"/>
            <w:gridSpan w:val="3"/>
          </w:tcPr>
          <w:p>
            <w:pPr>
              <w:pStyle w:val="nTable"/>
              <w:spacing w:after="40"/>
            </w:pPr>
            <w:r>
              <w:t xml:space="preserve">1 Oct 1994 (see s. 2 and </w:t>
            </w:r>
            <w:r>
              <w:rPr>
                <w:i/>
              </w:rPr>
              <w:t>Gazette</w:t>
            </w:r>
            <w:r>
              <w:t xml:space="preserve"> 30 Sep 1994 p. 4948)</w:t>
            </w:r>
          </w:p>
        </w:tc>
      </w:tr>
      <w:tr>
        <w:trPr>
          <w:cantSplit/>
        </w:trPr>
        <w:tc>
          <w:tcPr>
            <w:tcW w:w="2259" w:type="dxa"/>
            <w:gridSpan w:val="2"/>
          </w:tcPr>
          <w:p>
            <w:pPr>
              <w:pStyle w:val="nTable"/>
              <w:spacing w:after="40"/>
              <w:ind w:right="170"/>
            </w:pPr>
            <w:r>
              <w:rPr>
                <w:i/>
              </w:rPr>
              <w:t>Statutes (Repeals and Minor Amendments) Act 1994</w:t>
            </w:r>
            <w:r>
              <w:t xml:space="preserve"> s. 4</w:t>
            </w:r>
          </w:p>
        </w:tc>
        <w:tc>
          <w:tcPr>
            <w:tcW w:w="1132" w:type="dxa"/>
            <w:gridSpan w:val="2"/>
          </w:tcPr>
          <w:p>
            <w:pPr>
              <w:pStyle w:val="nTable"/>
              <w:spacing w:after="40"/>
            </w:pPr>
            <w:r>
              <w:t>73 of 1994</w:t>
            </w:r>
          </w:p>
        </w:tc>
        <w:tc>
          <w:tcPr>
            <w:tcW w:w="1133" w:type="dxa"/>
            <w:gridSpan w:val="2"/>
          </w:tcPr>
          <w:p>
            <w:pPr>
              <w:pStyle w:val="nTable"/>
              <w:spacing w:after="40"/>
            </w:pPr>
            <w:r>
              <w:t>9 Dec 1994</w:t>
            </w:r>
          </w:p>
        </w:tc>
        <w:tc>
          <w:tcPr>
            <w:tcW w:w="2552" w:type="dxa"/>
            <w:gridSpan w:val="3"/>
          </w:tcPr>
          <w:p>
            <w:pPr>
              <w:pStyle w:val="nTable"/>
              <w:spacing w:after="40"/>
            </w:pPr>
            <w:r>
              <w:t>9 Dec 1994 (see s. 2)</w:t>
            </w:r>
          </w:p>
        </w:tc>
      </w:tr>
      <w:tr>
        <w:trPr>
          <w:cantSplit/>
        </w:trPr>
        <w:tc>
          <w:tcPr>
            <w:tcW w:w="2259" w:type="dxa"/>
            <w:gridSpan w:val="2"/>
          </w:tcPr>
          <w:p>
            <w:pPr>
              <w:pStyle w:val="nTable"/>
              <w:spacing w:after="40"/>
              <w:ind w:right="170"/>
            </w:pPr>
            <w:r>
              <w:rPr>
                <w:i/>
              </w:rPr>
              <w:t>Pawnbrokers and Second</w:t>
            </w:r>
            <w:r>
              <w:rPr>
                <w:i/>
              </w:rPr>
              <w:noBreakHyphen/>
              <w:t>hand Dealers Act 1994</w:t>
            </w:r>
            <w:r>
              <w:t xml:space="preserve"> s. 100</w:t>
            </w:r>
          </w:p>
        </w:tc>
        <w:tc>
          <w:tcPr>
            <w:tcW w:w="1132" w:type="dxa"/>
            <w:gridSpan w:val="2"/>
          </w:tcPr>
          <w:p>
            <w:pPr>
              <w:pStyle w:val="nTable"/>
              <w:spacing w:after="40"/>
            </w:pPr>
            <w:r>
              <w:t>88 of 1994</w:t>
            </w:r>
          </w:p>
        </w:tc>
        <w:tc>
          <w:tcPr>
            <w:tcW w:w="1133" w:type="dxa"/>
            <w:gridSpan w:val="2"/>
          </w:tcPr>
          <w:p>
            <w:pPr>
              <w:pStyle w:val="nTable"/>
              <w:spacing w:after="40"/>
            </w:pPr>
            <w:r>
              <w:t>5 Jan 1995</w:t>
            </w:r>
          </w:p>
        </w:tc>
        <w:tc>
          <w:tcPr>
            <w:tcW w:w="2552" w:type="dxa"/>
            <w:gridSpan w:val="3"/>
          </w:tcPr>
          <w:p>
            <w:pPr>
              <w:pStyle w:val="nTable"/>
              <w:spacing w:after="40"/>
            </w:pPr>
            <w:r>
              <w:t xml:space="preserve">1 Apr 1996 (see s. 2 and </w:t>
            </w:r>
            <w:r>
              <w:rPr>
                <w:i/>
              </w:rPr>
              <w:t>Gazette</w:t>
            </w:r>
            <w:r>
              <w:t xml:space="preserve"> 29 Mar 1996 p. 1495)</w:t>
            </w:r>
          </w:p>
        </w:tc>
      </w:tr>
      <w:tr>
        <w:trPr>
          <w:cantSplit/>
        </w:trPr>
        <w:tc>
          <w:tcPr>
            <w:tcW w:w="2259" w:type="dxa"/>
            <w:gridSpan w:val="2"/>
          </w:tcPr>
          <w:p>
            <w:pPr>
              <w:pStyle w:val="nTable"/>
              <w:spacing w:after="40"/>
              <w:ind w:right="170"/>
            </w:pPr>
            <w:r>
              <w:rPr>
                <w:i/>
              </w:rPr>
              <w:t>Hospitals Amendment Act 1994</w:t>
            </w:r>
            <w:r>
              <w:t xml:space="preserve"> s. 18</w:t>
            </w:r>
          </w:p>
        </w:tc>
        <w:tc>
          <w:tcPr>
            <w:tcW w:w="1132" w:type="dxa"/>
            <w:gridSpan w:val="2"/>
          </w:tcPr>
          <w:p>
            <w:pPr>
              <w:pStyle w:val="nTable"/>
              <w:spacing w:after="40"/>
            </w:pPr>
            <w:r>
              <w:t>103 of 1994</w:t>
            </w:r>
          </w:p>
        </w:tc>
        <w:tc>
          <w:tcPr>
            <w:tcW w:w="1133" w:type="dxa"/>
            <w:gridSpan w:val="2"/>
          </w:tcPr>
          <w:p>
            <w:pPr>
              <w:pStyle w:val="nTable"/>
              <w:spacing w:after="40"/>
            </w:pPr>
            <w:r>
              <w:t>11 Jan 1995</w:t>
            </w:r>
          </w:p>
        </w:tc>
        <w:tc>
          <w:tcPr>
            <w:tcW w:w="2552" w:type="dxa"/>
            <w:gridSpan w:val="3"/>
          </w:tcPr>
          <w:p>
            <w:pPr>
              <w:pStyle w:val="nTable"/>
              <w:spacing w:after="40"/>
            </w:pPr>
            <w:r>
              <w:t xml:space="preserve">17 Dec 1997 (see s. 2 and </w:t>
            </w:r>
            <w:r>
              <w:rPr>
                <w:i/>
              </w:rPr>
              <w:t>Gazette</w:t>
            </w:r>
            <w:r>
              <w:t xml:space="preserve"> 16 Dec 1997 p. 7313)</w:t>
            </w:r>
          </w:p>
        </w:tc>
      </w:tr>
      <w:tr>
        <w:trPr>
          <w:cantSplit/>
        </w:trPr>
        <w:tc>
          <w:tcPr>
            <w:tcW w:w="2259" w:type="dxa"/>
            <w:gridSpan w:val="2"/>
          </w:tcPr>
          <w:p>
            <w:pPr>
              <w:pStyle w:val="nTable"/>
              <w:spacing w:after="40"/>
              <w:ind w:right="170"/>
            </w:pPr>
            <w:r>
              <w:rPr>
                <w:i/>
              </w:rPr>
              <w:t>Agricultural and Veterinary Chemicals (Western Australia) Act 1995</w:t>
            </w:r>
            <w:r>
              <w:t xml:space="preserve"> Pt. 11 Div. 2</w:t>
            </w:r>
          </w:p>
        </w:tc>
        <w:tc>
          <w:tcPr>
            <w:tcW w:w="1132" w:type="dxa"/>
            <w:gridSpan w:val="2"/>
          </w:tcPr>
          <w:p>
            <w:pPr>
              <w:pStyle w:val="nTable"/>
              <w:spacing w:after="40"/>
            </w:pPr>
            <w:r>
              <w:t>3 of 1995</w:t>
            </w:r>
          </w:p>
        </w:tc>
        <w:tc>
          <w:tcPr>
            <w:tcW w:w="1133" w:type="dxa"/>
            <w:gridSpan w:val="2"/>
          </w:tcPr>
          <w:p>
            <w:pPr>
              <w:pStyle w:val="nTable"/>
              <w:spacing w:after="40"/>
            </w:pPr>
            <w:r>
              <w:t>17 May 1995</w:t>
            </w:r>
          </w:p>
        </w:tc>
        <w:tc>
          <w:tcPr>
            <w:tcW w:w="2552" w:type="dxa"/>
            <w:gridSpan w:val="3"/>
          </w:tcPr>
          <w:p>
            <w:pPr>
              <w:pStyle w:val="nTable"/>
              <w:spacing w:after="40"/>
            </w:pPr>
            <w:r>
              <w:t xml:space="preserve">24 Jun 1995 (see s. 2 and </w:t>
            </w:r>
            <w:r>
              <w:rPr>
                <w:i/>
              </w:rPr>
              <w:t>Gazette</w:t>
            </w:r>
            <w:r>
              <w:t xml:space="preserve"> 23 Jun 1995 p. 2419)</w:t>
            </w:r>
          </w:p>
        </w:tc>
      </w:tr>
      <w:tr>
        <w:trPr>
          <w:cantSplit/>
        </w:trPr>
        <w:tc>
          <w:tcPr>
            <w:tcW w:w="2259" w:type="dxa"/>
            <w:gridSpan w:val="2"/>
          </w:tcPr>
          <w:p>
            <w:pPr>
              <w:pStyle w:val="nTable"/>
              <w:spacing w:after="40"/>
              <w:ind w:right="170"/>
            </w:pPr>
            <w:r>
              <w:rPr>
                <w:i/>
              </w:rPr>
              <w:t>Water Agencies Restructure (Transitional and Consequential Provisions) Act 1995</w:t>
            </w:r>
            <w:r>
              <w:t xml:space="preserve"> s. 188</w:t>
            </w:r>
          </w:p>
        </w:tc>
        <w:tc>
          <w:tcPr>
            <w:tcW w:w="1132" w:type="dxa"/>
            <w:gridSpan w:val="2"/>
          </w:tcPr>
          <w:p>
            <w:pPr>
              <w:pStyle w:val="nTable"/>
              <w:spacing w:after="40"/>
            </w:pPr>
            <w:r>
              <w:t>73 of 1995</w:t>
            </w:r>
          </w:p>
        </w:tc>
        <w:tc>
          <w:tcPr>
            <w:tcW w:w="1133" w:type="dxa"/>
            <w:gridSpan w:val="2"/>
          </w:tcPr>
          <w:p>
            <w:pPr>
              <w:pStyle w:val="nTable"/>
              <w:spacing w:after="40"/>
            </w:pPr>
            <w:r>
              <w:t>27 Dec 1995</w:t>
            </w:r>
          </w:p>
        </w:tc>
        <w:tc>
          <w:tcPr>
            <w:tcW w:w="2552" w:type="dxa"/>
            <w:gridSpan w:val="3"/>
          </w:tcPr>
          <w:p>
            <w:pPr>
              <w:pStyle w:val="nTable"/>
              <w:spacing w:after="40"/>
            </w:pPr>
            <w:r>
              <w:t xml:space="preserve">1 Jan 1996 (see s. 2(2) and </w:t>
            </w:r>
            <w:r>
              <w:rPr>
                <w:i/>
              </w:rPr>
              <w:t>Gazette</w:t>
            </w:r>
            <w:r>
              <w:t xml:space="preserve"> 29 Dec 1995 p. 6291)</w:t>
            </w:r>
          </w:p>
        </w:tc>
      </w:tr>
      <w:tr>
        <w:trPr>
          <w:cantSplit/>
        </w:trPr>
        <w:tc>
          <w:tcPr>
            <w:tcW w:w="2259" w:type="dxa"/>
            <w:gridSpan w:val="2"/>
          </w:tcPr>
          <w:p>
            <w:pPr>
              <w:pStyle w:val="nTable"/>
              <w:spacing w:after="40"/>
              <w:ind w:right="170"/>
            </w:pPr>
            <w:r>
              <w:rPr>
                <w:i/>
              </w:rPr>
              <w:t>Sentencing (Consequential Provisions) Act 1995</w:t>
            </w:r>
            <w:r>
              <w:t xml:space="preserve"> s. 147</w:t>
            </w:r>
          </w:p>
        </w:tc>
        <w:tc>
          <w:tcPr>
            <w:tcW w:w="1132" w:type="dxa"/>
            <w:gridSpan w:val="2"/>
          </w:tcPr>
          <w:p>
            <w:pPr>
              <w:pStyle w:val="nTable"/>
              <w:spacing w:after="40"/>
            </w:pPr>
            <w:r>
              <w:t>78 of 1995</w:t>
            </w:r>
          </w:p>
        </w:tc>
        <w:tc>
          <w:tcPr>
            <w:tcW w:w="1133" w:type="dxa"/>
            <w:gridSpan w:val="2"/>
          </w:tcPr>
          <w:p>
            <w:pPr>
              <w:pStyle w:val="nTable"/>
              <w:spacing w:after="40"/>
            </w:pPr>
            <w:r>
              <w:t>16 Jan 1996</w:t>
            </w:r>
          </w:p>
        </w:tc>
        <w:tc>
          <w:tcPr>
            <w:tcW w:w="2552" w:type="dxa"/>
            <w:gridSpan w:val="3"/>
          </w:tcPr>
          <w:p>
            <w:pPr>
              <w:pStyle w:val="nTable"/>
              <w:spacing w:after="40"/>
            </w:pPr>
            <w:r>
              <w:t xml:space="preserve">4 Nov 1996 (see s. 2 and </w:t>
            </w:r>
            <w:r>
              <w:rPr>
                <w:i/>
              </w:rPr>
              <w:t>Gazette</w:t>
            </w:r>
            <w:r>
              <w:t xml:space="preserve"> 25 Oct 1996 p. 5632)</w:t>
            </w:r>
          </w:p>
        </w:tc>
      </w:tr>
      <w:tr>
        <w:trPr>
          <w:cantSplit/>
        </w:trPr>
        <w:tc>
          <w:tcPr>
            <w:tcW w:w="2259" w:type="dxa"/>
            <w:gridSpan w:val="2"/>
          </w:tcPr>
          <w:p>
            <w:pPr>
              <w:pStyle w:val="nTable"/>
              <w:spacing w:after="40"/>
              <w:ind w:right="170"/>
            </w:pPr>
            <w:r>
              <w:rPr>
                <w:i/>
              </w:rPr>
              <w:t xml:space="preserve">Coroners Act 1996 </w:t>
            </w:r>
            <w:r>
              <w:t>s. 61</w:t>
            </w:r>
          </w:p>
        </w:tc>
        <w:tc>
          <w:tcPr>
            <w:tcW w:w="1132" w:type="dxa"/>
            <w:gridSpan w:val="2"/>
          </w:tcPr>
          <w:p>
            <w:pPr>
              <w:pStyle w:val="nTable"/>
              <w:spacing w:after="40"/>
            </w:pPr>
            <w:r>
              <w:t>2 of 1996</w:t>
            </w:r>
          </w:p>
        </w:tc>
        <w:tc>
          <w:tcPr>
            <w:tcW w:w="1133" w:type="dxa"/>
            <w:gridSpan w:val="2"/>
          </w:tcPr>
          <w:p>
            <w:pPr>
              <w:pStyle w:val="nTable"/>
              <w:spacing w:after="40"/>
            </w:pPr>
            <w:r>
              <w:t>24 May 1996</w:t>
            </w:r>
          </w:p>
        </w:tc>
        <w:tc>
          <w:tcPr>
            <w:tcW w:w="2552" w:type="dxa"/>
            <w:gridSpan w:val="3"/>
          </w:tcPr>
          <w:p>
            <w:pPr>
              <w:pStyle w:val="nTable"/>
              <w:spacing w:after="40"/>
            </w:pPr>
            <w:r>
              <w:t xml:space="preserve">7 Apr 1997 (see s. 2 and </w:t>
            </w:r>
            <w:r>
              <w:rPr>
                <w:i/>
              </w:rPr>
              <w:t>Gazette</w:t>
            </w:r>
            <w:r>
              <w:t xml:space="preserve"> 18 Mar 1997 p. 1529)</w:t>
            </w:r>
          </w:p>
        </w:tc>
      </w:tr>
      <w:tr>
        <w:trPr>
          <w:cantSplit/>
        </w:trPr>
        <w:tc>
          <w:tcPr>
            <w:tcW w:w="2259" w:type="dxa"/>
            <w:gridSpan w:val="2"/>
          </w:tcPr>
          <w:p>
            <w:pPr>
              <w:pStyle w:val="nTable"/>
              <w:spacing w:after="40"/>
              <w:ind w:right="170"/>
            </w:pPr>
            <w:r>
              <w:rPr>
                <w:i/>
              </w:rPr>
              <w:t>Local Government (Consequential Amendments) Act 1996</w:t>
            </w:r>
            <w:r>
              <w:t xml:space="preserve"> s. 4</w:t>
            </w:r>
            <w:r>
              <w:rPr>
                <w:vertAlign w:val="superscript"/>
              </w:rPr>
              <w:t> 20</w:t>
            </w:r>
          </w:p>
        </w:tc>
        <w:tc>
          <w:tcPr>
            <w:tcW w:w="1132" w:type="dxa"/>
            <w:gridSpan w:val="2"/>
          </w:tcPr>
          <w:p>
            <w:pPr>
              <w:pStyle w:val="nTable"/>
              <w:spacing w:after="40"/>
            </w:pPr>
            <w:r>
              <w:t>14 of 1996</w:t>
            </w:r>
          </w:p>
        </w:tc>
        <w:tc>
          <w:tcPr>
            <w:tcW w:w="1133" w:type="dxa"/>
            <w:gridSpan w:val="2"/>
          </w:tcPr>
          <w:p>
            <w:pPr>
              <w:pStyle w:val="nTable"/>
              <w:spacing w:after="40"/>
            </w:pPr>
            <w:r>
              <w:t>28 Jun 1996</w:t>
            </w:r>
          </w:p>
        </w:tc>
        <w:tc>
          <w:tcPr>
            <w:tcW w:w="2552" w:type="dxa"/>
            <w:gridSpan w:val="3"/>
          </w:tcPr>
          <w:p>
            <w:pPr>
              <w:pStyle w:val="nTable"/>
              <w:spacing w:after="40"/>
            </w:pPr>
            <w:r>
              <w:t>1 Jul 1996 (see s. 2)</w:t>
            </w:r>
          </w:p>
        </w:tc>
      </w:tr>
      <w:tr>
        <w:trPr>
          <w:cantSplit/>
        </w:trPr>
        <w:tc>
          <w:tcPr>
            <w:tcW w:w="2259" w:type="dxa"/>
            <w:gridSpan w:val="2"/>
          </w:tcPr>
          <w:p>
            <w:pPr>
              <w:pStyle w:val="nTable"/>
              <w:spacing w:after="40"/>
              <w:ind w:right="170"/>
            </w:pPr>
            <w:r>
              <w:rPr>
                <w:i/>
              </w:rPr>
              <w:t>Health Amendment Act 1996</w:t>
            </w:r>
          </w:p>
        </w:tc>
        <w:tc>
          <w:tcPr>
            <w:tcW w:w="1132" w:type="dxa"/>
            <w:gridSpan w:val="2"/>
          </w:tcPr>
          <w:p>
            <w:pPr>
              <w:pStyle w:val="nTable"/>
              <w:spacing w:after="40"/>
            </w:pPr>
            <w:r>
              <w:t>28 of 1996</w:t>
            </w:r>
          </w:p>
        </w:tc>
        <w:tc>
          <w:tcPr>
            <w:tcW w:w="1133" w:type="dxa"/>
            <w:gridSpan w:val="2"/>
          </w:tcPr>
          <w:p>
            <w:pPr>
              <w:pStyle w:val="nTable"/>
              <w:spacing w:after="40"/>
            </w:pPr>
            <w:r>
              <w:t>22 Jul 1996</w:t>
            </w:r>
          </w:p>
        </w:tc>
        <w:tc>
          <w:tcPr>
            <w:tcW w:w="2552" w:type="dxa"/>
            <w:gridSpan w:val="3"/>
          </w:tcPr>
          <w:p>
            <w:pPr>
              <w:pStyle w:val="nTable"/>
              <w:spacing w:after="40"/>
            </w:pPr>
            <w:r>
              <w:t>s. 1 and 2: 22 Jul 1996;</w:t>
            </w:r>
            <w:r>
              <w:br/>
              <w:t xml:space="preserve">Act other than s. 1, 2, 7 and 13: 22 Jul 1996 (see s. 2(1)); </w:t>
            </w:r>
            <w:r>
              <w:br/>
              <w:t>s. 7 and 13: 23 Jul 1997 (see s. 2(2) and (3))</w:t>
            </w:r>
          </w:p>
        </w:tc>
      </w:tr>
      <w:tr>
        <w:trPr>
          <w:cantSplit/>
        </w:trPr>
        <w:tc>
          <w:tcPr>
            <w:tcW w:w="2259" w:type="dxa"/>
            <w:gridSpan w:val="2"/>
          </w:tcPr>
          <w:p>
            <w:pPr>
              <w:pStyle w:val="nTable"/>
              <w:spacing w:after="40"/>
              <w:ind w:right="170"/>
            </w:pPr>
            <w:r>
              <w:rPr>
                <w:i/>
              </w:rPr>
              <w:t>Financial Legislation Amendment Act 1996</w:t>
            </w:r>
            <w:r>
              <w:t xml:space="preserve"> s. 64</w:t>
            </w:r>
          </w:p>
        </w:tc>
        <w:tc>
          <w:tcPr>
            <w:tcW w:w="1132" w:type="dxa"/>
            <w:gridSpan w:val="2"/>
          </w:tcPr>
          <w:p>
            <w:pPr>
              <w:pStyle w:val="nTable"/>
              <w:spacing w:after="40"/>
            </w:pPr>
            <w:r>
              <w:t>49 of 1996</w:t>
            </w:r>
          </w:p>
        </w:tc>
        <w:tc>
          <w:tcPr>
            <w:tcW w:w="1133" w:type="dxa"/>
            <w:gridSpan w:val="2"/>
          </w:tcPr>
          <w:p>
            <w:pPr>
              <w:pStyle w:val="nTable"/>
              <w:spacing w:after="40"/>
            </w:pPr>
            <w:r>
              <w:t>25 Oct 1996</w:t>
            </w:r>
          </w:p>
        </w:tc>
        <w:tc>
          <w:tcPr>
            <w:tcW w:w="2552" w:type="dxa"/>
            <w:gridSpan w:val="3"/>
          </w:tcPr>
          <w:p>
            <w:pPr>
              <w:pStyle w:val="nTable"/>
              <w:spacing w:after="40"/>
            </w:pPr>
            <w:r>
              <w:t>25 Oct 1996 (see s. 2(1))</w:t>
            </w:r>
          </w:p>
        </w:tc>
      </w:tr>
      <w:tr>
        <w:trPr>
          <w:cantSplit/>
        </w:trPr>
        <w:tc>
          <w:tcPr>
            <w:tcW w:w="2259" w:type="dxa"/>
            <w:gridSpan w:val="2"/>
          </w:tcPr>
          <w:p>
            <w:pPr>
              <w:pStyle w:val="nTable"/>
              <w:spacing w:after="40"/>
              <w:ind w:right="170"/>
            </w:pPr>
            <w:r>
              <w:rPr>
                <w:i/>
              </w:rPr>
              <w:t>Acts Amendment (Assemblies and Noise) Act 1996</w:t>
            </w:r>
            <w:r>
              <w:t xml:space="preserve"> Pt. 2</w:t>
            </w:r>
          </w:p>
        </w:tc>
        <w:tc>
          <w:tcPr>
            <w:tcW w:w="1132" w:type="dxa"/>
            <w:gridSpan w:val="2"/>
          </w:tcPr>
          <w:p>
            <w:pPr>
              <w:pStyle w:val="nTable"/>
              <w:spacing w:after="40"/>
            </w:pPr>
            <w:r>
              <w:t>50 of 1996</w:t>
            </w:r>
          </w:p>
        </w:tc>
        <w:tc>
          <w:tcPr>
            <w:tcW w:w="1133" w:type="dxa"/>
            <w:gridSpan w:val="2"/>
          </w:tcPr>
          <w:p>
            <w:pPr>
              <w:pStyle w:val="nTable"/>
              <w:spacing w:after="40"/>
            </w:pPr>
            <w:r>
              <w:t>31 Oct 1996</w:t>
            </w:r>
          </w:p>
        </w:tc>
        <w:tc>
          <w:tcPr>
            <w:tcW w:w="2552" w:type="dxa"/>
            <w:gridSpan w:val="3"/>
          </w:tcPr>
          <w:p>
            <w:pPr>
              <w:pStyle w:val="nTable"/>
              <w:spacing w:after="40"/>
            </w:pPr>
            <w:r>
              <w:t xml:space="preserve">4 Dec 1996 (see s. 2 and </w:t>
            </w:r>
            <w:r>
              <w:rPr>
                <w:i/>
              </w:rPr>
              <w:t>Gazette</w:t>
            </w:r>
            <w:r>
              <w:t xml:space="preserve"> 3 Dec 1996 p. 6695)</w:t>
            </w:r>
          </w:p>
        </w:tc>
      </w:tr>
      <w:tr>
        <w:trPr>
          <w:cantSplit/>
        </w:trPr>
        <w:tc>
          <w:tcPr>
            <w:tcW w:w="2259" w:type="dxa"/>
            <w:gridSpan w:val="2"/>
          </w:tcPr>
          <w:p>
            <w:pPr>
              <w:pStyle w:val="nTable"/>
              <w:spacing w:after="40"/>
              <w:ind w:right="170"/>
            </w:pPr>
            <w:r>
              <w:rPr>
                <w:i/>
              </w:rPr>
              <w:t>Dental Amendment Act 1996</w:t>
            </w:r>
            <w:r>
              <w:t xml:space="preserve"> s. 18</w:t>
            </w:r>
          </w:p>
        </w:tc>
        <w:tc>
          <w:tcPr>
            <w:tcW w:w="1132" w:type="dxa"/>
            <w:gridSpan w:val="2"/>
          </w:tcPr>
          <w:p>
            <w:pPr>
              <w:pStyle w:val="nTable"/>
              <w:spacing w:after="40"/>
            </w:pPr>
            <w:r>
              <w:t>64 of 1996</w:t>
            </w:r>
          </w:p>
        </w:tc>
        <w:tc>
          <w:tcPr>
            <w:tcW w:w="1133" w:type="dxa"/>
            <w:gridSpan w:val="2"/>
          </w:tcPr>
          <w:p>
            <w:pPr>
              <w:pStyle w:val="nTable"/>
              <w:spacing w:after="40"/>
            </w:pPr>
            <w:r>
              <w:t>11 Nov 1996</w:t>
            </w:r>
          </w:p>
        </w:tc>
        <w:tc>
          <w:tcPr>
            <w:tcW w:w="2552" w:type="dxa"/>
            <w:gridSpan w:val="3"/>
          </w:tcPr>
          <w:p>
            <w:pPr>
              <w:pStyle w:val="nTable"/>
              <w:spacing w:after="40"/>
            </w:pPr>
            <w:r>
              <w:t xml:space="preserve">1 Jan 1997 (see s. 2 and </w:t>
            </w:r>
            <w:r>
              <w:rPr>
                <w:i/>
              </w:rPr>
              <w:t>Gazette</w:t>
            </w:r>
            <w:r>
              <w:t xml:space="preserve"> 31 Dec 1996 p. 7427)</w:t>
            </w:r>
          </w:p>
        </w:tc>
      </w:tr>
      <w:tr>
        <w:trPr>
          <w:cantSplit/>
        </w:trPr>
        <w:tc>
          <w:tcPr>
            <w:tcW w:w="2259" w:type="dxa"/>
            <w:gridSpan w:val="2"/>
          </w:tcPr>
          <w:p>
            <w:pPr>
              <w:pStyle w:val="nTable"/>
              <w:spacing w:after="40"/>
              <w:ind w:right="170"/>
            </w:pPr>
            <w:r>
              <w:rPr>
                <w:i/>
              </w:rPr>
              <w:t>Transfer of Land Amendment Act 1996</w:t>
            </w:r>
            <w:r>
              <w:t xml:space="preserve"> s. 153(1) and (2)</w:t>
            </w:r>
          </w:p>
        </w:tc>
        <w:tc>
          <w:tcPr>
            <w:tcW w:w="1132" w:type="dxa"/>
            <w:gridSpan w:val="2"/>
          </w:tcPr>
          <w:p>
            <w:pPr>
              <w:pStyle w:val="nTable"/>
              <w:spacing w:after="40"/>
            </w:pPr>
            <w:r>
              <w:t>81 of 1996</w:t>
            </w:r>
          </w:p>
        </w:tc>
        <w:tc>
          <w:tcPr>
            <w:tcW w:w="1133" w:type="dxa"/>
            <w:gridSpan w:val="2"/>
          </w:tcPr>
          <w:p>
            <w:pPr>
              <w:pStyle w:val="nTable"/>
              <w:spacing w:after="40"/>
            </w:pPr>
            <w:r>
              <w:t>14 Nov 1996</w:t>
            </w:r>
          </w:p>
        </w:tc>
        <w:tc>
          <w:tcPr>
            <w:tcW w:w="2552" w:type="dxa"/>
            <w:gridSpan w:val="3"/>
          </w:tcPr>
          <w:p>
            <w:pPr>
              <w:pStyle w:val="nTable"/>
              <w:spacing w:after="40"/>
            </w:pPr>
            <w:r>
              <w:t>14 Nov 1996 (see s. 2(1))</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as at 11 Mar 1997 </w:t>
            </w:r>
            <w:r>
              <w:t xml:space="preserve">(includes amendments listed above except those in the </w:t>
            </w:r>
            <w:r>
              <w:rPr>
                <w:i/>
              </w:rPr>
              <w:t>Hospitals Amendment Act 1994</w:t>
            </w:r>
            <w:r>
              <w:t xml:space="preserve">, </w:t>
            </w:r>
            <w:r>
              <w:rPr>
                <w:i/>
              </w:rPr>
              <w:t>Coroners Act 1996</w:t>
            </w:r>
            <w:r>
              <w:t xml:space="preserve"> and the </w:t>
            </w:r>
            <w:r>
              <w:rPr>
                <w:i/>
              </w:rPr>
              <w:t>Health Amendment Act 1996</w:t>
            </w:r>
            <w:r>
              <w:t xml:space="preserve"> s. 7 and 13) (correction by </w:t>
            </w:r>
            <w:r>
              <w:rPr>
                <w:i/>
              </w:rPr>
              <w:t>Gazette</w:t>
            </w:r>
            <w:r>
              <w:t xml:space="preserve"> 2 Dec 1997 p. 7058)</w:t>
            </w:r>
          </w:p>
        </w:tc>
      </w:tr>
      <w:tr>
        <w:trPr>
          <w:cantSplit/>
        </w:trPr>
        <w:tc>
          <w:tcPr>
            <w:tcW w:w="2259" w:type="dxa"/>
            <w:gridSpan w:val="2"/>
          </w:tcPr>
          <w:p>
            <w:pPr>
              <w:pStyle w:val="nTable"/>
              <w:spacing w:after="40"/>
              <w:ind w:right="170"/>
            </w:pPr>
            <w:r>
              <w:rPr>
                <w:i/>
              </w:rPr>
              <w:t>Acts Amendment (Land Administration) Act 1997</w:t>
            </w:r>
            <w:r>
              <w:t xml:space="preserve"> Pt. 30 and s. 142</w:t>
            </w:r>
          </w:p>
        </w:tc>
        <w:tc>
          <w:tcPr>
            <w:tcW w:w="1132" w:type="dxa"/>
            <w:gridSpan w:val="2"/>
          </w:tcPr>
          <w:p>
            <w:pPr>
              <w:pStyle w:val="nTable"/>
              <w:spacing w:after="40"/>
            </w:pPr>
            <w:r>
              <w:t>31 of 1997</w:t>
            </w:r>
          </w:p>
        </w:tc>
        <w:tc>
          <w:tcPr>
            <w:tcW w:w="1133" w:type="dxa"/>
            <w:gridSpan w:val="2"/>
          </w:tcPr>
          <w:p>
            <w:pPr>
              <w:pStyle w:val="nTable"/>
              <w:spacing w:after="40"/>
            </w:pPr>
            <w:r>
              <w:t>3 Oct 1997</w:t>
            </w:r>
          </w:p>
        </w:tc>
        <w:tc>
          <w:tcPr>
            <w:tcW w:w="2552" w:type="dxa"/>
            <w:gridSpan w:val="3"/>
          </w:tcPr>
          <w:p>
            <w:pPr>
              <w:pStyle w:val="nTable"/>
              <w:spacing w:after="40"/>
            </w:pPr>
            <w:r>
              <w:t xml:space="preserve">30 Mar 1998 (see s. 2 and </w:t>
            </w:r>
            <w:r>
              <w:rPr>
                <w:i/>
              </w:rPr>
              <w:t>Gazette</w:t>
            </w:r>
            <w:r>
              <w:t xml:space="preserve"> 27 Mar 1998 p. 1765)</w:t>
            </w:r>
          </w:p>
        </w:tc>
      </w:tr>
      <w:tr>
        <w:trPr>
          <w:cantSplit/>
        </w:trPr>
        <w:tc>
          <w:tcPr>
            <w:tcW w:w="2259" w:type="dxa"/>
            <w:gridSpan w:val="2"/>
          </w:tcPr>
          <w:p>
            <w:pPr>
              <w:pStyle w:val="nTable"/>
              <w:spacing w:after="40"/>
              <w:ind w:right="172"/>
            </w:pPr>
            <w:r>
              <w:rPr>
                <w:i/>
              </w:rPr>
              <w:t>Statutes (Repeals and Minor Amendments) Act 1997</w:t>
            </w:r>
            <w:r>
              <w:t xml:space="preserve"> s. 68</w:t>
            </w:r>
          </w:p>
        </w:tc>
        <w:tc>
          <w:tcPr>
            <w:tcW w:w="1132" w:type="dxa"/>
            <w:gridSpan w:val="2"/>
          </w:tcPr>
          <w:p>
            <w:pPr>
              <w:pStyle w:val="nTable"/>
              <w:spacing w:after="40"/>
            </w:pPr>
            <w:r>
              <w:t>57 of 1997</w:t>
            </w:r>
          </w:p>
        </w:tc>
        <w:tc>
          <w:tcPr>
            <w:tcW w:w="1133" w:type="dxa"/>
            <w:gridSpan w:val="2"/>
          </w:tcPr>
          <w:p>
            <w:pPr>
              <w:pStyle w:val="nTable"/>
              <w:spacing w:after="40"/>
            </w:pPr>
            <w:r>
              <w:t>15 Dec 1997</w:t>
            </w:r>
          </w:p>
        </w:tc>
        <w:tc>
          <w:tcPr>
            <w:tcW w:w="2552" w:type="dxa"/>
            <w:gridSpan w:val="3"/>
          </w:tcPr>
          <w:p>
            <w:pPr>
              <w:pStyle w:val="nTable"/>
              <w:spacing w:after="40"/>
            </w:pPr>
            <w:r>
              <w:t>15 Dec 1997 (see s. 2(1))</w:t>
            </w:r>
          </w:p>
        </w:tc>
      </w:tr>
      <w:tr>
        <w:trPr>
          <w:cantSplit/>
        </w:trPr>
        <w:tc>
          <w:tcPr>
            <w:tcW w:w="2259" w:type="dxa"/>
            <w:gridSpan w:val="2"/>
          </w:tcPr>
          <w:p>
            <w:pPr>
              <w:pStyle w:val="nTable"/>
              <w:spacing w:after="40"/>
              <w:ind w:right="52"/>
            </w:pPr>
            <w:r>
              <w:rPr>
                <w:i/>
              </w:rPr>
              <w:t>Statutes (Repeals and Minor Amendments) Act (No. 2) 1998</w:t>
            </w:r>
            <w:r>
              <w:t xml:space="preserve"> s. 39</w:t>
            </w:r>
            <w:r>
              <w:rPr>
                <w:vertAlign w:val="superscript"/>
              </w:rPr>
              <w:t> 21, 22</w:t>
            </w:r>
          </w:p>
        </w:tc>
        <w:tc>
          <w:tcPr>
            <w:tcW w:w="1132" w:type="dxa"/>
            <w:gridSpan w:val="2"/>
          </w:tcPr>
          <w:p>
            <w:pPr>
              <w:pStyle w:val="nTable"/>
              <w:spacing w:after="40"/>
            </w:pPr>
            <w:r>
              <w:t>10 of 1998</w:t>
            </w:r>
          </w:p>
        </w:tc>
        <w:tc>
          <w:tcPr>
            <w:tcW w:w="1133" w:type="dxa"/>
            <w:gridSpan w:val="2"/>
          </w:tcPr>
          <w:p>
            <w:pPr>
              <w:pStyle w:val="nTable"/>
              <w:spacing w:after="40"/>
            </w:pPr>
            <w:r>
              <w:t>30 Apr 1998</w:t>
            </w:r>
          </w:p>
        </w:tc>
        <w:tc>
          <w:tcPr>
            <w:tcW w:w="2552" w:type="dxa"/>
            <w:gridSpan w:val="3"/>
          </w:tcPr>
          <w:p>
            <w:pPr>
              <w:pStyle w:val="nTable"/>
              <w:spacing w:after="40"/>
            </w:pPr>
            <w:r>
              <w:t>30 Apr 1998 (see s. 2(1))</w:t>
            </w:r>
          </w:p>
        </w:tc>
      </w:tr>
      <w:tr>
        <w:trPr>
          <w:cantSplit/>
        </w:trPr>
        <w:tc>
          <w:tcPr>
            <w:tcW w:w="2259" w:type="dxa"/>
            <w:gridSpan w:val="2"/>
          </w:tcPr>
          <w:p>
            <w:pPr>
              <w:pStyle w:val="nTable"/>
              <w:spacing w:after="40"/>
              <w:ind w:right="170"/>
            </w:pPr>
            <w:r>
              <w:rPr>
                <w:i/>
              </w:rPr>
              <w:t>Acts Amendment (Abortion) Act 1998</w:t>
            </w:r>
            <w:r>
              <w:t xml:space="preserve"> s. 7</w:t>
            </w:r>
            <w:r>
              <w:rPr>
                <w:vertAlign w:val="superscript"/>
              </w:rPr>
              <w:t> 23</w:t>
            </w:r>
          </w:p>
        </w:tc>
        <w:tc>
          <w:tcPr>
            <w:tcW w:w="1132" w:type="dxa"/>
            <w:gridSpan w:val="2"/>
          </w:tcPr>
          <w:p>
            <w:pPr>
              <w:pStyle w:val="nTable"/>
              <w:spacing w:after="40"/>
            </w:pPr>
            <w:r>
              <w:t>15 of 1998</w:t>
            </w:r>
          </w:p>
        </w:tc>
        <w:tc>
          <w:tcPr>
            <w:tcW w:w="1133" w:type="dxa"/>
            <w:gridSpan w:val="2"/>
          </w:tcPr>
          <w:p>
            <w:pPr>
              <w:pStyle w:val="nTable"/>
              <w:spacing w:after="40"/>
            </w:pPr>
            <w:r>
              <w:t>26 May 1998</w:t>
            </w:r>
          </w:p>
        </w:tc>
        <w:tc>
          <w:tcPr>
            <w:tcW w:w="2552" w:type="dxa"/>
            <w:gridSpan w:val="3"/>
          </w:tcPr>
          <w:p>
            <w:pPr>
              <w:pStyle w:val="nTable"/>
              <w:spacing w:after="40"/>
            </w:pPr>
            <w:r>
              <w:t>26 May 1998 (see s. 2)</w:t>
            </w:r>
          </w:p>
        </w:tc>
      </w:tr>
      <w:tr>
        <w:tc>
          <w:tcPr>
            <w:tcW w:w="2259" w:type="dxa"/>
            <w:gridSpan w:val="2"/>
          </w:tcPr>
          <w:p>
            <w:pPr>
              <w:pStyle w:val="nTable"/>
              <w:spacing w:after="40"/>
              <w:ind w:right="170"/>
            </w:pPr>
            <w:r>
              <w:rPr>
                <w:i/>
              </w:rPr>
              <w:t xml:space="preserve">Acts Repeal and Amendment (Births, Deaths and Marriages Registration) Act 1998 </w:t>
            </w:r>
            <w:r>
              <w:t>s. 14</w:t>
            </w:r>
          </w:p>
        </w:tc>
        <w:tc>
          <w:tcPr>
            <w:tcW w:w="1132" w:type="dxa"/>
            <w:gridSpan w:val="2"/>
          </w:tcPr>
          <w:p>
            <w:pPr>
              <w:pStyle w:val="nTable"/>
              <w:spacing w:after="40"/>
            </w:pPr>
            <w:r>
              <w:t>40 of 1998</w:t>
            </w:r>
          </w:p>
        </w:tc>
        <w:tc>
          <w:tcPr>
            <w:tcW w:w="1133" w:type="dxa"/>
            <w:gridSpan w:val="2"/>
          </w:tcPr>
          <w:p>
            <w:pPr>
              <w:pStyle w:val="nTable"/>
              <w:spacing w:after="40"/>
            </w:pPr>
            <w:r>
              <w:t>30 Oct 1998</w:t>
            </w:r>
          </w:p>
        </w:tc>
        <w:tc>
          <w:tcPr>
            <w:tcW w:w="2552" w:type="dxa"/>
            <w:gridSpan w:val="3"/>
          </w:tcPr>
          <w:p>
            <w:pPr>
              <w:pStyle w:val="nTable"/>
              <w:spacing w:after="40"/>
            </w:pPr>
            <w:r>
              <w:t xml:space="preserve">14 Apr 1999 (see s. 2 and </w:t>
            </w:r>
            <w:r>
              <w:rPr>
                <w:i/>
              </w:rPr>
              <w:t>Gazette</w:t>
            </w:r>
            <w:r>
              <w:t xml:space="preserve"> 9 Apr 1999 p. 1433)</w:t>
            </w:r>
          </w:p>
        </w:tc>
      </w:tr>
      <w:tr>
        <w:trPr>
          <w:cantSplit/>
        </w:trPr>
        <w:tc>
          <w:tcPr>
            <w:tcW w:w="2259" w:type="dxa"/>
            <w:gridSpan w:val="2"/>
          </w:tcPr>
          <w:p>
            <w:pPr>
              <w:pStyle w:val="nTable"/>
              <w:spacing w:after="40"/>
              <w:ind w:right="170"/>
              <w:rPr>
                <w:i/>
              </w:rPr>
            </w:pPr>
            <w:r>
              <w:rPr>
                <w:i/>
              </w:rPr>
              <w:t>Health Amendment Act 1998</w:t>
            </w:r>
          </w:p>
        </w:tc>
        <w:tc>
          <w:tcPr>
            <w:tcW w:w="1132" w:type="dxa"/>
            <w:gridSpan w:val="2"/>
          </w:tcPr>
          <w:p>
            <w:pPr>
              <w:pStyle w:val="nTable"/>
              <w:spacing w:after="40"/>
            </w:pPr>
            <w:r>
              <w:t>62 of 1998</w:t>
            </w:r>
          </w:p>
        </w:tc>
        <w:tc>
          <w:tcPr>
            <w:tcW w:w="1133" w:type="dxa"/>
            <w:gridSpan w:val="2"/>
          </w:tcPr>
          <w:p>
            <w:pPr>
              <w:pStyle w:val="nTable"/>
              <w:spacing w:after="40"/>
            </w:pPr>
            <w:r>
              <w:t>12 Jan 1999</w:t>
            </w:r>
          </w:p>
        </w:tc>
        <w:tc>
          <w:tcPr>
            <w:tcW w:w="2552" w:type="dxa"/>
            <w:gridSpan w:val="3"/>
          </w:tcPr>
          <w:p>
            <w:pPr>
              <w:pStyle w:val="nTable"/>
              <w:spacing w:after="40"/>
            </w:pPr>
            <w:r>
              <w:t>12 Jan 1999 (see s. 2)</w:t>
            </w:r>
          </w:p>
        </w:tc>
      </w:tr>
      <w:tr>
        <w:trPr>
          <w:cantSplit/>
        </w:trPr>
        <w:tc>
          <w:tcPr>
            <w:tcW w:w="2259" w:type="dxa"/>
            <w:gridSpan w:val="2"/>
          </w:tcPr>
          <w:p>
            <w:pPr>
              <w:pStyle w:val="nTable"/>
              <w:spacing w:after="40"/>
              <w:ind w:right="170"/>
              <w:rPr>
                <w:i/>
              </w:rPr>
            </w:pPr>
            <w:r>
              <w:rPr>
                <w:i/>
              </w:rPr>
              <w:t>School Education Act 1999</w:t>
            </w:r>
            <w:r>
              <w:t xml:space="preserve"> s. 247</w:t>
            </w:r>
          </w:p>
        </w:tc>
        <w:tc>
          <w:tcPr>
            <w:tcW w:w="1132" w:type="dxa"/>
            <w:gridSpan w:val="2"/>
          </w:tcPr>
          <w:p>
            <w:pPr>
              <w:pStyle w:val="nTable"/>
              <w:spacing w:after="40"/>
            </w:pPr>
            <w:r>
              <w:t>36 of 1999</w:t>
            </w:r>
          </w:p>
        </w:tc>
        <w:tc>
          <w:tcPr>
            <w:tcW w:w="1133" w:type="dxa"/>
            <w:gridSpan w:val="2"/>
          </w:tcPr>
          <w:p>
            <w:pPr>
              <w:pStyle w:val="nTable"/>
              <w:spacing w:after="40"/>
            </w:pPr>
            <w:r>
              <w:t>2 Nov 1999</w:t>
            </w:r>
          </w:p>
        </w:tc>
        <w:tc>
          <w:tcPr>
            <w:tcW w:w="2552" w:type="dxa"/>
            <w:gridSpan w:val="3"/>
          </w:tcPr>
          <w:p>
            <w:pPr>
              <w:pStyle w:val="nTable"/>
              <w:spacing w:after="40"/>
            </w:pPr>
            <w:r>
              <w:t xml:space="preserve">1 Jan 2001 (see s. 2 and </w:t>
            </w:r>
            <w:r>
              <w:rPr>
                <w:i/>
              </w:rPr>
              <w:t>Gazette</w:t>
            </w:r>
            <w:r>
              <w:t xml:space="preserve"> 29 Dec 2000 p. 7904)</w:t>
            </w:r>
          </w:p>
        </w:tc>
      </w:tr>
      <w:tr>
        <w:trPr>
          <w:cantSplit/>
        </w:trPr>
        <w:tc>
          <w:tcPr>
            <w:tcW w:w="2259" w:type="dxa"/>
            <w:gridSpan w:val="2"/>
          </w:tcPr>
          <w:p>
            <w:pPr>
              <w:pStyle w:val="nTable"/>
              <w:spacing w:after="40"/>
              <w:ind w:right="170"/>
            </w:pPr>
            <w:r>
              <w:rPr>
                <w:i/>
              </w:rPr>
              <w:t>Water Services Coordination Amendment Act 1999</w:t>
            </w:r>
            <w:r>
              <w:t xml:space="preserve"> s. 11(5)</w:t>
            </w:r>
          </w:p>
        </w:tc>
        <w:tc>
          <w:tcPr>
            <w:tcW w:w="1132" w:type="dxa"/>
            <w:gridSpan w:val="2"/>
          </w:tcPr>
          <w:p>
            <w:pPr>
              <w:pStyle w:val="nTable"/>
              <w:spacing w:after="40"/>
            </w:pPr>
            <w:r>
              <w:t>39 of 1999</w:t>
            </w:r>
          </w:p>
        </w:tc>
        <w:tc>
          <w:tcPr>
            <w:tcW w:w="1133" w:type="dxa"/>
            <w:gridSpan w:val="2"/>
          </w:tcPr>
          <w:p>
            <w:pPr>
              <w:pStyle w:val="nTable"/>
              <w:spacing w:after="40"/>
            </w:pPr>
            <w:r>
              <w:t>9 Nov 1999</w:t>
            </w:r>
          </w:p>
        </w:tc>
        <w:tc>
          <w:tcPr>
            <w:tcW w:w="2552" w:type="dxa"/>
            <w:gridSpan w:val="3"/>
          </w:tcPr>
          <w:p>
            <w:pPr>
              <w:pStyle w:val="nTable"/>
              <w:spacing w:after="40"/>
            </w:pPr>
            <w:r>
              <w:t xml:space="preserve">19 Jun 2000 (see s. 2 and </w:t>
            </w:r>
            <w:r>
              <w:rPr>
                <w:i/>
              </w:rPr>
              <w:t>Gazette</w:t>
            </w:r>
            <w:r>
              <w:t xml:space="preserve"> 16 Jun 2000 p. 2939)</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as at 31 Mar 2000 </w:t>
            </w:r>
            <w:r>
              <w:t xml:space="preserve">(includes amendments listed above except those in the </w:t>
            </w:r>
            <w:r>
              <w:rPr>
                <w:i/>
              </w:rPr>
              <w:t>School Education Act 1999</w:t>
            </w:r>
            <w:r>
              <w:t xml:space="preserve"> and the </w:t>
            </w:r>
            <w:r>
              <w:rPr>
                <w:i/>
              </w:rPr>
              <w:t>Water Services Coordination Amendment Act 1999</w:t>
            </w:r>
            <w:r>
              <w:t>)</w:t>
            </w:r>
          </w:p>
        </w:tc>
      </w:tr>
      <w:tr>
        <w:trPr>
          <w:cantSplit/>
        </w:trPr>
        <w:tc>
          <w:tcPr>
            <w:tcW w:w="2259" w:type="dxa"/>
            <w:gridSpan w:val="2"/>
          </w:tcPr>
          <w:p>
            <w:pPr>
              <w:pStyle w:val="nTable"/>
              <w:spacing w:after="40"/>
              <w:ind w:right="170"/>
              <w:rPr>
                <w:i/>
              </w:rPr>
            </w:pPr>
            <w:r>
              <w:rPr>
                <w:i/>
              </w:rPr>
              <w:t>Statutes (Repeals and Minor Amendments) Act 2000</w:t>
            </w:r>
            <w:r>
              <w:t xml:space="preserve"> s. 16</w:t>
            </w:r>
          </w:p>
        </w:tc>
        <w:tc>
          <w:tcPr>
            <w:tcW w:w="1132" w:type="dxa"/>
            <w:gridSpan w:val="2"/>
          </w:tcPr>
          <w:p>
            <w:pPr>
              <w:pStyle w:val="nTable"/>
              <w:spacing w:after="40"/>
            </w:pPr>
            <w:r>
              <w:t>24 of 2000</w:t>
            </w:r>
          </w:p>
        </w:tc>
        <w:tc>
          <w:tcPr>
            <w:tcW w:w="1133" w:type="dxa"/>
            <w:gridSpan w:val="2"/>
          </w:tcPr>
          <w:p>
            <w:pPr>
              <w:pStyle w:val="nTable"/>
              <w:spacing w:after="40"/>
            </w:pPr>
            <w:r>
              <w:t>4 Jul 2000</w:t>
            </w:r>
          </w:p>
        </w:tc>
        <w:tc>
          <w:tcPr>
            <w:tcW w:w="2552" w:type="dxa"/>
            <w:gridSpan w:val="3"/>
          </w:tcPr>
          <w:p>
            <w:pPr>
              <w:pStyle w:val="nTable"/>
              <w:spacing w:after="40"/>
            </w:pPr>
            <w:r>
              <w:t>4 Jul 2000 (see s. 2)</w:t>
            </w:r>
          </w:p>
        </w:tc>
      </w:tr>
      <w:tr>
        <w:trPr>
          <w:cantSplit/>
        </w:trPr>
        <w:tc>
          <w:tcPr>
            <w:tcW w:w="4524" w:type="dxa"/>
            <w:gridSpan w:val="6"/>
          </w:tcPr>
          <w:p>
            <w:pPr>
              <w:pStyle w:val="nTable"/>
              <w:spacing w:after="40"/>
            </w:pPr>
            <w:r>
              <w:t xml:space="preserve">Untitled proclamation published by </w:t>
            </w:r>
            <w:r>
              <w:rPr>
                <w:i/>
              </w:rPr>
              <w:t>Gazette</w:t>
            </w:r>
            <w:r>
              <w:t xml:space="preserve"> 17 Nov 2000 p. 6289</w:t>
            </w:r>
          </w:p>
        </w:tc>
        <w:tc>
          <w:tcPr>
            <w:tcW w:w="2552" w:type="dxa"/>
            <w:gridSpan w:val="3"/>
          </w:tcPr>
          <w:p>
            <w:pPr>
              <w:pStyle w:val="nTable"/>
              <w:spacing w:after="40"/>
            </w:pPr>
            <w:r>
              <w:t xml:space="preserve"> 17 Nov 2000</w:t>
            </w:r>
          </w:p>
        </w:tc>
      </w:tr>
      <w:tr>
        <w:trPr>
          <w:cantSplit/>
        </w:trPr>
        <w:tc>
          <w:tcPr>
            <w:tcW w:w="2259" w:type="dxa"/>
            <w:gridSpan w:val="2"/>
          </w:tcPr>
          <w:p>
            <w:pPr>
              <w:pStyle w:val="nTable"/>
              <w:spacing w:after="40"/>
              <w:ind w:right="170"/>
              <w:rPr>
                <w:i/>
              </w:rPr>
            </w:pPr>
            <w:r>
              <w:rPr>
                <w:i/>
              </w:rPr>
              <w:t>Corporations (Consequential Amendments) Act 2001</w:t>
            </w:r>
            <w:r>
              <w:t xml:space="preserve"> Pt. 30</w:t>
            </w:r>
          </w:p>
        </w:tc>
        <w:tc>
          <w:tcPr>
            <w:tcW w:w="1132" w:type="dxa"/>
            <w:gridSpan w:val="2"/>
          </w:tcPr>
          <w:p>
            <w:pPr>
              <w:pStyle w:val="nTable"/>
              <w:spacing w:after="40"/>
            </w:pPr>
            <w:r>
              <w:t>10 of 2001</w:t>
            </w:r>
          </w:p>
        </w:tc>
        <w:tc>
          <w:tcPr>
            <w:tcW w:w="1133" w:type="dxa"/>
            <w:gridSpan w:val="2"/>
          </w:tcPr>
          <w:p>
            <w:pPr>
              <w:pStyle w:val="nTable"/>
              <w:spacing w:after="40"/>
            </w:pPr>
            <w:r>
              <w:t>28 Jun 2001</w:t>
            </w:r>
          </w:p>
        </w:tc>
        <w:tc>
          <w:tcPr>
            <w:tcW w:w="2552" w:type="dxa"/>
            <w:gridSpan w:val="3"/>
          </w:tcPr>
          <w:p>
            <w:pPr>
              <w:pStyle w:val="nTable"/>
              <w:spacing w:after="40"/>
            </w:pPr>
            <w:r>
              <w:t xml:space="preserve">15 Jul 2001 (see s. 2 and </w:t>
            </w:r>
            <w:r>
              <w:rPr>
                <w:i/>
              </w:rPr>
              <w:t>Gazette</w:t>
            </w:r>
            <w:r>
              <w:t xml:space="preserve"> 29 Jun 2001 p. 3257 and Cwlth </w:t>
            </w:r>
            <w:r>
              <w:rPr>
                <w:i/>
              </w:rPr>
              <w:t>Gazette</w:t>
            </w:r>
            <w:r>
              <w:t xml:space="preserve"> 13 Jul 2001 No. S285)</w:t>
            </w:r>
          </w:p>
        </w:tc>
      </w:tr>
      <w:tr>
        <w:trPr>
          <w:cantSplit/>
        </w:trPr>
        <w:tc>
          <w:tcPr>
            <w:tcW w:w="2259" w:type="dxa"/>
            <w:gridSpan w:val="2"/>
          </w:tcPr>
          <w:p>
            <w:pPr>
              <w:pStyle w:val="nTable"/>
              <w:spacing w:after="40"/>
              <w:ind w:right="170"/>
            </w:pPr>
            <w:r>
              <w:rPr>
                <w:i/>
              </w:rPr>
              <w:t>Acts Amendment (Equality of Status) Act 2003</w:t>
            </w:r>
            <w:r>
              <w:t xml:space="preserve"> Pt. 26</w:t>
            </w:r>
          </w:p>
        </w:tc>
        <w:tc>
          <w:tcPr>
            <w:tcW w:w="1132" w:type="dxa"/>
            <w:gridSpan w:val="2"/>
          </w:tcPr>
          <w:p>
            <w:pPr>
              <w:pStyle w:val="nTable"/>
              <w:spacing w:after="40"/>
            </w:pPr>
            <w:r>
              <w:t>28 of 2003</w:t>
            </w:r>
          </w:p>
        </w:tc>
        <w:tc>
          <w:tcPr>
            <w:tcW w:w="1133" w:type="dxa"/>
            <w:gridSpan w:val="2"/>
          </w:tcPr>
          <w:p>
            <w:pPr>
              <w:pStyle w:val="nTable"/>
              <w:spacing w:after="40"/>
            </w:pPr>
            <w:r>
              <w:t>22 May 2003</w:t>
            </w:r>
          </w:p>
        </w:tc>
        <w:tc>
          <w:tcPr>
            <w:tcW w:w="2552" w:type="dxa"/>
            <w:gridSpan w:val="3"/>
          </w:tcPr>
          <w:p>
            <w:pPr>
              <w:pStyle w:val="nTable"/>
              <w:spacing w:after="40"/>
            </w:pPr>
            <w:r>
              <w:t xml:space="preserve">1 Jul 2003 (see s. 2 and </w:t>
            </w:r>
            <w:r>
              <w:rPr>
                <w:i/>
              </w:rPr>
              <w:t xml:space="preserve">Gazette </w:t>
            </w:r>
            <w:r>
              <w:t>30 Jun 2003 p. 2579)</w:t>
            </w:r>
          </w:p>
        </w:tc>
      </w:tr>
      <w:tr>
        <w:trPr>
          <w:cantSplit/>
        </w:trPr>
        <w:tc>
          <w:tcPr>
            <w:tcW w:w="2259" w:type="dxa"/>
            <w:gridSpan w:val="2"/>
          </w:tcPr>
          <w:p>
            <w:pPr>
              <w:pStyle w:val="nTable"/>
              <w:spacing w:after="40"/>
              <w:ind w:right="170"/>
              <w:rPr>
                <w:i/>
              </w:rPr>
            </w:pPr>
            <w:r>
              <w:rPr>
                <w:i/>
              </w:rPr>
              <w:t xml:space="preserve">Sentencing Legislation Amendment and Repeal Act 2003 </w:t>
            </w:r>
            <w:r>
              <w:t>s. 71</w:t>
            </w:r>
          </w:p>
        </w:tc>
        <w:tc>
          <w:tcPr>
            <w:tcW w:w="1132" w:type="dxa"/>
            <w:gridSpan w:val="2"/>
          </w:tcPr>
          <w:p>
            <w:pPr>
              <w:pStyle w:val="nTable"/>
              <w:spacing w:after="40"/>
            </w:pPr>
            <w:r>
              <w:t>50 of 2003</w:t>
            </w:r>
          </w:p>
        </w:tc>
        <w:tc>
          <w:tcPr>
            <w:tcW w:w="1133" w:type="dxa"/>
            <w:gridSpan w:val="2"/>
          </w:tcPr>
          <w:p>
            <w:pPr>
              <w:pStyle w:val="nTable"/>
              <w:spacing w:after="40"/>
            </w:pPr>
            <w:r>
              <w:t>9 Jul 2003</w:t>
            </w:r>
          </w:p>
        </w:tc>
        <w:tc>
          <w:tcPr>
            <w:tcW w:w="2552" w:type="dxa"/>
            <w:gridSpan w:val="3"/>
          </w:tcPr>
          <w:p>
            <w:pPr>
              <w:pStyle w:val="nTable"/>
              <w:spacing w:after="40"/>
            </w:pPr>
            <w:r>
              <w:t>15 May 2004 (see s. 2 and</w:t>
            </w:r>
            <w:r>
              <w:rPr>
                <w:i/>
              </w:rPr>
              <w:t xml:space="preserve"> Gazette </w:t>
            </w:r>
            <w:r>
              <w:t>14 May 2004 p. 1445)</w:t>
            </w:r>
          </w:p>
        </w:tc>
      </w:tr>
      <w:tr>
        <w:trPr>
          <w:cantSplit/>
        </w:trPr>
        <w:tc>
          <w:tcPr>
            <w:tcW w:w="2259" w:type="dxa"/>
            <w:gridSpan w:val="2"/>
          </w:tcPr>
          <w:p>
            <w:pPr>
              <w:pStyle w:val="nTable"/>
              <w:spacing w:after="40"/>
              <w:ind w:right="170"/>
            </w:pPr>
            <w:r>
              <w:rPr>
                <w:i/>
              </w:rPr>
              <w:t>Statutes (Repeals and Minor Amendments) Act 2003</w:t>
            </w:r>
            <w:r>
              <w:t xml:space="preserve"> s. 64</w:t>
            </w:r>
          </w:p>
        </w:tc>
        <w:tc>
          <w:tcPr>
            <w:tcW w:w="1132" w:type="dxa"/>
            <w:gridSpan w:val="2"/>
          </w:tcPr>
          <w:p>
            <w:pPr>
              <w:pStyle w:val="nTable"/>
              <w:spacing w:after="40"/>
            </w:pPr>
            <w:r>
              <w:t>74 of 2003</w:t>
            </w:r>
          </w:p>
        </w:tc>
        <w:tc>
          <w:tcPr>
            <w:tcW w:w="1133" w:type="dxa"/>
            <w:gridSpan w:val="2"/>
          </w:tcPr>
          <w:p>
            <w:pPr>
              <w:pStyle w:val="nTable"/>
              <w:spacing w:after="40"/>
            </w:pPr>
            <w:r>
              <w:t>15 Dec 2003</w:t>
            </w:r>
          </w:p>
        </w:tc>
        <w:tc>
          <w:tcPr>
            <w:tcW w:w="2552" w:type="dxa"/>
            <w:gridSpan w:val="3"/>
          </w:tcPr>
          <w:p>
            <w:pPr>
              <w:pStyle w:val="nTable"/>
              <w:spacing w:after="40"/>
            </w:pPr>
            <w:r>
              <w:rPr>
                <w:spacing w:val="-2"/>
              </w:rPr>
              <w:t>15 Dec 2003 (see s. 2)</w:t>
            </w:r>
          </w:p>
        </w:tc>
      </w:tr>
      <w:tr>
        <w:trPr>
          <w:cantSplit/>
        </w:trPr>
        <w:tc>
          <w:tcPr>
            <w:tcW w:w="2259" w:type="dxa"/>
            <w:gridSpan w:val="2"/>
          </w:tcPr>
          <w:p>
            <w:pPr>
              <w:pStyle w:val="nTable"/>
              <w:spacing w:after="40"/>
              <w:rPr>
                <w:snapToGrid w:val="0"/>
              </w:rPr>
            </w:pPr>
            <w:r>
              <w:rPr>
                <w:i/>
                <w:snapToGrid w:val="0"/>
              </w:rPr>
              <w:t>Children and Community Services Act 2004</w:t>
            </w:r>
            <w:r>
              <w:rPr>
                <w:snapToGrid w:val="0"/>
              </w:rPr>
              <w:t xml:space="preserve"> Sch. 2 cl. 12</w:t>
            </w:r>
          </w:p>
        </w:tc>
        <w:tc>
          <w:tcPr>
            <w:tcW w:w="1132" w:type="dxa"/>
            <w:gridSpan w:val="2"/>
          </w:tcPr>
          <w:p>
            <w:pPr>
              <w:pStyle w:val="nTable"/>
              <w:spacing w:after="40"/>
              <w:rPr>
                <w:snapToGrid w:val="0"/>
              </w:rPr>
            </w:pPr>
            <w:r>
              <w:rPr>
                <w:snapToGrid w:val="0"/>
              </w:rPr>
              <w:t>34 of 2004</w:t>
            </w:r>
          </w:p>
        </w:tc>
        <w:tc>
          <w:tcPr>
            <w:tcW w:w="1133" w:type="dxa"/>
            <w:gridSpan w:val="2"/>
          </w:tcPr>
          <w:p>
            <w:pPr>
              <w:pStyle w:val="nTable"/>
              <w:spacing w:after="40"/>
              <w:rPr>
                <w:snapToGrid w:val="0"/>
              </w:rPr>
            </w:pPr>
            <w:r>
              <w:t>20 Oct 2004</w:t>
            </w:r>
          </w:p>
        </w:tc>
        <w:tc>
          <w:tcPr>
            <w:tcW w:w="2552" w:type="dxa"/>
            <w:gridSpan w:val="3"/>
          </w:tcPr>
          <w:p>
            <w:pPr>
              <w:pStyle w:val="nTable"/>
              <w:spacing w:after="40"/>
            </w:pPr>
            <w:r>
              <w:t xml:space="preserve">1 Mar 2006 (see s. 2 and </w:t>
            </w:r>
            <w:r>
              <w:rPr>
                <w:i/>
              </w:rPr>
              <w:t>Gazette</w:t>
            </w:r>
            <w:r>
              <w:t xml:space="preserve"> 14 Feb 2006 p. 695)</w:t>
            </w:r>
          </w:p>
        </w:tc>
      </w:tr>
      <w:tr>
        <w:tc>
          <w:tcPr>
            <w:tcW w:w="2259" w:type="dxa"/>
            <w:gridSpan w:val="2"/>
          </w:tcPr>
          <w:p>
            <w:pPr>
              <w:pStyle w:val="nTable"/>
              <w:spacing w:after="40"/>
              <w:ind w:right="170"/>
              <w:rPr>
                <w:i/>
                <w:vertAlign w:val="superscript"/>
              </w:rPr>
            </w:pPr>
            <w:r>
              <w:rPr>
                <w:i/>
                <w:snapToGrid w:val="0"/>
              </w:rPr>
              <w:t xml:space="preserve">Courts Legislation Amendment and Repeal Act 2004 </w:t>
            </w:r>
            <w:r>
              <w:rPr>
                <w:snapToGrid w:val="0"/>
              </w:rPr>
              <w:t>s. 141</w:t>
            </w:r>
            <w:r>
              <w:rPr>
                <w:snapToGrid w:val="0"/>
                <w:vertAlign w:val="superscript"/>
              </w:rPr>
              <w:t> 24</w:t>
            </w:r>
          </w:p>
        </w:tc>
        <w:tc>
          <w:tcPr>
            <w:tcW w:w="1132" w:type="dxa"/>
            <w:gridSpan w:val="2"/>
          </w:tcPr>
          <w:p>
            <w:pPr>
              <w:pStyle w:val="nTable"/>
              <w:spacing w:after="40"/>
            </w:pPr>
            <w:r>
              <w:rPr>
                <w:snapToGrid w:val="0"/>
              </w:rPr>
              <w:t>59 of 2004 (as amended by No. 2 of 2008 s. 77(13))</w:t>
            </w:r>
          </w:p>
        </w:tc>
        <w:tc>
          <w:tcPr>
            <w:tcW w:w="1133" w:type="dxa"/>
            <w:gridSpan w:val="2"/>
          </w:tcPr>
          <w:p>
            <w:pPr>
              <w:pStyle w:val="nTable"/>
              <w:spacing w:after="40"/>
            </w:pPr>
            <w:r>
              <w:rPr>
                <w:snapToGrid w:val="0"/>
              </w:rPr>
              <w:t>23 Nov 2004</w:t>
            </w:r>
          </w:p>
        </w:tc>
        <w:tc>
          <w:tcPr>
            <w:tcW w:w="2552" w:type="dxa"/>
            <w:gridSpan w:val="3"/>
          </w:tcPr>
          <w:p>
            <w:pPr>
              <w:pStyle w:val="nTable"/>
              <w:spacing w:after="40"/>
              <w:rPr>
                <w:spacing w:val="-2"/>
              </w:rPr>
            </w:pPr>
            <w:r>
              <w:rPr>
                <w:snapToGrid w:val="0"/>
              </w:rPr>
              <w:t xml:space="preserve">1 May 2005 (see s. 2 and </w:t>
            </w:r>
            <w:r>
              <w:rPr>
                <w:i/>
                <w:snapToGrid w:val="0"/>
              </w:rPr>
              <w:t>Gazette</w:t>
            </w:r>
            <w:r>
              <w:rPr>
                <w:snapToGrid w:val="0"/>
              </w:rPr>
              <w:t xml:space="preserve"> 31 Dec 2004 p. 7128) </w:t>
            </w:r>
          </w:p>
        </w:tc>
      </w:tr>
      <w:tr>
        <w:trPr>
          <w:cantSplit/>
        </w:trPr>
        <w:tc>
          <w:tcPr>
            <w:tcW w:w="2259" w:type="dxa"/>
            <w:gridSpan w:val="2"/>
          </w:tcPr>
          <w:p>
            <w:pPr>
              <w:pStyle w:val="nTable"/>
              <w:spacing w:after="40"/>
              <w:ind w:right="170"/>
              <w:rPr>
                <w:i/>
              </w:rPr>
            </w:pPr>
            <w:r>
              <w:rPr>
                <w:i/>
              </w:rPr>
              <w:t>State Administrative Tribunal (Conferral of Jurisdiction) Amendment and Repeal Act 2004</w:t>
            </w:r>
            <w:r>
              <w:t xml:space="preserve"> Pt. 2 Div. 58</w:t>
            </w:r>
            <w:r>
              <w:rPr>
                <w:vertAlign w:val="superscript"/>
              </w:rPr>
              <w:t> 25</w:t>
            </w:r>
          </w:p>
        </w:tc>
        <w:tc>
          <w:tcPr>
            <w:tcW w:w="1132" w:type="dxa"/>
            <w:gridSpan w:val="2"/>
          </w:tcPr>
          <w:p>
            <w:pPr>
              <w:pStyle w:val="nTable"/>
              <w:spacing w:after="40"/>
            </w:pPr>
            <w:r>
              <w:t>55 of 2004</w:t>
            </w:r>
          </w:p>
        </w:tc>
        <w:tc>
          <w:tcPr>
            <w:tcW w:w="1133" w:type="dxa"/>
            <w:gridSpan w:val="2"/>
          </w:tcPr>
          <w:p>
            <w:pPr>
              <w:pStyle w:val="nTable"/>
              <w:spacing w:after="40"/>
            </w:pPr>
            <w:r>
              <w:t>24 Nov 2004</w:t>
            </w:r>
          </w:p>
        </w:tc>
        <w:tc>
          <w:tcPr>
            <w:tcW w:w="2552" w:type="dxa"/>
            <w:gridSpan w:val="3"/>
          </w:tcPr>
          <w:p>
            <w:pPr>
              <w:pStyle w:val="nTable"/>
              <w:spacing w:after="40"/>
              <w:rPr>
                <w:spacing w:val="-2"/>
              </w:rPr>
            </w:pPr>
            <w:r>
              <w:rPr>
                <w:spacing w:val="-2"/>
              </w:rPr>
              <w:t xml:space="preserve">1 Jan 2005 (see s. 2 and </w:t>
            </w:r>
            <w:r>
              <w:rPr>
                <w:i/>
                <w:spacing w:val="-2"/>
              </w:rPr>
              <w:t>Gazette</w:t>
            </w:r>
            <w:r>
              <w:rPr>
                <w:spacing w:val="-2"/>
              </w:rPr>
              <w:t xml:space="preserve"> 31 Dec 2004 p. 7130)</w:t>
            </w:r>
          </w:p>
        </w:tc>
      </w:tr>
      <w:tr>
        <w:trPr>
          <w:cantSplit/>
        </w:trPr>
        <w:tc>
          <w:tcPr>
            <w:tcW w:w="2259" w:type="dxa"/>
            <w:gridSpan w:val="2"/>
          </w:tcPr>
          <w:p>
            <w:pPr>
              <w:pStyle w:val="nTable"/>
              <w:spacing w:after="40"/>
              <w:ind w:right="170"/>
            </w:pPr>
            <w:r>
              <w:rPr>
                <w:i/>
              </w:rPr>
              <w:t>Health Legislation Amendment Act 2004</w:t>
            </w:r>
            <w:r>
              <w:t xml:space="preserve"> Pt. 2</w:t>
            </w:r>
          </w:p>
        </w:tc>
        <w:tc>
          <w:tcPr>
            <w:tcW w:w="1132" w:type="dxa"/>
            <w:gridSpan w:val="2"/>
          </w:tcPr>
          <w:p>
            <w:pPr>
              <w:pStyle w:val="nTable"/>
              <w:spacing w:after="40"/>
            </w:pPr>
            <w:r>
              <w:t>61 of 2004</w:t>
            </w:r>
          </w:p>
        </w:tc>
        <w:tc>
          <w:tcPr>
            <w:tcW w:w="1133" w:type="dxa"/>
            <w:gridSpan w:val="2"/>
          </w:tcPr>
          <w:p>
            <w:pPr>
              <w:pStyle w:val="nTable"/>
              <w:spacing w:after="40"/>
            </w:pPr>
            <w:r>
              <w:t>24 Nov 2004</w:t>
            </w:r>
          </w:p>
        </w:tc>
        <w:tc>
          <w:tcPr>
            <w:tcW w:w="2552" w:type="dxa"/>
            <w:gridSpan w:val="3"/>
          </w:tcPr>
          <w:p>
            <w:pPr>
              <w:pStyle w:val="nTable"/>
              <w:spacing w:after="40"/>
              <w:rPr>
                <w:spacing w:val="-2"/>
              </w:rPr>
            </w:pPr>
            <w:r>
              <w:rPr>
                <w:spacing w:val="-2"/>
              </w:rPr>
              <w:t>24 Nov 2004 (see s. 2)</w:t>
            </w:r>
          </w:p>
        </w:tc>
      </w:tr>
      <w:tr>
        <w:trPr>
          <w:cantSplit/>
        </w:trPr>
        <w:tc>
          <w:tcPr>
            <w:tcW w:w="2259" w:type="dxa"/>
            <w:gridSpan w:val="2"/>
          </w:tcPr>
          <w:p>
            <w:pPr>
              <w:pStyle w:val="nTable"/>
              <w:spacing w:after="40"/>
              <w:ind w:right="170"/>
              <w:rPr>
                <w:i/>
              </w:rPr>
            </w:pPr>
            <w:r>
              <w:rPr>
                <w:i/>
                <w:snapToGrid w:val="0"/>
              </w:rPr>
              <w:t>Criminal Procedure and Appeals (Consequential and Other Provisions) Act 2004</w:t>
            </w:r>
            <w:r>
              <w:rPr>
                <w:snapToGrid w:val="0"/>
              </w:rPr>
              <w:t xml:space="preserve"> s. 78, 80 and 82</w:t>
            </w:r>
          </w:p>
        </w:tc>
        <w:tc>
          <w:tcPr>
            <w:tcW w:w="1132" w:type="dxa"/>
            <w:gridSpan w:val="2"/>
          </w:tcPr>
          <w:p>
            <w:pPr>
              <w:pStyle w:val="nTable"/>
              <w:spacing w:after="40"/>
            </w:pPr>
            <w:r>
              <w:rPr>
                <w:snapToGrid w:val="0"/>
              </w:rPr>
              <w:t>84 of 2004</w:t>
            </w:r>
          </w:p>
        </w:tc>
        <w:tc>
          <w:tcPr>
            <w:tcW w:w="1133" w:type="dxa"/>
            <w:gridSpan w:val="2"/>
          </w:tcPr>
          <w:p>
            <w:pPr>
              <w:pStyle w:val="nTable"/>
              <w:spacing w:after="40"/>
            </w:pPr>
            <w:r>
              <w:t>16 Dec 2004</w:t>
            </w:r>
          </w:p>
        </w:tc>
        <w:tc>
          <w:tcPr>
            <w:tcW w:w="2552" w:type="dxa"/>
            <w:gridSpan w:val="3"/>
          </w:tcPr>
          <w:p>
            <w:pPr>
              <w:pStyle w:val="nTable"/>
              <w:spacing w:after="40"/>
              <w:rPr>
                <w:spacing w:val="-2"/>
              </w:rPr>
            </w:pPr>
            <w:r>
              <w:rPr>
                <w:snapToGrid w:val="0"/>
              </w:rPr>
              <w:t xml:space="preserve">2 May 2005 (see s. 2 and </w:t>
            </w:r>
            <w:r>
              <w:rPr>
                <w:i/>
                <w:snapToGrid w:val="0"/>
              </w:rPr>
              <w:t>Gazette</w:t>
            </w:r>
            <w:r>
              <w:rPr>
                <w:snapToGrid w:val="0"/>
              </w:rPr>
              <w:t xml:space="preserve"> 31 Dec 2004 p. 7129 (correction by </w:t>
            </w:r>
            <w:r>
              <w:rPr>
                <w:i/>
                <w:snapToGrid w:val="0"/>
              </w:rPr>
              <w:t>Gazette</w:t>
            </w:r>
            <w:r>
              <w:rPr>
                <w:snapToGrid w:val="0"/>
              </w:rPr>
              <w:t xml:space="preserve"> 7 Jan 2005 p. 53))</w:t>
            </w:r>
          </w:p>
        </w:tc>
      </w:tr>
      <w:tr>
        <w:trPr>
          <w:cantSplit/>
        </w:trPr>
        <w:tc>
          <w:tcPr>
            <w:tcW w:w="7076" w:type="dxa"/>
            <w:gridSpan w:val="9"/>
          </w:tcPr>
          <w:p>
            <w:pPr>
              <w:pStyle w:val="nTable"/>
              <w:spacing w:after="40"/>
              <w:rPr>
                <w:snapToGrid w:val="0"/>
              </w:rPr>
            </w:pPr>
            <w:r>
              <w:rPr>
                <w:b/>
              </w:rPr>
              <w:t xml:space="preserve">Reprint 13: The </w:t>
            </w:r>
            <w:r>
              <w:rPr>
                <w:b/>
                <w:i/>
              </w:rPr>
              <w:t>Health Act 1911</w:t>
            </w:r>
            <w:r>
              <w:rPr>
                <w:b/>
              </w:rPr>
              <w:t xml:space="preserve"> as at 15 Jul 2005 </w:t>
            </w:r>
            <w:r>
              <w:t xml:space="preserve">(includes amendments listed above except those in the </w:t>
            </w:r>
            <w:r>
              <w:rPr>
                <w:i/>
                <w:snapToGrid w:val="0"/>
              </w:rPr>
              <w:t>Children and Community Services Act 2004</w:t>
            </w:r>
            <w:r>
              <w:t>)</w:t>
            </w:r>
          </w:p>
        </w:tc>
      </w:tr>
      <w:tr>
        <w:tc>
          <w:tcPr>
            <w:tcW w:w="2259" w:type="dxa"/>
            <w:gridSpan w:val="2"/>
          </w:tcPr>
          <w:p>
            <w:pPr>
              <w:pStyle w:val="nTable"/>
              <w:spacing w:after="40"/>
            </w:pPr>
            <w:r>
              <w:rPr>
                <w:i/>
              </w:rPr>
              <w:t>Tobacco Products Control Act 2006</w:t>
            </w:r>
            <w:r>
              <w:t xml:space="preserve"> s. 126</w:t>
            </w:r>
          </w:p>
        </w:tc>
        <w:tc>
          <w:tcPr>
            <w:tcW w:w="1132" w:type="dxa"/>
            <w:gridSpan w:val="2"/>
          </w:tcPr>
          <w:p>
            <w:pPr>
              <w:pStyle w:val="nTable"/>
              <w:spacing w:after="40"/>
            </w:pPr>
            <w:r>
              <w:t>5 of 2006</w:t>
            </w:r>
          </w:p>
        </w:tc>
        <w:tc>
          <w:tcPr>
            <w:tcW w:w="1133" w:type="dxa"/>
            <w:gridSpan w:val="2"/>
          </w:tcPr>
          <w:p>
            <w:pPr>
              <w:pStyle w:val="nTable"/>
              <w:spacing w:after="40"/>
            </w:pPr>
            <w:r>
              <w:t>12 Apr 2006</w:t>
            </w:r>
          </w:p>
        </w:tc>
        <w:tc>
          <w:tcPr>
            <w:tcW w:w="2552" w:type="dxa"/>
            <w:gridSpan w:val="3"/>
          </w:tcPr>
          <w:p>
            <w:pPr>
              <w:pStyle w:val="nTable"/>
              <w:spacing w:after="40"/>
            </w:pPr>
            <w:r>
              <w:t xml:space="preserve">31 Jul 2006 (see s. 2 and </w:t>
            </w:r>
            <w:r>
              <w:rPr>
                <w:i/>
              </w:rPr>
              <w:t>Gazette</w:t>
            </w:r>
            <w:r>
              <w:t xml:space="preserve"> 25 Jul 2006 p. 2701)</w:t>
            </w:r>
          </w:p>
        </w:tc>
      </w:tr>
      <w:tr>
        <w:tc>
          <w:tcPr>
            <w:tcW w:w="2259" w:type="dxa"/>
            <w:gridSpan w:val="2"/>
          </w:tcPr>
          <w:p>
            <w:pPr>
              <w:pStyle w:val="nTable"/>
              <w:spacing w:after="40"/>
            </w:pPr>
            <w:r>
              <w:rPr>
                <w:i/>
              </w:rPr>
              <w:t>Health Amendment Act 2006</w:t>
            </w:r>
            <w:r>
              <w:t xml:space="preserve"> </w:t>
            </w:r>
          </w:p>
        </w:tc>
        <w:tc>
          <w:tcPr>
            <w:tcW w:w="1132" w:type="dxa"/>
            <w:gridSpan w:val="2"/>
          </w:tcPr>
          <w:p>
            <w:pPr>
              <w:pStyle w:val="nTable"/>
              <w:spacing w:after="40"/>
            </w:pPr>
            <w:r>
              <w:t>23 of 2006</w:t>
            </w:r>
          </w:p>
        </w:tc>
        <w:tc>
          <w:tcPr>
            <w:tcW w:w="1133" w:type="dxa"/>
            <w:gridSpan w:val="2"/>
          </w:tcPr>
          <w:p>
            <w:pPr>
              <w:pStyle w:val="nTable"/>
              <w:spacing w:after="40"/>
            </w:pPr>
            <w:r>
              <w:t>9 Jun 2006</w:t>
            </w:r>
          </w:p>
        </w:tc>
        <w:tc>
          <w:tcPr>
            <w:tcW w:w="2552" w:type="dxa"/>
            <w:gridSpan w:val="3"/>
          </w:tcPr>
          <w:p>
            <w:pPr>
              <w:pStyle w:val="nTable"/>
              <w:spacing w:after="40"/>
            </w:pPr>
            <w:r>
              <w:t>7 Jul 2006 (see s. 2)</w:t>
            </w:r>
          </w:p>
        </w:tc>
      </w:tr>
      <w:tr>
        <w:trPr>
          <w:cantSplit/>
        </w:trPr>
        <w:tc>
          <w:tcPr>
            <w:tcW w:w="2259" w:type="dxa"/>
            <w:gridSpan w:val="2"/>
          </w:tcPr>
          <w:p>
            <w:pPr>
              <w:pStyle w:val="nTable"/>
              <w:spacing w:after="40"/>
              <w:ind w:left="-28"/>
              <w:rPr>
                <w:snapToGrid w:val="0"/>
                <w:vertAlign w:val="superscript"/>
              </w:rPr>
            </w:pPr>
            <w:r>
              <w:rPr>
                <w:i/>
                <w:snapToGrid w:val="0"/>
              </w:rPr>
              <w:t>Machinery of Government (Miscellaneous Amendments) Act 2006</w:t>
            </w:r>
            <w:r>
              <w:rPr>
                <w:snapToGrid w:val="0"/>
              </w:rPr>
              <w:t xml:space="preserve"> Pt. 9 Div. 2</w:t>
            </w:r>
            <w:r>
              <w:rPr>
                <w:snapToGrid w:val="0"/>
                <w:vertAlign w:val="superscript"/>
              </w:rPr>
              <w:t> 26</w:t>
            </w:r>
          </w:p>
        </w:tc>
        <w:tc>
          <w:tcPr>
            <w:tcW w:w="1132" w:type="dxa"/>
            <w:gridSpan w:val="2"/>
          </w:tcPr>
          <w:p>
            <w:pPr>
              <w:pStyle w:val="nTable"/>
              <w:spacing w:after="40"/>
              <w:rPr>
                <w:snapToGrid w:val="0"/>
              </w:rPr>
            </w:pPr>
            <w:r>
              <w:rPr>
                <w:snapToGrid w:val="0"/>
              </w:rPr>
              <w:t>28 of 2006</w:t>
            </w:r>
          </w:p>
        </w:tc>
        <w:tc>
          <w:tcPr>
            <w:tcW w:w="1133" w:type="dxa"/>
            <w:gridSpan w:val="2"/>
          </w:tcPr>
          <w:p>
            <w:pPr>
              <w:pStyle w:val="nTable"/>
              <w:spacing w:after="40"/>
            </w:pPr>
            <w:r>
              <w:t>26 Jun 2006</w:t>
            </w:r>
          </w:p>
        </w:tc>
        <w:tc>
          <w:tcPr>
            <w:tcW w:w="2552" w:type="dxa"/>
            <w:gridSpan w:val="3"/>
          </w:tcPr>
          <w:p>
            <w:pPr>
              <w:pStyle w:val="nTable"/>
              <w:spacing w:after="40"/>
            </w:pPr>
            <w:r>
              <w:t xml:space="preserve">1 Jul 2006 (see s. 2 and </w:t>
            </w:r>
            <w:r>
              <w:rPr>
                <w:i/>
              </w:rPr>
              <w:t>Gazette</w:t>
            </w:r>
            <w:r>
              <w:t xml:space="preserve"> 27 Jun 2006 p. 2347)</w:t>
            </w:r>
          </w:p>
        </w:tc>
      </w:tr>
      <w:tr>
        <w:tc>
          <w:tcPr>
            <w:tcW w:w="2259" w:type="dxa"/>
            <w:gridSpan w:val="2"/>
          </w:tcPr>
          <w:p>
            <w:pPr>
              <w:pStyle w:val="nTable"/>
              <w:spacing w:after="40"/>
              <w:rPr>
                <w:i/>
                <w:snapToGrid w:val="0"/>
              </w:rPr>
            </w:pPr>
            <w:r>
              <w:rPr>
                <w:i/>
                <w:snapToGrid w:val="0"/>
              </w:rPr>
              <w:t>Nurses and Midwives Act 2006</w:t>
            </w:r>
            <w:r>
              <w:rPr>
                <w:snapToGrid w:val="0"/>
              </w:rPr>
              <w:t xml:space="preserve"> Sch. 3 cl. 9</w:t>
            </w:r>
          </w:p>
        </w:tc>
        <w:tc>
          <w:tcPr>
            <w:tcW w:w="1132" w:type="dxa"/>
            <w:gridSpan w:val="2"/>
          </w:tcPr>
          <w:p>
            <w:pPr>
              <w:pStyle w:val="nTable"/>
              <w:spacing w:after="40"/>
              <w:rPr>
                <w:snapToGrid w:val="0"/>
              </w:rPr>
            </w:pPr>
            <w:r>
              <w:rPr>
                <w:snapToGrid w:val="0"/>
              </w:rPr>
              <w:t>50 of 2006</w:t>
            </w:r>
          </w:p>
        </w:tc>
        <w:tc>
          <w:tcPr>
            <w:tcW w:w="1133" w:type="dxa"/>
            <w:gridSpan w:val="2"/>
          </w:tcPr>
          <w:p>
            <w:pPr>
              <w:pStyle w:val="nTable"/>
              <w:spacing w:after="40"/>
              <w:rPr>
                <w:snapToGrid w:val="0"/>
              </w:rPr>
            </w:pPr>
            <w:r>
              <w:rPr>
                <w:snapToGrid w:val="0"/>
              </w:rPr>
              <w:t>6 Oct 2006</w:t>
            </w:r>
          </w:p>
        </w:tc>
        <w:tc>
          <w:tcPr>
            <w:tcW w:w="2552" w:type="dxa"/>
            <w:gridSpan w:val="3"/>
          </w:tcPr>
          <w:p>
            <w:pPr>
              <w:pStyle w:val="nTable"/>
              <w:spacing w:after="40"/>
              <w:rPr>
                <w:snapToGrid w:val="0"/>
              </w:rPr>
            </w:pPr>
            <w:r>
              <w:rPr>
                <w:snapToGrid w:val="0"/>
              </w:rPr>
              <w:t xml:space="preserve">19 Sep 2007 (see s. 2 and </w:t>
            </w:r>
            <w:r>
              <w:rPr>
                <w:i/>
                <w:iCs/>
                <w:snapToGrid w:val="0"/>
              </w:rPr>
              <w:t>Gazette</w:t>
            </w:r>
            <w:r>
              <w:rPr>
                <w:snapToGrid w:val="0"/>
              </w:rPr>
              <w:t xml:space="preserve"> 18 Sep 2007 p. 4711)</w:t>
            </w:r>
          </w:p>
        </w:tc>
      </w:tr>
      <w:tr>
        <w:trPr>
          <w:cantSplit/>
        </w:trPr>
        <w:tc>
          <w:tcPr>
            <w:tcW w:w="2259" w:type="dxa"/>
            <w:gridSpan w:val="2"/>
          </w:tcPr>
          <w:p>
            <w:pPr>
              <w:pStyle w:val="nTable"/>
              <w:spacing w:after="40"/>
              <w:ind w:left="-28"/>
              <w:rPr>
                <w:i/>
                <w:snapToGrid w:val="0"/>
              </w:rPr>
            </w:pPr>
            <w:r>
              <w:rPr>
                <w:i/>
                <w:snapToGrid w:val="0"/>
              </w:rPr>
              <w:t>Land Information Authority Act 2006</w:t>
            </w:r>
            <w:r>
              <w:rPr>
                <w:snapToGrid w:val="0"/>
              </w:rPr>
              <w:t xml:space="preserve"> s. 135</w:t>
            </w:r>
            <w:r>
              <w:rPr>
                <w:snapToGrid w:val="0"/>
                <w:vertAlign w:val="superscript"/>
              </w:rPr>
              <w:t xml:space="preserve"> </w:t>
            </w:r>
          </w:p>
        </w:tc>
        <w:tc>
          <w:tcPr>
            <w:tcW w:w="1132" w:type="dxa"/>
            <w:gridSpan w:val="2"/>
          </w:tcPr>
          <w:p>
            <w:pPr>
              <w:pStyle w:val="nTable"/>
              <w:spacing w:after="40"/>
              <w:rPr>
                <w:snapToGrid w:val="0"/>
              </w:rPr>
            </w:pPr>
            <w:r>
              <w:rPr>
                <w:snapToGrid w:val="0"/>
              </w:rPr>
              <w:t>60 of 2006</w:t>
            </w:r>
          </w:p>
        </w:tc>
        <w:tc>
          <w:tcPr>
            <w:tcW w:w="1133" w:type="dxa"/>
            <w:gridSpan w:val="2"/>
          </w:tcPr>
          <w:p>
            <w:pPr>
              <w:pStyle w:val="nTable"/>
              <w:spacing w:after="40"/>
            </w:pPr>
            <w:r>
              <w:rPr>
                <w:snapToGrid w:val="0"/>
              </w:rPr>
              <w:t>16 Nov 2006</w:t>
            </w:r>
          </w:p>
        </w:tc>
        <w:tc>
          <w:tcPr>
            <w:tcW w:w="2552" w:type="dxa"/>
            <w:gridSpan w:val="3"/>
          </w:tcPr>
          <w:p>
            <w:pPr>
              <w:pStyle w:val="nTable"/>
              <w:spacing w:after="40"/>
            </w:pPr>
            <w:r>
              <w:t xml:space="preserve">1 Jan 2007 (see s. 2(1) and </w:t>
            </w:r>
            <w:r>
              <w:rPr>
                <w:i/>
                <w:iCs/>
              </w:rPr>
              <w:t xml:space="preserve">Gazette </w:t>
            </w:r>
            <w:r>
              <w:t>8 Dec 2006 p. 5369)</w:t>
            </w:r>
          </w:p>
        </w:tc>
      </w:tr>
      <w:tr>
        <w:tc>
          <w:tcPr>
            <w:tcW w:w="2259" w:type="dxa"/>
            <w:gridSpan w:val="2"/>
          </w:tcPr>
          <w:p>
            <w:pPr>
              <w:pStyle w:val="nTable"/>
              <w:spacing w:after="40"/>
              <w:rPr>
                <w:i/>
                <w:snapToGrid w:val="0"/>
              </w:rPr>
            </w:pPr>
            <w:r>
              <w:rPr>
                <w:i/>
                <w:snapToGrid w:val="0"/>
              </w:rPr>
              <w:t xml:space="preserve">Financial Legislation Amendment and Repeal Act 2006 </w:t>
            </w:r>
            <w:r>
              <w:rPr>
                <w:iCs/>
                <w:snapToGrid w:val="0"/>
              </w:rPr>
              <w:t>Sch. 1 cl. 80</w:t>
            </w:r>
          </w:p>
        </w:tc>
        <w:tc>
          <w:tcPr>
            <w:tcW w:w="1132" w:type="dxa"/>
            <w:gridSpan w:val="2"/>
          </w:tcPr>
          <w:p>
            <w:pPr>
              <w:pStyle w:val="nTable"/>
              <w:spacing w:after="40"/>
              <w:rPr>
                <w:snapToGrid w:val="0"/>
              </w:rPr>
            </w:pPr>
            <w:r>
              <w:rPr>
                <w:snapToGrid w:val="0"/>
              </w:rPr>
              <w:t xml:space="preserve">77 of 2006 </w:t>
            </w:r>
          </w:p>
        </w:tc>
        <w:tc>
          <w:tcPr>
            <w:tcW w:w="1133" w:type="dxa"/>
            <w:gridSpan w:val="2"/>
          </w:tcPr>
          <w:p>
            <w:pPr>
              <w:pStyle w:val="nTable"/>
              <w:spacing w:after="40"/>
              <w:rPr>
                <w:snapToGrid w:val="0"/>
              </w:rPr>
            </w:pPr>
            <w:r>
              <w:rPr>
                <w:snapToGrid w:val="0"/>
              </w:rPr>
              <w:t>21 Dec 2006</w:t>
            </w:r>
          </w:p>
        </w:tc>
        <w:tc>
          <w:tcPr>
            <w:tcW w:w="2552" w:type="dxa"/>
            <w:gridSpan w:val="3"/>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c>
          <w:tcPr>
            <w:tcW w:w="2259" w:type="dxa"/>
            <w:gridSpan w:val="2"/>
          </w:tcPr>
          <w:p>
            <w:pPr>
              <w:pStyle w:val="nTable"/>
              <w:spacing w:after="40"/>
              <w:rPr>
                <w:i/>
                <w:snapToGrid w:val="0"/>
              </w:rPr>
            </w:pPr>
            <w:r>
              <w:rPr>
                <w:i/>
              </w:rPr>
              <w:t>Chemistry Centre (WA) Act 2007</w:t>
            </w:r>
            <w:r>
              <w:rPr>
                <w:iCs/>
              </w:rPr>
              <w:t xml:space="preserve"> s. 43 </w:t>
            </w:r>
          </w:p>
        </w:tc>
        <w:tc>
          <w:tcPr>
            <w:tcW w:w="1132" w:type="dxa"/>
            <w:gridSpan w:val="2"/>
          </w:tcPr>
          <w:p>
            <w:pPr>
              <w:pStyle w:val="nTable"/>
              <w:spacing w:after="40"/>
              <w:rPr>
                <w:snapToGrid w:val="0"/>
              </w:rPr>
            </w:pPr>
            <w:r>
              <w:t>10 of 2007</w:t>
            </w:r>
          </w:p>
        </w:tc>
        <w:tc>
          <w:tcPr>
            <w:tcW w:w="1133" w:type="dxa"/>
            <w:gridSpan w:val="2"/>
          </w:tcPr>
          <w:p>
            <w:pPr>
              <w:pStyle w:val="nTable"/>
              <w:spacing w:after="40"/>
              <w:rPr>
                <w:snapToGrid w:val="0"/>
              </w:rPr>
            </w:pPr>
            <w:r>
              <w:t>29 Jun 2007</w:t>
            </w:r>
          </w:p>
        </w:tc>
        <w:tc>
          <w:tcPr>
            <w:tcW w:w="2552" w:type="dxa"/>
            <w:gridSpan w:val="3"/>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rPr>
          <w:cantSplit/>
        </w:trPr>
        <w:tc>
          <w:tcPr>
            <w:tcW w:w="7076" w:type="dxa"/>
            <w:gridSpan w:val="9"/>
          </w:tcPr>
          <w:p>
            <w:pPr>
              <w:pStyle w:val="nTable"/>
              <w:spacing w:after="40"/>
              <w:rPr>
                <w:snapToGrid w:val="0"/>
              </w:rPr>
            </w:pPr>
            <w:r>
              <w:rPr>
                <w:b/>
              </w:rPr>
              <w:t xml:space="preserve">Reprint 14: The </w:t>
            </w:r>
            <w:r>
              <w:rPr>
                <w:b/>
                <w:i/>
              </w:rPr>
              <w:t>Health Act 1911</w:t>
            </w:r>
            <w:r>
              <w:rPr>
                <w:b/>
              </w:rPr>
              <w:t xml:space="preserve"> as at 5 Oct 2007 </w:t>
            </w:r>
            <w:r>
              <w:t>(includes amendments listed above)</w:t>
            </w:r>
          </w:p>
        </w:tc>
      </w:tr>
      <w:tr>
        <w:trPr>
          <w:cantSplit/>
        </w:trPr>
        <w:tc>
          <w:tcPr>
            <w:tcW w:w="2259" w:type="dxa"/>
            <w:gridSpan w:val="2"/>
          </w:tcPr>
          <w:p>
            <w:pPr>
              <w:pStyle w:val="nTable"/>
              <w:spacing w:after="40"/>
              <w:rPr>
                <w:i/>
                <w:iCs/>
                <w:snapToGrid w:val="0"/>
              </w:rPr>
            </w:pPr>
            <w:r>
              <w:rPr>
                <w:i/>
                <w:snapToGrid w:val="0"/>
              </w:rPr>
              <w:t>Biosecurity and Agriculture Management (Repeal and Consequential Provisions) Act 2007</w:t>
            </w:r>
            <w:r>
              <w:rPr>
                <w:iCs/>
                <w:snapToGrid w:val="0"/>
              </w:rPr>
              <w:t xml:space="preserve"> s. 10</w:t>
            </w:r>
          </w:p>
        </w:tc>
        <w:tc>
          <w:tcPr>
            <w:tcW w:w="1132" w:type="dxa"/>
            <w:gridSpan w:val="2"/>
          </w:tcPr>
          <w:p>
            <w:pPr>
              <w:pStyle w:val="nTable"/>
              <w:spacing w:after="40"/>
              <w:rPr>
                <w:snapToGrid w:val="0"/>
              </w:rPr>
            </w:pPr>
            <w:r>
              <w:rPr>
                <w:snapToGrid w:val="0"/>
              </w:rPr>
              <w:t>24 of 2007</w:t>
            </w:r>
          </w:p>
        </w:tc>
        <w:tc>
          <w:tcPr>
            <w:tcW w:w="1133" w:type="dxa"/>
            <w:gridSpan w:val="2"/>
          </w:tcPr>
          <w:p>
            <w:pPr>
              <w:pStyle w:val="nTable"/>
              <w:spacing w:after="40"/>
            </w:pPr>
            <w:r>
              <w:rPr>
                <w:snapToGrid w:val="0"/>
              </w:rPr>
              <w:t>12 Oct 2007</w:t>
            </w:r>
          </w:p>
        </w:tc>
        <w:tc>
          <w:tcPr>
            <w:tcW w:w="2552" w:type="dxa"/>
            <w:gridSpan w:val="3"/>
          </w:tcPr>
          <w:p>
            <w:pPr>
              <w:pStyle w:val="nTable"/>
              <w:spacing w:after="40"/>
              <w:rPr>
                <w:snapToGrid w:val="0"/>
              </w:rPr>
            </w:pPr>
            <w:r>
              <w:rPr>
                <w:iCs/>
                <w:snapToGrid w:val="0"/>
              </w:rPr>
              <w:t xml:space="preserve">24 Oct 2007 (see s. 2(1) and </w:t>
            </w:r>
            <w:r>
              <w:rPr>
                <w:i/>
                <w:snapToGrid w:val="0"/>
              </w:rPr>
              <w:t>Gazette</w:t>
            </w:r>
            <w:r>
              <w:rPr>
                <w:iCs/>
                <w:snapToGrid w:val="0"/>
              </w:rPr>
              <w:t xml:space="preserve"> 23 Oct 2007 p. 5645</w:t>
            </w:r>
            <w:r>
              <w:rPr>
                <w:snapToGrid w:val="0"/>
              </w:rPr>
              <w:t>)</w:t>
            </w:r>
          </w:p>
        </w:tc>
      </w:tr>
      <w:tr>
        <w:tc>
          <w:tcPr>
            <w:tcW w:w="2259" w:type="dxa"/>
            <w:gridSpan w:val="2"/>
          </w:tcPr>
          <w:p>
            <w:pPr>
              <w:pStyle w:val="nTable"/>
              <w:spacing w:after="40"/>
              <w:rPr>
                <w:i/>
                <w:snapToGrid w:val="0"/>
              </w:rPr>
            </w:pPr>
            <w:r>
              <w:rPr>
                <w:i/>
                <w:snapToGrid w:val="0"/>
              </w:rPr>
              <w:t xml:space="preserve">Waste Avoidance and Resource Recovery Act 2007 </w:t>
            </w:r>
            <w:r>
              <w:rPr>
                <w:iCs/>
                <w:snapToGrid w:val="0"/>
              </w:rPr>
              <w:t>Sch. 4 cl. 4</w:t>
            </w:r>
          </w:p>
        </w:tc>
        <w:tc>
          <w:tcPr>
            <w:tcW w:w="1132" w:type="dxa"/>
            <w:gridSpan w:val="2"/>
          </w:tcPr>
          <w:p>
            <w:pPr>
              <w:pStyle w:val="nTable"/>
              <w:spacing w:after="40"/>
              <w:rPr>
                <w:snapToGrid w:val="0"/>
              </w:rPr>
            </w:pPr>
            <w:r>
              <w:rPr>
                <w:snapToGrid w:val="0"/>
              </w:rPr>
              <w:t>36 of 2007</w:t>
            </w:r>
          </w:p>
        </w:tc>
        <w:tc>
          <w:tcPr>
            <w:tcW w:w="1133" w:type="dxa"/>
            <w:gridSpan w:val="2"/>
          </w:tcPr>
          <w:p>
            <w:pPr>
              <w:pStyle w:val="nTable"/>
              <w:spacing w:after="40"/>
              <w:rPr>
                <w:snapToGrid w:val="0"/>
              </w:rPr>
            </w:pPr>
            <w:r>
              <w:rPr>
                <w:snapToGrid w:val="0"/>
              </w:rPr>
              <w:t>21 Dec 2007</w:t>
            </w:r>
          </w:p>
        </w:tc>
        <w:tc>
          <w:tcPr>
            <w:tcW w:w="2552" w:type="dxa"/>
            <w:gridSpan w:val="3"/>
          </w:tcPr>
          <w:p>
            <w:pPr>
              <w:pStyle w:val="nTable"/>
              <w:spacing w:after="40"/>
              <w:rPr>
                <w:iCs/>
                <w:snapToGrid w:val="0"/>
              </w:rPr>
            </w:pPr>
            <w:r>
              <w:rPr>
                <w:iCs/>
                <w:snapToGrid w:val="0"/>
              </w:rPr>
              <w:t xml:space="preserve">1 Jul 2008 (see s. 2(b) and </w:t>
            </w:r>
            <w:r>
              <w:rPr>
                <w:i/>
                <w:snapToGrid w:val="0"/>
              </w:rPr>
              <w:t>Gazette</w:t>
            </w:r>
            <w:r>
              <w:rPr>
                <w:iCs/>
                <w:snapToGrid w:val="0"/>
              </w:rPr>
              <w:t xml:space="preserve"> 20 Jun 2008 p. 2705)</w:t>
            </w:r>
          </w:p>
        </w:tc>
      </w:tr>
      <w:tr>
        <w:trPr>
          <w:cantSplit/>
        </w:trPr>
        <w:tc>
          <w:tcPr>
            <w:tcW w:w="2259" w:type="dxa"/>
            <w:gridSpan w:val="2"/>
          </w:tcPr>
          <w:p>
            <w:pPr>
              <w:pStyle w:val="nTable"/>
              <w:spacing w:after="40"/>
              <w:rPr>
                <w:iCs/>
                <w:vertAlign w:val="superscript"/>
              </w:rPr>
            </w:pPr>
            <w:r>
              <w:rPr>
                <w:i/>
              </w:rPr>
              <w:t>Duties Legislation Amendment Act 2008</w:t>
            </w:r>
            <w:r>
              <w:rPr>
                <w:iCs/>
              </w:rPr>
              <w:t xml:space="preserve"> Sch. 1 cl. 13</w:t>
            </w:r>
          </w:p>
        </w:tc>
        <w:tc>
          <w:tcPr>
            <w:tcW w:w="1132" w:type="dxa"/>
            <w:gridSpan w:val="2"/>
          </w:tcPr>
          <w:p>
            <w:pPr>
              <w:pStyle w:val="nTable"/>
              <w:spacing w:after="40"/>
            </w:pPr>
            <w:r>
              <w:t>12 of 2008</w:t>
            </w:r>
          </w:p>
        </w:tc>
        <w:tc>
          <w:tcPr>
            <w:tcW w:w="1133" w:type="dxa"/>
            <w:gridSpan w:val="2"/>
          </w:tcPr>
          <w:p>
            <w:pPr>
              <w:pStyle w:val="nTable"/>
              <w:spacing w:after="40"/>
            </w:pPr>
            <w:r>
              <w:t>14 Apr 2008</w:t>
            </w:r>
          </w:p>
        </w:tc>
        <w:tc>
          <w:tcPr>
            <w:tcW w:w="2552" w:type="dxa"/>
            <w:gridSpan w:val="3"/>
          </w:tcPr>
          <w:p>
            <w:pPr>
              <w:pStyle w:val="nTable"/>
              <w:spacing w:after="40"/>
            </w:pPr>
            <w:r>
              <w:t>1 Jul 2008 (see s. 2(d))</w:t>
            </w:r>
          </w:p>
        </w:tc>
      </w:tr>
      <w:tr>
        <w:tblPrEx>
          <w:tblBorders>
            <w:top w:val="single" w:sz="8" w:space="0" w:color="auto"/>
            <w:bottom w:val="single" w:sz="8" w:space="0" w:color="auto"/>
            <w:insideH w:val="single" w:sz="8" w:space="0" w:color="auto"/>
          </w:tblBorders>
        </w:tblPrEx>
        <w:tc>
          <w:tcPr>
            <w:tcW w:w="2259" w:type="dxa"/>
            <w:gridSpan w:val="2"/>
            <w:tcBorders>
              <w:top w:val="nil"/>
              <w:bottom w:val="nil"/>
            </w:tcBorders>
          </w:tcPr>
          <w:p>
            <w:pPr>
              <w:pStyle w:val="nTable"/>
              <w:spacing w:after="40"/>
            </w:pPr>
            <w:r>
              <w:rPr>
                <w:i/>
                <w:snapToGrid w:val="0"/>
              </w:rPr>
              <w:t>Medical Practitioners Act 2008</w:t>
            </w:r>
            <w:r>
              <w:t xml:space="preserve"> Sch. 3 cl. 23</w:t>
            </w:r>
          </w:p>
        </w:tc>
        <w:tc>
          <w:tcPr>
            <w:tcW w:w="1132" w:type="dxa"/>
            <w:gridSpan w:val="2"/>
            <w:tcBorders>
              <w:top w:val="nil"/>
              <w:bottom w:val="nil"/>
            </w:tcBorders>
          </w:tcPr>
          <w:p>
            <w:pPr>
              <w:pStyle w:val="nTable"/>
              <w:spacing w:after="40"/>
            </w:pPr>
            <w:r>
              <w:t>22 of 2008</w:t>
            </w:r>
          </w:p>
        </w:tc>
        <w:tc>
          <w:tcPr>
            <w:tcW w:w="1133" w:type="dxa"/>
            <w:gridSpan w:val="2"/>
            <w:tcBorders>
              <w:top w:val="nil"/>
              <w:bottom w:val="nil"/>
            </w:tcBorders>
          </w:tcPr>
          <w:p>
            <w:pPr>
              <w:pStyle w:val="nTable"/>
              <w:spacing w:after="40"/>
            </w:pPr>
            <w:r>
              <w:t>27 May 2008</w:t>
            </w:r>
          </w:p>
        </w:tc>
        <w:tc>
          <w:tcPr>
            <w:tcW w:w="2552" w:type="dxa"/>
            <w:gridSpan w:val="3"/>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rPr>
          <w:cantSplit/>
        </w:trPr>
        <w:tc>
          <w:tcPr>
            <w:tcW w:w="2259" w:type="dxa"/>
            <w:gridSpan w:val="2"/>
          </w:tcPr>
          <w:p>
            <w:pPr>
              <w:pStyle w:val="nTable"/>
              <w:spacing w:after="40"/>
              <w:rPr>
                <w:i/>
              </w:rPr>
            </w:pPr>
            <w:r>
              <w:rPr>
                <w:i/>
                <w:snapToGrid w:val="0"/>
              </w:rPr>
              <w:t>Criminal Law Amendment (Homicide) Act 2008</w:t>
            </w:r>
            <w:r>
              <w:rPr>
                <w:iCs/>
                <w:snapToGrid w:val="0"/>
              </w:rPr>
              <w:t xml:space="preserve"> s. 34</w:t>
            </w:r>
          </w:p>
        </w:tc>
        <w:tc>
          <w:tcPr>
            <w:tcW w:w="1132" w:type="dxa"/>
            <w:gridSpan w:val="2"/>
          </w:tcPr>
          <w:p>
            <w:pPr>
              <w:pStyle w:val="nTable"/>
              <w:spacing w:after="40"/>
            </w:pPr>
            <w:r>
              <w:t>29 of 2008</w:t>
            </w:r>
          </w:p>
        </w:tc>
        <w:tc>
          <w:tcPr>
            <w:tcW w:w="1133" w:type="dxa"/>
            <w:gridSpan w:val="2"/>
          </w:tcPr>
          <w:p>
            <w:pPr>
              <w:pStyle w:val="nTable"/>
              <w:spacing w:after="40"/>
            </w:pPr>
            <w:r>
              <w:t>27 Jun 2008</w:t>
            </w:r>
          </w:p>
        </w:tc>
        <w:tc>
          <w:tcPr>
            <w:tcW w:w="2552" w:type="dxa"/>
            <w:gridSpan w:val="3"/>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rPr>
          <w:cantSplit/>
        </w:trPr>
        <w:tc>
          <w:tcPr>
            <w:tcW w:w="2259" w:type="dxa"/>
            <w:gridSpan w:val="2"/>
          </w:tcPr>
          <w:p>
            <w:pPr>
              <w:pStyle w:val="nTable"/>
              <w:spacing w:after="40"/>
              <w:ind w:right="113"/>
              <w:rPr>
                <w:i/>
              </w:rPr>
            </w:pPr>
            <w:r>
              <w:rPr>
                <w:i/>
                <w:noProof/>
                <w:snapToGrid w:val="0"/>
              </w:rPr>
              <w:t>Food Act 2008</w:t>
            </w:r>
            <w:r>
              <w:rPr>
                <w:iCs/>
                <w:noProof/>
                <w:snapToGrid w:val="0"/>
              </w:rPr>
              <w:t xml:space="preserve"> s. 147</w:t>
            </w:r>
            <w:r>
              <w:rPr>
                <w:iCs/>
                <w:noProof/>
                <w:snapToGrid w:val="0"/>
                <w:vertAlign w:val="superscript"/>
              </w:rPr>
              <w:t> 27</w:t>
            </w:r>
          </w:p>
        </w:tc>
        <w:tc>
          <w:tcPr>
            <w:tcW w:w="1132" w:type="dxa"/>
            <w:gridSpan w:val="2"/>
          </w:tcPr>
          <w:p>
            <w:pPr>
              <w:pStyle w:val="nTable"/>
              <w:spacing w:after="40"/>
            </w:pPr>
            <w:r>
              <w:t>43 of 2008</w:t>
            </w:r>
          </w:p>
        </w:tc>
        <w:tc>
          <w:tcPr>
            <w:tcW w:w="1133" w:type="dxa"/>
            <w:gridSpan w:val="2"/>
          </w:tcPr>
          <w:p>
            <w:pPr>
              <w:pStyle w:val="nTable"/>
              <w:spacing w:after="40"/>
            </w:pPr>
            <w:r>
              <w:t>8 Jul 2008</w:t>
            </w:r>
          </w:p>
        </w:tc>
        <w:tc>
          <w:tcPr>
            <w:tcW w:w="2552" w:type="dxa"/>
            <w:gridSpan w:val="3"/>
          </w:tcPr>
          <w:p>
            <w:pPr>
              <w:pStyle w:val="nTable"/>
              <w:spacing w:after="40"/>
            </w:pPr>
            <w:r>
              <w:t xml:space="preserve">24 Oct 2009 (see s. 2(1)(b) and (2) and </w:t>
            </w:r>
            <w:r>
              <w:rPr>
                <w:i/>
                <w:iCs/>
              </w:rPr>
              <w:t xml:space="preserve">Gazette </w:t>
            </w:r>
            <w:r>
              <w:t>23 Oct 2009 p. 4157)</w:t>
            </w:r>
          </w:p>
        </w:tc>
      </w:tr>
      <w:tr>
        <w:trPr>
          <w:cantSplit/>
        </w:trPr>
        <w:tc>
          <w:tcPr>
            <w:tcW w:w="2259" w:type="dxa"/>
            <w:gridSpan w:val="2"/>
          </w:tcPr>
          <w:p>
            <w:pPr>
              <w:pStyle w:val="nTable"/>
              <w:spacing w:after="40"/>
              <w:ind w:right="113"/>
              <w:rPr>
                <w:iCs/>
              </w:rPr>
            </w:pPr>
            <w:r>
              <w:rPr>
                <w:i/>
              </w:rPr>
              <w:t>Statutes (Repeals and Miscellaneous Amendments) Act 2009</w:t>
            </w:r>
            <w:r>
              <w:rPr>
                <w:iCs/>
              </w:rPr>
              <w:t xml:space="preserve"> s. 71</w:t>
            </w:r>
          </w:p>
        </w:tc>
        <w:tc>
          <w:tcPr>
            <w:tcW w:w="1132" w:type="dxa"/>
            <w:gridSpan w:val="2"/>
          </w:tcPr>
          <w:p>
            <w:pPr>
              <w:pStyle w:val="nTable"/>
              <w:spacing w:after="40"/>
            </w:pPr>
            <w:r>
              <w:t xml:space="preserve">8 of 2009 </w:t>
            </w:r>
          </w:p>
        </w:tc>
        <w:tc>
          <w:tcPr>
            <w:tcW w:w="1133" w:type="dxa"/>
            <w:gridSpan w:val="2"/>
          </w:tcPr>
          <w:p>
            <w:pPr>
              <w:pStyle w:val="nTable"/>
              <w:spacing w:after="40"/>
            </w:pPr>
            <w:r>
              <w:t>21 May 2009</w:t>
            </w:r>
          </w:p>
        </w:tc>
        <w:tc>
          <w:tcPr>
            <w:tcW w:w="2552" w:type="dxa"/>
            <w:gridSpan w:val="3"/>
          </w:tcPr>
          <w:p>
            <w:pPr>
              <w:pStyle w:val="nTable"/>
              <w:spacing w:after="40"/>
            </w:pPr>
            <w:r>
              <w:t>22 May 2009 (see s. 2(b))</w:t>
            </w:r>
          </w:p>
        </w:tc>
      </w:tr>
      <w:tr>
        <w:trPr>
          <w:cantSplit/>
        </w:trPr>
        <w:tc>
          <w:tcPr>
            <w:tcW w:w="7076" w:type="dxa"/>
            <w:gridSpan w:val="9"/>
          </w:tcPr>
          <w:p>
            <w:pPr>
              <w:pStyle w:val="nTable"/>
              <w:spacing w:after="40"/>
            </w:pPr>
            <w:r>
              <w:rPr>
                <w:b/>
              </w:rPr>
              <w:t xml:space="preserve">Reprint 15: The </w:t>
            </w:r>
            <w:r>
              <w:rPr>
                <w:b/>
                <w:i/>
              </w:rPr>
              <w:t>Health Act 1911</w:t>
            </w:r>
            <w:r>
              <w:rPr>
                <w:b/>
              </w:rPr>
              <w:t xml:space="preserve"> as at 20 Nov 2009 </w:t>
            </w:r>
            <w:r>
              <w:t xml:space="preserve">(includes amendments listed above) (correction by </w:t>
            </w:r>
            <w:r>
              <w:rPr>
                <w:i/>
                <w:iCs/>
              </w:rPr>
              <w:t xml:space="preserve">Gazette </w:t>
            </w:r>
            <w:r>
              <w:t>14 Dec 2010 p. 6301)</w:t>
            </w:r>
          </w:p>
        </w:tc>
      </w:tr>
      <w:tr>
        <w:trPr>
          <w:cantSplit/>
        </w:trPr>
        <w:tc>
          <w:tcPr>
            <w:tcW w:w="2259" w:type="dxa"/>
            <w:gridSpan w:val="2"/>
          </w:tcPr>
          <w:p>
            <w:pPr>
              <w:pStyle w:val="nTable"/>
              <w:spacing w:after="40"/>
              <w:ind w:right="113"/>
              <w:rPr>
                <w:iCs/>
              </w:rPr>
            </w:pPr>
            <w:r>
              <w:rPr>
                <w:i/>
                <w:snapToGrid w:val="0"/>
              </w:rPr>
              <w:t xml:space="preserve">Health Practitioner Regulation National Law (WA) Act 2010 </w:t>
            </w:r>
            <w:r>
              <w:rPr>
                <w:iCs/>
                <w:snapToGrid w:val="0"/>
              </w:rPr>
              <w:t>Pt. 5 Div. 22</w:t>
            </w:r>
          </w:p>
        </w:tc>
        <w:tc>
          <w:tcPr>
            <w:tcW w:w="1132" w:type="dxa"/>
            <w:gridSpan w:val="2"/>
          </w:tcPr>
          <w:p>
            <w:pPr>
              <w:pStyle w:val="nTable"/>
              <w:spacing w:after="40"/>
            </w:pPr>
            <w:r>
              <w:rPr>
                <w:snapToGrid w:val="0"/>
              </w:rPr>
              <w:t>35 of 2010</w:t>
            </w:r>
          </w:p>
        </w:tc>
        <w:tc>
          <w:tcPr>
            <w:tcW w:w="1133" w:type="dxa"/>
            <w:gridSpan w:val="2"/>
          </w:tcPr>
          <w:p>
            <w:pPr>
              <w:pStyle w:val="nTable"/>
              <w:spacing w:after="40"/>
            </w:pPr>
            <w:r>
              <w:rPr>
                <w:snapToGrid w:val="0"/>
              </w:rPr>
              <w:t>30 Aug 2010</w:t>
            </w:r>
          </w:p>
        </w:tc>
        <w:tc>
          <w:tcPr>
            <w:tcW w:w="2552" w:type="dxa"/>
            <w:gridSpan w:val="3"/>
          </w:tcPr>
          <w:p>
            <w:pPr>
              <w:pStyle w:val="nTable"/>
              <w:spacing w:after="40"/>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cantSplit/>
        </w:trPr>
        <w:tc>
          <w:tcPr>
            <w:tcW w:w="2259" w:type="dxa"/>
            <w:gridSpan w:val="2"/>
          </w:tcPr>
          <w:p>
            <w:pPr>
              <w:pStyle w:val="nTable"/>
              <w:spacing w:after="40"/>
              <w:ind w:right="113"/>
              <w:rPr>
                <w:i/>
                <w:snapToGrid w:val="0"/>
              </w:rPr>
            </w:pPr>
            <w:r>
              <w:rPr>
                <w:i/>
                <w:snapToGrid w:val="0"/>
              </w:rPr>
              <w:t>Building Act 2011</w:t>
            </w:r>
            <w:r>
              <w:rPr>
                <w:snapToGrid w:val="0"/>
              </w:rPr>
              <w:t xml:space="preserve"> s. 161</w:t>
            </w:r>
          </w:p>
        </w:tc>
        <w:tc>
          <w:tcPr>
            <w:tcW w:w="1132" w:type="dxa"/>
            <w:gridSpan w:val="2"/>
          </w:tcPr>
          <w:p>
            <w:pPr>
              <w:pStyle w:val="nTable"/>
              <w:spacing w:after="40"/>
              <w:rPr>
                <w:snapToGrid w:val="0"/>
              </w:rPr>
            </w:pPr>
            <w:r>
              <w:rPr>
                <w:snapToGrid w:val="0"/>
              </w:rPr>
              <w:t>24 of 2011</w:t>
            </w:r>
          </w:p>
        </w:tc>
        <w:tc>
          <w:tcPr>
            <w:tcW w:w="1133" w:type="dxa"/>
            <w:gridSpan w:val="2"/>
          </w:tcPr>
          <w:p>
            <w:pPr>
              <w:pStyle w:val="nTable"/>
              <w:spacing w:after="40"/>
              <w:rPr>
                <w:snapToGrid w:val="0"/>
              </w:rPr>
            </w:pPr>
            <w:r>
              <w:rPr>
                <w:snapToGrid w:val="0"/>
              </w:rPr>
              <w:t>11 Jul 2011</w:t>
            </w:r>
          </w:p>
        </w:tc>
        <w:tc>
          <w:tcPr>
            <w:tcW w:w="2552" w:type="dxa"/>
            <w:gridSpan w:val="3"/>
          </w:tcPr>
          <w:p>
            <w:pPr>
              <w:pStyle w:val="nTable"/>
              <w:spacing w:after="40"/>
              <w:rPr>
                <w:snapToGrid w:val="0"/>
              </w:rPr>
            </w:pPr>
            <w:r>
              <w:rPr>
                <w:snapToGrid w:val="0"/>
              </w:rPr>
              <w:t xml:space="preserve">2 Apr 2012 (see s. 2(b) and </w:t>
            </w:r>
            <w:r>
              <w:rPr>
                <w:i/>
                <w:snapToGrid w:val="0"/>
              </w:rPr>
              <w:t>Gazette</w:t>
            </w:r>
            <w:r>
              <w:rPr>
                <w:snapToGrid w:val="0"/>
              </w:rPr>
              <w:t xml:space="preserve"> 13 Mar 2012 p. 1033)</w:t>
            </w:r>
          </w:p>
        </w:tc>
      </w:tr>
      <w:tr>
        <w:trPr>
          <w:cantSplit/>
        </w:trPr>
        <w:tc>
          <w:tcPr>
            <w:tcW w:w="2259" w:type="dxa"/>
            <w:gridSpan w:val="2"/>
          </w:tcPr>
          <w:p>
            <w:pPr>
              <w:pStyle w:val="nTable"/>
              <w:spacing w:after="40"/>
              <w:ind w:right="113"/>
              <w:rPr>
                <w:i/>
                <w:snapToGrid w:val="0"/>
              </w:rPr>
            </w:pPr>
            <w:r>
              <w:rPr>
                <w:i/>
                <w:snapToGrid w:val="0"/>
              </w:rPr>
              <w:t>Education and Care Services National Law (WA) Act 2012</w:t>
            </w:r>
            <w:r>
              <w:rPr>
                <w:snapToGrid w:val="0"/>
              </w:rPr>
              <w:t xml:space="preserve"> Pt. 4 Div. 6</w:t>
            </w:r>
          </w:p>
        </w:tc>
        <w:tc>
          <w:tcPr>
            <w:tcW w:w="1132" w:type="dxa"/>
            <w:gridSpan w:val="2"/>
          </w:tcPr>
          <w:p>
            <w:pPr>
              <w:pStyle w:val="nTable"/>
              <w:spacing w:after="40"/>
              <w:rPr>
                <w:snapToGrid w:val="0"/>
              </w:rPr>
            </w:pPr>
            <w:r>
              <w:rPr>
                <w:snapToGrid w:val="0"/>
              </w:rPr>
              <w:t>11 of 2012</w:t>
            </w:r>
          </w:p>
        </w:tc>
        <w:tc>
          <w:tcPr>
            <w:tcW w:w="1133" w:type="dxa"/>
            <w:gridSpan w:val="2"/>
          </w:tcPr>
          <w:p>
            <w:pPr>
              <w:pStyle w:val="nTable"/>
              <w:spacing w:after="40"/>
              <w:rPr>
                <w:snapToGrid w:val="0"/>
              </w:rPr>
            </w:pPr>
            <w:r>
              <w:t>20 Jun 2012</w:t>
            </w:r>
          </w:p>
        </w:tc>
        <w:tc>
          <w:tcPr>
            <w:tcW w:w="2552" w:type="dxa"/>
            <w:gridSpan w:val="3"/>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rPr>
          <w:cantSplit/>
        </w:trPr>
        <w:tc>
          <w:tcPr>
            <w:tcW w:w="2259" w:type="dxa"/>
            <w:gridSpan w:val="2"/>
          </w:tcPr>
          <w:p>
            <w:pPr>
              <w:pStyle w:val="nTable"/>
              <w:spacing w:after="40"/>
              <w:ind w:right="113"/>
              <w:rPr>
                <w:i/>
                <w:snapToGrid w:val="0"/>
              </w:rPr>
            </w:pPr>
            <w:r>
              <w:rPr>
                <w:i/>
                <w:snapToGrid w:val="0"/>
              </w:rPr>
              <w:t>Commercial Arbitration Act 2012</w:t>
            </w:r>
            <w:r>
              <w:rPr>
                <w:snapToGrid w:val="0"/>
              </w:rPr>
              <w:t xml:space="preserve"> s. 45 it. 9</w:t>
            </w:r>
          </w:p>
        </w:tc>
        <w:tc>
          <w:tcPr>
            <w:tcW w:w="1132" w:type="dxa"/>
            <w:gridSpan w:val="2"/>
          </w:tcPr>
          <w:p>
            <w:pPr>
              <w:pStyle w:val="nTable"/>
              <w:spacing w:after="40"/>
              <w:rPr>
                <w:snapToGrid w:val="0"/>
              </w:rPr>
            </w:pPr>
            <w:r>
              <w:rPr>
                <w:snapToGrid w:val="0"/>
              </w:rPr>
              <w:t>23 of 2012</w:t>
            </w:r>
          </w:p>
        </w:tc>
        <w:tc>
          <w:tcPr>
            <w:tcW w:w="1133" w:type="dxa"/>
            <w:gridSpan w:val="2"/>
          </w:tcPr>
          <w:p>
            <w:pPr>
              <w:pStyle w:val="nTable"/>
              <w:spacing w:after="40"/>
            </w:pPr>
            <w:r>
              <w:rPr>
                <w:snapToGrid w:val="0"/>
              </w:rPr>
              <w:t>29 Aug 2012</w:t>
            </w:r>
          </w:p>
        </w:tc>
        <w:tc>
          <w:tcPr>
            <w:tcW w:w="2552" w:type="dxa"/>
            <w:gridSpan w:val="3"/>
          </w:tcPr>
          <w:p>
            <w:pPr>
              <w:pStyle w:val="nTable"/>
              <w:keepLines/>
              <w:tabs>
                <w:tab w:val="left" w:pos="893"/>
              </w:tabs>
              <w:spacing w:after="40"/>
              <w:rPr>
                <w:snapToGrid w:val="0"/>
              </w:rPr>
            </w:pPr>
            <w:r>
              <w:rPr>
                <w:snapToGrid w:val="0"/>
              </w:rPr>
              <w:t xml:space="preserve">7 Aug 2013 (see s. 1B(b) and </w:t>
            </w:r>
            <w:r>
              <w:rPr>
                <w:i/>
                <w:snapToGrid w:val="0"/>
              </w:rPr>
              <w:t>Gazette</w:t>
            </w:r>
            <w:r>
              <w:rPr>
                <w:snapToGrid w:val="0"/>
              </w:rPr>
              <w:t xml:space="preserve"> 6 Aug 2013 p. 3677)</w:t>
            </w:r>
          </w:p>
        </w:tc>
      </w:tr>
      <w:tr>
        <w:trPr>
          <w:cantSplit/>
        </w:trPr>
        <w:tc>
          <w:tcPr>
            <w:tcW w:w="2259" w:type="dxa"/>
            <w:gridSpan w:val="2"/>
          </w:tcPr>
          <w:p>
            <w:pPr>
              <w:pStyle w:val="nTable"/>
              <w:spacing w:after="40"/>
              <w:ind w:right="113"/>
              <w:rPr>
                <w:i/>
                <w:snapToGrid w:val="0"/>
              </w:rPr>
            </w:pPr>
            <w:r>
              <w:rPr>
                <w:i/>
                <w:snapToGrid w:val="0"/>
              </w:rPr>
              <w:t>Water Services Legislation Amendment and Repeal Act 2012</w:t>
            </w:r>
            <w:r>
              <w:rPr>
                <w:snapToGrid w:val="0"/>
              </w:rPr>
              <w:t xml:space="preserve"> s. 216</w:t>
            </w:r>
          </w:p>
        </w:tc>
        <w:tc>
          <w:tcPr>
            <w:tcW w:w="1132" w:type="dxa"/>
            <w:gridSpan w:val="2"/>
          </w:tcPr>
          <w:p>
            <w:pPr>
              <w:pStyle w:val="nTable"/>
              <w:spacing w:after="40"/>
              <w:rPr>
                <w:snapToGrid w:val="0"/>
              </w:rPr>
            </w:pPr>
            <w:r>
              <w:rPr>
                <w:snapToGrid w:val="0"/>
              </w:rPr>
              <w:t>25 of 2012</w:t>
            </w:r>
          </w:p>
        </w:tc>
        <w:tc>
          <w:tcPr>
            <w:tcW w:w="1133" w:type="dxa"/>
            <w:gridSpan w:val="2"/>
          </w:tcPr>
          <w:p>
            <w:pPr>
              <w:pStyle w:val="nTable"/>
              <w:spacing w:after="40"/>
              <w:rPr>
                <w:snapToGrid w:val="0"/>
              </w:rPr>
            </w:pPr>
            <w:r>
              <w:rPr>
                <w:snapToGrid w:val="0"/>
              </w:rPr>
              <w:t>3 Sep 2012</w:t>
            </w:r>
          </w:p>
        </w:tc>
        <w:tc>
          <w:tcPr>
            <w:tcW w:w="2552" w:type="dxa"/>
            <w:gridSpan w:val="3"/>
          </w:tcPr>
          <w:p>
            <w:pPr>
              <w:pStyle w:val="nTable"/>
              <w:keepLines/>
              <w:tabs>
                <w:tab w:val="left" w:pos="893"/>
              </w:tabs>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76" w:type="dxa"/>
            <w:gridSpan w:val="9"/>
            <w:shd w:val="clear" w:color="auto" w:fill="auto"/>
          </w:tcPr>
          <w:p>
            <w:pPr>
              <w:pStyle w:val="nTable"/>
              <w:tabs>
                <w:tab w:val="left" w:pos="893"/>
              </w:tabs>
              <w:spacing w:after="40"/>
              <w:rPr>
                <w:snapToGrid w:val="0"/>
              </w:rPr>
            </w:pPr>
            <w:r>
              <w:rPr>
                <w:b/>
              </w:rPr>
              <w:t xml:space="preserve">Reprint 16:  The </w:t>
            </w:r>
            <w:r>
              <w:rPr>
                <w:b/>
                <w:i/>
              </w:rPr>
              <w:t>Health Act 1911</w:t>
            </w:r>
            <w:r>
              <w:rPr>
                <w:b/>
              </w:rPr>
              <w:t xml:space="preserve"> as at 6 Dec 2013 </w:t>
            </w:r>
            <w:r>
              <w:t>(includes amendments listed above)</w:t>
            </w:r>
          </w:p>
        </w:tc>
      </w:tr>
      <w:tr>
        <w:tblPrEx>
          <w:tblBorders>
            <w:top w:val="single" w:sz="8" w:space="0" w:color="auto"/>
            <w:bottom w:val="single" w:sz="8" w:space="0" w:color="auto"/>
            <w:insideH w:val="single" w:sz="8" w:space="0" w:color="auto"/>
          </w:tblBorders>
        </w:tblPrEx>
        <w:tc>
          <w:tcPr>
            <w:tcW w:w="2259" w:type="dxa"/>
            <w:gridSpan w:val="2"/>
            <w:tcBorders>
              <w:top w:val="nil"/>
              <w:bottom w:val="nil"/>
            </w:tcBorders>
          </w:tcPr>
          <w:p>
            <w:pPr>
              <w:pStyle w:val="nTable"/>
              <w:spacing w:after="40"/>
              <w:rPr>
                <w:vertAlign w:val="superscript"/>
              </w:rPr>
            </w:pPr>
            <w:r>
              <w:rPr>
                <w:i/>
                <w:noProof/>
                <w:snapToGrid w:val="0"/>
              </w:rPr>
              <w:t>Medicines and Poisons Act 2014</w:t>
            </w:r>
            <w:r>
              <w:rPr>
                <w:noProof/>
                <w:snapToGrid w:val="0"/>
              </w:rPr>
              <w:t xml:space="preserve"> Pt. 11 Div. 1</w:t>
            </w:r>
          </w:p>
        </w:tc>
        <w:tc>
          <w:tcPr>
            <w:tcW w:w="1132" w:type="dxa"/>
            <w:gridSpan w:val="2"/>
            <w:tcBorders>
              <w:top w:val="nil"/>
              <w:bottom w:val="nil"/>
            </w:tcBorders>
          </w:tcPr>
          <w:p>
            <w:pPr>
              <w:pStyle w:val="nTable"/>
              <w:spacing w:after="40"/>
            </w:pPr>
            <w:r>
              <w:t>13 of 2014</w:t>
            </w:r>
          </w:p>
        </w:tc>
        <w:tc>
          <w:tcPr>
            <w:tcW w:w="1133" w:type="dxa"/>
            <w:gridSpan w:val="2"/>
            <w:tcBorders>
              <w:top w:val="nil"/>
              <w:bottom w:val="nil"/>
            </w:tcBorders>
          </w:tcPr>
          <w:p>
            <w:pPr>
              <w:pStyle w:val="nTable"/>
              <w:spacing w:after="40"/>
            </w:pPr>
            <w:r>
              <w:t>2 Jul 2014</w:t>
            </w:r>
          </w:p>
        </w:tc>
        <w:tc>
          <w:tcPr>
            <w:tcW w:w="2552" w:type="dxa"/>
            <w:gridSpan w:val="3"/>
            <w:tcBorders>
              <w:top w:val="nil"/>
              <w:bottom w:val="nil"/>
            </w:tcBorders>
          </w:tcPr>
          <w:p>
            <w:pPr>
              <w:pStyle w:val="nTable"/>
              <w:spacing w:after="40"/>
              <w:rPr>
                <w:snapToGrid w:val="0"/>
              </w:rPr>
            </w:pPr>
            <w:r>
              <w:t xml:space="preserve">30 Jan 2017 (see s. 2(b) and </w:t>
            </w:r>
            <w:r>
              <w:rPr>
                <w:i/>
              </w:rPr>
              <w:t>Gazette</w:t>
            </w:r>
            <w:r>
              <w:t xml:space="preserve"> 17 Jan 2017 p. 403)</w:t>
            </w:r>
          </w:p>
        </w:tc>
      </w:tr>
      <w:tr>
        <w:trPr>
          <w:cantSplit/>
        </w:trPr>
        <w:tc>
          <w:tcPr>
            <w:tcW w:w="2259" w:type="dxa"/>
            <w:gridSpan w:val="2"/>
          </w:tcPr>
          <w:p>
            <w:pPr>
              <w:pStyle w:val="nTable"/>
              <w:spacing w:after="40"/>
              <w:ind w:right="113"/>
              <w:rPr>
                <w:i/>
                <w:snapToGrid w:val="0"/>
              </w:rPr>
            </w:pPr>
            <w:r>
              <w:rPr>
                <w:i/>
                <w:snapToGrid w:val="0"/>
              </w:rPr>
              <w:t>Statutes (Repeals and Minor Amendments) Act 2014</w:t>
            </w:r>
            <w:r>
              <w:rPr>
                <w:snapToGrid w:val="0"/>
              </w:rPr>
              <w:t xml:space="preserve"> s. 23</w:t>
            </w:r>
          </w:p>
        </w:tc>
        <w:tc>
          <w:tcPr>
            <w:tcW w:w="1132" w:type="dxa"/>
            <w:gridSpan w:val="2"/>
          </w:tcPr>
          <w:p>
            <w:pPr>
              <w:pStyle w:val="nTable"/>
              <w:spacing w:after="40"/>
              <w:rPr>
                <w:snapToGrid w:val="0"/>
              </w:rPr>
            </w:pPr>
            <w:r>
              <w:rPr>
                <w:snapToGrid w:val="0"/>
              </w:rPr>
              <w:t>17 of 2014</w:t>
            </w:r>
          </w:p>
        </w:tc>
        <w:tc>
          <w:tcPr>
            <w:tcW w:w="1133" w:type="dxa"/>
            <w:gridSpan w:val="2"/>
          </w:tcPr>
          <w:p>
            <w:pPr>
              <w:pStyle w:val="nTable"/>
              <w:spacing w:after="40"/>
              <w:rPr>
                <w:snapToGrid w:val="0"/>
              </w:rPr>
            </w:pPr>
            <w:r>
              <w:rPr>
                <w:snapToGrid w:val="0"/>
              </w:rPr>
              <w:t>2 Jul 2014</w:t>
            </w:r>
          </w:p>
        </w:tc>
        <w:tc>
          <w:tcPr>
            <w:tcW w:w="2552" w:type="dxa"/>
            <w:gridSpan w:val="3"/>
          </w:tcPr>
          <w:p>
            <w:pPr>
              <w:pStyle w:val="nTable"/>
              <w:keepLines/>
              <w:tabs>
                <w:tab w:val="left" w:pos="893"/>
              </w:tabs>
              <w:spacing w:after="40"/>
              <w:rPr>
                <w:snapToGrid w:val="0"/>
              </w:rPr>
            </w:pPr>
            <w:r>
              <w:rPr>
                <w:snapToGrid w:val="0"/>
              </w:rPr>
              <w:t xml:space="preserve">6 Sep 2014 (see s. 2(b) and </w:t>
            </w:r>
            <w:r>
              <w:rPr>
                <w:i/>
                <w:snapToGrid w:val="0"/>
              </w:rPr>
              <w:t>Gazette</w:t>
            </w:r>
            <w:r>
              <w:rPr>
                <w:snapToGrid w:val="0"/>
              </w:rPr>
              <w:t xml:space="preserve"> 5 Sep 2014 p. 3213)</w:t>
            </w:r>
          </w:p>
        </w:tc>
      </w:tr>
      <w:tr>
        <w:trPr>
          <w:cantSplit/>
        </w:trPr>
        <w:tc>
          <w:tcPr>
            <w:tcW w:w="2259" w:type="dxa"/>
            <w:gridSpan w:val="2"/>
          </w:tcPr>
          <w:p>
            <w:pPr>
              <w:pStyle w:val="nTable"/>
              <w:spacing w:after="40"/>
              <w:ind w:right="113"/>
              <w:rPr>
                <w:i/>
                <w:snapToGrid w:val="0"/>
              </w:rPr>
            </w:pPr>
            <w:r>
              <w:rPr>
                <w:i/>
                <w:snapToGrid w:val="0"/>
              </w:rPr>
              <w:t>Health Services Act 2016</w:t>
            </w:r>
            <w:r>
              <w:rPr>
                <w:snapToGrid w:val="0"/>
              </w:rPr>
              <w:t xml:space="preserve"> s. 291</w:t>
            </w:r>
          </w:p>
        </w:tc>
        <w:tc>
          <w:tcPr>
            <w:tcW w:w="1132" w:type="dxa"/>
            <w:gridSpan w:val="2"/>
          </w:tcPr>
          <w:p>
            <w:pPr>
              <w:pStyle w:val="nTable"/>
              <w:spacing w:after="40"/>
              <w:rPr>
                <w:snapToGrid w:val="0"/>
              </w:rPr>
            </w:pPr>
            <w:r>
              <w:t>11 of 2016</w:t>
            </w:r>
          </w:p>
        </w:tc>
        <w:tc>
          <w:tcPr>
            <w:tcW w:w="1133" w:type="dxa"/>
            <w:gridSpan w:val="2"/>
          </w:tcPr>
          <w:p>
            <w:pPr>
              <w:pStyle w:val="nTable"/>
              <w:spacing w:after="40"/>
              <w:rPr>
                <w:snapToGrid w:val="0"/>
              </w:rPr>
            </w:pPr>
            <w:r>
              <w:t>26 May 2016</w:t>
            </w:r>
          </w:p>
        </w:tc>
        <w:tc>
          <w:tcPr>
            <w:tcW w:w="2552" w:type="dxa"/>
            <w:gridSpan w:val="3"/>
          </w:tcPr>
          <w:p>
            <w:pPr>
              <w:pStyle w:val="nTable"/>
              <w:keepLines/>
              <w:tabs>
                <w:tab w:val="left" w:pos="893"/>
              </w:tabs>
              <w:spacing w:after="40"/>
              <w:rPr>
                <w:snapToGrid w:val="0"/>
              </w:rPr>
            </w:pPr>
            <w:r>
              <w:rPr>
                <w:snapToGrid w:val="0"/>
              </w:rPr>
              <w:t xml:space="preserve">1 Jul 2016 (see s. 2(b) and </w:t>
            </w:r>
            <w:r>
              <w:rPr>
                <w:i/>
                <w:snapToGrid w:val="0"/>
              </w:rPr>
              <w:t>Gazette</w:t>
            </w:r>
            <w:r>
              <w:rPr>
                <w:snapToGrid w:val="0"/>
              </w:rPr>
              <w:t xml:space="preserve"> 24 Jun 2016 p. 2291)</w:t>
            </w:r>
          </w:p>
        </w:tc>
      </w:tr>
      <w:tr>
        <w:tblPrEx>
          <w:tblBorders>
            <w:top w:val="single" w:sz="8" w:space="0" w:color="auto"/>
            <w:bottom w:val="single" w:sz="8" w:space="0" w:color="auto"/>
            <w:insideH w:val="single" w:sz="8" w:space="0" w:color="auto"/>
          </w:tblBorders>
        </w:tblPrEx>
        <w:trPr>
          <w:gridBefore w:val="1"/>
          <w:gridAfter w:val="1"/>
          <w:wBefore w:w="51" w:type="dxa"/>
          <w:wAfter w:w="44" w:type="dxa"/>
          <w:cantSplit/>
        </w:trPr>
        <w:tc>
          <w:tcPr>
            <w:tcW w:w="2264" w:type="dxa"/>
            <w:gridSpan w:val="2"/>
            <w:tcBorders>
              <w:top w:val="nil"/>
              <w:bottom w:val="nil"/>
            </w:tcBorders>
          </w:tcPr>
          <w:p>
            <w:pPr>
              <w:pStyle w:val="nTable"/>
              <w:spacing w:after="40"/>
              <w:rPr>
                <w:noProof/>
                <w:snapToGrid w:val="0"/>
              </w:rPr>
            </w:pPr>
            <w:r>
              <w:rPr>
                <w:i/>
              </w:rPr>
              <w:t>Public Health (Consequential Provisions) Act 2016</w:t>
            </w:r>
            <w:r>
              <w:t xml:space="preserve"> Pt. 2, Pt. 4 Div. 1, Div. 2 (s. 207), Div. 3 (s. 212 and 213), Div. 10 (s. 240, 242 and 243), Div. 12</w:t>
            </w:r>
            <w:r>
              <w:noBreakHyphen/>
              <w:t>15 and Div. 16 (s. 272, 274 and 276)</w:t>
            </w:r>
          </w:p>
        </w:tc>
        <w:tc>
          <w:tcPr>
            <w:tcW w:w="1134" w:type="dxa"/>
            <w:gridSpan w:val="2"/>
            <w:tcBorders>
              <w:top w:val="nil"/>
              <w:bottom w:val="nil"/>
            </w:tcBorders>
          </w:tcPr>
          <w:p>
            <w:pPr>
              <w:pStyle w:val="nTable"/>
              <w:spacing w:after="40"/>
            </w:pPr>
            <w:r>
              <w:t>19 of 2016</w:t>
            </w:r>
          </w:p>
        </w:tc>
        <w:tc>
          <w:tcPr>
            <w:tcW w:w="1173" w:type="dxa"/>
            <w:gridSpan w:val="2"/>
            <w:tcBorders>
              <w:top w:val="nil"/>
              <w:bottom w:val="nil"/>
            </w:tcBorders>
          </w:tcPr>
          <w:p>
            <w:pPr>
              <w:pStyle w:val="nTable"/>
              <w:spacing w:after="40"/>
            </w:pPr>
            <w:r>
              <w:t>25 Jul 2016</w:t>
            </w:r>
          </w:p>
        </w:tc>
        <w:tc>
          <w:tcPr>
            <w:tcW w:w="2410" w:type="dxa"/>
            <w:tcBorders>
              <w:top w:val="nil"/>
              <w:bottom w:val="nil"/>
            </w:tcBorders>
          </w:tcPr>
          <w:p>
            <w:pPr>
              <w:pStyle w:val="nTable"/>
              <w:spacing w:after="40"/>
              <w:rPr>
                <w:snapToGrid w:val="0"/>
              </w:rPr>
            </w:pPr>
            <w:r>
              <w:rPr>
                <w:snapToGrid w:val="0"/>
              </w:rPr>
              <w:t xml:space="preserve">Pt. 2: 24 Jan 2017 (see s. 2(1)(b) and </w:t>
            </w:r>
            <w:r>
              <w:rPr>
                <w:i/>
                <w:snapToGrid w:val="0"/>
              </w:rPr>
              <w:t xml:space="preserve">Gazette </w:t>
            </w:r>
            <w:r>
              <w:rPr>
                <w:snapToGrid w:val="0"/>
              </w:rPr>
              <w:t>10 Jan 2017 p. 165);</w:t>
            </w:r>
            <w:r>
              <w:rPr>
                <w:snapToGrid w:val="0"/>
              </w:rPr>
              <w:br/>
            </w:r>
            <w:r>
              <w:t>Pt. 4 Div. 1, Div. 2 (s. 207), Div. 3 (s. 212 and 213), Div. 10 (s. 240, 242 and 243), Div. 12</w:t>
            </w:r>
            <w:r>
              <w:noBreakHyphen/>
              <w:t xml:space="preserve">14 and Div. 16 (s. 272 and 274): </w:t>
            </w:r>
            <w:r>
              <w:rPr>
                <w:snapToGrid w:val="0"/>
              </w:rPr>
              <w:t xml:space="preserve">20 Sep 2017 (see s. 2(1)(c) and </w:t>
            </w:r>
            <w:r>
              <w:rPr>
                <w:i/>
                <w:snapToGrid w:val="0"/>
              </w:rPr>
              <w:t>Gazette</w:t>
            </w:r>
            <w:r>
              <w:rPr>
                <w:snapToGrid w:val="0"/>
              </w:rPr>
              <w:t xml:space="preserve"> 19 Sep 2017 p. 4880);</w:t>
            </w:r>
            <w:r>
              <w:rPr>
                <w:snapToGrid w:val="0"/>
              </w:rPr>
              <w:br/>
              <w:t xml:space="preserve">Pt. 4 Div. 15 and s. 276: 12 Jan 2019 (see s. 2(1)(c) and </w:t>
            </w:r>
            <w:r>
              <w:rPr>
                <w:i/>
                <w:snapToGrid w:val="0"/>
              </w:rPr>
              <w:t>Gazette</w:t>
            </w:r>
            <w:r>
              <w:rPr>
                <w:snapToGrid w:val="0"/>
              </w:rPr>
              <w:t xml:space="preserve"> 11 Jan 2019 p. 23)</w:t>
            </w:r>
          </w:p>
        </w:tc>
      </w:tr>
      <w:tr>
        <w:tblPrEx>
          <w:tblBorders>
            <w:top w:val="single" w:sz="8" w:space="0" w:color="auto"/>
            <w:bottom w:val="single" w:sz="8" w:space="0" w:color="auto"/>
            <w:insideH w:val="single" w:sz="8" w:space="0" w:color="auto"/>
          </w:tblBorders>
        </w:tblPrEx>
        <w:trPr>
          <w:gridBefore w:val="1"/>
          <w:gridAfter w:val="1"/>
          <w:wBefore w:w="51" w:type="dxa"/>
          <w:wAfter w:w="44" w:type="dxa"/>
          <w:cantSplit/>
        </w:trPr>
        <w:tc>
          <w:tcPr>
            <w:tcW w:w="6981" w:type="dxa"/>
            <w:gridSpan w:val="7"/>
            <w:tcBorders>
              <w:top w:val="nil"/>
              <w:bottom w:val="nil"/>
            </w:tcBorders>
            <w:shd w:val="clear" w:color="auto" w:fill="auto"/>
          </w:tcPr>
          <w:p>
            <w:pPr>
              <w:pStyle w:val="nTable"/>
              <w:spacing w:after="40"/>
              <w:rPr>
                <w:snapToGrid w:val="0"/>
              </w:rPr>
            </w:pPr>
            <w:r>
              <w:rPr>
                <w:b/>
                <w:snapToGrid w:val="0"/>
              </w:rPr>
              <w:t xml:space="preserve">Reprint 17: The </w:t>
            </w:r>
            <w:r>
              <w:rPr>
                <w:b/>
                <w:i/>
                <w:noProof/>
                <w:snapToGrid w:val="0"/>
              </w:rPr>
              <w:t>Health (Miscellaneous Provisions) Act 1911</w:t>
            </w:r>
            <w:r>
              <w:rPr>
                <w:b/>
                <w:snapToGrid w:val="0"/>
              </w:rPr>
              <w:t xml:space="preserve"> as at 15 Dec 2017</w:t>
            </w:r>
            <w:r>
              <w:rPr>
                <w:snapToGrid w:val="0"/>
              </w:rPr>
              <w:t xml:space="preserve"> (includes amendments listed above except those listed in the </w:t>
            </w:r>
            <w:r>
              <w:rPr>
                <w:i/>
                <w:snapToGrid w:val="0"/>
              </w:rPr>
              <w:t>Public Health (Consequential Provisions) Act 2016</w:t>
            </w:r>
            <w:r>
              <w:rPr>
                <w:snapToGrid w:val="0"/>
              </w:rPr>
              <w:t xml:space="preserve"> Pt. 4 Div. 15 and s. 276)</w:t>
            </w:r>
          </w:p>
        </w:tc>
      </w:tr>
      <w:tr>
        <w:tblPrEx>
          <w:tblBorders>
            <w:top w:val="single" w:sz="8" w:space="0" w:color="auto"/>
            <w:bottom w:val="single" w:sz="8" w:space="0" w:color="auto"/>
            <w:insideH w:val="single" w:sz="8" w:space="0" w:color="auto"/>
          </w:tblBorders>
        </w:tblPrEx>
        <w:trPr>
          <w:gridBefore w:val="1"/>
          <w:gridAfter w:val="1"/>
          <w:wBefore w:w="51" w:type="dxa"/>
          <w:wAfter w:w="44" w:type="dxa"/>
          <w:cantSplit/>
        </w:trPr>
        <w:tc>
          <w:tcPr>
            <w:tcW w:w="2264" w:type="dxa"/>
            <w:gridSpan w:val="2"/>
            <w:tcBorders>
              <w:top w:val="nil"/>
              <w:bottom w:val="nil"/>
            </w:tcBorders>
          </w:tcPr>
          <w:p>
            <w:pPr>
              <w:pStyle w:val="nTable"/>
              <w:spacing w:after="40"/>
              <w:rPr>
                <w:noProof/>
                <w:snapToGrid w:val="0"/>
              </w:rPr>
            </w:pPr>
            <w:r>
              <w:rPr>
                <w:i/>
              </w:rPr>
              <w:t>Health Practitioner Regulation National Law (WA) Amendment Act 2018</w:t>
            </w:r>
            <w:r>
              <w:t xml:space="preserve"> s. 111</w:t>
            </w:r>
          </w:p>
        </w:tc>
        <w:tc>
          <w:tcPr>
            <w:tcW w:w="1134" w:type="dxa"/>
            <w:gridSpan w:val="2"/>
            <w:tcBorders>
              <w:top w:val="nil"/>
              <w:bottom w:val="nil"/>
            </w:tcBorders>
          </w:tcPr>
          <w:p>
            <w:pPr>
              <w:pStyle w:val="nTable"/>
              <w:spacing w:after="40"/>
            </w:pPr>
            <w:r>
              <w:t>4 of 2018</w:t>
            </w:r>
          </w:p>
        </w:tc>
        <w:tc>
          <w:tcPr>
            <w:tcW w:w="1173" w:type="dxa"/>
            <w:gridSpan w:val="2"/>
            <w:tcBorders>
              <w:top w:val="nil"/>
              <w:bottom w:val="nil"/>
            </w:tcBorders>
          </w:tcPr>
          <w:p>
            <w:pPr>
              <w:pStyle w:val="nTable"/>
              <w:spacing w:after="40"/>
            </w:pPr>
            <w:r>
              <w:t>19 Apr 2018</w:t>
            </w:r>
          </w:p>
        </w:tc>
        <w:tc>
          <w:tcPr>
            <w:tcW w:w="2410" w:type="dxa"/>
            <w:tcBorders>
              <w:top w:val="nil"/>
              <w:bottom w:val="nil"/>
            </w:tcBorders>
          </w:tcPr>
          <w:p>
            <w:pPr>
              <w:pStyle w:val="nTable"/>
              <w:spacing w:after="40"/>
              <w:rPr>
                <w:snapToGrid w:val="0"/>
              </w:rPr>
            </w:pPr>
            <w:r>
              <w:t xml:space="preserve">1 Dec 2018 (see s. 2(d) and </w:t>
            </w:r>
            <w:r>
              <w:rPr>
                <w:i/>
              </w:rPr>
              <w:t>Gazette</w:t>
            </w:r>
            <w:r>
              <w:t xml:space="preserve"> 13 Nov 2018 p. 4427</w:t>
            </w:r>
            <w:r>
              <w:noBreakHyphen/>
              <w:t>8)</w:t>
            </w:r>
          </w:p>
        </w:tc>
      </w:tr>
      <w:tr>
        <w:tblPrEx>
          <w:tblBorders>
            <w:top w:val="single" w:sz="8" w:space="0" w:color="auto"/>
            <w:bottom w:val="single" w:sz="8" w:space="0" w:color="auto"/>
            <w:insideH w:val="single" w:sz="8" w:space="0" w:color="auto"/>
          </w:tblBorders>
        </w:tblPrEx>
        <w:trPr>
          <w:gridBefore w:val="1"/>
          <w:gridAfter w:val="1"/>
          <w:wBefore w:w="51" w:type="dxa"/>
          <w:wAfter w:w="44" w:type="dxa"/>
          <w:cantSplit/>
        </w:trPr>
        <w:tc>
          <w:tcPr>
            <w:tcW w:w="2264" w:type="dxa"/>
            <w:gridSpan w:val="2"/>
            <w:tcBorders>
              <w:top w:val="nil"/>
              <w:bottom w:val="nil"/>
            </w:tcBorders>
          </w:tcPr>
          <w:p>
            <w:pPr>
              <w:pStyle w:val="nTable"/>
              <w:spacing w:after="40"/>
              <w:rPr>
                <w:i/>
              </w:rPr>
            </w:pPr>
            <w:r>
              <w:rPr>
                <w:i/>
              </w:rPr>
              <w:t xml:space="preserve">Work Health and Safety Act 2020 </w:t>
            </w:r>
            <w:r>
              <w:t>Pt. 15 Div. 4 Subdiv. 4</w:t>
            </w:r>
          </w:p>
        </w:tc>
        <w:tc>
          <w:tcPr>
            <w:tcW w:w="1134" w:type="dxa"/>
            <w:gridSpan w:val="2"/>
            <w:tcBorders>
              <w:top w:val="nil"/>
              <w:bottom w:val="nil"/>
            </w:tcBorders>
          </w:tcPr>
          <w:p>
            <w:pPr>
              <w:pStyle w:val="nTable"/>
              <w:spacing w:after="40"/>
            </w:pPr>
            <w:r>
              <w:t>36 of 2020</w:t>
            </w:r>
          </w:p>
        </w:tc>
        <w:tc>
          <w:tcPr>
            <w:tcW w:w="1173" w:type="dxa"/>
            <w:gridSpan w:val="2"/>
            <w:tcBorders>
              <w:top w:val="nil"/>
              <w:bottom w:val="nil"/>
            </w:tcBorders>
          </w:tcPr>
          <w:p>
            <w:pPr>
              <w:pStyle w:val="nTable"/>
              <w:spacing w:after="40"/>
            </w:pPr>
            <w:r>
              <w:t>10 Nov 2020</w:t>
            </w:r>
          </w:p>
        </w:tc>
        <w:tc>
          <w:tcPr>
            <w:tcW w:w="2410" w:type="dxa"/>
            <w:tcBorders>
              <w:top w:val="nil"/>
              <w:bottom w:val="nil"/>
            </w:tcBorders>
          </w:tcPr>
          <w:p>
            <w:pPr>
              <w:pStyle w:val="nTable"/>
              <w:spacing w:after="40"/>
            </w:pPr>
            <w:r>
              <w:rPr>
                <w:snapToGrid w:val="0"/>
              </w:rPr>
              <w:t xml:space="preserve">31 Mar 2022 (see s. 2(1)(c) </w:t>
            </w:r>
            <w:r>
              <w:t>and SL 2022/18 cl. 2</w:t>
            </w:r>
            <w:r>
              <w:rPr>
                <w:snapToGrid w:val="0"/>
              </w:rPr>
              <w:t>)</w:t>
            </w:r>
          </w:p>
        </w:tc>
      </w:tr>
      <w:tr>
        <w:tblPrEx>
          <w:tblBorders>
            <w:top w:val="single" w:sz="8" w:space="0" w:color="auto"/>
            <w:bottom w:val="single" w:sz="8" w:space="0" w:color="auto"/>
            <w:insideH w:val="single" w:sz="8" w:space="0" w:color="auto"/>
          </w:tblBorders>
        </w:tblPrEx>
        <w:trPr>
          <w:gridBefore w:val="1"/>
          <w:gridAfter w:val="1"/>
          <w:wBefore w:w="51" w:type="dxa"/>
          <w:wAfter w:w="44" w:type="dxa"/>
          <w:cantSplit/>
        </w:trPr>
        <w:tc>
          <w:tcPr>
            <w:tcW w:w="2264" w:type="dxa"/>
            <w:gridSpan w:val="2"/>
            <w:tcBorders>
              <w:top w:val="nil"/>
              <w:bottom w:val="nil"/>
            </w:tcBorders>
          </w:tcPr>
          <w:p>
            <w:pPr>
              <w:pStyle w:val="nTable"/>
              <w:spacing w:after="40"/>
            </w:pPr>
            <w:r>
              <w:rPr>
                <w:i/>
              </w:rPr>
              <w:t xml:space="preserve">Major Events Act 2023 </w:t>
            </w:r>
            <w:r>
              <w:t>s. 110</w:t>
            </w:r>
          </w:p>
        </w:tc>
        <w:tc>
          <w:tcPr>
            <w:tcW w:w="1134" w:type="dxa"/>
            <w:gridSpan w:val="2"/>
            <w:tcBorders>
              <w:top w:val="nil"/>
              <w:bottom w:val="nil"/>
            </w:tcBorders>
          </w:tcPr>
          <w:p>
            <w:pPr>
              <w:pStyle w:val="nTable"/>
              <w:spacing w:after="40"/>
            </w:pPr>
            <w:r>
              <w:t>12 of 2023</w:t>
            </w:r>
          </w:p>
        </w:tc>
        <w:tc>
          <w:tcPr>
            <w:tcW w:w="1173" w:type="dxa"/>
            <w:gridSpan w:val="2"/>
            <w:tcBorders>
              <w:top w:val="nil"/>
              <w:bottom w:val="nil"/>
            </w:tcBorders>
          </w:tcPr>
          <w:p>
            <w:pPr>
              <w:pStyle w:val="nTable"/>
              <w:spacing w:after="40"/>
            </w:pPr>
            <w:r>
              <w:t>22 May 2023</w:t>
            </w:r>
          </w:p>
        </w:tc>
        <w:tc>
          <w:tcPr>
            <w:tcW w:w="2410" w:type="dxa"/>
            <w:tcBorders>
              <w:top w:val="nil"/>
              <w:bottom w:val="nil"/>
            </w:tcBorders>
          </w:tcPr>
          <w:p>
            <w:pPr>
              <w:pStyle w:val="nTable"/>
              <w:spacing w:after="40"/>
              <w:rPr>
                <w:snapToGrid w:val="0"/>
              </w:rPr>
            </w:pPr>
            <w:r>
              <w:rPr>
                <w:snapToGrid w:val="0"/>
              </w:rPr>
              <w:t>23 May 2023 (see s. 2(b))</w:t>
            </w:r>
          </w:p>
        </w:tc>
      </w:tr>
      <w:tr>
        <w:tblPrEx>
          <w:tblBorders>
            <w:top w:val="single" w:sz="8" w:space="0" w:color="auto"/>
            <w:bottom w:val="single" w:sz="8" w:space="0" w:color="auto"/>
            <w:insideH w:val="single" w:sz="8" w:space="0" w:color="auto"/>
          </w:tblBorders>
        </w:tblPrEx>
        <w:trPr>
          <w:gridBefore w:val="1"/>
          <w:gridAfter w:val="1"/>
          <w:wBefore w:w="51" w:type="dxa"/>
          <w:wAfter w:w="44" w:type="dxa"/>
          <w:cantSplit/>
        </w:trPr>
        <w:tc>
          <w:tcPr>
            <w:tcW w:w="2264" w:type="dxa"/>
            <w:gridSpan w:val="2"/>
            <w:tcBorders>
              <w:top w:val="nil"/>
              <w:bottom w:val="nil"/>
            </w:tcBorders>
          </w:tcPr>
          <w:p>
            <w:pPr>
              <w:pStyle w:val="nTable"/>
              <w:spacing w:after="40"/>
              <w:rPr>
                <w:i/>
              </w:rPr>
            </w:pPr>
            <w:r>
              <w:rPr>
                <w:i/>
              </w:rPr>
              <w:t xml:space="preserve">Abortion Legislation Reform Act 2023 </w:t>
            </w:r>
            <w:r>
              <w:t>Pt. 4 Div. 6</w:t>
            </w:r>
          </w:p>
        </w:tc>
        <w:tc>
          <w:tcPr>
            <w:tcW w:w="1134" w:type="dxa"/>
            <w:gridSpan w:val="2"/>
            <w:tcBorders>
              <w:top w:val="nil"/>
              <w:bottom w:val="nil"/>
            </w:tcBorders>
          </w:tcPr>
          <w:p>
            <w:pPr>
              <w:pStyle w:val="nTable"/>
              <w:spacing w:after="40"/>
            </w:pPr>
            <w:r>
              <w:t>20 of 2023</w:t>
            </w:r>
          </w:p>
        </w:tc>
        <w:tc>
          <w:tcPr>
            <w:tcW w:w="1173" w:type="dxa"/>
            <w:gridSpan w:val="2"/>
            <w:tcBorders>
              <w:top w:val="nil"/>
              <w:bottom w:val="nil"/>
            </w:tcBorders>
          </w:tcPr>
          <w:p>
            <w:pPr>
              <w:pStyle w:val="nTable"/>
              <w:spacing w:after="40"/>
            </w:pPr>
            <w:r>
              <w:t>27 Sep 2023</w:t>
            </w:r>
          </w:p>
        </w:tc>
        <w:tc>
          <w:tcPr>
            <w:tcW w:w="2410" w:type="dxa"/>
            <w:tcBorders>
              <w:top w:val="nil"/>
              <w:bottom w:val="nil"/>
            </w:tcBorders>
          </w:tcPr>
          <w:p>
            <w:pPr>
              <w:pStyle w:val="nTable"/>
              <w:spacing w:after="40"/>
              <w:rPr>
                <w:snapToGrid w:val="0"/>
              </w:rPr>
            </w:pPr>
            <w:r>
              <w:rPr>
                <w:snapToGrid w:val="0"/>
              </w:rPr>
              <w:t>27 Mar 2024 (see s. 2(b) and SL 2024/21 cl. 2)</w:t>
            </w:r>
          </w:p>
        </w:tc>
      </w:tr>
      <w:tr>
        <w:tblPrEx>
          <w:tblBorders>
            <w:top w:val="single" w:sz="8" w:space="0" w:color="auto"/>
            <w:bottom w:val="single" w:sz="8" w:space="0" w:color="auto"/>
            <w:insideH w:val="single" w:sz="8" w:space="0" w:color="auto"/>
          </w:tblBorders>
          <w:tblCellMar>
            <w:left w:w="57" w:type="dxa"/>
            <w:right w:w="57" w:type="dxa"/>
          </w:tblCellMar>
        </w:tblPrEx>
        <w:trPr>
          <w:gridBefore w:val="1"/>
          <w:gridAfter w:val="1"/>
          <w:wBefore w:w="51" w:type="dxa"/>
          <w:wAfter w:w="44" w:type="dxa"/>
        </w:trPr>
        <w:tc>
          <w:tcPr>
            <w:tcW w:w="4571" w:type="dxa"/>
            <w:gridSpan w:val="6"/>
            <w:tcBorders>
              <w:top w:val="nil"/>
              <w:bottom w:val="nil"/>
            </w:tcBorders>
          </w:tcPr>
          <w:p>
            <w:pPr>
              <w:pStyle w:val="nTable"/>
              <w:spacing w:after="40"/>
              <w:rPr>
                <w:iCs/>
              </w:rPr>
            </w:pPr>
            <w:r>
              <w:rPr>
                <w:i/>
              </w:rPr>
              <w:t xml:space="preserve">Health (Miscellaneous Provisions) (Offensive Trades) Proclamation 2024 </w:t>
            </w:r>
            <w:r>
              <w:rPr>
                <w:iCs/>
              </w:rPr>
              <w:t>Pt. 2</w:t>
            </w:r>
            <w:r>
              <w:rPr>
                <w:i/>
              </w:rPr>
              <w:t xml:space="preserve"> </w:t>
            </w:r>
            <w:r>
              <w:rPr>
                <w:iCs/>
              </w:rPr>
              <w:t>(SL 2024/53)</w:t>
            </w:r>
          </w:p>
        </w:tc>
        <w:tc>
          <w:tcPr>
            <w:tcW w:w="2410" w:type="dxa"/>
            <w:tcBorders>
              <w:top w:val="nil"/>
              <w:bottom w:val="nil"/>
            </w:tcBorders>
          </w:tcPr>
          <w:p>
            <w:pPr>
              <w:pStyle w:val="nTable"/>
              <w:spacing w:after="40"/>
              <w:rPr>
                <w:snapToGrid w:val="0"/>
              </w:rPr>
            </w:pPr>
            <w:r>
              <w:rPr>
                <w:snapToGrid w:val="0"/>
              </w:rPr>
              <w:t>4 Jun 2024 (see cl. 2(b))</w:t>
            </w:r>
          </w:p>
        </w:tc>
      </w:tr>
      <w:tr>
        <w:tblPrEx>
          <w:tblBorders>
            <w:top w:val="single" w:sz="8" w:space="0" w:color="auto"/>
            <w:bottom w:val="single" w:sz="8" w:space="0" w:color="auto"/>
            <w:insideH w:val="single" w:sz="8" w:space="0" w:color="auto"/>
          </w:tblBorders>
          <w:tblCellMar>
            <w:left w:w="57" w:type="dxa"/>
            <w:right w:w="57" w:type="dxa"/>
          </w:tblCellMar>
        </w:tblPrEx>
        <w:trPr>
          <w:gridBefore w:val="1"/>
          <w:gridAfter w:val="1"/>
          <w:wBefore w:w="51" w:type="dxa"/>
          <w:wAfter w:w="44" w:type="dxa"/>
        </w:trPr>
        <w:tc>
          <w:tcPr>
            <w:tcW w:w="2264" w:type="dxa"/>
            <w:gridSpan w:val="2"/>
            <w:tcBorders>
              <w:top w:val="nil"/>
              <w:bottom w:val="nil"/>
            </w:tcBorders>
          </w:tcPr>
          <w:p>
            <w:pPr>
              <w:pStyle w:val="nTable"/>
              <w:spacing w:after="40"/>
              <w:rPr>
                <w:i/>
              </w:rPr>
            </w:pPr>
            <w:r>
              <w:rPr>
                <w:i/>
              </w:rPr>
              <w:t xml:space="preserve">Local Government Amendment Act 2024 </w:t>
            </w:r>
            <w:r>
              <w:rPr>
                <w:iCs/>
              </w:rPr>
              <w:t>Pt. 3 Div. 3</w:t>
            </w:r>
          </w:p>
        </w:tc>
        <w:tc>
          <w:tcPr>
            <w:tcW w:w="1134" w:type="dxa"/>
            <w:gridSpan w:val="2"/>
            <w:tcBorders>
              <w:top w:val="nil"/>
              <w:bottom w:val="nil"/>
            </w:tcBorders>
          </w:tcPr>
          <w:p>
            <w:pPr>
              <w:pStyle w:val="nTable"/>
              <w:spacing w:after="40"/>
              <w:rPr>
                <w:iCs/>
              </w:rPr>
            </w:pPr>
            <w:r>
              <w:rPr>
                <w:iCs/>
              </w:rPr>
              <w:t>47 of 2024</w:t>
            </w:r>
          </w:p>
        </w:tc>
        <w:tc>
          <w:tcPr>
            <w:tcW w:w="1173" w:type="dxa"/>
            <w:gridSpan w:val="2"/>
            <w:tcBorders>
              <w:top w:val="nil"/>
              <w:bottom w:val="nil"/>
            </w:tcBorders>
          </w:tcPr>
          <w:p>
            <w:pPr>
              <w:pStyle w:val="nTable"/>
              <w:spacing w:after="40"/>
              <w:rPr>
                <w:iCs/>
              </w:rPr>
            </w:pPr>
            <w:r>
              <w:rPr>
                <w:iCs/>
              </w:rPr>
              <w:t>6 Dec 2024</w:t>
            </w:r>
          </w:p>
        </w:tc>
        <w:tc>
          <w:tcPr>
            <w:tcW w:w="2410" w:type="dxa"/>
            <w:tcBorders>
              <w:top w:val="nil"/>
              <w:bottom w:val="nil"/>
            </w:tcBorders>
          </w:tcPr>
          <w:p>
            <w:pPr>
              <w:pStyle w:val="nTable"/>
              <w:spacing w:after="40"/>
              <w:rPr>
                <w:snapToGrid w:val="0"/>
              </w:rPr>
            </w:pPr>
            <w:r>
              <w:rPr>
                <w:snapToGrid w:val="0"/>
              </w:rPr>
              <w:t>7 Dec 2024 (see s. 2(1)(g))</w:t>
            </w:r>
          </w:p>
        </w:tc>
      </w:tr>
      <w:tr>
        <w:tblPrEx>
          <w:tblBorders>
            <w:top w:val="single" w:sz="8" w:space="0" w:color="auto"/>
            <w:bottom w:val="single" w:sz="8" w:space="0" w:color="auto"/>
            <w:insideH w:val="single" w:sz="8" w:space="0" w:color="auto"/>
          </w:tblBorders>
          <w:tblCellMar>
            <w:left w:w="57" w:type="dxa"/>
            <w:right w:w="57" w:type="dxa"/>
          </w:tblCellMar>
        </w:tblPrEx>
        <w:trPr>
          <w:gridBefore w:val="1"/>
          <w:gridAfter w:val="1"/>
          <w:wBefore w:w="51" w:type="dxa"/>
          <w:wAfter w:w="44" w:type="dxa"/>
        </w:trPr>
        <w:tc>
          <w:tcPr>
            <w:tcW w:w="2264" w:type="dxa"/>
            <w:gridSpan w:val="2"/>
            <w:tcBorders>
              <w:top w:val="nil"/>
              <w:bottom w:val="single" w:sz="4" w:space="0" w:color="auto"/>
            </w:tcBorders>
          </w:tcPr>
          <w:p>
            <w:pPr>
              <w:pStyle w:val="nTable"/>
              <w:spacing w:after="40"/>
              <w:rPr>
                <w:i/>
              </w:rPr>
            </w:pPr>
            <w:r>
              <w:rPr>
                <w:i/>
                <w:snapToGrid w:val="0"/>
              </w:rPr>
              <w:t>Statutes</w:t>
            </w:r>
            <w:r>
              <w:rPr>
                <w:i/>
              </w:rPr>
              <w:t xml:space="preserve"> (Repeals and Minor Amendments) Act 2025</w:t>
            </w:r>
            <w:r>
              <w:rPr>
                <w:iCs/>
              </w:rPr>
              <w:t xml:space="preserve"> s. 26</w:t>
            </w:r>
          </w:p>
        </w:tc>
        <w:tc>
          <w:tcPr>
            <w:tcW w:w="1134" w:type="dxa"/>
            <w:gridSpan w:val="2"/>
            <w:tcBorders>
              <w:top w:val="nil"/>
              <w:bottom w:val="single" w:sz="4" w:space="0" w:color="auto"/>
            </w:tcBorders>
          </w:tcPr>
          <w:p>
            <w:pPr>
              <w:pStyle w:val="nTable"/>
              <w:spacing w:after="40"/>
              <w:rPr>
                <w:iCs/>
              </w:rPr>
            </w:pPr>
            <w:r>
              <w:rPr>
                <w:snapToGrid w:val="0"/>
              </w:rPr>
              <w:t>14 of 2025</w:t>
            </w:r>
          </w:p>
        </w:tc>
        <w:tc>
          <w:tcPr>
            <w:tcW w:w="1173" w:type="dxa"/>
            <w:gridSpan w:val="2"/>
            <w:tcBorders>
              <w:top w:val="nil"/>
              <w:bottom w:val="single" w:sz="4" w:space="0" w:color="auto"/>
            </w:tcBorders>
          </w:tcPr>
          <w:p>
            <w:pPr>
              <w:pStyle w:val="nTable"/>
              <w:spacing w:after="40"/>
              <w:rPr>
                <w:iCs/>
              </w:rPr>
            </w:pPr>
            <w:r>
              <w:rPr>
                <w:snapToGrid w:val="0"/>
              </w:rPr>
              <w:t>25 Sep 2025</w:t>
            </w:r>
          </w:p>
        </w:tc>
        <w:tc>
          <w:tcPr>
            <w:tcW w:w="2410" w:type="dxa"/>
            <w:tcBorders>
              <w:top w:val="nil"/>
              <w:bottom w:val="single" w:sz="4" w:space="0" w:color="auto"/>
            </w:tcBorders>
          </w:tcPr>
          <w:p>
            <w:pPr>
              <w:pStyle w:val="nTable"/>
              <w:spacing w:after="40"/>
              <w:rPr>
                <w:snapToGrid w:val="0"/>
              </w:rPr>
            </w:pPr>
            <w:r>
              <w:rPr>
                <w:snapToGrid w:val="0"/>
              </w:rPr>
              <w:t>26 Sep 2025 (see s. 2(b))</w:t>
            </w:r>
          </w:p>
        </w:tc>
      </w:tr>
    </w:tbl>
    <w:p>
      <w:pPr>
        <w:pStyle w:val="nHeading3"/>
      </w:pPr>
      <w:bookmarkStart w:id="885" w:name="_Toc225766035"/>
      <w:bookmarkStart w:id="886" w:name="_Toc209710960"/>
      <w:r>
        <w:t>Uncommenced provisions table</w:t>
      </w:r>
      <w:bookmarkEnd w:id="885"/>
      <w:bookmarkEnd w:id="886"/>
    </w:p>
    <w:p>
      <w:pPr>
        <w:pStyle w:val="nStatement"/>
        <w:keepNext/>
        <w:spacing w:after="240"/>
      </w:pPr>
      <w:r>
        <w:t xml:space="preserve">To view the text of the uncommenced provisions see </w:t>
      </w:r>
      <w:r>
        <w:rPr>
          <w:i/>
        </w:rPr>
        <w:t>Acts as passed</w:t>
      </w:r>
      <w:r>
        <w:t xml:space="preserve"> </w:t>
      </w:r>
      <w:r>
        <w:rPr>
          <w:i/>
          <w:iCs/>
        </w:rPr>
        <w:t xml:space="preserve">and Subsidiary legislation as made </w:t>
      </w:r>
      <w:r>
        <w:t>on the WA Legislation website.</w:t>
      </w:r>
    </w:p>
    <w:tbl>
      <w:tblPr>
        <w:tblW w:w="7123" w:type="dxa"/>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587"/>
      </w:tblGrid>
      <w:tr>
        <w:tc>
          <w:tcPr>
            <w:tcW w:w="2268" w:type="dxa"/>
            <w:tcBorders>
              <w:bottom w:val="single" w:sz="4" w:space="0" w:color="auto"/>
            </w:tcBorders>
          </w:tcPr>
          <w:p>
            <w:pPr>
              <w:pStyle w:val="nTable"/>
              <w:keepNext/>
              <w:spacing w:after="40"/>
              <w:rPr>
                <w:b/>
                <w:snapToGrid w:val="0"/>
              </w:rPr>
            </w:pPr>
            <w:r>
              <w:rPr>
                <w:b/>
                <w:snapToGrid w:val="0"/>
              </w:rPr>
              <w:t>Short title</w:t>
            </w:r>
          </w:p>
        </w:tc>
        <w:tc>
          <w:tcPr>
            <w:tcW w:w="1134" w:type="dxa"/>
            <w:tcBorders>
              <w:bottom w:val="single" w:sz="4" w:space="0" w:color="auto"/>
            </w:tcBorders>
          </w:tcPr>
          <w:p>
            <w:pPr>
              <w:pStyle w:val="nTable"/>
              <w:keepNext/>
              <w:spacing w:after="40"/>
              <w:rPr>
                <w:b/>
                <w:snapToGrid w:val="0"/>
              </w:rPr>
            </w:pPr>
            <w:r>
              <w:rPr>
                <w:b/>
                <w:snapToGrid w:val="0"/>
              </w:rPr>
              <w:t>Number and year</w:t>
            </w:r>
          </w:p>
        </w:tc>
        <w:tc>
          <w:tcPr>
            <w:tcW w:w="1134" w:type="dxa"/>
            <w:tcBorders>
              <w:bottom w:val="single" w:sz="4" w:space="0" w:color="auto"/>
            </w:tcBorders>
          </w:tcPr>
          <w:p>
            <w:pPr>
              <w:pStyle w:val="nTable"/>
              <w:keepNext/>
              <w:spacing w:after="40"/>
              <w:rPr>
                <w:b/>
                <w:snapToGrid w:val="0"/>
              </w:rPr>
            </w:pPr>
            <w:r>
              <w:rPr>
                <w:b/>
                <w:snapToGrid w:val="0"/>
              </w:rPr>
              <w:t>Assent</w:t>
            </w:r>
          </w:p>
        </w:tc>
        <w:tc>
          <w:tcPr>
            <w:tcW w:w="2587" w:type="dxa"/>
            <w:tcBorders>
              <w:bottom w:val="single" w:sz="4" w:space="0" w:color="auto"/>
            </w:tcBorders>
          </w:tcPr>
          <w:p>
            <w:pPr>
              <w:pStyle w:val="nTable"/>
              <w:keepNext/>
              <w:spacing w:after="40"/>
              <w:rPr>
                <w:b/>
                <w:snapToGrid w:val="0"/>
              </w:rPr>
            </w:pPr>
            <w:r>
              <w:rPr>
                <w:b/>
                <w:snapToGrid w:val="0"/>
              </w:rPr>
              <w:t>Commencement</w:t>
            </w:r>
          </w:p>
        </w:tc>
      </w:tr>
      <w:tr>
        <w:tc>
          <w:tcPr>
            <w:tcW w:w="2268" w:type="dxa"/>
            <w:tcBorders>
              <w:top w:val="single" w:sz="4" w:space="0" w:color="auto"/>
              <w:bottom w:val="nil"/>
            </w:tcBorders>
          </w:tcPr>
          <w:p>
            <w:pPr>
              <w:pStyle w:val="nTable"/>
              <w:keepNext/>
              <w:spacing w:after="40"/>
              <w:rPr>
                <w:noProof/>
                <w:snapToGrid w:val="0"/>
              </w:rPr>
            </w:pPr>
            <w:r>
              <w:rPr>
                <w:i/>
              </w:rPr>
              <w:t>Public Health (Consequential Provisions) Act 2016</w:t>
            </w:r>
            <w:r>
              <w:t xml:space="preserve"> Pt. 4 Div. 2 (s. 208 and 209), Div. 3 (s. 210, 211, 214-222), Div. 4</w:t>
            </w:r>
            <w:r>
              <w:noBreakHyphen/>
              <w:t>9, Div. 10 (s. 239 and 241), Div. 11 and Div. 16 (s. 249</w:t>
            </w:r>
            <w:r>
              <w:noBreakHyphen/>
              <w:t>271, 273 and 275)</w:t>
            </w:r>
          </w:p>
        </w:tc>
        <w:tc>
          <w:tcPr>
            <w:tcW w:w="1134" w:type="dxa"/>
            <w:tcBorders>
              <w:top w:val="single" w:sz="4" w:space="0" w:color="auto"/>
              <w:bottom w:val="nil"/>
            </w:tcBorders>
          </w:tcPr>
          <w:p>
            <w:pPr>
              <w:pStyle w:val="nTable"/>
              <w:keepNext/>
              <w:spacing w:after="40"/>
            </w:pPr>
            <w:r>
              <w:t>19 of 2016</w:t>
            </w:r>
          </w:p>
        </w:tc>
        <w:tc>
          <w:tcPr>
            <w:tcW w:w="1134" w:type="dxa"/>
            <w:tcBorders>
              <w:top w:val="single" w:sz="4" w:space="0" w:color="auto"/>
              <w:bottom w:val="nil"/>
            </w:tcBorders>
          </w:tcPr>
          <w:p>
            <w:pPr>
              <w:pStyle w:val="nTable"/>
              <w:keepNext/>
              <w:spacing w:after="40"/>
            </w:pPr>
            <w:r>
              <w:t>25 Jul 2016</w:t>
            </w:r>
          </w:p>
        </w:tc>
        <w:tc>
          <w:tcPr>
            <w:tcW w:w="2587" w:type="dxa"/>
            <w:tcBorders>
              <w:top w:val="single" w:sz="4" w:space="0" w:color="auto"/>
              <w:bottom w:val="nil"/>
            </w:tcBorders>
          </w:tcPr>
          <w:p>
            <w:pPr>
              <w:pStyle w:val="nTable"/>
              <w:keepNext/>
              <w:spacing w:after="40"/>
              <w:rPr>
                <w:snapToGrid w:val="0"/>
              </w:rPr>
            </w:pPr>
            <w:r>
              <w:rPr>
                <w:snapToGrid w:val="0"/>
              </w:rPr>
              <w:t>To be proclaimed (see s. 2(1)(c))</w:t>
            </w:r>
          </w:p>
        </w:tc>
      </w:tr>
      <w:tr>
        <w:trPr>
          <w:ins w:id="887" w:author="Master Repository Process" w:date="2026-04-01T16:18:00Z"/>
        </w:trPr>
        <w:tc>
          <w:tcPr>
            <w:tcW w:w="2268" w:type="dxa"/>
            <w:tcBorders>
              <w:top w:val="nil"/>
              <w:bottom w:val="single" w:sz="4" w:space="0" w:color="auto"/>
            </w:tcBorders>
          </w:tcPr>
          <w:p>
            <w:pPr>
              <w:pStyle w:val="nTable"/>
              <w:keepNext/>
              <w:spacing w:after="40"/>
              <w:rPr>
                <w:ins w:id="888" w:author="Master Repository Process" w:date="2026-04-01T16:18:00Z"/>
                <w:i/>
              </w:rPr>
            </w:pPr>
            <w:ins w:id="889" w:author="Master Repository Process" w:date="2026-04-01T16:18:00Z">
              <w:r>
                <w:rPr>
                  <w:i/>
                </w:rPr>
                <w:t xml:space="preserve">Education and Care Services National Law Application Act 2026 </w:t>
              </w:r>
              <w:r>
                <w:rPr>
                  <w:iCs/>
                </w:rPr>
                <w:t>Pt. 6 Div. 7</w:t>
              </w:r>
            </w:ins>
          </w:p>
        </w:tc>
        <w:tc>
          <w:tcPr>
            <w:tcW w:w="1134" w:type="dxa"/>
            <w:tcBorders>
              <w:top w:val="nil"/>
              <w:bottom w:val="single" w:sz="4" w:space="0" w:color="auto"/>
            </w:tcBorders>
          </w:tcPr>
          <w:p>
            <w:pPr>
              <w:pStyle w:val="nTable"/>
              <w:keepNext/>
              <w:spacing w:after="40"/>
              <w:rPr>
                <w:ins w:id="890" w:author="Master Repository Process" w:date="2026-04-01T16:18:00Z"/>
              </w:rPr>
            </w:pPr>
            <w:ins w:id="891" w:author="Master Repository Process" w:date="2026-04-01T16:18:00Z">
              <w:r>
                <w:t>2 of 2026</w:t>
              </w:r>
            </w:ins>
          </w:p>
        </w:tc>
        <w:tc>
          <w:tcPr>
            <w:tcW w:w="1134" w:type="dxa"/>
            <w:tcBorders>
              <w:top w:val="nil"/>
              <w:bottom w:val="single" w:sz="4" w:space="0" w:color="auto"/>
            </w:tcBorders>
          </w:tcPr>
          <w:p>
            <w:pPr>
              <w:pStyle w:val="nTable"/>
              <w:keepNext/>
              <w:spacing w:after="40"/>
              <w:rPr>
                <w:ins w:id="892" w:author="Master Repository Process" w:date="2026-04-01T16:18:00Z"/>
              </w:rPr>
            </w:pPr>
            <w:ins w:id="893" w:author="Master Repository Process" w:date="2026-04-01T16:18:00Z">
              <w:r>
                <w:t>31 Mar 2026</w:t>
              </w:r>
            </w:ins>
          </w:p>
        </w:tc>
        <w:tc>
          <w:tcPr>
            <w:tcW w:w="2587" w:type="dxa"/>
            <w:tcBorders>
              <w:top w:val="nil"/>
              <w:bottom w:val="single" w:sz="4" w:space="0" w:color="auto"/>
            </w:tcBorders>
          </w:tcPr>
          <w:p>
            <w:pPr>
              <w:pStyle w:val="nTable"/>
              <w:keepNext/>
              <w:spacing w:after="40"/>
              <w:rPr>
                <w:ins w:id="894" w:author="Master Repository Process" w:date="2026-04-01T16:18:00Z"/>
                <w:snapToGrid w:val="0"/>
              </w:rPr>
            </w:pPr>
            <w:ins w:id="895" w:author="Master Repository Process" w:date="2026-04-01T16:18:00Z">
              <w:r>
                <w:t>To be proclaimed (see s. 2(1)(d))</w:t>
              </w:r>
            </w:ins>
          </w:p>
        </w:tc>
      </w:tr>
    </w:tbl>
    <w:p>
      <w:pPr>
        <w:pStyle w:val="nHeading3"/>
      </w:pPr>
      <w:bookmarkStart w:id="896" w:name="_Toc225766036"/>
      <w:bookmarkStart w:id="897" w:name="_Toc209710961"/>
      <w:r>
        <w:t>Other notes</w:t>
      </w:r>
      <w:bookmarkEnd w:id="896"/>
      <w:bookmarkEnd w:id="897"/>
    </w:p>
    <w:p>
      <w:pPr>
        <w:pStyle w:val="nNote"/>
        <w:spacing w:before="160"/>
        <w:rPr>
          <w:snapToGrid w:val="0"/>
        </w:rPr>
      </w:pPr>
      <w:r>
        <w:rPr>
          <w:snapToGrid w:val="0"/>
          <w:vertAlign w:val="superscript"/>
        </w:rPr>
        <w:t>1</w:t>
      </w:r>
      <w:r>
        <w:rPr>
          <w:snapToGrid w:val="0"/>
        </w:rPr>
        <w:tab/>
        <w:t>Footnote no longer applicable.</w:t>
      </w:r>
    </w:p>
    <w:p>
      <w:pPr>
        <w:pStyle w:val="nNote"/>
        <w:spacing w:before="160"/>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Note"/>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Note"/>
        <w:rPr>
          <w:snapToGrid w:val="0"/>
        </w:rPr>
      </w:pPr>
      <w:r>
        <w:rPr>
          <w:snapToGrid w:val="0"/>
          <w:vertAlign w:val="superscript"/>
        </w:rPr>
        <w:t>4</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Note"/>
        <w:ind w:left="482" w:hanging="482"/>
        <w:rPr>
          <w:snapToGrid w:val="0"/>
        </w:rPr>
      </w:pPr>
      <w:r>
        <w:rPr>
          <w:snapToGrid w:val="0"/>
          <w:vertAlign w:val="superscript"/>
        </w:rPr>
        <w:t>5</w:t>
      </w:r>
      <w:r>
        <w:rPr>
          <w:snapToGrid w:val="0"/>
        </w:rPr>
        <w:tab/>
        <w:t xml:space="preserve">Proclamations relating to offensive trades were published by </w:t>
      </w:r>
      <w:r>
        <w:rPr>
          <w:i/>
          <w:snapToGrid w:val="0"/>
        </w:rPr>
        <w:t>Gazette</w:t>
      </w:r>
      <w:r>
        <w:rPr>
          <w:iCs/>
          <w:snapToGrid w:val="0"/>
        </w:rPr>
        <w:t xml:space="preserve"> on</w:t>
      </w:r>
      <w:r>
        <w:rPr>
          <w:i/>
          <w:snapToGrid w:val="0"/>
        </w:rPr>
        <w:t> </w:t>
      </w:r>
      <w:r>
        <w:rPr>
          <w:snapToGrid w:val="0"/>
        </w:rPr>
        <w:t>—</w:t>
      </w:r>
    </w:p>
    <w:p>
      <w:pPr>
        <w:pStyle w:val="nNote"/>
        <w:keepNext/>
        <w:tabs>
          <w:tab w:val="left" w:pos="1134"/>
        </w:tabs>
        <w:spacing w:before="40"/>
        <w:ind w:left="1134" w:hanging="1134"/>
        <w:rPr>
          <w:snapToGrid w:val="0"/>
        </w:rPr>
      </w:pPr>
      <w:r>
        <w:rPr>
          <w:snapToGrid w:val="0"/>
        </w:rPr>
        <w:tab/>
        <w:t>20 September 1918</w:t>
      </w:r>
    </w:p>
    <w:p>
      <w:pPr>
        <w:pStyle w:val="nNote"/>
        <w:tabs>
          <w:tab w:val="left" w:pos="1134"/>
        </w:tabs>
        <w:spacing w:before="0"/>
        <w:ind w:left="1134" w:hanging="1134"/>
        <w:rPr>
          <w:snapToGrid w:val="0"/>
        </w:rPr>
      </w:pPr>
      <w:r>
        <w:rPr>
          <w:snapToGrid w:val="0"/>
        </w:rPr>
        <w:tab/>
        <w:t>10 March 1967</w:t>
      </w:r>
    </w:p>
    <w:p>
      <w:pPr>
        <w:pStyle w:val="nNote"/>
        <w:tabs>
          <w:tab w:val="left" w:pos="1134"/>
        </w:tabs>
        <w:spacing w:before="0"/>
        <w:ind w:left="1134" w:hanging="1134"/>
        <w:rPr>
          <w:snapToGrid w:val="0"/>
        </w:rPr>
      </w:pPr>
      <w:r>
        <w:rPr>
          <w:snapToGrid w:val="0"/>
        </w:rPr>
        <w:tab/>
        <w:t>16 February 1968</w:t>
      </w:r>
    </w:p>
    <w:p>
      <w:pPr>
        <w:pStyle w:val="nNote"/>
        <w:tabs>
          <w:tab w:val="left" w:pos="1134"/>
        </w:tabs>
        <w:spacing w:before="0"/>
        <w:ind w:left="1134" w:hanging="1134"/>
        <w:rPr>
          <w:snapToGrid w:val="0"/>
        </w:rPr>
      </w:pPr>
      <w:r>
        <w:rPr>
          <w:snapToGrid w:val="0"/>
        </w:rPr>
        <w:tab/>
        <w:t>5 December 1969</w:t>
      </w:r>
    </w:p>
    <w:p>
      <w:pPr>
        <w:pStyle w:val="nNote"/>
        <w:tabs>
          <w:tab w:val="left" w:pos="1134"/>
        </w:tabs>
        <w:spacing w:before="0"/>
        <w:ind w:left="1134" w:hanging="1134"/>
        <w:rPr>
          <w:snapToGrid w:val="0"/>
        </w:rPr>
      </w:pPr>
      <w:r>
        <w:rPr>
          <w:snapToGrid w:val="0"/>
        </w:rPr>
        <w:tab/>
        <w:t>16 April 1987</w:t>
      </w:r>
    </w:p>
    <w:p>
      <w:pPr>
        <w:pStyle w:val="nNote"/>
        <w:tabs>
          <w:tab w:val="left" w:pos="1134"/>
        </w:tabs>
        <w:spacing w:before="0"/>
        <w:ind w:left="1134" w:hanging="1134"/>
        <w:rPr>
          <w:snapToGrid w:val="0"/>
        </w:rPr>
      </w:pPr>
      <w:r>
        <w:rPr>
          <w:snapToGrid w:val="0"/>
        </w:rPr>
        <w:tab/>
        <w:t>13 November 1987</w:t>
      </w:r>
    </w:p>
    <w:p>
      <w:pPr>
        <w:pStyle w:val="nNote"/>
        <w:tabs>
          <w:tab w:val="left" w:pos="1134"/>
        </w:tabs>
        <w:spacing w:before="0"/>
        <w:ind w:left="1134" w:hanging="1134"/>
        <w:rPr>
          <w:snapToGrid w:val="0"/>
        </w:rPr>
      </w:pPr>
      <w:r>
        <w:rPr>
          <w:snapToGrid w:val="0"/>
        </w:rPr>
        <w:tab/>
        <w:t>26 November 1993</w:t>
      </w:r>
    </w:p>
    <w:p>
      <w:pPr>
        <w:pStyle w:val="nNote"/>
        <w:tabs>
          <w:tab w:val="left" w:pos="1134"/>
        </w:tabs>
        <w:spacing w:before="0"/>
        <w:ind w:left="1134" w:hanging="1134"/>
        <w:rPr>
          <w:snapToGrid w:val="0"/>
        </w:rPr>
      </w:pPr>
      <w:r>
        <w:rPr>
          <w:snapToGrid w:val="0"/>
        </w:rPr>
        <w:tab/>
        <w:t>16 June 1995</w:t>
      </w:r>
    </w:p>
    <w:p>
      <w:pPr>
        <w:pStyle w:val="nNote"/>
        <w:rPr>
          <w:snapToGrid w:val="0"/>
        </w:rPr>
      </w:pPr>
      <w:r>
        <w:rPr>
          <w:snapToGrid w:val="0"/>
          <w:vertAlign w:val="superscript"/>
        </w:rPr>
        <w:t>6</w:t>
      </w:r>
      <w:r>
        <w:rPr>
          <w:snapToGrid w:val="0"/>
          <w:vertAlign w:val="superscript"/>
        </w:rPr>
        <w:tab/>
      </w:r>
      <w:r>
        <w:rPr>
          <w:snapToGrid w:val="0"/>
        </w:rPr>
        <w:t xml:space="preserve">Renumbering of sections of the Act and certain Part and Division headings was effected in earlier reprints under the </w:t>
      </w:r>
      <w:r>
        <w:rPr>
          <w:i/>
          <w:snapToGrid w:val="0"/>
        </w:rPr>
        <w:t>Health Act Amendment Act 1919</w:t>
      </w:r>
      <w:r>
        <w:rPr>
          <w:snapToGrid w:val="0"/>
        </w:rPr>
        <w:t xml:space="preserve"> s. 4 and the </w:t>
      </w:r>
      <w:r>
        <w:rPr>
          <w:i/>
          <w:snapToGrid w:val="0"/>
        </w:rPr>
        <w:t>Health Act Amendment Act 1933 (No. 2)</w:t>
      </w:r>
      <w:r>
        <w:rPr>
          <w:snapToGrid w:val="0"/>
        </w:rPr>
        <w:t xml:space="preserve"> s. 42.</w:t>
      </w:r>
    </w:p>
    <w:p>
      <w:pPr>
        <w:pStyle w:val="nNote"/>
      </w:pPr>
      <w:r>
        <w:rPr>
          <w:snapToGrid w:val="0"/>
          <w:vertAlign w:val="superscript"/>
        </w:rPr>
        <w:t>7</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came into operation.</w:t>
      </w:r>
    </w:p>
    <w:p>
      <w:pPr>
        <w:pStyle w:val="nNote"/>
        <w:rPr>
          <w:snapToGrid w:val="0"/>
        </w:rPr>
      </w:pPr>
      <w:r>
        <w:rPr>
          <w:vertAlign w:val="superscript"/>
        </w:rPr>
        <w:t>8</w:t>
      </w:r>
      <w:r>
        <w:tab/>
        <w:t xml:space="preserve">Now known as the </w:t>
      </w:r>
      <w:r>
        <w:rPr>
          <w:i/>
        </w:rPr>
        <w:t>Health (Miscellaneous Provisions) Act 1911</w:t>
      </w:r>
      <w:r>
        <w:t>; short title changed (see note under s. 1).</w:t>
      </w:r>
    </w:p>
    <w:p>
      <w:pPr>
        <w:pStyle w:val="nNote"/>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Note"/>
      </w:pPr>
      <w:r>
        <w:rPr>
          <w:vertAlign w:val="superscript"/>
        </w:rPr>
        <w:t>10</w:t>
      </w:r>
      <w:r>
        <w:tab/>
        <w:t xml:space="preserve">The Third and Fourth Schedules were inserted by the </w:t>
      </w:r>
      <w:r>
        <w:rPr>
          <w:i/>
        </w:rPr>
        <w:t>Metric Conversion Act Amendment Act (No. 2) 1973</w:t>
      </w:r>
      <w:r>
        <w:t>.</w:t>
      </w:r>
    </w:p>
    <w:p>
      <w:pPr>
        <w:pStyle w:val="nNote"/>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Note"/>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Note"/>
      </w:pPr>
      <w:r>
        <w:rPr>
          <w:vertAlign w:val="superscript"/>
        </w:rPr>
        <w:t>13</w:t>
      </w:r>
      <w:r>
        <w:tab/>
        <w:t xml:space="preserve">The </w:t>
      </w:r>
      <w:r>
        <w:rPr>
          <w:i/>
        </w:rPr>
        <w:t>Health Amendment Act 1985</w:t>
      </w:r>
      <w:r>
        <w:t xml:space="preserve"> s. 13 is a transitional provision that is of no further effect.</w:t>
      </w:r>
    </w:p>
    <w:p>
      <w:pPr>
        <w:pStyle w:val="nNote"/>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Note"/>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Note"/>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Note"/>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Note"/>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Note"/>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Note"/>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Note"/>
        <w:keepLines/>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came into operation.</w:t>
      </w:r>
    </w:p>
    <w:p>
      <w:pPr>
        <w:pStyle w:val="nNote"/>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Note"/>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Note"/>
        <w:rPr>
          <w:snapToGrid w:val="0"/>
        </w:rPr>
      </w:pPr>
      <w:r>
        <w:rPr>
          <w:snapToGrid w:val="0"/>
          <w:vertAlign w:val="superscript"/>
        </w:rPr>
        <w:t>24</w:t>
      </w:r>
      <w:r>
        <w:rPr>
          <w:snapToGrid w:val="0"/>
        </w:rPr>
        <w:tab/>
        <w:t xml:space="preserve">The </w:t>
      </w:r>
      <w:r>
        <w:rPr>
          <w:i/>
          <w:snapToGrid w:val="0"/>
        </w:rPr>
        <w:t>Courts Legislation Amendment and Repeal Act 2004</w:t>
      </w:r>
      <w:r>
        <w:rPr>
          <w:snapToGrid w:val="0"/>
        </w:rPr>
        <w:t xml:space="preserve"> Sch. 2 cl. 23 was deleted by the </w:t>
      </w:r>
      <w:r>
        <w:rPr>
          <w:i/>
          <w:iCs/>
          <w:snapToGrid w:val="0"/>
        </w:rPr>
        <w:t>Criminal Law and Evidence Amendment Act 2008</w:t>
      </w:r>
      <w:r>
        <w:rPr>
          <w:snapToGrid w:val="0"/>
        </w:rPr>
        <w:t xml:space="preserve"> s. 77(13) before it came into operation.</w:t>
      </w:r>
    </w:p>
    <w:p>
      <w:pPr>
        <w:pStyle w:val="nNote"/>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Note"/>
        <w:keepNext/>
      </w:pPr>
      <w:r>
        <w:rPr>
          <w:vertAlign w:val="superscript"/>
        </w:rPr>
        <w:t>26</w:t>
      </w:r>
      <w:r>
        <w:rPr>
          <w:vertAlign w:val="superscript"/>
        </w:rPr>
        <w:tab/>
      </w:r>
      <w:r>
        <w:t xml:space="preserve">The </w:t>
      </w:r>
      <w:r>
        <w:rPr>
          <w:i/>
        </w:rPr>
        <w:t>Machinery of Government (Miscellaneous Amendments) Act 2006</w:t>
      </w:r>
      <w: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rPr>
          <w:sz w:val="20"/>
        </w:rPr>
      </w:pPr>
    </w:p>
    <w:p>
      <w:pPr>
        <w:pStyle w:val="nNote"/>
        <w:keepNext/>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sz w:val="20"/>
        </w:rPr>
      </w:pPr>
    </w:p>
    <w:p>
      <w:pPr>
        <w:pStyle w:val="nzHeading2"/>
        <w:keepLines/>
      </w:pPr>
      <w:r>
        <w:t>Part 14</w:t>
      </w:r>
      <w:r>
        <w:rPr>
          <w:rStyle w:val="CharDivNo"/>
        </w:rPr>
        <w:t> </w:t>
      </w:r>
      <w:r>
        <w:t>—</w:t>
      </w:r>
      <w:r>
        <w:rPr>
          <w:rStyle w:val="CharDivText"/>
        </w:rPr>
        <w:t> </w:t>
      </w:r>
      <w:r>
        <w:t>Transitional provisions</w:t>
      </w:r>
    </w:p>
    <w:p>
      <w:pPr>
        <w:pStyle w:val="nzHeading5"/>
      </w:pPr>
      <w:r>
        <w:rPr>
          <w:rStyle w:val="CharSectno"/>
        </w:rPr>
        <w:t>150</w:t>
      </w:r>
      <w:r>
        <w:t>.</w:t>
      </w:r>
      <w:r>
        <w:tab/>
        <w:t>Definition</w:t>
      </w:r>
    </w:p>
    <w:p>
      <w:pPr>
        <w:pStyle w:val="nzSubsection"/>
        <w:keepNext/>
        <w:keepLines/>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sectPr>
          <w:headerReference w:type="even" r:id="rId27"/>
          <w:headerReference w:type="default" r:id="rId28"/>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899" w:author="Master Repository Process" w:date="2026-04-01T16:18:00Z">
                              <w:r>
                                <w:rPr>
                                  <w:sz w:val="16"/>
                                </w:rPr>
                                <w:delText>2025</w:delText>
                              </w:r>
                            </w:del>
                            <w:ins w:id="900" w:author="Master Repository Process" w:date="2026-04-01T16:18:00Z">
                              <w:r>
                                <w:rPr>
                                  <w:sz w:val="16"/>
                                </w:rPr>
                                <w:t>2026</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901" w:author="Master Repository Process" w:date="2026-04-01T16:18:00Z">
                              <w:r>
                                <w:rPr>
                                  <w:sz w:val="16"/>
                                </w:rPr>
                                <w:delText>2025</w:delText>
                              </w:r>
                            </w:del>
                            <w:ins w:id="902" w:author="Master Repository Process" w:date="2026-04-01T16:18:00Z">
                              <w:r>
                                <w:rPr>
                                  <w:sz w:val="16"/>
                                </w:rPr>
                                <w:t>2026</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 xml:space="preserve">By Authority: </w:t>
                            </w:r>
                            <w:del w:id="903" w:author="Master Repository Process" w:date="2026-04-01T16:18:00Z">
                              <w:r>
                                <w:rPr>
                                  <w:rFonts w:ascii="Arial" w:hAnsi="Arial" w:cs="Arial"/>
                                  <w:sz w:val="12"/>
                                </w:rPr>
                                <w:delText>GEOFF O. LAWN</w:delText>
                              </w:r>
                            </w:del>
                            <w:ins w:id="904" w:author="Master Repository Process" w:date="2026-04-01T16:18:00Z">
                              <w:r>
                                <w:rPr>
                                  <w:rFonts w:ascii="Arial" w:hAnsi="Arial" w:cs="Arial"/>
                                  <w:sz w:val="12"/>
                                </w:rPr>
                                <w:t>ANDREW JONES</w:t>
                              </w:r>
                            </w:ins>
                            <w:r>
                              <w:rPr>
                                <w:rFonts w:ascii="Arial" w:hAnsi="Arial" w:cs="Arial"/>
                                <w:sz w:val="12"/>
                              </w:rPr>
                              <w:t>,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905" w:author="Master Repository Process" w:date="2026-04-01T16:18:00Z">
                        <w:r>
                          <w:rPr>
                            <w:sz w:val="16"/>
                          </w:rPr>
                          <w:delText>2025</w:delText>
                        </w:r>
                      </w:del>
                      <w:ins w:id="906" w:author="Master Repository Process" w:date="2026-04-01T16:18:00Z">
                        <w:r>
                          <w:rPr>
                            <w:sz w:val="16"/>
                          </w:rPr>
                          <w:t>2026</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907" w:author="Master Repository Process" w:date="2026-04-01T16:18:00Z">
                        <w:r>
                          <w:rPr>
                            <w:sz w:val="16"/>
                          </w:rPr>
                          <w:delText>2025</w:delText>
                        </w:r>
                      </w:del>
                      <w:ins w:id="908" w:author="Master Repository Process" w:date="2026-04-01T16:18:00Z">
                        <w:r>
                          <w:rPr>
                            <w:sz w:val="16"/>
                          </w:rPr>
                          <w:t>2026</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 xml:space="preserve">By Authority: </w:t>
                      </w:r>
                      <w:del w:id="909" w:author="Master Repository Process" w:date="2026-04-01T16:18:00Z">
                        <w:r>
                          <w:rPr>
                            <w:rFonts w:ascii="Arial" w:hAnsi="Arial" w:cs="Arial"/>
                            <w:sz w:val="12"/>
                          </w:rPr>
                          <w:delText>GEOFF O. LAWN</w:delText>
                        </w:r>
                      </w:del>
                      <w:ins w:id="910" w:author="Master Repository Process" w:date="2026-04-01T16:18:00Z">
                        <w:r>
                          <w:rPr>
                            <w:rFonts w:ascii="Arial" w:hAnsi="Arial" w:cs="Arial"/>
                            <w:sz w:val="12"/>
                          </w:rPr>
                          <w:t>ANDREW JONES</w:t>
                        </w:r>
                      </w:ins>
                      <w:r>
                        <w:rPr>
                          <w:rFonts w:ascii="Arial" w:hAnsi="Arial" w:cs="Arial"/>
                          <w:sz w:val="12"/>
                        </w:rPr>
                        <w:t>,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26 Sep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17-m0-00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17-n0-00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Sep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17-m0-00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17-n0-00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Sep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17-m0-00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17-n0-00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9" w:type="dxa"/>
      <w:jc w:val="center"/>
      <w:tblLayout w:type="fixed"/>
      <w:tblCellMar>
        <w:left w:w="72" w:type="dxa"/>
        <w:right w:w="72" w:type="dxa"/>
      </w:tblCellMar>
      <w:tblLook w:val="0000" w:firstRow="0" w:lastRow="0" w:firstColumn="0" w:lastColumn="0" w:noHBand="0" w:noVBand="0"/>
    </w:tblPr>
    <w:tblGrid>
      <w:gridCol w:w="1548"/>
      <w:gridCol w:w="5621"/>
    </w:tblGrid>
    <w:tr>
      <w:trPr>
        <w:cantSplit/>
        <w:jc w:val="center"/>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621" w:type="dxa"/>
        </w:tcPr>
        <w:p>
          <w:pPr>
            <w:pStyle w:val="Header"/>
            <w:spacing w:before="40"/>
          </w:pPr>
          <w:r>
            <w:fldChar w:fldCharType="begin"/>
          </w:r>
          <w:r>
            <w:instrText xml:space="preserve"> styleref CharSchText </w:instrText>
          </w:r>
          <w:r>
            <w:fldChar w:fldCharType="separate"/>
          </w:r>
          <w:r>
            <w:t>Penalties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c>
        <w:tcPr>
          <w:tcW w:w="562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0" w:type="dxa"/>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898" w:name="Compilation"/>
    <w:bookmarkEnd w:id="898"/>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911" w:name="Coversheet"/>
    <w:bookmarkEnd w:id="91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939"/>
    </w:tblGrid>
    <w:tr>
      <w:trPr>
        <w:cantSplit/>
        <w:jc w:val="center"/>
      </w:trPr>
      <w:tc>
        <w:tcPr>
          <w:tcW w:w="7487"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I</w:t>
          </w:r>
          <w:r>
            <w:rPr>
              <w:b/>
            </w:rPr>
            <w:fldChar w:fldCharType="end"/>
          </w:r>
        </w:p>
      </w:tc>
      <w:tc>
        <w:tcPr>
          <w:tcW w:w="5939"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939" w:type="dxa"/>
        </w:tcPr>
        <w:p>
          <w:pPr>
            <w:pStyle w:val="Header"/>
            <w:spacing w:before="40"/>
          </w:pPr>
          <w:r>
            <w:fldChar w:fldCharType="begin"/>
          </w:r>
          <w:r>
            <w:instrText xml:space="preserve"> styleref CharDivText </w:instrText>
          </w:r>
          <w:r>
            <w:fldChar w:fldCharType="end"/>
          </w:r>
        </w:p>
      </w:tc>
    </w:tr>
    <w:tr>
      <w:trPr>
        <w:cantSplit/>
        <w:jc w:val="center"/>
      </w:trPr>
      <w:tc>
        <w:tcPr>
          <w:tcW w:w="7487"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399" w:type="dxa"/>
      <w:jc w:val="center"/>
      <w:tblLayout w:type="fixed"/>
      <w:tblCellMar>
        <w:left w:w="28" w:type="dxa"/>
        <w:right w:w="28" w:type="dxa"/>
      </w:tblCellMar>
      <w:tblLook w:val="0000" w:firstRow="0" w:lastRow="0" w:firstColumn="0" w:lastColumn="0" w:noHBand="0" w:noVBand="0"/>
    </w:tblPr>
    <w:tblGrid>
      <w:gridCol w:w="5840"/>
      <w:gridCol w:w="1559"/>
    </w:tblGrid>
    <w:tr>
      <w:trPr>
        <w:cantSplit/>
        <w:jc w:val="center"/>
      </w:trPr>
      <w:tc>
        <w:tcPr>
          <w:tcW w:w="7399" w:type="dxa"/>
          <w:gridSpan w:val="2"/>
          <w:tcMar>
            <w:right w:w="28" w:type="dxa"/>
          </w:tcMar>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840" w:type="dxa"/>
          <w:vAlign w:val="bottom"/>
        </w:tcPr>
        <w:p>
          <w:pPr>
            <w:pStyle w:val="Header"/>
            <w:spacing w:before="40"/>
            <w:jc w:val="right"/>
          </w:pPr>
          <w:r>
            <w:fldChar w:fldCharType="begin"/>
          </w:r>
          <w:r>
            <w:instrText xml:space="preserve"> styleref CharPartText </w:instrText>
          </w:r>
          <w:r>
            <w:fldChar w:fldCharType="end"/>
          </w:r>
        </w:p>
      </w:tc>
      <w:tc>
        <w:tcPr>
          <w:tcW w:w="1559"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840" w:type="dxa"/>
        </w:tcPr>
        <w:p>
          <w:pPr>
            <w:pStyle w:val="Header"/>
            <w:tabs>
              <w:tab w:val="left" w:pos="4497"/>
              <w:tab w:val="right" w:pos="5784"/>
            </w:tabs>
            <w:spacing w:before="40"/>
            <w:jc w:val="right"/>
          </w:pPr>
          <w:r>
            <w:fldChar w:fldCharType="begin"/>
          </w:r>
          <w:r>
            <w:instrText xml:space="preserve"> styleref CharDivText </w:instrText>
          </w:r>
          <w:r>
            <w:fldChar w:fldCharType="end"/>
          </w:r>
        </w:p>
      </w:tc>
      <w:tc>
        <w:tcPr>
          <w:tcW w:w="1559"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99"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ind w:right="-284"/>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9" w:type="dxa"/>
      <w:jc w:val="center"/>
      <w:tblLayout w:type="fixed"/>
      <w:tblCellMar>
        <w:left w:w="72" w:type="dxa"/>
        <w:right w:w="72" w:type="dxa"/>
      </w:tblCellMar>
      <w:tblLook w:val="0000" w:firstRow="0" w:lastRow="0" w:firstColumn="0" w:lastColumn="0" w:noHBand="0" w:noVBand="0"/>
    </w:tblPr>
    <w:tblGrid>
      <w:gridCol w:w="1548"/>
      <w:gridCol w:w="5621"/>
    </w:tblGrid>
    <w:tr>
      <w:trPr>
        <w:cantSplit/>
        <w:jc w:val="center"/>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621"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62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0" w:type="dxa"/>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858" w:name="Schedule"/>
    <w:bookmarkEnd w:id="85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71097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C92C4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162C1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22CE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34899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2EF8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740A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65A5F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C52C81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4EE32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86DAD02C"/>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11"/>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17"/>
  </w:num>
  <w:num w:numId="14">
    <w:abstractNumId w:val="12"/>
  </w:num>
  <w:num w:numId="15">
    <w:abstractNumId w:val="22"/>
  </w:num>
  <w:num w:numId="1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330105416"/>
    <w:docVar w:name="WAFER_20140113134211" w:val="RemoveTocBookmarks,RemoveUnusedBookmarks,RemoveLanguageTags,UsedStyles,ResetPageSize,UpdateArrangement"/>
    <w:docVar w:name="WAFER_20140113134211_GUID" w:val="4ab095f4-171c-42dc-98c9-627ac28eb587"/>
    <w:docVar w:name="WAFER_20140113135037" w:val="RemoveTocBookmarks,RunningHeaders"/>
    <w:docVar w:name="WAFER_20140113135037_GUID" w:val="d333f023-324f-466e-9b13-c66db14960e1"/>
    <w:docVar w:name="WAFER_20140704133731" w:val="RemoveTocBookmarks,RunningHeaders"/>
    <w:docVar w:name="WAFER_20140704133731_GUID" w:val="51fcb6fe-0637-472e-ae63-f42353f864ff"/>
    <w:docVar w:name="WAFER_20140704133747" w:val="RemoveTocBookmarks,RunningHeaders"/>
    <w:docVar w:name="WAFER_20140704133747_GUID" w:val="584b3b63-9832-4332-af4b-ceeb4a3652ad"/>
    <w:docVar w:name="WAFER_20150515104126" w:val="ResetPageSize,UpdateArrangement,UpdateNTable"/>
    <w:docVar w:name="WAFER_20150515104126_GUID" w:val="d6e66366-a365-42e1-878b-85a73f1fe2e2"/>
    <w:docVar w:name="WAFER_20151104160243" w:val="UpdateStyles"/>
    <w:docVar w:name="WAFER_20151104160243_GUID" w:val="a31bd9db-d321-4867-825c-a9e663f1f7bb"/>
    <w:docVar w:name="WAFER_20151104161023" w:val="UsedStyles"/>
    <w:docVar w:name="WAFER_20151104161023_GUID" w:val="bda79082-7365-4af7-869d-6539e4b0de72"/>
    <w:docVar w:name="WAFER_20170111122008" w:val="RemoveTocBookmarks,RemoveUnusedBookmarks,RemoveLanguageTags,UsedStyles,ResetPageSize"/>
    <w:docVar w:name="WAFER_20170111122008_GUID" w:val="d3807c02-5f13-487e-9920-f783ca7273fd"/>
    <w:docVar w:name="WAFER_20170214142959" w:val="RemoveTocBookmarks,RemoveUnusedBookmarks,RemoveLanguageTags,UsedStyles,ResetPageSize"/>
    <w:docVar w:name="WAFER_20170214142959_GUID" w:val="4a1e40da-a18d-4095-9aab-c3757ce3af9b"/>
    <w:docVar w:name="WAFER_20171006152228" w:val="RemoveTocBookmarks,RemoveUnusedBookmarks,RemoveLanguageTags,UsedStyles,ResetPageSize,RemoveCustomizations"/>
    <w:docVar w:name="WAFER_20171006152228_GUID" w:val="8a1d8de3-4af5-400b-b5fc-9de0e53c1e2d"/>
    <w:docVar w:name="WAFER_20171109141950" w:val="RemoveTocBookmarks,RemoveUnusedBookmarks,RemoveLanguageTags,UsedStyles,RemoveTrackChanges"/>
    <w:docVar w:name="WAFER_20171109141950_GUID" w:val="97b71d00-e698-4cf9-b71b-93fdd6e754c9"/>
    <w:docVar w:name="WAFER_20171109142006" w:val="RemoveTocBookmarks,RemoveLanguageTags,RemoveTrackChanges,RunningHeaders"/>
    <w:docVar w:name="WAFER_20171109142006_GUID" w:val="83397ab0-ccdb-491a-a609-998708a8a468"/>
    <w:docVar w:name="WAFER_2020021314031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40311_GUID" w:val="73366879-f1fd-4cfc-ba82-a8f958775e88"/>
    <w:docVar w:name="WAFER_202011091529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9152945_GUID" w:val="a9f97e6f-3a0a-4d8b-b74b-dbb6a9d43806"/>
    <w:docVar w:name="WAFER_202203041310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4131045_GUID" w:val="b3a5ef97-5797-4bd9-a80f-9b6dfb2dacdd"/>
    <w:docVar w:name="WAFER_2022031812435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24353_GUID" w:val="f722fb7b-7d58-4629-8247-2ca36e95cbe8"/>
    <w:docVar w:name="WAFER_202203181349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34922_GUID" w:val="6f4e3663-2d51-4315-9596-503f216bcba1"/>
    <w:docVar w:name="WAFER_202305231548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23154851_GUID" w:val="b4fb266d-e238-4b78-8445-826121c670a6"/>
    <w:docVar w:name="WAFER_202309221216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922121639_GUID" w:val="1cc8784b-a6e1-429e-914c-07685cfa7e55"/>
    <w:docVar w:name="WAFER_202312221109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2110926_GUID" w:val="cea505bb-ef07-482d-959a-3388b806f7b6"/>
    <w:docVar w:name="WAFER_202402161242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16124204_GUID" w:val="e29f0a1b-7875-4ae6-801a-23e5ffaf08d7"/>
    <w:docVar w:name="WAFER_202403201655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320165515_GUID" w:val="b758b607-fafc-4870-861f-560b3d1eb42e"/>
    <w:docVar w:name="WAFER_202404291600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29160059_GUID" w:val="61e51f03-e85a-4aad-b49b-ad96f88bcb4b"/>
    <w:docVar w:name="WAFER_202405241225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24122552_GUID" w:val="7b27f1dd-a338-45b7-8907-6fd424e67b68"/>
    <w:docVar w:name="WAFER_202412021706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1202170607_GUID" w:val="f1f67d77-2e53-416a-86d3-4eb9ff0fa9be"/>
    <w:docVar w:name="WAFER_202509251350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925135017_GUID" w:val="06f084f6-1b5b-48fe-9867-ff815fbdbc14"/>
    <w:docVar w:name="WAFER_2026033010541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330105416_GUID" w:val="43778b96-8515-4598-894f-d71f8c9d0ba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02FB835-77F2-4258-8FDD-9149D5EE8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qFormat/>
    <w:pPr>
      <w:tabs>
        <w:tab w:val="left" w:pos="567"/>
      </w:tabs>
      <w:spacing w:before="120"/>
    </w:pPr>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start">
    <w:name w:val="nzDefstart"/>
    <w:pPr>
      <w:spacing w:before="40"/>
      <w:ind w:left="1446" w:right="284" w:hanging="879"/>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SignatureText">
    <w:name w:val="SignatureText"/>
    <w:basedOn w:val="Normal"/>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1322">
      <w:bodyDiv w:val="1"/>
      <w:marLeft w:val="0"/>
      <w:marRight w:val="0"/>
      <w:marTop w:val="0"/>
      <w:marBottom w:val="0"/>
      <w:divBdr>
        <w:top w:val="none" w:sz="0" w:space="0" w:color="auto"/>
        <w:left w:val="none" w:sz="0" w:space="0" w:color="auto"/>
        <w:bottom w:val="none" w:sz="0" w:space="0" w:color="auto"/>
        <w:right w:val="none" w:sz="0" w:space="0" w:color="auto"/>
      </w:divBdr>
    </w:div>
    <w:div w:id="17464249">
      <w:bodyDiv w:val="1"/>
      <w:marLeft w:val="0"/>
      <w:marRight w:val="0"/>
      <w:marTop w:val="0"/>
      <w:marBottom w:val="0"/>
      <w:divBdr>
        <w:top w:val="none" w:sz="0" w:space="0" w:color="auto"/>
        <w:left w:val="none" w:sz="0" w:space="0" w:color="auto"/>
        <w:bottom w:val="none" w:sz="0" w:space="0" w:color="auto"/>
        <w:right w:val="none" w:sz="0" w:space="0" w:color="auto"/>
      </w:divBdr>
    </w:div>
    <w:div w:id="56054569">
      <w:bodyDiv w:val="1"/>
      <w:marLeft w:val="0"/>
      <w:marRight w:val="0"/>
      <w:marTop w:val="0"/>
      <w:marBottom w:val="0"/>
      <w:divBdr>
        <w:top w:val="none" w:sz="0" w:space="0" w:color="auto"/>
        <w:left w:val="none" w:sz="0" w:space="0" w:color="auto"/>
        <w:bottom w:val="none" w:sz="0" w:space="0" w:color="auto"/>
        <w:right w:val="none" w:sz="0" w:space="0" w:color="auto"/>
      </w:divBdr>
    </w:div>
    <w:div w:id="69425581">
      <w:bodyDiv w:val="1"/>
      <w:marLeft w:val="0"/>
      <w:marRight w:val="0"/>
      <w:marTop w:val="0"/>
      <w:marBottom w:val="0"/>
      <w:divBdr>
        <w:top w:val="none" w:sz="0" w:space="0" w:color="auto"/>
        <w:left w:val="none" w:sz="0" w:space="0" w:color="auto"/>
        <w:bottom w:val="none" w:sz="0" w:space="0" w:color="auto"/>
        <w:right w:val="none" w:sz="0" w:space="0" w:color="auto"/>
      </w:divBdr>
    </w:div>
    <w:div w:id="86195777">
      <w:bodyDiv w:val="1"/>
      <w:marLeft w:val="0"/>
      <w:marRight w:val="0"/>
      <w:marTop w:val="0"/>
      <w:marBottom w:val="0"/>
      <w:divBdr>
        <w:top w:val="none" w:sz="0" w:space="0" w:color="auto"/>
        <w:left w:val="none" w:sz="0" w:space="0" w:color="auto"/>
        <w:bottom w:val="none" w:sz="0" w:space="0" w:color="auto"/>
        <w:right w:val="none" w:sz="0" w:space="0" w:color="auto"/>
      </w:divBdr>
    </w:div>
    <w:div w:id="89595036">
      <w:bodyDiv w:val="1"/>
      <w:marLeft w:val="0"/>
      <w:marRight w:val="0"/>
      <w:marTop w:val="0"/>
      <w:marBottom w:val="0"/>
      <w:divBdr>
        <w:top w:val="none" w:sz="0" w:space="0" w:color="auto"/>
        <w:left w:val="none" w:sz="0" w:space="0" w:color="auto"/>
        <w:bottom w:val="none" w:sz="0" w:space="0" w:color="auto"/>
        <w:right w:val="none" w:sz="0" w:space="0" w:color="auto"/>
      </w:divBdr>
    </w:div>
    <w:div w:id="95099019">
      <w:bodyDiv w:val="1"/>
      <w:marLeft w:val="0"/>
      <w:marRight w:val="0"/>
      <w:marTop w:val="0"/>
      <w:marBottom w:val="0"/>
      <w:divBdr>
        <w:top w:val="none" w:sz="0" w:space="0" w:color="auto"/>
        <w:left w:val="none" w:sz="0" w:space="0" w:color="auto"/>
        <w:bottom w:val="none" w:sz="0" w:space="0" w:color="auto"/>
        <w:right w:val="none" w:sz="0" w:space="0" w:color="auto"/>
      </w:divBdr>
    </w:div>
    <w:div w:id="104008578">
      <w:bodyDiv w:val="1"/>
      <w:marLeft w:val="0"/>
      <w:marRight w:val="0"/>
      <w:marTop w:val="0"/>
      <w:marBottom w:val="0"/>
      <w:divBdr>
        <w:top w:val="none" w:sz="0" w:space="0" w:color="auto"/>
        <w:left w:val="none" w:sz="0" w:space="0" w:color="auto"/>
        <w:bottom w:val="none" w:sz="0" w:space="0" w:color="auto"/>
        <w:right w:val="none" w:sz="0" w:space="0" w:color="auto"/>
      </w:divBdr>
    </w:div>
    <w:div w:id="227880625">
      <w:bodyDiv w:val="1"/>
      <w:marLeft w:val="0"/>
      <w:marRight w:val="0"/>
      <w:marTop w:val="0"/>
      <w:marBottom w:val="0"/>
      <w:divBdr>
        <w:top w:val="none" w:sz="0" w:space="0" w:color="auto"/>
        <w:left w:val="none" w:sz="0" w:space="0" w:color="auto"/>
        <w:bottom w:val="none" w:sz="0" w:space="0" w:color="auto"/>
        <w:right w:val="none" w:sz="0" w:space="0" w:color="auto"/>
      </w:divBdr>
    </w:div>
    <w:div w:id="290207552">
      <w:bodyDiv w:val="1"/>
      <w:marLeft w:val="0"/>
      <w:marRight w:val="0"/>
      <w:marTop w:val="0"/>
      <w:marBottom w:val="0"/>
      <w:divBdr>
        <w:top w:val="none" w:sz="0" w:space="0" w:color="auto"/>
        <w:left w:val="none" w:sz="0" w:space="0" w:color="auto"/>
        <w:bottom w:val="none" w:sz="0" w:space="0" w:color="auto"/>
        <w:right w:val="none" w:sz="0" w:space="0" w:color="auto"/>
      </w:divBdr>
    </w:div>
    <w:div w:id="389350415">
      <w:bodyDiv w:val="1"/>
      <w:marLeft w:val="0"/>
      <w:marRight w:val="0"/>
      <w:marTop w:val="0"/>
      <w:marBottom w:val="0"/>
      <w:divBdr>
        <w:top w:val="none" w:sz="0" w:space="0" w:color="auto"/>
        <w:left w:val="none" w:sz="0" w:space="0" w:color="auto"/>
        <w:bottom w:val="none" w:sz="0" w:space="0" w:color="auto"/>
        <w:right w:val="none" w:sz="0" w:space="0" w:color="auto"/>
      </w:divBdr>
    </w:div>
    <w:div w:id="393048378">
      <w:bodyDiv w:val="1"/>
      <w:marLeft w:val="0"/>
      <w:marRight w:val="0"/>
      <w:marTop w:val="0"/>
      <w:marBottom w:val="0"/>
      <w:divBdr>
        <w:top w:val="none" w:sz="0" w:space="0" w:color="auto"/>
        <w:left w:val="none" w:sz="0" w:space="0" w:color="auto"/>
        <w:bottom w:val="none" w:sz="0" w:space="0" w:color="auto"/>
        <w:right w:val="none" w:sz="0" w:space="0" w:color="auto"/>
      </w:divBdr>
    </w:div>
    <w:div w:id="440222411">
      <w:bodyDiv w:val="1"/>
      <w:marLeft w:val="0"/>
      <w:marRight w:val="0"/>
      <w:marTop w:val="0"/>
      <w:marBottom w:val="0"/>
      <w:divBdr>
        <w:top w:val="none" w:sz="0" w:space="0" w:color="auto"/>
        <w:left w:val="none" w:sz="0" w:space="0" w:color="auto"/>
        <w:bottom w:val="none" w:sz="0" w:space="0" w:color="auto"/>
        <w:right w:val="none" w:sz="0" w:space="0" w:color="auto"/>
      </w:divBdr>
    </w:div>
    <w:div w:id="442966722">
      <w:bodyDiv w:val="1"/>
      <w:marLeft w:val="0"/>
      <w:marRight w:val="0"/>
      <w:marTop w:val="0"/>
      <w:marBottom w:val="0"/>
      <w:divBdr>
        <w:top w:val="none" w:sz="0" w:space="0" w:color="auto"/>
        <w:left w:val="none" w:sz="0" w:space="0" w:color="auto"/>
        <w:bottom w:val="none" w:sz="0" w:space="0" w:color="auto"/>
        <w:right w:val="none" w:sz="0" w:space="0" w:color="auto"/>
      </w:divBdr>
    </w:div>
    <w:div w:id="470902126">
      <w:bodyDiv w:val="1"/>
      <w:marLeft w:val="0"/>
      <w:marRight w:val="0"/>
      <w:marTop w:val="0"/>
      <w:marBottom w:val="0"/>
      <w:divBdr>
        <w:top w:val="none" w:sz="0" w:space="0" w:color="auto"/>
        <w:left w:val="none" w:sz="0" w:space="0" w:color="auto"/>
        <w:bottom w:val="none" w:sz="0" w:space="0" w:color="auto"/>
        <w:right w:val="none" w:sz="0" w:space="0" w:color="auto"/>
      </w:divBdr>
    </w:div>
    <w:div w:id="505637290">
      <w:bodyDiv w:val="1"/>
      <w:marLeft w:val="0"/>
      <w:marRight w:val="0"/>
      <w:marTop w:val="0"/>
      <w:marBottom w:val="0"/>
      <w:divBdr>
        <w:top w:val="none" w:sz="0" w:space="0" w:color="auto"/>
        <w:left w:val="none" w:sz="0" w:space="0" w:color="auto"/>
        <w:bottom w:val="none" w:sz="0" w:space="0" w:color="auto"/>
        <w:right w:val="none" w:sz="0" w:space="0" w:color="auto"/>
      </w:divBdr>
    </w:div>
    <w:div w:id="523249693">
      <w:bodyDiv w:val="1"/>
      <w:marLeft w:val="0"/>
      <w:marRight w:val="0"/>
      <w:marTop w:val="0"/>
      <w:marBottom w:val="0"/>
      <w:divBdr>
        <w:top w:val="none" w:sz="0" w:space="0" w:color="auto"/>
        <w:left w:val="none" w:sz="0" w:space="0" w:color="auto"/>
        <w:bottom w:val="none" w:sz="0" w:space="0" w:color="auto"/>
        <w:right w:val="none" w:sz="0" w:space="0" w:color="auto"/>
      </w:divBdr>
    </w:div>
    <w:div w:id="567957996">
      <w:bodyDiv w:val="1"/>
      <w:marLeft w:val="0"/>
      <w:marRight w:val="0"/>
      <w:marTop w:val="0"/>
      <w:marBottom w:val="0"/>
      <w:divBdr>
        <w:top w:val="none" w:sz="0" w:space="0" w:color="auto"/>
        <w:left w:val="none" w:sz="0" w:space="0" w:color="auto"/>
        <w:bottom w:val="none" w:sz="0" w:space="0" w:color="auto"/>
        <w:right w:val="none" w:sz="0" w:space="0" w:color="auto"/>
      </w:divBdr>
    </w:div>
    <w:div w:id="638876251">
      <w:bodyDiv w:val="1"/>
      <w:marLeft w:val="0"/>
      <w:marRight w:val="0"/>
      <w:marTop w:val="0"/>
      <w:marBottom w:val="0"/>
      <w:divBdr>
        <w:top w:val="none" w:sz="0" w:space="0" w:color="auto"/>
        <w:left w:val="none" w:sz="0" w:space="0" w:color="auto"/>
        <w:bottom w:val="none" w:sz="0" w:space="0" w:color="auto"/>
        <w:right w:val="none" w:sz="0" w:space="0" w:color="auto"/>
      </w:divBdr>
    </w:div>
    <w:div w:id="668144404">
      <w:bodyDiv w:val="1"/>
      <w:marLeft w:val="0"/>
      <w:marRight w:val="0"/>
      <w:marTop w:val="0"/>
      <w:marBottom w:val="0"/>
      <w:divBdr>
        <w:top w:val="none" w:sz="0" w:space="0" w:color="auto"/>
        <w:left w:val="none" w:sz="0" w:space="0" w:color="auto"/>
        <w:bottom w:val="none" w:sz="0" w:space="0" w:color="auto"/>
        <w:right w:val="none" w:sz="0" w:space="0" w:color="auto"/>
      </w:divBdr>
    </w:div>
    <w:div w:id="713580359">
      <w:bodyDiv w:val="1"/>
      <w:marLeft w:val="0"/>
      <w:marRight w:val="0"/>
      <w:marTop w:val="0"/>
      <w:marBottom w:val="0"/>
      <w:divBdr>
        <w:top w:val="none" w:sz="0" w:space="0" w:color="auto"/>
        <w:left w:val="none" w:sz="0" w:space="0" w:color="auto"/>
        <w:bottom w:val="none" w:sz="0" w:space="0" w:color="auto"/>
        <w:right w:val="none" w:sz="0" w:space="0" w:color="auto"/>
      </w:divBdr>
    </w:div>
    <w:div w:id="764766002">
      <w:bodyDiv w:val="1"/>
      <w:marLeft w:val="0"/>
      <w:marRight w:val="0"/>
      <w:marTop w:val="0"/>
      <w:marBottom w:val="0"/>
      <w:divBdr>
        <w:top w:val="none" w:sz="0" w:space="0" w:color="auto"/>
        <w:left w:val="none" w:sz="0" w:space="0" w:color="auto"/>
        <w:bottom w:val="none" w:sz="0" w:space="0" w:color="auto"/>
        <w:right w:val="none" w:sz="0" w:space="0" w:color="auto"/>
      </w:divBdr>
    </w:div>
    <w:div w:id="779227137">
      <w:bodyDiv w:val="1"/>
      <w:marLeft w:val="0"/>
      <w:marRight w:val="0"/>
      <w:marTop w:val="0"/>
      <w:marBottom w:val="0"/>
      <w:divBdr>
        <w:top w:val="none" w:sz="0" w:space="0" w:color="auto"/>
        <w:left w:val="none" w:sz="0" w:space="0" w:color="auto"/>
        <w:bottom w:val="none" w:sz="0" w:space="0" w:color="auto"/>
        <w:right w:val="none" w:sz="0" w:space="0" w:color="auto"/>
      </w:divBdr>
    </w:div>
    <w:div w:id="875848732">
      <w:bodyDiv w:val="1"/>
      <w:marLeft w:val="0"/>
      <w:marRight w:val="0"/>
      <w:marTop w:val="0"/>
      <w:marBottom w:val="0"/>
      <w:divBdr>
        <w:top w:val="none" w:sz="0" w:space="0" w:color="auto"/>
        <w:left w:val="none" w:sz="0" w:space="0" w:color="auto"/>
        <w:bottom w:val="none" w:sz="0" w:space="0" w:color="auto"/>
        <w:right w:val="none" w:sz="0" w:space="0" w:color="auto"/>
      </w:divBdr>
    </w:div>
    <w:div w:id="994725842">
      <w:bodyDiv w:val="1"/>
      <w:marLeft w:val="0"/>
      <w:marRight w:val="0"/>
      <w:marTop w:val="0"/>
      <w:marBottom w:val="0"/>
      <w:divBdr>
        <w:top w:val="none" w:sz="0" w:space="0" w:color="auto"/>
        <w:left w:val="none" w:sz="0" w:space="0" w:color="auto"/>
        <w:bottom w:val="none" w:sz="0" w:space="0" w:color="auto"/>
        <w:right w:val="none" w:sz="0" w:space="0" w:color="auto"/>
      </w:divBdr>
    </w:div>
    <w:div w:id="1085347763">
      <w:bodyDiv w:val="1"/>
      <w:marLeft w:val="0"/>
      <w:marRight w:val="0"/>
      <w:marTop w:val="0"/>
      <w:marBottom w:val="0"/>
      <w:divBdr>
        <w:top w:val="none" w:sz="0" w:space="0" w:color="auto"/>
        <w:left w:val="none" w:sz="0" w:space="0" w:color="auto"/>
        <w:bottom w:val="none" w:sz="0" w:space="0" w:color="auto"/>
        <w:right w:val="none" w:sz="0" w:space="0" w:color="auto"/>
      </w:divBdr>
    </w:div>
    <w:div w:id="1090929491">
      <w:bodyDiv w:val="1"/>
      <w:marLeft w:val="0"/>
      <w:marRight w:val="0"/>
      <w:marTop w:val="0"/>
      <w:marBottom w:val="0"/>
      <w:divBdr>
        <w:top w:val="none" w:sz="0" w:space="0" w:color="auto"/>
        <w:left w:val="none" w:sz="0" w:space="0" w:color="auto"/>
        <w:bottom w:val="none" w:sz="0" w:space="0" w:color="auto"/>
        <w:right w:val="none" w:sz="0" w:space="0" w:color="auto"/>
      </w:divBdr>
    </w:div>
    <w:div w:id="1338078727">
      <w:bodyDiv w:val="1"/>
      <w:marLeft w:val="0"/>
      <w:marRight w:val="0"/>
      <w:marTop w:val="0"/>
      <w:marBottom w:val="0"/>
      <w:divBdr>
        <w:top w:val="none" w:sz="0" w:space="0" w:color="auto"/>
        <w:left w:val="none" w:sz="0" w:space="0" w:color="auto"/>
        <w:bottom w:val="none" w:sz="0" w:space="0" w:color="auto"/>
        <w:right w:val="none" w:sz="0" w:space="0" w:color="auto"/>
      </w:divBdr>
    </w:div>
    <w:div w:id="1373531243">
      <w:bodyDiv w:val="1"/>
      <w:marLeft w:val="0"/>
      <w:marRight w:val="0"/>
      <w:marTop w:val="0"/>
      <w:marBottom w:val="0"/>
      <w:divBdr>
        <w:top w:val="none" w:sz="0" w:space="0" w:color="auto"/>
        <w:left w:val="none" w:sz="0" w:space="0" w:color="auto"/>
        <w:bottom w:val="none" w:sz="0" w:space="0" w:color="auto"/>
        <w:right w:val="none" w:sz="0" w:space="0" w:color="auto"/>
      </w:divBdr>
    </w:div>
    <w:div w:id="1419398324">
      <w:bodyDiv w:val="1"/>
      <w:marLeft w:val="0"/>
      <w:marRight w:val="0"/>
      <w:marTop w:val="0"/>
      <w:marBottom w:val="0"/>
      <w:divBdr>
        <w:top w:val="none" w:sz="0" w:space="0" w:color="auto"/>
        <w:left w:val="none" w:sz="0" w:space="0" w:color="auto"/>
        <w:bottom w:val="none" w:sz="0" w:space="0" w:color="auto"/>
        <w:right w:val="none" w:sz="0" w:space="0" w:color="auto"/>
      </w:divBdr>
    </w:div>
    <w:div w:id="1466855468">
      <w:bodyDiv w:val="1"/>
      <w:marLeft w:val="0"/>
      <w:marRight w:val="0"/>
      <w:marTop w:val="0"/>
      <w:marBottom w:val="0"/>
      <w:divBdr>
        <w:top w:val="none" w:sz="0" w:space="0" w:color="auto"/>
        <w:left w:val="none" w:sz="0" w:space="0" w:color="auto"/>
        <w:bottom w:val="none" w:sz="0" w:space="0" w:color="auto"/>
        <w:right w:val="none" w:sz="0" w:space="0" w:color="auto"/>
      </w:divBdr>
    </w:div>
    <w:div w:id="1577083992">
      <w:bodyDiv w:val="1"/>
      <w:marLeft w:val="0"/>
      <w:marRight w:val="0"/>
      <w:marTop w:val="0"/>
      <w:marBottom w:val="0"/>
      <w:divBdr>
        <w:top w:val="none" w:sz="0" w:space="0" w:color="auto"/>
        <w:left w:val="none" w:sz="0" w:space="0" w:color="auto"/>
        <w:bottom w:val="none" w:sz="0" w:space="0" w:color="auto"/>
        <w:right w:val="none" w:sz="0" w:space="0" w:color="auto"/>
      </w:divBdr>
    </w:div>
    <w:div w:id="1598295135">
      <w:bodyDiv w:val="1"/>
      <w:marLeft w:val="0"/>
      <w:marRight w:val="0"/>
      <w:marTop w:val="0"/>
      <w:marBottom w:val="0"/>
      <w:divBdr>
        <w:top w:val="none" w:sz="0" w:space="0" w:color="auto"/>
        <w:left w:val="none" w:sz="0" w:space="0" w:color="auto"/>
        <w:bottom w:val="none" w:sz="0" w:space="0" w:color="auto"/>
        <w:right w:val="none" w:sz="0" w:space="0" w:color="auto"/>
      </w:divBdr>
    </w:div>
    <w:div w:id="1599602809">
      <w:bodyDiv w:val="1"/>
      <w:marLeft w:val="0"/>
      <w:marRight w:val="0"/>
      <w:marTop w:val="0"/>
      <w:marBottom w:val="0"/>
      <w:divBdr>
        <w:top w:val="none" w:sz="0" w:space="0" w:color="auto"/>
        <w:left w:val="none" w:sz="0" w:space="0" w:color="auto"/>
        <w:bottom w:val="none" w:sz="0" w:space="0" w:color="auto"/>
        <w:right w:val="none" w:sz="0" w:space="0" w:color="auto"/>
      </w:divBdr>
    </w:div>
    <w:div w:id="1686983031">
      <w:bodyDiv w:val="1"/>
      <w:marLeft w:val="0"/>
      <w:marRight w:val="0"/>
      <w:marTop w:val="0"/>
      <w:marBottom w:val="0"/>
      <w:divBdr>
        <w:top w:val="none" w:sz="0" w:space="0" w:color="auto"/>
        <w:left w:val="none" w:sz="0" w:space="0" w:color="auto"/>
        <w:bottom w:val="none" w:sz="0" w:space="0" w:color="auto"/>
        <w:right w:val="none" w:sz="0" w:space="0" w:color="auto"/>
      </w:divBdr>
    </w:div>
    <w:div w:id="1988319145">
      <w:bodyDiv w:val="1"/>
      <w:marLeft w:val="0"/>
      <w:marRight w:val="0"/>
      <w:marTop w:val="0"/>
      <w:marBottom w:val="0"/>
      <w:divBdr>
        <w:top w:val="none" w:sz="0" w:space="0" w:color="auto"/>
        <w:left w:val="none" w:sz="0" w:space="0" w:color="auto"/>
        <w:bottom w:val="none" w:sz="0" w:space="0" w:color="auto"/>
        <w:right w:val="none" w:sz="0" w:space="0" w:color="auto"/>
      </w:divBdr>
    </w:div>
    <w:div w:id="2083288355">
      <w:bodyDiv w:val="1"/>
      <w:marLeft w:val="0"/>
      <w:marRight w:val="0"/>
      <w:marTop w:val="0"/>
      <w:marBottom w:val="0"/>
      <w:divBdr>
        <w:top w:val="none" w:sz="0" w:space="0" w:color="auto"/>
        <w:left w:val="none" w:sz="0" w:space="0" w:color="auto"/>
        <w:bottom w:val="none" w:sz="0" w:space="0" w:color="auto"/>
        <w:right w:val="none" w:sz="0" w:space="0" w:color="auto"/>
      </w:divBdr>
    </w:div>
    <w:div w:id="2093382414">
      <w:bodyDiv w:val="1"/>
      <w:marLeft w:val="0"/>
      <w:marRight w:val="0"/>
      <w:marTop w:val="0"/>
      <w:marBottom w:val="0"/>
      <w:divBdr>
        <w:top w:val="none" w:sz="0" w:space="0" w:color="auto"/>
        <w:left w:val="none" w:sz="0" w:space="0" w:color="auto"/>
        <w:bottom w:val="none" w:sz="0" w:space="0" w:color="auto"/>
        <w:right w:val="none" w:sz="0" w:space="0" w:color="auto"/>
      </w:divBdr>
    </w:div>
    <w:div w:id="209967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766E88-674E-4FE6-B171-9766FA395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67052</Words>
  <Characters>309112</Characters>
  <Application>Microsoft Office Word</Application>
  <DocSecurity>0</DocSecurity>
  <Lines>8134</Lines>
  <Paragraphs>3482</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372682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(Miscellaneous Provisions) Act 1911 17-m0-00 - 17-n0-00</dc:title>
  <dc:subject/>
  <dc:creator/>
  <cp:keywords/>
  <dc:description/>
  <cp:lastModifiedBy>Master Repository Process</cp:lastModifiedBy>
  <cp:revision>2</cp:revision>
  <cp:lastPrinted>2019-01-10T06:54:00Z</cp:lastPrinted>
  <dcterms:created xsi:type="dcterms:W3CDTF">2026-04-01T08:17:00Z</dcterms:created>
  <dcterms:modified xsi:type="dcterms:W3CDTF">2026-04-01T08:18:00Z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DocumentType">
    <vt:lpwstr>Act</vt:lpwstr>
  </property>
  <property fmtid="{D5CDD505-2E9C-101B-9397-08002B2CF9AE}" pid="4" name="OwlsUID">
    <vt:i4>343</vt:i4>
  </property>
  <property fmtid="{D5CDD505-2E9C-101B-9397-08002B2CF9AE}" pid="5" name="ReprintedAsAt">
    <vt:filetime>2017-12-14T16:00:00Z</vt:filetime>
  </property>
  <property fmtid="{D5CDD505-2E9C-101B-9397-08002B2CF9AE}" pid="6" name="ReprintNo">
    <vt:lpwstr>17</vt:lpwstr>
  </property>
  <property fmtid="{D5CDD505-2E9C-101B-9397-08002B2CF9AE}" pid="7" name="Official">
    <vt:lpwstr/>
  </property>
  <property fmtid="{D5CDD505-2E9C-101B-9397-08002B2CF9AE}" pid="8" name="CommencementDate">
    <vt:lpwstr>20260331</vt:lpwstr>
  </property>
  <property fmtid="{D5CDD505-2E9C-101B-9397-08002B2CF9AE}" pid="9" name="CommencementAsAt">
    <vt:filetime>2026-03-30T16:00:00Z</vt:filetime>
  </property>
  <property fmtid="{D5CDD505-2E9C-101B-9397-08002B2CF9AE}" pid="10" name="CommencementYear">
    <vt:lpwstr>2026</vt:lpwstr>
  </property>
  <property fmtid="{D5CDD505-2E9C-101B-9397-08002B2CF9AE}" pid="11" name="FromSuffix">
    <vt:lpwstr>17-m0-00</vt:lpwstr>
  </property>
  <property fmtid="{D5CDD505-2E9C-101B-9397-08002B2CF9AE}" pid="12" name="FromAsAtDate">
    <vt:lpwstr>26 Sep 2025</vt:lpwstr>
  </property>
  <property fmtid="{D5CDD505-2E9C-101B-9397-08002B2CF9AE}" pid="13" name="ToSuffix">
    <vt:lpwstr>17-n0-00</vt:lpwstr>
  </property>
  <property fmtid="{D5CDD505-2E9C-101B-9397-08002B2CF9AE}" pid="14" name="ToAsAtDate">
    <vt:lpwstr>31 Mar 2026</vt:lpwstr>
  </property>
</Properties>
</file>