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2007</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22 Jun 2007</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90877306"/>
      <w:bookmarkStart w:id="7" w:name="_Toc121827271"/>
      <w:bookmarkStart w:id="8" w:name="_Toc170269712"/>
      <w:bookmarkStart w:id="9" w:name="_Toc16838332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90877307"/>
      <w:bookmarkStart w:id="18" w:name="_Toc121827272"/>
      <w:bookmarkStart w:id="19" w:name="_Toc170269713"/>
      <w:bookmarkStart w:id="20" w:name="_Toc16838332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These regulations come into operation on 1 February 2005.</w:t>
      </w:r>
    </w:p>
    <w:p>
      <w:pPr>
        <w:pStyle w:val="Heading5"/>
      </w:pPr>
      <w:bookmarkStart w:id="21" w:name="_Toc170269714"/>
      <w:bookmarkStart w:id="22" w:name="_Toc168383329"/>
      <w:bookmarkStart w:id="23" w:name="_Toc90877309"/>
      <w:bookmarkStart w:id="24" w:name="_Toc121827274"/>
      <w:r>
        <w:rPr>
          <w:rStyle w:val="CharSectno"/>
        </w:rPr>
        <w:t>3</w:t>
      </w:r>
      <w:r>
        <w:t>.</w:t>
      </w:r>
      <w:r>
        <w:tab/>
        <w:t>Definitions</w:t>
      </w:r>
      <w:bookmarkEnd w:id="21"/>
      <w:bookmarkEnd w:id="22"/>
    </w:p>
    <w:p>
      <w:pPr>
        <w:pStyle w:val="Subsection"/>
      </w:pPr>
      <w:r>
        <w:tab/>
      </w:r>
      <w:r>
        <w:tab/>
        <w:t xml:space="preserve">In these regulations — </w:t>
      </w:r>
    </w:p>
    <w:p>
      <w:pPr>
        <w:pStyle w:val="Defstart"/>
      </w:pPr>
      <w:r>
        <w:rPr>
          <w:b/>
        </w:rPr>
        <w:tab/>
        <w:t>“</w:t>
      </w:r>
      <w:r>
        <w:rPr>
          <w:rStyle w:val="CharDefText"/>
        </w:rPr>
        <w:t>Department of Corrective Services</w:t>
      </w:r>
      <w:r>
        <w:rPr>
          <w:b/>
        </w:rPr>
        <w:t>”</w:t>
      </w:r>
      <w:r>
        <w:t xml:space="preserve"> means the department of the Public Service principally assisting in the administration of the </w:t>
      </w:r>
      <w:r>
        <w:rPr>
          <w:i/>
          <w:iCs/>
        </w:rPr>
        <w:t>Prisons Act 1981</w:t>
      </w:r>
      <w:r>
        <w:t>;</w:t>
      </w:r>
    </w:p>
    <w:p>
      <w:pPr>
        <w:pStyle w:val="Defstart"/>
      </w:pPr>
      <w:r>
        <w:rPr>
          <w:b/>
        </w:rPr>
        <w:tab/>
        <w:t>“</w:t>
      </w:r>
      <w:r>
        <w:rPr>
          <w:rStyle w:val="CharDefText"/>
        </w:rPr>
        <w:t>foreign court</w:t>
      </w:r>
      <w:r>
        <w:rPr>
          <w:b/>
        </w:rPr>
        <w:t>”</w:t>
      </w:r>
      <w:r>
        <w:t xml:space="preserve"> means a court of a foreign jurisdiction;</w:t>
      </w:r>
    </w:p>
    <w:p>
      <w:pPr>
        <w:pStyle w:val="Defstart"/>
      </w:pPr>
      <w:r>
        <w:rPr>
          <w:b/>
        </w:rPr>
        <w:tab/>
        <w:t>“</w:t>
      </w:r>
      <w:r>
        <w:rPr>
          <w:rStyle w:val="CharDefText"/>
        </w:rPr>
        <w:t>recognised order</w:t>
      </w:r>
      <w:r>
        <w:rPr>
          <w:b/>
        </w:rPr>
        <w:t>”</w:t>
      </w:r>
      <w:r>
        <w:t xml:space="preserve"> means a corresponding prohibition order recognised under regulation 23(1);</w:t>
      </w:r>
    </w:p>
    <w:p>
      <w:pPr>
        <w:pStyle w:val="Defstart"/>
      </w:pPr>
      <w:r>
        <w:rPr>
          <w:b/>
        </w:rPr>
        <w:tab/>
        <w:t>“</w:t>
      </w:r>
      <w:r>
        <w:rPr>
          <w:rStyle w:val="CharDefText"/>
        </w:rPr>
        <w:t>registrar</w:t>
      </w:r>
      <w:r>
        <w:rPr>
          <w:b/>
        </w:rPr>
        <w:t>”</w:t>
      </w:r>
      <w:r>
        <w:t xml:space="preserve"> has the same meaning as it has in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r>
      <w:r>
        <w:tab/>
        <w:t>as the case requires;</w:t>
      </w:r>
    </w:p>
    <w:p>
      <w:pPr>
        <w:pStyle w:val="Defstart"/>
      </w:pPr>
      <w:r>
        <w:rPr>
          <w:b/>
        </w:rPr>
        <w:tab/>
        <w:t>“</w:t>
      </w:r>
      <w:r>
        <w:rPr>
          <w:rStyle w:val="CharDefText"/>
        </w:rPr>
        <w:t>relevant court</w:t>
      </w:r>
      <w:r>
        <w:rPr>
          <w:b/>
        </w:rPr>
        <w:t>”</w:t>
      </w:r>
      <w:r>
        <w:t xml:space="preserve">, in relation to a corresponding prohibition order, means — </w:t>
      </w:r>
    </w:p>
    <w:p>
      <w:pPr>
        <w:pStyle w:val="Defpara"/>
      </w:pPr>
      <w:r>
        <w:lastRenderedPageBreak/>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2525-6.]</w:t>
      </w:r>
    </w:p>
    <w:p>
      <w:pPr>
        <w:pStyle w:val="Heading5"/>
      </w:pPr>
      <w:bookmarkStart w:id="25" w:name="_Toc170269715"/>
      <w:bookmarkStart w:id="26" w:name="_Toc168383330"/>
      <w:r>
        <w:rPr>
          <w:rStyle w:val="CharSectno"/>
        </w:rPr>
        <w:t>4</w:t>
      </w:r>
      <w:r>
        <w:t>.</w:t>
      </w:r>
      <w:r>
        <w:tab/>
        <w:t>Authorised persons (s. 3)</w:t>
      </w:r>
      <w:bookmarkEnd w:id="23"/>
      <w:bookmarkEnd w:id="24"/>
      <w:bookmarkEnd w:id="25"/>
      <w:bookmarkEnd w:id="26"/>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7" w:name="_Toc90877310"/>
      <w:bookmarkStart w:id="28" w:name="_Toc121827275"/>
      <w:bookmarkStart w:id="29" w:name="_Toc170269716"/>
      <w:bookmarkStart w:id="30" w:name="_Toc168383331"/>
      <w:r>
        <w:rPr>
          <w:rStyle w:val="CharSectno"/>
        </w:rPr>
        <w:t>5</w:t>
      </w:r>
      <w:r>
        <w:t>.</w:t>
      </w:r>
      <w:r>
        <w:tab/>
        <w:t>Corresponding Acts (s. 3)</w:t>
      </w:r>
      <w:bookmarkEnd w:id="27"/>
      <w:bookmarkEnd w:id="28"/>
      <w:bookmarkEnd w:id="29"/>
      <w:bookmarkEnd w:id="30"/>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pPr>
      <w:r>
        <w:tab/>
        <w:t>(d)</w:t>
      </w:r>
      <w:r>
        <w:tab/>
        <w:t xml:space="preserve">the </w:t>
      </w:r>
      <w:r>
        <w:rPr>
          <w:i/>
          <w:iCs/>
        </w:rPr>
        <w:t xml:space="preserve">Child Protection (Offender Reporting and Registration) Act 2004 </w:t>
      </w:r>
      <w:r>
        <w:t>of the Northern Territory;</w:t>
      </w:r>
    </w:p>
    <w:p>
      <w:pPr>
        <w:pStyle w:val="Indenta"/>
      </w:pPr>
      <w:bookmarkStart w:id="31" w:name="_Toc90877311"/>
      <w:bookmarkStart w:id="32" w:name="_Toc121827276"/>
      <w:r>
        <w:tab/>
        <w:t>(e)</w:t>
      </w:r>
      <w:r>
        <w:tab/>
        <w:t xml:space="preserve">the </w:t>
      </w:r>
      <w:r>
        <w:rPr>
          <w:i/>
          <w:iCs/>
        </w:rPr>
        <w:t>Crimes (Child Sex Offenders) Act 2005</w:t>
      </w:r>
      <w:r>
        <w:t xml:space="preserve"> of the Australian Capital Territory</w:t>
      </w:r>
      <w:del w:id="33" w:author="Master Repository Process" w:date="2021-07-31T17:01:00Z">
        <w:r>
          <w:delText>.</w:delText>
        </w:r>
      </w:del>
      <w:ins w:id="34" w:author="Master Repository Process" w:date="2021-07-31T17:01:00Z">
        <w:r>
          <w:t>;</w:t>
        </w:r>
      </w:ins>
    </w:p>
    <w:p>
      <w:pPr>
        <w:pStyle w:val="Indenta"/>
        <w:rPr>
          <w:ins w:id="35" w:author="Master Repository Process" w:date="2021-07-31T17:01:00Z"/>
        </w:rPr>
      </w:pPr>
      <w:ins w:id="36" w:author="Master Repository Process" w:date="2021-07-31T17:01:00Z">
        <w:r>
          <w:tab/>
          <w:t>(f)</w:t>
        </w:r>
        <w:r>
          <w:tab/>
          <w:t xml:space="preserve">the </w:t>
        </w:r>
        <w:r>
          <w:rPr>
            <w:i/>
            <w:iCs/>
          </w:rPr>
          <w:t>Community Protection (Offender Reporting) Act 2005</w:t>
        </w:r>
        <w:r>
          <w:t xml:space="preserve"> of Tasmania.</w:t>
        </w:r>
      </w:ins>
    </w:p>
    <w:p>
      <w:pPr>
        <w:pStyle w:val="Footnotesection"/>
      </w:pPr>
      <w:r>
        <w:tab/>
        <w:t>[Regulation 5 amended in Gazette 8 Sep 2006 p. 3641</w:t>
      </w:r>
      <w:ins w:id="37" w:author="Master Repository Process" w:date="2021-07-31T17:01:00Z">
        <w:r>
          <w:t>; 22 Jun 2007 p. 2862</w:t>
        </w:r>
      </w:ins>
      <w:r>
        <w:t>.]</w:t>
      </w:r>
    </w:p>
    <w:p>
      <w:pPr>
        <w:pStyle w:val="Heading5"/>
      </w:pPr>
      <w:bookmarkStart w:id="38" w:name="_Toc170269717"/>
      <w:bookmarkStart w:id="39" w:name="_Toc168383332"/>
      <w:r>
        <w:rPr>
          <w:rStyle w:val="CharSectno"/>
        </w:rPr>
        <w:t>6</w:t>
      </w:r>
      <w:r>
        <w:t>.</w:t>
      </w:r>
      <w:r>
        <w:tab/>
        <w:t>Corresponding offender reporting orders (s. 3)</w:t>
      </w:r>
      <w:bookmarkEnd w:id="31"/>
      <w:bookmarkEnd w:id="32"/>
      <w:bookmarkEnd w:id="38"/>
      <w:bookmarkEnd w:id="39"/>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40" w:name="_Toc90877312"/>
      <w:bookmarkStart w:id="41" w:name="_Toc121827277"/>
      <w:r>
        <w:tab/>
        <w:t>(e)</w:t>
      </w:r>
      <w:r>
        <w:tab/>
        <w:t xml:space="preserve">a child sex offender registration order made under the </w:t>
      </w:r>
      <w:r>
        <w:rPr>
          <w:i/>
          <w:iCs/>
        </w:rPr>
        <w:t>Crimes (Child Sex Offenders) Act 2005</w:t>
      </w:r>
      <w:r>
        <w:t xml:space="preserve"> of the Australian Capital Territory section 15</w:t>
      </w:r>
      <w:del w:id="42" w:author="Master Repository Process" w:date="2021-07-31T17:01:00Z">
        <w:r>
          <w:delText>.</w:delText>
        </w:r>
      </w:del>
      <w:ins w:id="43" w:author="Master Repository Process" w:date="2021-07-31T17:01:00Z">
        <w:r>
          <w:t>;</w:t>
        </w:r>
      </w:ins>
    </w:p>
    <w:p>
      <w:pPr>
        <w:pStyle w:val="Indenta"/>
        <w:rPr>
          <w:ins w:id="44" w:author="Master Repository Process" w:date="2021-07-31T17:01:00Z"/>
        </w:rPr>
      </w:pPr>
      <w:ins w:id="45" w:author="Master Repository Process" w:date="2021-07-31T17:01:00Z">
        <w:r>
          <w:tab/>
          <w:t>(f)</w:t>
        </w:r>
        <w:r>
          <w:tab/>
          <w:t xml:space="preserve">an offender reporting order made under the </w:t>
        </w:r>
        <w:r>
          <w:rPr>
            <w:i/>
            <w:iCs/>
          </w:rPr>
          <w:t>Community Protection (Offender Reporting) Act 2005</w:t>
        </w:r>
        <w:r>
          <w:t xml:space="preserve"> of Tasmania sections 6, 7 and 9.</w:t>
        </w:r>
      </w:ins>
    </w:p>
    <w:p>
      <w:pPr>
        <w:pStyle w:val="Footnotesection"/>
      </w:pPr>
      <w:r>
        <w:tab/>
        <w:t>[Regulation 6 amended in Gazette 8 Sep 2006 p. 3642</w:t>
      </w:r>
      <w:ins w:id="46" w:author="Master Repository Process" w:date="2021-07-31T17:01:00Z">
        <w:r>
          <w:t>; 22 Jun 2007 p. 2862</w:t>
        </w:r>
      </w:ins>
      <w:r>
        <w:t>.]</w:t>
      </w:r>
    </w:p>
    <w:p>
      <w:pPr>
        <w:pStyle w:val="Heading5"/>
      </w:pPr>
      <w:bookmarkStart w:id="47" w:name="_Toc170269718"/>
      <w:bookmarkStart w:id="48" w:name="_Toc168383333"/>
      <w:r>
        <w:rPr>
          <w:rStyle w:val="CharSectno"/>
        </w:rPr>
        <w:t>6A</w:t>
      </w:r>
      <w:r>
        <w:t>.</w:t>
      </w:r>
      <w:r>
        <w:tab/>
        <w:t>Sentences (s. 3)</w:t>
      </w:r>
      <w:bookmarkEnd w:id="47"/>
      <w:bookmarkEnd w:id="48"/>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49" w:name="_Toc170269719"/>
      <w:bookmarkStart w:id="50" w:name="_Toc168383334"/>
      <w:r>
        <w:rPr>
          <w:rStyle w:val="CharSectno"/>
        </w:rPr>
        <w:t>7</w:t>
      </w:r>
      <w:r>
        <w:t>.</w:t>
      </w:r>
      <w:r>
        <w:tab/>
        <w:t>Supervising authorities (s. 3)</w:t>
      </w:r>
      <w:bookmarkEnd w:id="40"/>
      <w:bookmarkEnd w:id="41"/>
      <w:bookmarkEnd w:id="49"/>
      <w:bookmarkEnd w:id="50"/>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Defendants) Act 1996</w:t>
      </w:r>
      <w:r>
        <w:t xml:space="preserve"> Part 4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t>“</w:t>
      </w:r>
      <w:r>
        <w:rPr>
          <w:rStyle w:val="CharDefText"/>
        </w:rPr>
        <w:t>Department of Health</w:t>
      </w:r>
      <w:r>
        <w:rPr>
          <w:b/>
        </w:rPr>
        <w:t>”</w:t>
      </w:r>
      <w:r>
        <w:t xml:space="preserve"> means the department of the Public Service principally assisting in the administration of the </w:t>
      </w:r>
      <w:r>
        <w:rPr>
          <w:i/>
        </w:rPr>
        <w:t>Health Act 1911</w:t>
      </w:r>
      <w:r>
        <w:t>;</w:t>
      </w:r>
    </w:p>
    <w:p>
      <w:pPr>
        <w:pStyle w:val="Defstart"/>
      </w:pPr>
      <w:r>
        <w:rPr>
          <w:b/>
        </w:rPr>
        <w:tab/>
        <w:t>“</w:t>
      </w:r>
      <w:r>
        <w:rPr>
          <w:rStyle w:val="CharDefText"/>
        </w:rPr>
        <w:t>detention centre</w:t>
      </w:r>
      <w:r>
        <w:rPr>
          <w:b/>
        </w:rPr>
        <w:t>”</w:t>
      </w:r>
      <w:r>
        <w:t xml:space="preserve"> has the same meaning as it has in the </w:t>
      </w:r>
      <w:r>
        <w:rPr>
          <w:i/>
          <w:iCs/>
        </w:rPr>
        <w:t>Young Offenders Act 1994</w:t>
      </w:r>
      <w:r>
        <w:t xml:space="preserve"> section 3;</w:t>
      </w:r>
    </w:p>
    <w:p>
      <w:pPr>
        <w:pStyle w:val="Defstart"/>
      </w:pPr>
      <w:r>
        <w:rPr>
          <w:b/>
        </w:rPr>
        <w:tab/>
        <w:t>“</w:t>
      </w:r>
      <w:r>
        <w:rPr>
          <w:rStyle w:val="CharDefText"/>
        </w:rPr>
        <w:t>prison</w:t>
      </w:r>
      <w:r>
        <w:rPr>
          <w:b/>
        </w:rPr>
        <w:t>”</w:t>
      </w:r>
      <w:r>
        <w:t xml:space="preserve"> has the same meaning as it has in the </w:t>
      </w:r>
      <w:r>
        <w:rPr>
          <w:i/>
          <w:iCs/>
        </w:rPr>
        <w:t>Prisons Act 1981</w:t>
      </w:r>
      <w:r>
        <w:t xml:space="preserve"> section 3;</w:t>
      </w:r>
    </w:p>
    <w:p>
      <w:pPr>
        <w:pStyle w:val="Defstart"/>
      </w:pPr>
      <w:r>
        <w:rPr>
          <w:b/>
        </w:rPr>
        <w:tab/>
        <w:t>“</w:t>
      </w:r>
      <w:r>
        <w:rPr>
          <w:rStyle w:val="CharDefText"/>
        </w:rPr>
        <w:t>release order</w:t>
      </w:r>
      <w:r>
        <w:rPr>
          <w:b/>
        </w:rPr>
        <w:t>”</w:t>
      </w:r>
      <w:r>
        <w:t xml:space="preserve"> means an order made under the </w:t>
      </w:r>
      <w:r>
        <w:rPr>
          <w:i/>
          <w:iCs/>
        </w:rPr>
        <w:t>Criminal Law (Mentally Impaired Defendants) Act 1996</w:t>
      </w:r>
      <w:r>
        <w:t xml:space="preserve"> section 35.</w:t>
      </w:r>
    </w:p>
    <w:p>
      <w:pPr>
        <w:pStyle w:val="Footnotesection"/>
      </w:pPr>
      <w:r>
        <w:tab/>
        <w:t>[Regulation 7 amended in Gazette 1 Jun 2007 p. 2528.]</w:t>
      </w:r>
    </w:p>
    <w:p>
      <w:pPr>
        <w:pStyle w:val="Heading5"/>
      </w:pPr>
      <w:bookmarkStart w:id="51" w:name="_Toc90877313"/>
      <w:bookmarkStart w:id="52" w:name="_Toc121827278"/>
      <w:bookmarkStart w:id="53" w:name="_Toc170269720"/>
      <w:bookmarkStart w:id="54" w:name="_Toc168383335"/>
      <w:r>
        <w:rPr>
          <w:rStyle w:val="CharSectno"/>
        </w:rPr>
        <w:t>8</w:t>
      </w:r>
      <w:r>
        <w:t>.</w:t>
      </w:r>
      <w:r>
        <w:tab/>
        <w:t>Offences — relevance if committed by child (s. 6)</w:t>
      </w:r>
      <w:bookmarkEnd w:id="51"/>
      <w:bookmarkEnd w:id="52"/>
      <w:bookmarkEnd w:id="53"/>
      <w:bookmarkEnd w:id="54"/>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Censorship Act 1996 </w:t>
      </w:r>
      <w:r>
        <w:t>section 60;</w:t>
      </w:r>
    </w:p>
    <w:p>
      <w:pPr>
        <w:pStyle w:val="Indenta"/>
      </w:pPr>
      <w:r>
        <w:tab/>
        <w:t>(b)</w:t>
      </w:r>
      <w:r>
        <w:tab/>
        <w:t xml:space="preserve">an offence under the </w:t>
      </w:r>
      <w:r>
        <w:rPr>
          <w:i/>
        </w:rPr>
        <w:t xml:space="preserve">Censorship Act 1996 </w:t>
      </w:r>
      <w:r>
        <w:t>section 101.</w:t>
      </w:r>
    </w:p>
    <w:p>
      <w:pPr>
        <w:pStyle w:val="Heading5"/>
      </w:pPr>
      <w:bookmarkStart w:id="55" w:name="_Toc90877314"/>
      <w:bookmarkStart w:id="56" w:name="_Toc121827279"/>
      <w:bookmarkStart w:id="57" w:name="_Toc170269721"/>
      <w:bookmarkStart w:id="58" w:name="_Toc168383336"/>
      <w:r>
        <w:rPr>
          <w:rStyle w:val="CharSectno"/>
        </w:rPr>
        <w:t>9</w:t>
      </w:r>
      <w:r>
        <w:t>.</w:t>
      </w:r>
      <w:r>
        <w:tab/>
        <w:t>Foreign witness protection laws (s. 6 and s. 75)</w:t>
      </w:r>
      <w:bookmarkEnd w:id="55"/>
      <w:bookmarkEnd w:id="56"/>
      <w:bookmarkEnd w:id="57"/>
      <w:bookmarkEnd w:id="58"/>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59" w:name="_Toc90877315"/>
      <w:bookmarkStart w:id="60" w:name="_Toc121827280"/>
      <w:bookmarkStart w:id="61" w:name="_Toc170269722"/>
      <w:bookmarkStart w:id="62" w:name="_Toc168383337"/>
      <w:r>
        <w:rPr>
          <w:rStyle w:val="CharSectno"/>
        </w:rPr>
        <w:t>10</w:t>
      </w:r>
      <w:r>
        <w:t>.</w:t>
      </w:r>
      <w:r>
        <w:tab/>
        <w:t>Specified date for determining New South Wales reportable offenders (s. 8)</w:t>
      </w:r>
      <w:bookmarkEnd w:id="59"/>
      <w:bookmarkEnd w:id="60"/>
      <w:bookmarkEnd w:id="61"/>
      <w:bookmarkEnd w:id="62"/>
    </w:p>
    <w:p>
      <w:pPr>
        <w:pStyle w:val="Subsection"/>
      </w:pPr>
      <w:r>
        <w:tab/>
      </w:r>
      <w:r>
        <w:tab/>
        <w:t>For the purposes of section 8 of the Act, 1 February 2005 is specified.</w:t>
      </w:r>
    </w:p>
    <w:p>
      <w:pPr>
        <w:pStyle w:val="Heading5"/>
      </w:pPr>
      <w:bookmarkStart w:id="63" w:name="_Toc90877316"/>
      <w:bookmarkStart w:id="64" w:name="_Toc121827281"/>
      <w:bookmarkStart w:id="65" w:name="_Toc170269723"/>
      <w:bookmarkStart w:id="66" w:name="_Toc168383338"/>
      <w:r>
        <w:rPr>
          <w:rStyle w:val="CharSectno"/>
        </w:rPr>
        <w:t>11</w:t>
      </w:r>
      <w:r>
        <w:t>.</w:t>
      </w:r>
      <w:r>
        <w:tab/>
        <w:t>Class 2 offences (s. 11)</w:t>
      </w:r>
      <w:bookmarkEnd w:id="63"/>
      <w:bookmarkEnd w:id="64"/>
      <w:bookmarkEnd w:id="65"/>
      <w:bookmarkEnd w:id="66"/>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t>“</w:t>
      </w:r>
      <w:r>
        <w:rPr>
          <w:rStyle w:val="CharDefText"/>
        </w:rPr>
        <w:t>Code Act</w:t>
      </w:r>
      <w:r>
        <w:rPr>
          <w:b/>
        </w:rPr>
        <w: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67" w:name="_Toc90877317"/>
      <w:bookmarkStart w:id="68" w:name="_Toc121827282"/>
      <w:bookmarkStart w:id="69" w:name="_Toc170269724"/>
      <w:bookmarkStart w:id="70" w:name="_Toc168383339"/>
      <w:r>
        <w:rPr>
          <w:rStyle w:val="CharSectno"/>
        </w:rPr>
        <w:t>12</w:t>
      </w:r>
      <w:r>
        <w:t>.</w:t>
      </w:r>
      <w:r>
        <w:tab/>
        <w:t>Means of contacting authorised person for certain persons entering Western Australia (s. 27)</w:t>
      </w:r>
      <w:bookmarkEnd w:id="67"/>
      <w:bookmarkEnd w:id="68"/>
      <w:bookmarkEnd w:id="69"/>
      <w:bookmarkEnd w:id="70"/>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71" w:name="_Toc90877318"/>
      <w:bookmarkStart w:id="72" w:name="_Toc121827283"/>
      <w:bookmarkStart w:id="73" w:name="_Toc170269725"/>
      <w:bookmarkStart w:id="74" w:name="_Toc168383340"/>
      <w:r>
        <w:rPr>
          <w:rStyle w:val="CharSectno"/>
        </w:rPr>
        <w:t>13</w:t>
      </w:r>
      <w:r>
        <w:t>.</w:t>
      </w:r>
      <w:r>
        <w:tab/>
        <w:t>Manner of reporting change of reportable offender’s travel plans while out of Western Australia (s. 31)</w:t>
      </w:r>
      <w:bookmarkEnd w:id="71"/>
      <w:bookmarkEnd w:id="72"/>
      <w:bookmarkEnd w:id="73"/>
      <w:bookmarkEnd w:id="74"/>
    </w:p>
    <w:p>
      <w:pPr>
        <w:pStyle w:val="Subsection"/>
      </w:pPr>
      <w:r>
        <w:tab/>
      </w:r>
      <w:r>
        <w:tab/>
        <w:t>For the purposes of section 31(3)(b) of the Act, the reportable offender is permitted to make a report by mail to a postal address nominated by the Commissioner.</w:t>
      </w:r>
    </w:p>
    <w:p>
      <w:pPr>
        <w:pStyle w:val="Heading5"/>
      </w:pPr>
      <w:bookmarkStart w:id="75" w:name="_Toc90877319"/>
      <w:bookmarkStart w:id="76" w:name="_Toc121827284"/>
      <w:bookmarkStart w:id="77" w:name="_Toc170269726"/>
      <w:bookmarkStart w:id="78" w:name="_Toc168383341"/>
      <w:r>
        <w:rPr>
          <w:rStyle w:val="CharSectno"/>
        </w:rPr>
        <w:t>14</w:t>
      </w:r>
      <w:r>
        <w:t>.</w:t>
      </w:r>
      <w:r>
        <w:tab/>
        <w:t>Directions as to police station or approved place at which reportable offender must report (s. 34)</w:t>
      </w:r>
      <w:bookmarkEnd w:id="75"/>
      <w:bookmarkEnd w:id="76"/>
      <w:bookmarkEnd w:id="77"/>
      <w:bookmarkEnd w:id="78"/>
    </w:p>
    <w:p>
      <w:pPr>
        <w:pStyle w:val="Subsection"/>
      </w:pPr>
      <w:r>
        <w:tab/>
      </w:r>
      <w:r>
        <w:tab/>
        <w:t>For the purposes of section 34(1)(c) of the Act, a direction as to the police station or approved place at which a report is to be made may be given by an approved person.</w:t>
      </w:r>
    </w:p>
    <w:p>
      <w:pPr>
        <w:pStyle w:val="Heading5"/>
      </w:pPr>
      <w:bookmarkStart w:id="79" w:name="_Toc90877320"/>
      <w:bookmarkStart w:id="80" w:name="_Toc121827285"/>
      <w:bookmarkStart w:id="81" w:name="_Toc170269727"/>
      <w:bookmarkStart w:id="82" w:name="_Toc168383342"/>
      <w:r>
        <w:rPr>
          <w:rStyle w:val="CharSectno"/>
        </w:rPr>
        <w:t>15</w:t>
      </w:r>
      <w:r>
        <w:t>.</w:t>
      </w:r>
      <w:r>
        <w:tab/>
        <w:t>Form of identification for reporting in person (s. 38)</w:t>
      </w:r>
      <w:bookmarkEnd w:id="79"/>
      <w:bookmarkEnd w:id="80"/>
      <w:bookmarkEnd w:id="81"/>
      <w:bookmarkEnd w:id="82"/>
    </w:p>
    <w:p>
      <w:pPr>
        <w:pStyle w:val="Subsection"/>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b/>
        </w:rPr>
        <w:t>“</w:t>
      </w:r>
      <w:r>
        <w:rPr>
          <w:rStyle w:val="CharDefText"/>
        </w:rPr>
        <w:t>relevant report</w:t>
      </w:r>
      <w:r>
        <w:rPr>
          <w:b/>
        </w:rPr>
        <w: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(3)</w:t>
      </w:r>
      <w:r>
        <w:tab/>
        <w:t xml:space="preserve">This subregulation applies to — </w:t>
      </w:r>
    </w:p>
    <w:p>
      <w:pPr>
        <w:pStyle w:val="Indenta"/>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83" w:name="_Toc90877321"/>
      <w:bookmarkStart w:id="84" w:name="_Toc121827286"/>
      <w:bookmarkStart w:id="85" w:name="_Toc170269728"/>
      <w:bookmarkStart w:id="86" w:name="_Toc168383343"/>
      <w:r>
        <w:rPr>
          <w:rStyle w:val="CharSectno"/>
        </w:rPr>
        <w:t>16</w:t>
      </w:r>
      <w:r>
        <w:t>.</w:t>
      </w:r>
      <w:r>
        <w:tab/>
        <w:t>Prescribed distance — reporting by remote offenders (s. 43)</w:t>
      </w:r>
      <w:bookmarkEnd w:id="83"/>
      <w:bookmarkEnd w:id="84"/>
      <w:bookmarkEnd w:id="85"/>
      <w:bookmarkEnd w:id="86"/>
    </w:p>
    <w:p>
      <w:pPr>
        <w:pStyle w:val="Subsection"/>
      </w:pPr>
      <w:r>
        <w:tab/>
      </w:r>
      <w:r>
        <w:tab/>
        <w:t>For the purposes of section 43(1) of the Act, the prescribed distance is 100 km.</w:t>
      </w:r>
    </w:p>
    <w:p>
      <w:pPr>
        <w:pStyle w:val="Heading5"/>
      </w:pPr>
      <w:bookmarkStart w:id="87" w:name="_Toc90877322"/>
      <w:bookmarkStart w:id="88" w:name="_Toc121827287"/>
      <w:bookmarkStart w:id="89" w:name="_Toc170269729"/>
      <w:bookmarkStart w:id="90" w:name="_Toc168383344"/>
      <w:r>
        <w:rPr>
          <w:rStyle w:val="CharSectno"/>
        </w:rPr>
        <w:t>17</w:t>
      </w:r>
      <w:r>
        <w:t>.</w:t>
      </w:r>
      <w:r>
        <w:tab/>
        <w:t>Offences — approval by Commissioner of suspension of reporting obligations (s. 61)</w:t>
      </w:r>
      <w:bookmarkEnd w:id="87"/>
      <w:bookmarkEnd w:id="88"/>
      <w:bookmarkEnd w:id="89"/>
      <w:bookmarkEnd w:id="90"/>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iCs/>
        </w:rPr>
        <w:t xml:space="preserve">Censorship Act 1996 </w:t>
      </w:r>
      <w:r>
        <w:t>section 60</w:t>
      </w:r>
      <w:r>
        <w:rPr>
          <w:iCs/>
        </w:rPr>
        <w:t>;</w:t>
      </w:r>
    </w:p>
    <w:p>
      <w:pPr>
        <w:pStyle w:val="Indenta"/>
      </w:pPr>
      <w:r>
        <w:tab/>
        <w:t>(h)</w:t>
      </w:r>
      <w:r>
        <w:tab/>
        <w:t xml:space="preserve">an offence under the </w:t>
      </w:r>
      <w:r>
        <w:rPr>
          <w:i/>
          <w:iCs/>
        </w:rPr>
        <w:t xml:space="preserve">Censorship Act 1996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91" w:name="_Toc90877323"/>
      <w:bookmarkStart w:id="92" w:name="_Toc121827288"/>
      <w:bookmarkStart w:id="93" w:name="_Toc170269730"/>
      <w:bookmarkStart w:id="94" w:name="_Toc168383345"/>
      <w:r>
        <w:rPr>
          <w:rStyle w:val="CharSectno"/>
        </w:rPr>
        <w:t>18</w:t>
      </w:r>
      <w:r>
        <w:t>.</w:t>
      </w:r>
      <w:r>
        <w:tab/>
        <w:t>Sentences — approval by Commissioner of suspension of reporting obligations (s. 61)</w:t>
      </w:r>
      <w:bookmarkEnd w:id="91"/>
      <w:bookmarkEnd w:id="92"/>
      <w:bookmarkEnd w:id="93"/>
      <w:bookmarkEnd w:id="94"/>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95" w:name="_Toc90877324"/>
      <w:bookmarkStart w:id="96" w:name="_Toc121827289"/>
      <w:bookmarkStart w:id="97" w:name="_Toc170269731"/>
      <w:bookmarkStart w:id="98" w:name="_Toc168383346"/>
      <w:r>
        <w:rPr>
          <w:rStyle w:val="CharSectno"/>
        </w:rPr>
        <w:t>19</w:t>
      </w:r>
      <w:r>
        <w:t>.</w:t>
      </w:r>
      <w:r>
        <w:tab/>
        <w:t>Persons required to give notice of reporting obligations etc. to reportable offenders (s. 67)</w:t>
      </w:r>
      <w:bookmarkEnd w:id="95"/>
      <w:bookmarkEnd w:id="96"/>
      <w:bookmarkEnd w:id="97"/>
      <w:bookmarkEnd w:id="98"/>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pPr>
      <w:r>
        <w:tab/>
        <w:t>(g)</w:t>
      </w:r>
      <w:r>
        <w:tab/>
        <w:t>for a person who becomes a corresponding reportable offender, if he or she is in Western Australia at that time — the Commissioner.</w:t>
      </w:r>
    </w:p>
    <w:p>
      <w:pPr>
        <w:pStyle w:val="Footnotesection"/>
      </w:pPr>
      <w:bookmarkStart w:id="99" w:name="_Toc90877325"/>
      <w:bookmarkStart w:id="100" w:name="_Toc121827290"/>
      <w:r>
        <w:tab/>
        <w:t>[Regulation 19 amended in Gazette 1 Jun 2007 p. 2528.]</w:t>
      </w:r>
    </w:p>
    <w:p>
      <w:pPr>
        <w:pStyle w:val="Heading5"/>
      </w:pPr>
      <w:bookmarkStart w:id="101" w:name="_Toc170269732"/>
      <w:bookmarkStart w:id="102" w:name="_Toc168383347"/>
      <w:r>
        <w:rPr>
          <w:rStyle w:val="CharSectno"/>
        </w:rPr>
        <w:t>20</w:t>
      </w:r>
      <w:r>
        <w:t>.</w:t>
      </w:r>
      <w:r>
        <w:tab/>
        <w:t>Details to be included in notice given by supervising authority to Commissioner (s. 70)</w:t>
      </w:r>
      <w:bookmarkEnd w:id="99"/>
      <w:bookmarkEnd w:id="100"/>
      <w:bookmarkEnd w:id="101"/>
      <w:bookmarkEnd w:id="102"/>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103" w:name="_Toc90877326"/>
      <w:bookmarkStart w:id="104" w:name="_Toc121827291"/>
      <w:bookmarkStart w:id="105" w:name="_Toc170269733"/>
      <w:bookmarkStart w:id="106" w:name="_Toc168383348"/>
      <w:r>
        <w:rPr>
          <w:rStyle w:val="CharSectno"/>
        </w:rPr>
        <w:t>21</w:t>
      </w:r>
      <w:r>
        <w:t>.</w:t>
      </w:r>
      <w:r>
        <w:tab/>
        <w:t>Corresponding prohibition orders (s. 85)</w:t>
      </w:r>
      <w:bookmarkEnd w:id="103"/>
      <w:bookmarkEnd w:id="104"/>
      <w:bookmarkEnd w:id="105"/>
      <w:bookmarkEnd w:id="106"/>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Heading5"/>
      </w:pPr>
      <w:bookmarkStart w:id="107" w:name="_Toc170269734"/>
      <w:bookmarkStart w:id="108" w:name="_Toc168383349"/>
      <w:r>
        <w:rPr>
          <w:rStyle w:val="CharSectno"/>
        </w:rPr>
        <w:t>22</w:t>
      </w:r>
      <w:r>
        <w:t>.</w:t>
      </w:r>
      <w:r>
        <w:tab/>
        <w:t>Application for recognition of corresponding prohibition orders (s. 108(2)(a))</w:t>
      </w:r>
      <w:bookmarkEnd w:id="107"/>
      <w:bookmarkEnd w:id="108"/>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109" w:name="_Toc170269735"/>
      <w:bookmarkStart w:id="110" w:name="_Toc168383350"/>
      <w:r>
        <w:rPr>
          <w:rStyle w:val="CharSectno"/>
        </w:rPr>
        <w:t>23</w:t>
      </w:r>
      <w:r>
        <w:t>.</w:t>
      </w:r>
      <w:r>
        <w:tab/>
        <w:t>Recognition of corresponding prohibition orders (s. 108(2)(b))</w:t>
      </w:r>
      <w:bookmarkEnd w:id="109"/>
      <w:bookmarkEnd w:id="110"/>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2526-7]</w:t>
      </w:r>
    </w:p>
    <w:p>
      <w:pPr>
        <w:pStyle w:val="Heading5"/>
      </w:pPr>
      <w:bookmarkStart w:id="111" w:name="_Toc170269736"/>
      <w:bookmarkStart w:id="112" w:name="_Toc168383351"/>
      <w:r>
        <w:rPr>
          <w:rStyle w:val="CharSectno"/>
        </w:rPr>
        <w:t>24</w:t>
      </w:r>
      <w:r>
        <w:t>.</w:t>
      </w:r>
      <w:r>
        <w:tab/>
        <w:t>Effect of recognition of corresponding prohibition orders (s. 108(2)(d))</w:t>
      </w:r>
      <w:bookmarkEnd w:id="111"/>
      <w:bookmarkEnd w:id="112"/>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113" w:name="_Toc170269737"/>
      <w:bookmarkStart w:id="114" w:name="_Toc168383352"/>
      <w:r>
        <w:rPr>
          <w:rStyle w:val="CharSectno"/>
        </w:rPr>
        <w:t>25</w:t>
      </w:r>
      <w:r>
        <w:t>.</w:t>
      </w:r>
      <w:r>
        <w:tab/>
        <w:t>Variation or revocation of recognised order in a foreign jurisdiction</w:t>
      </w:r>
      <w:bookmarkEnd w:id="113"/>
      <w:bookmarkEnd w:id="114"/>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2527-8.]</w:t>
      </w:r>
    </w:p>
    <w:p>
      <w:pPr>
        <w:pStyle w:val="Heading5"/>
      </w:pPr>
      <w:bookmarkStart w:id="115" w:name="_Toc170269738"/>
      <w:bookmarkStart w:id="116" w:name="_Toc168383353"/>
      <w:r>
        <w:rPr>
          <w:rStyle w:val="CharSectno"/>
        </w:rPr>
        <w:t>26</w:t>
      </w:r>
      <w:r>
        <w:t>.</w:t>
      </w:r>
      <w:r>
        <w:tab/>
        <w:t>Forms</w:t>
      </w:r>
      <w:bookmarkEnd w:id="115"/>
      <w:bookmarkEnd w:id="116"/>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7" w:name="_Toc121827293"/>
      <w:bookmarkStart w:id="118" w:name="_Toc145395849"/>
      <w:bookmarkStart w:id="119" w:name="_Toc145471972"/>
      <w:bookmarkStart w:id="120" w:name="_Toc168375090"/>
      <w:bookmarkStart w:id="121" w:name="_Toc168383354"/>
      <w:bookmarkStart w:id="122" w:name="_Toc170269739"/>
      <w:bookmarkStart w:id="123" w:name="_Toc93212204"/>
      <w:r>
        <w:rPr>
          <w:rStyle w:val="CharSchNo"/>
        </w:rPr>
        <w:t>Schedule 1</w:t>
      </w:r>
      <w:r>
        <w:rPr>
          <w:rStyle w:val="CharSDivNo"/>
        </w:rPr>
        <w:t> </w:t>
      </w:r>
      <w:r>
        <w:t>—</w:t>
      </w:r>
      <w:r>
        <w:rPr>
          <w:rStyle w:val="CharSDivText"/>
        </w:rPr>
        <w:t> </w:t>
      </w:r>
      <w:r>
        <w:rPr>
          <w:rStyle w:val="CharSchText"/>
        </w:rPr>
        <w:t>Forms</w:t>
      </w:r>
      <w:bookmarkEnd w:id="117"/>
      <w:bookmarkEnd w:id="118"/>
      <w:bookmarkEnd w:id="119"/>
      <w:bookmarkEnd w:id="120"/>
      <w:bookmarkEnd w:id="121"/>
      <w:bookmarkEnd w:id="122"/>
    </w:p>
    <w:p>
      <w:pPr>
        <w:pStyle w:val="yShoulderClause"/>
      </w:pPr>
      <w:r>
        <w:t>[r. 26]</w:t>
      </w:r>
    </w:p>
    <w:p>
      <w:pPr>
        <w:pStyle w:val="yFootnotesection"/>
      </w:pPr>
      <w:r>
        <w:tab/>
        <w:t>[Heading inserted in Gazette 9 Dec 2005 p. 5888; amended in Gazette 1 Jun 2007 p. 2528.]</w:t>
      </w:r>
    </w:p>
    <w:p>
      <w:pPr>
        <w:pStyle w:val="yMiscellaneousBody"/>
        <w:tabs>
          <w:tab w:val="left" w:pos="567"/>
          <w:tab w:val="left" w:pos="1134"/>
        </w:tabs>
        <w:rPr>
          <w:b/>
          <w:bCs/>
        </w:rPr>
      </w:pPr>
      <w:bookmarkStart w:id="124" w:name="_Toc121827294"/>
      <w:r>
        <w:tab/>
      </w:r>
      <w:r>
        <w:rPr>
          <w:b/>
          <w:bCs/>
        </w:rPr>
        <w:t>1.</w:t>
      </w:r>
      <w:r>
        <w:rPr>
          <w:b/>
          <w:bCs/>
        </w:rPr>
        <w:tab/>
        <w:t>Summons: Application for order</w:t>
      </w:r>
      <w:bookmarkEnd w:id="124"/>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pPr>
            <w:r>
              <w:rPr>
                <w:sz w:val="20"/>
              </w:rPr>
              <w:sym w:font="Monotype Sorts" w:char="F06F"/>
            </w:r>
            <w:r>
              <w:rPr>
                <w:sz w:val="20"/>
              </w:rPr>
              <w:tab/>
              <w:t>Children’s Court</w:t>
            </w:r>
          </w:p>
          <w:p>
            <w:pPr>
              <w:pStyle w:val="yTable"/>
              <w:tabs>
                <w:tab w:val="left" w:pos="419"/>
              </w:tabs>
            </w:pPr>
            <w:r>
              <w:sym w:font="Monotype Sorts" w:char="F06F"/>
            </w:r>
            <w:r>
              <w:tab/>
            </w:r>
            <w:r>
              <w:rPr>
                <w:sz w:val="20"/>
              </w:rPr>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pPr>
            <w:r>
              <w:rPr>
                <w:sz w:val="20"/>
              </w:rPr>
              <w:t>____________________________________________________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rPr>
                <w:sz w:val="20"/>
              </w:rPr>
              <w:t xml:space="preserve">The Commissioner of Police has applied to the court for the following order to be made in respect of you — </w:t>
            </w:r>
          </w:p>
          <w:p>
            <w:pPr>
              <w:pStyle w:val="yTable"/>
              <w:tabs>
                <w:tab w:val="left" w:pos="419"/>
              </w:tabs>
              <w:rPr>
                <w:b/>
                <w:bCs/>
              </w:rPr>
            </w:pPr>
            <w:r>
              <w:rPr>
                <w:rFonts w:ascii="MS Mincho" w:eastAsia="MS Mincho" w:hAnsi="MS Mincho" w:hint="eastAsia"/>
              </w:rPr>
              <w:t>❑</w:t>
            </w:r>
            <w:r>
              <w:tab/>
            </w:r>
            <w:r>
              <w:rPr>
                <w:b/>
                <w:bCs/>
              </w:rPr>
              <w:t xml:space="preserve">Past offender reporting order </w:t>
            </w:r>
            <w:r>
              <w:t xml:space="preserve">(s. 19 of Act) </w:t>
            </w:r>
          </w:p>
          <w:p>
            <w:pPr>
              <w:pStyle w:val="yTable"/>
              <w:tabs>
                <w:tab w:val="left" w:pos="419"/>
              </w:tabs>
              <w:rPr>
                <w:b/>
                <w:bCs/>
              </w:rPr>
            </w:pPr>
            <w:r>
              <w:rPr>
                <w:rFonts w:ascii="MS Mincho" w:eastAsia="MS Mincho" w:hAnsi="MS Mincho" w:hint="eastAsia"/>
              </w:rPr>
              <w:t>❑</w:t>
            </w:r>
            <w:r>
              <w:tab/>
            </w:r>
            <w:r>
              <w:rPr>
                <w:b/>
                <w:bCs/>
              </w:rPr>
              <w:t xml:space="preserve">Child protection prohibition order </w:t>
            </w:r>
            <w:r>
              <w:t>(s. 90 of Act)</w:t>
            </w:r>
          </w:p>
          <w:p>
            <w:pPr>
              <w:pStyle w:val="yTable"/>
              <w:tabs>
                <w:tab w:val="left" w:pos="419"/>
              </w:tabs>
              <w:rPr>
                <w:b/>
                <w:bCs/>
              </w:rPr>
            </w:pPr>
            <w:r>
              <w:rPr>
                <w:rFonts w:ascii="MS Mincho" w:eastAsia="MS Mincho" w:hAnsi="MS Mincho" w:hint="eastAsia"/>
              </w:rPr>
              <w:t>❑</w:t>
            </w:r>
            <w:r>
              <w:tab/>
            </w:r>
            <w:r>
              <w:rPr>
                <w:b/>
                <w:bCs/>
              </w:rPr>
              <w:t xml:space="preserve">Interim protection order </w:t>
            </w:r>
            <w: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1 inserted in Gazette 9 Dec 2005 p. 5888-9.]</w:t>
      </w:r>
    </w:p>
    <w:p>
      <w:pPr>
        <w:pStyle w:val="yMiscellaneousBody"/>
        <w:tabs>
          <w:tab w:val="left" w:pos="567"/>
          <w:tab w:val="left" w:pos="1134"/>
        </w:tabs>
        <w:rPr>
          <w:b/>
          <w:bCs/>
        </w:rPr>
      </w:pPr>
      <w:bookmarkStart w:id="125" w:name="_Toc121827295"/>
      <w:r>
        <w:rPr>
          <w:b/>
          <w:bCs/>
        </w:rPr>
        <w:tab/>
        <w:t>2.</w:t>
      </w:r>
      <w:r>
        <w:rPr>
          <w:b/>
          <w:bCs/>
        </w:rPr>
        <w:tab/>
        <w:t>Summons: Further hearing after interim order</w:t>
      </w:r>
      <w:bookmarkEnd w:id="125"/>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t xml:space="preserve">The Commissioner of Police has applied to the court for a child protection prohibition order to be made in respect of you.  </w:t>
            </w:r>
          </w:p>
          <w:p>
            <w:pPr>
              <w:pStyle w:val="yTable"/>
            </w:pPr>
            <w:r>
              <w:t>An interim protection order was made on ___/____/20___.</w:t>
            </w:r>
          </w:p>
          <w:p>
            <w:pPr>
              <w:pStyle w:val="yTable"/>
              <w:rPr>
                <w:b/>
                <w:bCs/>
                <w:sz w:val="20"/>
              </w:rPr>
            </w:pPr>
            <w:r>
              <w:rPr>
                <w:b/>
                <w:bCs/>
              </w:rPr>
              <w:t>A further hearing will now be held at which the court will decide whether to make a child protection prohibition order</w:t>
            </w:r>
            <w: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2 inserted in Gazette 9 Dec 2005 p. 5889-90.]</w:t>
      </w:r>
    </w:p>
    <w:p>
      <w:pPr>
        <w:pStyle w:val="yMiscellaneousBody"/>
        <w:tabs>
          <w:tab w:val="left" w:pos="567"/>
          <w:tab w:val="left" w:pos="1134"/>
        </w:tabs>
        <w:ind w:left="1134" w:hanging="1134"/>
        <w:rPr>
          <w:b/>
          <w:bCs/>
        </w:rPr>
      </w:pPr>
      <w:bookmarkStart w:id="126" w:name="_Toc121827296"/>
      <w:r>
        <w:rPr>
          <w:b/>
          <w:bCs/>
        </w:rPr>
        <w:tab/>
        <w:t>3.</w:t>
      </w:r>
      <w:r>
        <w:rPr>
          <w:b/>
          <w:bCs/>
        </w:rPr>
        <w:tab/>
        <w:t>Summons: Application to vary or revoke child</w:t>
      </w:r>
      <w:bookmarkEnd w:id="126"/>
      <w:r>
        <w:rPr>
          <w:b/>
          <w:bCs/>
        </w:rPr>
        <w:t xml:space="preserve"> </w:t>
      </w:r>
      <w:bookmarkStart w:id="127" w:name="_Toc121827297"/>
    </w:p>
    <w:p>
      <w:pPr>
        <w:pStyle w:val="yMiscellaneousBody"/>
        <w:tabs>
          <w:tab w:val="left" w:pos="567"/>
          <w:tab w:val="left" w:pos="2127"/>
        </w:tabs>
        <w:spacing w:before="0"/>
        <w:rPr>
          <w:b/>
          <w:bCs/>
        </w:rPr>
      </w:pPr>
      <w:r>
        <w:rPr>
          <w:b/>
          <w:bCs/>
        </w:rPr>
        <w:tab/>
      </w:r>
      <w:r>
        <w:rPr>
          <w:b/>
          <w:bCs/>
        </w:rPr>
        <w:tab/>
        <w:t>protection prohibition order</w:t>
      </w:r>
      <w:bookmarkEnd w:id="127"/>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spacing w:before="0"/>
            </w:pPr>
            <w:r>
              <w:rPr>
                <w:i/>
                <w:sz w:val="20"/>
              </w:rPr>
              <w:t>Community Protection (Offender Reporting) Act 2004</w:t>
            </w:r>
            <w:r>
              <w:rPr>
                <w:iCs/>
                <w:sz w:val="20"/>
              </w:rPr>
              <w:t xml:space="preserve"> </w:t>
            </w:r>
          </w:p>
          <w:p>
            <w:pPr>
              <w:pStyle w:val="yTable"/>
              <w:spacing w:before="0"/>
              <w:jc w:val="center"/>
              <w:rPr>
                <w:b/>
                <w:bCs/>
                <w:sz w:val="28"/>
              </w:rPr>
            </w:pPr>
            <w:r>
              <w:rPr>
                <w:b/>
                <w:bCs/>
                <w:sz w:val="28"/>
              </w:rPr>
              <w:t>Summons</w:t>
            </w:r>
          </w:p>
          <w:p>
            <w:pPr>
              <w:pStyle w:val="yTable"/>
              <w:spacing w:before="0"/>
              <w:jc w:val="center"/>
              <w:rPr>
                <w:b/>
                <w:bCs/>
              </w:rPr>
            </w:pPr>
            <w:r>
              <w:rPr>
                <w:b/>
                <w:bCs/>
                <w:sz w:val="28"/>
              </w:rPr>
              <w:t>Application to vary or revoke child protection prohibition order</w:t>
            </w:r>
          </w:p>
        </w:tc>
        <w:tc>
          <w:tcPr>
            <w:tcW w:w="1985" w:type="dxa"/>
          </w:tcPr>
          <w:p>
            <w:pPr>
              <w:pStyle w:val="yTable"/>
              <w:tabs>
                <w:tab w:val="left" w:pos="419"/>
              </w:tabs>
              <w:spacing w:before="0"/>
              <w:rPr>
                <w:sz w:val="20"/>
              </w:rPr>
            </w:pPr>
            <w:r>
              <w:rPr>
                <w:sz w:val="20"/>
              </w:rPr>
              <w:sym w:font="Monotype Sorts" w:char="F06F"/>
            </w:r>
            <w:r>
              <w:rPr>
                <w:sz w:val="20"/>
              </w:rPr>
              <w:tab/>
              <w:t>Children’s Court</w:t>
            </w:r>
          </w:p>
          <w:p>
            <w:pPr>
              <w:pStyle w:val="yTable"/>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Number</w:t>
            </w:r>
          </w:p>
        </w:tc>
      </w:tr>
      <w:tr>
        <w:trPr>
          <w:cantSplit/>
          <w:trHeight w:val="183"/>
        </w:trPr>
        <w:tc>
          <w:tcPr>
            <w:tcW w:w="1225" w:type="dxa"/>
            <w:vMerge w:val="restart"/>
            <w:shd w:val="clear" w:color="auto" w:fill="E6E6E6"/>
          </w:tcPr>
          <w:p>
            <w:pPr>
              <w:pStyle w:val="yTable"/>
              <w:spacing w:before="0"/>
            </w:pPr>
            <w:r>
              <w:rPr>
                <w:b/>
                <w:bCs/>
                <w:sz w:val="20"/>
              </w:rPr>
              <w:t xml:space="preserve">Order </w:t>
            </w:r>
          </w:p>
        </w:tc>
        <w:tc>
          <w:tcPr>
            <w:tcW w:w="5387" w:type="dxa"/>
            <w:gridSpan w:val="2"/>
          </w:tcPr>
          <w:p>
            <w:pPr>
              <w:pStyle w:val="yTable"/>
              <w:spacing w:before="0"/>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pPr>
            <w:r>
              <w:rPr>
                <w:sz w:val="20"/>
              </w:rPr>
              <w:sym w:font="Monotype Sorts" w:char="F06F"/>
            </w:r>
            <w:r>
              <w:rPr>
                <w:sz w:val="20"/>
              </w:rPr>
              <w:tab/>
              <w:t xml:space="preserve">Commissioner of Police </w:t>
            </w:r>
          </w:p>
          <w:p>
            <w:pPr>
              <w:pStyle w:val="yTable"/>
              <w:tabs>
                <w:tab w:val="left" w:pos="419"/>
              </w:tabs>
              <w:spacing w:before="0"/>
            </w:pPr>
            <w:r>
              <w:sym w:font="Monotype Sorts" w:char="F06F"/>
            </w:r>
            <w:r>
              <w:tab/>
              <w:t xml:space="preserve">Person subject to order </w:t>
            </w:r>
          </w:p>
          <w:p>
            <w:pPr>
              <w:pStyle w:val="yTable"/>
              <w:spacing w:before="0"/>
            </w:pPr>
            <w:r>
              <w:t>Leave to apply granted _____/_____/20____</w:t>
            </w:r>
          </w:p>
          <w:p>
            <w:pPr>
              <w:pStyle w:val="yTable"/>
              <w:spacing w:before="0"/>
            </w:pPr>
            <w:r>
              <w:t>Address __________________________________________</w:t>
            </w:r>
          </w:p>
          <w:p>
            <w:pPr>
              <w:pStyle w:val="yTable"/>
              <w:spacing w:before="0"/>
              <w:rPr>
                <w:b/>
                <w:bCs/>
              </w:rPr>
            </w:pPr>
            <w:r>
              <w:tab/>
            </w:r>
            <w: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t xml:space="preserve">To vary order to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pPr>
            <w:r>
              <w:sym w:font="Monotype Sorts" w:char="F06F"/>
            </w:r>
            <w: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829"/>
              </w:tabs>
              <w:spacing w:before="0"/>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spacing w:before="0"/>
            </w:pPr>
            <w:r>
              <w:rPr>
                <w:sz w:val="20"/>
              </w:rPr>
              <w:t>___________________________________</w:t>
            </w:r>
          </w:p>
          <w:p>
            <w:pPr>
              <w:pStyle w:val="yTable"/>
              <w:spacing w:before="0"/>
              <w:rPr>
                <w:highlight w:val="yellow"/>
              </w:rPr>
            </w:pPr>
            <w:r>
              <w:rPr>
                <w:i/>
                <w:iCs/>
                <w:sz w:val="16"/>
              </w:rPr>
              <w:t>[Signature of Registrar]</w:t>
            </w:r>
            <w:r>
              <w:rPr>
                <w:sz w:val="16"/>
              </w:rPr>
              <w:t xml:space="preserve"> </w:t>
            </w:r>
            <w:r>
              <w:tab/>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spacing w:before="0"/>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w:t>
            </w:r>
          </w:p>
          <w:p>
            <w:pPr>
              <w:pStyle w:val="yTable"/>
              <w:spacing w:before="0"/>
            </w:pPr>
            <w: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pPr>
            <w:r>
              <w:tab/>
            </w:r>
            <w:r>
              <w:rPr>
                <w:rFonts w:ascii="MS Mincho" w:eastAsia="MS Mincho" w:hAnsi="MS Mincho" w:hint="eastAsia"/>
              </w:rPr>
              <w:t>❑</w:t>
            </w:r>
            <w:r>
              <w:tab/>
              <w:t>Posted to respondent’s last known address</w:t>
            </w:r>
          </w:p>
          <w:p>
            <w:pPr>
              <w:pStyle w:val="yTable"/>
              <w:tabs>
                <w:tab w:val="left" w:pos="844"/>
                <w:tab w:val="left" w:pos="1411"/>
              </w:tabs>
              <w:spacing w:before="0"/>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687"/>
              </w:tabs>
              <w:spacing w:before="0"/>
              <w:rPr>
                <w:i/>
                <w:iCs/>
              </w:rPr>
            </w:pPr>
            <w:r>
              <w:rPr>
                <w:i/>
                <w:iCs/>
              </w:rPr>
              <w:t>[Signature]</w:t>
            </w:r>
            <w:r>
              <w:t xml:space="preserve"> </w:t>
            </w:r>
            <w:r>
              <w:tab/>
              <w:t>Date ____/_____/20____</w:t>
            </w:r>
          </w:p>
        </w:tc>
      </w:tr>
    </w:tbl>
    <w:p>
      <w:pPr>
        <w:pStyle w:val="yFootnotesection"/>
      </w:pPr>
      <w:r>
        <w:tab/>
        <w:t>[Form 3 inserted in Gazette 9 Dec 2005 p. 5890-1.]</w:t>
      </w:r>
    </w:p>
    <w:p>
      <w:pPr>
        <w:tabs>
          <w:tab w:val="left" w:pos="419"/>
        </w:tabs>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28" w:name="_Toc121813512"/>
      <w:bookmarkStart w:id="129" w:name="_Toc121827298"/>
      <w:bookmarkStart w:id="130" w:name="_Toc145395850"/>
      <w:bookmarkStart w:id="131" w:name="_Toc145471973"/>
      <w:bookmarkStart w:id="132" w:name="_Toc168375091"/>
      <w:bookmarkStart w:id="133" w:name="_Toc168383355"/>
      <w:bookmarkStart w:id="134" w:name="_Toc170269740"/>
      <w:r>
        <w:t>Notes</w:t>
      </w:r>
      <w:bookmarkEnd w:id="123"/>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This</w:t>
      </w:r>
      <w:del w:id="135" w:author="Master Repository Process" w:date="2021-07-31T17:01:00Z">
        <w:r>
          <w:rPr>
            <w:snapToGrid w:val="0"/>
          </w:rPr>
          <w:delText xml:space="preserve"> </w:delText>
        </w:r>
      </w:del>
      <w:ins w:id="136" w:author="Master Repository Process" w:date="2021-07-31T17:01:00Z">
        <w:r>
          <w:rPr>
            <w:snapToGrid w:val="0"/>
          </w:rPr>
          <w:t> </w:t>
        </w:r>
      </w:ins>
      <w:r>
        <w:rPr>
          <w:snapToGrid w:val="0"/>
        </w:rPr>
        <w:t xml:space="preserve">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w:t>
      </w:r>
    </w:p>
    <w:p>
      <w:pPr>
        <w:pStyle w:val="nHeading3"/>
      </w:pPr>
      <w:bookmarkStart w:id="137" w:name="_Toc121827299"/>
      <w:bookmarkStart w:id="138" w:name="_Toc170269741"/>
      <w:bookmarkStart w:id="139" w:name="_Toc168383356"/>
      <w:r>
        <w:t>Compilation table</w:t>
      </w:r>
      <w:bookmarkEnd w:id="137"/>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2525-8</w:t>
            </w:r>
          </w:p>
        </w:tc>
        <w:tc>
          <w:tcPr>
            <w:tcW w:w="2693" w:type="dxa"/>
          </w:tcPr>
          <w:p>
            <w:pPr>
              <w:pStyle w:val="nTable"/>
              <w:spacing w:after="40"/>
              <w:rPr>
                <w:sz w:val="19"/>
              </w:rPr>
            </w:pPr>
            <w:r>
              <w:rPr>
                <w:sz w:val="19"/>
              </w:rPr>
              <w:t>1 Jun 2007</w:t>
            </w:r>
          </w:p>
        </w:tc>
      </w:tr>
      <w:tr>
        <w:trPr>
          <w:ins w:id="140" w:author="Master Repository Process" w:date="2021-07-31T17:01:00Z"/>
        </w:trPr>
        <w:tc>
          <w:tcPr>
            <w:tcW w:w="3118" w:type="dxa"/>
            <w:tcBorders>
              <w:bottom w:val="single" w:sz="8" w:space="0" w:color="auto"/>
            </w:tcBorders>
          </w:tcPr>
          <w:p>
            <w:pPr>
              <w:pStyle w:val="nTable"/>
              <w:spacing w:after="40"/>
              <w:rPr>
                <w:ins w:id="141" w:author="Master Repository Process" w:date="2021-07-31T17:01:00Z"/>
                <w:i/>
                <w:noProof/>
                <w:snapToGrid w:val="0"/>
                <w:sz w:val="19"/>
              </w:rPr>
            </w:pPr>
            <w:ins w:id="142" w:author="Master Repository Process" w:date="2021-07-31T17:01:00Z">
              <w:r>
                <w:rPr>
                  <w:i/>
                  <w:noProof/>
                  <w:snapToGrid w:val="0"/>
                  <w:sz w:val="19"/>
                </w:rPr>
                <w:t>Community Protection (Offender Reporting) Amendment Regulations (No. 2) 2007</w:t>
              </w:r>
            </w:ins>
          </w:p>
        </w:tc>
        <w:tc>
          <w:tcPr>
            <w:tcW w:w="1276" w:type="dxa"/>
            <w:tcBorders>
              <w:bottom w:val="single" w:sz="8" w:space="0" w:color="auto"/>
            </w:tcBorders>
          </w:tcPr>
          <w:p>
            <w:pPr>
              <w:pStyle w:val="nTable"/>
              <w:spacing w:after="40"/>
              <w:rPr>
                <w:ins w:id="143" w:author="Master Repository Process" w:date="2021-07-31T17:01:00Z"/>
                <w:sz w:val="19"/>
              </w:rPr>
            </w:pPr>
            <w:ins w:id="144" w:author="Master Repository Process" w:date="2021-07-31T17:01:00Z">
              <w:r>
                <w:rPr>
                  <w:sz w:val="19"/>
                </w:rPr>
                <w:t>22 Jun 2007 p. 2862</w:t>
              </w:r>
            </w:ins>
          </w:p>
        </w:tc>
        <w:tc>
          <w:tcPr>
            <w:tcW w:w="2693" w:type="dxa"/>
            <w:tcBorders>
              <w:bottom w:val="single" w:sz="8" w:space="0" w:color="auto"/>
            </w:tcBorders>
          </w:tcPr>
          <w:p>
            <w:pPr>
              <w:pStyle w:val="nTable"/>
              <w:spacing w:after="40"/>
              <w:rPr>
                <w:ins w:id="145" w:author="Master Repository Process" w:date="2021-07-31T17:01:00Z"/>
                <w:sz w:val="19"/>
              </w:rPr>
            </w:pPr>
            <w:ins w:id="146" w:author="Master Repository Process" w:date="2021-07-31T17:01:00Z">
              <w:r>
                <w:rPr>
                  <w:sz w:val="19"/>
                </w:rPr>
                <w:t>22 Jun 2007</w:t>
              </w:r>
            </w:ins>
          </w:p>
        </w:tc>
      </w:tr>
    </w:tbl>
    <w:p>
      <w:pPr>
        <w:rPr>
          <w:iCs/>
        </w:rPr>
      </w:pPr>
      <w:bookmarkStart w:id="147" w:name="UpToHere"/>
      <w:bookmarkEnd w:id="147"/>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045"/>
    <w:docVar w:name="WAFER_20151208100045" w:val="RemoveTrackChanges"/>
    <w:docVar w:name="WAFER_20151208100045_GUID" w:val="1cb7e97d-e479-4596-850e-f6344d251a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82486C1-95B1-4E99-91D6-794A6DC2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4119</Words>
  <Characters>21506</Characters>
  <Application>Microsoft Office Word</Application>
  <DocSecurity>0</DocSecurity>
  <Lines>716</Lines>
  <Paragraphs>474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00-e0-04 - 00-f0-05</dc:title>
  <dc:subject/>
  <dc:creator/>
  <cp:keywords/>
  <dc:description/>
  <cp:lastModifiedBy>Master Repository Process</cp:lastModifiedBy>
  <cp:revision>2</cp:revision>
  <cp:lastPrinted>2004-12-15T04:28:00Z</cp:lastPrinted>
  <dcterms:created xsi:type="dcterms:W3CDTF">2021-07-31T09:01:00Z</dcterms:created>
  <dcterms:modified xsi:type="dcterms:W3CDTF">2021-07-31T09:01:00Z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20070622</vt:lpwstr>
  </property>
  <property fmtid="{D5CDD505-2E9C-101B-9397-08002B2CF9AE}" pid="4" name="DocumentType">
    <vt:lpwstr>Reg</vt:lpwstr>
  </property>
  <property fmtid="{D5CDD505-2E9C-101B-9397-08002B2CF9AE}" pid="5" name="OwlsUID">
    <vt:i4>37311</vt:i4>
  </property>
  <property fmtid="{D5CDD505-2E9C-101B-9397-08002B2CF9AE}" pid="6" name="FromSuffix">
    <vt:lpwstr>00-e0-04</vt:lpwstr>
  </property>
  <property fmtid="{D5CDD505-2E9C-101B-9397-08002B2CF9AE}" pid="7" name="FromAsAtDate">
    <vt:lpwstr>01 Jun 2007</vt:lpwstr>
  </property>
  <property fmtid="{D5CDD505-2E9C-101B-9397-08002B2CF9AE}" pid="8" name="ToSuffix">
    <vt:lpwstr>00-f0-05</vt:lpwstr>
  </property>
  <property fmtid="{D5CDD505-2E9C-101B-9397-08002B2CF9AE}" pid="9" name="ToAsAtDate">
    <vt:lpwstr>22 Jun 2007</vt:lpwstr>
  </property>
</Properties>
</file>