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Land Tax Act 2002</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05 Feb 2007</w:t>
      </w:r>
      <w:r>
        <w:fldChar w:fldCharType="end"/>
      </w:r>
      <w:r>
        <w:t xml:space="preserve">, </w:t>
      </w:r>
      <w:r>
        <w:fldChar w:fldCharType="begin"/>
      </w:r>
      <w:r>
        <w:instrText xml:space="preserve"> DocProperty FromSuffix </w:instrText>
      </w:r>
      <w:r>
        <w:fldChar w:fldCharType="separate"/>
      </w:r>
      <w:r>
        <w:t>01-c0-04</w:t>
      </w:r>
      <w:r>
        <w:fldChar w:fldCharType="end"/>
      </w:r>
      <w:r>
        <w:t>] and [</w:t>
      </w:r>
      <w:r>
        <w:fldChar w:fldCharType="begin"/>
      </w:r>
      <w:r>
        <w:instrText xml:space="preserve"> DocProperty ToAsAtDate</w:instrText>
      </w:r>
      <w:r>
        <w:fldChar w:fldCharType="separate"/>
      </w:r>
      <w:r>
        <w:t>30 Jun 2007</w:t>
      </w:r>
      <w:r>
        <w:fldChar w:fldCharType="end"/>
      </w:r>
      <w:r>
        <w:t xml:space="preserve">, </w:t>
      </w:r>
      <w:r>
        <w:fldChar w:fldCharType="begin"/>
      </w:r>
      <w:r>
        <w:instrText xml:space="preserve"> DocProperty ToSuffix</w:instrText>
      </w:r>
      <w:r>
        <w:fldChar w:fldCharType="separate"/>
      </w:r>
      <w:r>
        <w:t>01-d0-02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uppressLineNumbers/>
        <w:spacing w:after="480"/>
      </w:pPr>
      <w:r>
        <w:lastRenderedPageBreak/>
        <w:t>Western Australia</w:t>
      </w:r>
    </w:p>
    <w:p>
      <w:pPr>
        <w:pStyle w:val="NameofActReg"/>
        <w:suppressLineNumbers/>
        <w:spacing w:before="960"/>
      </w:pPr>
      <w:r>
        <w:t>Land Tax Act 2002</w:t>
      </w:r>
    </w:p>
    <w:p>
      <w:pPr>
        <w:pStyle w:val="LongTitle"/>
        <w:suppressLineNumbers/>
      </w:pPr>
      <w:r>
        <w:rPr>
          <w:snapToGrid w:val="0"/>
        </w:rPr>
        <w:t>A</w:t>
      </w:r>
      <w:bookmarkStart w:id="0" w:name="_GoBack"/>
      <w:bookmarkEnd w:id="0"/>
      <w:r>
        <w:rPr>
          <w:snapToGrid w:val="0"/>
        </w:rPr>
        <w:t>n Act to impose land tax</w:t>
      </w:r>
      <w:r>
        <w:t>.</w:t>
      </w:r>
    </w:p>
    <w:p>
      <w:pPr>
        <w:pStyle w:val="Heading5"/>
        <w:spacing w:before="520"/>
        <w:rPr>
          <w:snapToGrid w:val="0"/>
        </w:rPr>
      </w:pPr>
      <w:bookmarkStart w:id="1" w:name="_Toc471793481"/>
      <w:bookmarkStart w:id="2" w:name="_Toc512746194"/>
      <w:bookmarkStart w:id="3" w:name="_Toc515958175"/>
      <w:bookmarkStart w:id="4" w:name="_Toc27490568"/>
      <w:bookmarkStart w:id="5" w:name="_Toc44565504"/>
      <w:bookmarkStart w:id="6" w:name="_Toc140045675"/>
      <w:bookmarkStart w:id="7" w:name="_Toc171236344"/>
      <w:bookmarkStart w:id="8" w:name="_Toc161629376"/>
      <w:r>
        <w:rPr>
          <w:rStyle w:val="CharSectno"/>
        </w:rPr>
        <w:t>1</w:t>
      </w:r>
      <w:r>
        <w:rPr>
          <w:snapToGrid w:val="0"/>
        </w:rPr>
        <w:t>.</w:t>
      </w:r>
      <w:r>
        <w:rPr>
          <w:snapToGrid w:val="0"/>
        </w:rPr>
        <w:tab/>
        <w:t>Short title</w:t>
      </w:r>
      <w:bookmarkEnd w:id="1"/>
      <w:bookmarkEnd w:id="2"/>
      <w:bookmarkEnd w:id="3"/>
      <w:bookmarkEnd w:id="4"/>
      <w:bookmarkEnd w:id="5"/>
      <w:bookmarkEnd w:id="6"/>
      <w:bookmarkEnd w:id="7"/>
      <w:bookmarkEnd w:id="8"/>
    </w:p>
    <w:p>
      <w:pPr>
        <w:pStyle w:val="Subsection"/>
        <w:rPr>
          <w:snapToGrid w:val="0"/>
        </w:rPr>
      </w:pPr>
      <w:r>
        <w:rPr>
          <w:snapToGrid w:val="0"/>
        </w:rPr>
        <w:tab/>
      </w:r>
      <w:r>
        <w:rPr>
          <w:snapToGrid w:val="0"/>
        </w:rPr>
        <w:tab/>
        <w:t>This Act may be cited as the</w:t>
      </w:r>
      <w:r>
        <w:rPr>
          <w:i/>
          <w:snapToGrid w:val="0"/>
        </w:rPr>
        <w:t xml:space="preserve"> Land Tax Act 2002</w:t>
      </w:r>
      <w:r>
        <w:rPr>
          <w:snapToGrid w:val="0"/>
          <w:vertAlign w:val="superscript"/>
        </w:rPr>
        <w:t> 1</w:t>
      </w:r>
      <w:r>
        <w:rPr>
          <w:snapToGrid w:val="0"/>
        </w:rPr>
        <w:t>.</w:t>
      </w:r>
    </w:p>
    <w:p>
      <w:pPr>
        <w:pStyle w:val="Heading5"/>
        <w:rPr>
          <w:snapToGrid w:val="0"/>
        </w:rPr>
      </w:pPr>
      <w:bookmarkStart w:id="9" w:name="_Toc471793482"/>
      <w:bookmarkStart w:id="10" w:name="_Toc512746195"/>
      <w:bookmarkStart w:id="11" w:name="_Toc515958176"/>
      <w:bookmarkStart w:id="12" w:name="_Toc27490569"/>
      <w:bookmarkStart w:id="13" w:name="_Toc44565505"/>
      <w:bookmarkStart w:id="14" w:name="_Toc140045676"/>
      <w:bookmarkStart w:id="15" w:name="_Toc171236345"/>
      <w:bookmarkStart w:id="16" w:name="_Toc161629377"/>
      <w:r>
        <w:rPr>
          <w:rStyle w:val="CharSectno"/>
        </w:rPr>
        <w:t>2</w:t>
      </w:r>
      <w:r>
        <w:rPr>
          <w:snapToGrid w:val="0"/>
        </w:rPr>
        <w:t>.</w:t>
      </w:r>
      <w:r>
        <w:rPr>
          <w:snapToGrid w:val="0"/>
        </w:rPr>
        <w:tab/>
        <w:t>Commencement</w:t>
      </w:r>
      <w:bookmarkEnd w:id="9"/>
      <w:bookmarkEnd w:id="10"/>
      <w:bookmarkEnd w:id="11"/>
      <w:bookmarkEnd w:id="12"/>
      <w:bookmarkEnd w:id="13"/>
      <w:bookmarkEnd w:id="14"/>
      <w:bookmarkEnd w:id="15"/>
      <w:bookmarkEnd w:id="16"/>
    </w:p>
    <w:p>
      <w:pPr>
        <w:pStyle w:val="Subsection"/>
      </w:pPr>
      <w:r>
        <w:tab/>
      </w:r>
      <w:r>
        <w:tab/>
        <w:t xml:space="preserve">This Act comes into operation on the day on which the </w:t>
      </w:r>
      <w:r>
        <w:rPr>
          <w:i/>
        </w:rPr>
        <w:t>Taxation Administration Act 2003</w:t>
      </w:r>
      <w:r>
        <w:t xml:space="preserve"> comes into operation</w:t>
      </w:r>
      <w:r>
        <w:rPr>
          <w:vertAlign w:val="superscript"/>
        </w:rPr>
        <w:t> 1</w:t>
      </w:r>
      <w:r>
        <w:t>.</w:t>
      </w:r>
    </w:p>
    <w:p>
      <w:pPr>
        <w:pStyle w:val="Heading5"/>
      </w:pPr>
      <w:bookmarkStart w:id="17" w:name="_Toc27490570"/>
      <w:bookmarkStart w:id="18" w:name="_Toc44565506"/>
      <w:bookmarkStart w:id="19" w:name="_Toc140045677"/>
      <w:bookmarkStart w:id="20" w:name="_Toc171236346"/>
      <w:bookmarkStart w:id="21" w:name="_Toc161629378"/>
      <w:r>
        <w:rPr>
          <w:rStyle w:val="CharSectno"/>
        </w:rPr>
        <w:t>3</w:t>
      </w:r>
      <w:r>
        <w:t>.</w:t>
      </w:r>
      <w:r>
        <w:tab/>
        <w:t>Relationship with other Acts</w:t>
      </w:r>
      <w:bookmarkEnd w:id="17"/>
      <w:bookmarkEnd w:id="18"/>
      <w:bookmarkEnd w:id="19"/>
      <w:bookmarkEnd w:id="20"/>
      <w:bookmarkEnd w:id="21"/>
    </w:p>
    <w:p>
      <w:pPr>
        <w:pStyle w:val="Subsection"/>
      </w:pPr>
      <w:r>
        <w:tab/>
      </w:r>
      <w:r>
        <w:tab/>
        <w:t xml:space="preserve">The </w:t>
      </w:r>
      <w:r>
        <w:rPr>
          <w:i/>
        </w:rPr>
        <w:t>Land Tax Assessment Act 2002</w:t>
      </w:r>
      <w:r>
        <w:t xml:space="preserve"> and the </w:t>
      </w:r>
      <w:r>
        <w:rPr>
          <w:i/>
        </w:rPr>
        <w:t>Taxation Administration Act 2003</w:t>
      </w:r>
      <w:r>
        <w:t xml:space="preserve"> are to be read with this Act as if they formed a single Act.</w:t>
      </w:r>
    </w:p>
    <w:p>
      <w:pPr>
        <w:pStyle w:val="Heading5"/>
      </w:pPr>
      <w:bookmarkStart w:id="22" w:name="_Toc27490571"/>
      <w:bookmarkStart w:id="23" w:name="_Toc44565507"/>
      <w:bookmarkStart w:id="24" w:name="_Toc140045678"/>
      <w:bookmarkStart w:id="25" w:name="_Toc171236347"/>
      <w:bookmarkStart w:id="26" w:name="_Toc161629379"/>
      <w:r>
        <w:rPr>
          <w:rStyle w:val="CharSectno"/>
        </w:rPr>
        <w:t>4.</w:t>
      </w:r>
      <w:r>
        <w:tab/>
        <w:t>Meaning of terms</w:t>
      </w:r>
      <w:bookmarkEnd w:id="22"/>
      <w:bookmarkEnd w:id="23"/>
      <w:bookmarkEnd w:id="24"/>
      <w:bookmarkEnd w:id="25"/>
      <w:bookmarkEnd w:id="26"/>
    </w:p>
    <w:p>
      <w:pPr>
        <w:pStyle w:val="Subsection"/>
      </w:pPr>
      <w:r>
        <w:tab/>
      </w:r>
      <w:r>
        <w:tab/>
        <w:t xml:space="preserve">The Glossaries at the end of the </w:t>
      </w:r>
      <w:r>
        <w:rPr>
          <w:i/>
        </w:rPr>
        <w:t>Taxation Administration Act 2003</w:t>
      </w:r>
      <w:r>
        <w:t xml:space="preserve"> and the </w:t>
      </w:r>
      <w:r>
        <w:rPr>
          <w:i/>
        </w:rPr>
        <w:t>Land Tax Assessment Act 2002</w:t>
      </w:r>
      <w:r>
        <w:t xml:space="preserve"> define or affect the meaning of some of the words and expressions used in this Act and also affect the operation of other provisions.</w:t>
      </w:r>
    </w:p>
    <w:p>
      <w:pPr>
        <w:pStyle w:val="Heading5"/>
      </w:pPr>
      <w:bookmarkStart w:id="27" w:name="_Toc455628589"/>
      <w:bookmarkStart w:id="28" w:name="_Toc27490572"/>
      <w:bookmarkStart w:id="29" w:name="_Toc44565508"/>
      <w:bookmarkStart w:id="30" w:name="_Toc140045679"/>
      <w:bookmarkStart w:id="31" w:name="_Toc171236348"/>
      <w:bookmarkStart w:id="32" w:name="_Toc161629380"/>
      <w:r>
        <w:rPr>
          <w:rStyle w:val="CharSectno"/>
        </w:rPr>
        <w:t>5</w:t>
      </w:r>
      <w:r>
        <w:t>.</w:t>
      </w:r>
      <w:r>
        <w:tab/>
        <w:t>Imposition of land tax</w:t>
      </w:r>
      <w:bookmarkEnd w:id="27"/>
      <w:bookmarkEnd w:id="28"/>
      <w:bookmarkEnd w:id="29"/>
      <w:bookmarkEnd w:id="30"/>
      <w:bookmarkEnd w:id="31"/>
      <w:bookmarkEnd w:id="32"/>
    </w:p>
    <w:p>
      <w:pPr>
        <w:pStyle w:val="Subsection"/>
        <w:keepNext/>
      </w:pPr>
      <w:r>
        <w:tab/>
      </w:r>
      <w:r>
        <w:tab/>
        <w:t>Land tax is imposed at the rates shown in the table to this section for the relevant financial year according to the unimproved value of the land.</w:t>
      </w:r>
    </w:p>
    <w:p>
      <w:pPr>
        <w:pStyle w:val="MiscellaneousHeading"/>
        <w:spacing w:before="220" w:after="60"/>
        <w:rPr>
          <w:b/>
        </w:rPr>
      </w:pPr>
      <w:r>
        <w:rPr>
          <w:b/>
        </w:rPr>
        <w:t>Table 1: Land tax rates for 2002/03</w:t>
      </w:r>
    </w:p>
    <w:tbl>
      <w:tblPr>
        <w:tblW w:w="0" w:type="auto"/>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304"/>
        <w:gridCol w:w="1531"/>
        <w:gridCol w:w="3402"/>
      </w:tblGrid>
      <w:tr>
        <w:trPr>
          <w:cantSplit/>
          <w:trHeight w:val="240"/>
          <w:tblHeader/>
        </w:trPr>
        <w:tc>
          <w:tcPr>
            <w:tcW w:w="1531" w:type="dxa"/>
            <w:gridSpan w:val="2"/>
            <w:tcBorders>
              <w:top w:val="single" w:sz="4" w:space="0" w:color="auto"/>
              <w:left w:val="nil"/>
              <w:bottom w:val="nil"/>
              <w:right w:val="nil"/>
            </w:tcBorders>
          </w:tcPr>
          <w:p>
            <w:pPr>
              <w:pStyle w:val="Table"/>
              <w:spacing w:after="40" w:line="240" w:lineRule="auto"/>
              <w:jc w:val="center"/>
              <w:rPr>
                <w:b/>
              </w:rPr>
            </w:pPr>
            <w:r>
              <w:rPr>
                <w:b/>
              </w:rPr>
              <w:t xml:space="preserve">Unimproved value </w:t>
            </w:r>
            <w:r>
              <w:rPr>
                <w:b/>
              </w:rPr>
              <w:br/>
              <w:t xml:space="preserve">of the land </w:t>
            </w:r>
          </w:p>
        </w:tc>
        <w:tc>
          <w:tcPr>
            <w:tcW w:w="3402" w:type="dxa"/>
            <w:tcBorders>
              <w:top w:val="single" w:sz="4" w:space="0" w:color="auto"/>
              <w:left w:val="nil"/>
              <w:bottom w:val="nil"/>
              <w:right w:val="nil"/>
            </w:tcBorders>
          </w:tcPr>
          <w:p>
            <w:pPr>
              <w:pStyle w:val="Table"/>
              <w:spacing w:after="40" w:line="240" w:lineRule="auto"/>
              <w:jc w:val="center"/>
              <w:rPr>
                <w:b/>
              </w:rPr>
            </w:pPr>
          </w:p>
        </w:tc>
      </w:tr>
      <w:tr>
        <w:tblPrEx>
          <w:tblCellMar>
            <w:left w:w="85" w:type="dxa"/>
            <w:right w:w="85" w:type="dxa"/>
          </w:tblCellMar>
        </w:tblPrEx>
        <w:trPr>
          <w:cantSplit/>
          <w:trHeight w:val="240"/>
          <w:tblHeader/>
        </w:trPr>
        <w:tc>
          <w:tcPr>
            <w:tcW w:w="1304" w:type="dxa"/>
            <w:tcBorders>
              <w:top w:val="single" w:sz="4" w:space="0" w:color="auto"/>
              <w:left w:val="nil"/>
              <w:bottom w:val="single" w:sz="4" w:space="0" w:color="auto"/>
              <w:right w:val="nil"/>
            </w:tcBorders>
          </w:tcPr>
          <w:p>
            <w:pPr>
              <w:pStyle w:val="Table"/>
              <w:spacing w:after="40" w:line="240" w:lineRule="auto"/>
              <w:jc w:val="both"/>
              <w:rPr>
                <w:b/>
              </w:rPr>
            </w:pPr>
            <w:r>
              <w:rPr>
                <w:b/>
              </w:rPr>
              <w:t>Exceeding</w:t>
            </w:r>
          </w:p>
          <w:p>
            <w:pPr>
              <w:pStyle w:val="Table"/>
              <w:spacing w:after="40" w:line="240" w:lineRule="auto"/>
              <w:jc w:val="center"/>
              <w:rPr>
                <w:b/>
              </w:rPr>
            </w:pPr>
            <w:r>
              <w:rPr>
                <w:b/>
              </w:rPr>
              <w:t>($)</w:t>
            </w:r>
          </w:p>
        </w:tc>
        <w:tc>
          <w:tcPr>
            <w:tcW w:w="1531" w:type="dxa"/>
            <w:tcBorders>
              <w:top w:val="single" w:sz="4" w:space="0" w:color="auto"/>
              <w:left w:val="nil"/>
              <w:bottom w:val="single" w:sz="4" w:space="0" w:color="auto"/>
              <w:right w:val="nil"/>
            </w:tcBorders>
          </w:tcPr>
          <w:p>
            <w:pPr>
              <w:pStyle w:val="Table"/>
              <w:spacing w:after="40" w:line="240" w:lineRule="auto"/>
              <w:jc w:val="both"/>
              <w:rPr>
                <w:b/>
              </w:rPr>
            </w:pPr>
            <w:r>
              <w:rPr>
                <w:b/>
              </w:rPr>
              <w:t>Not exceeding</w:t>
            </w:r>
          </w:p>
          <w:p>
            <w:pPr>
              <w:pStyle w:val="Table"/>
              <w:spacing w:after="40" w:line="240" w:lineRule="auto"/>
              <w:jc w:val="center"/>
              <w:rPr>
                <w:b/>
              </w:rPr>
            </w:pPr>
            <w:r>
              <w:rPr>
                <w:b/>
              </w:rPr>
              <w:t>($)</w:t>
            </w:r>
          </w:p>
        </w:tc>
        <w:tc>
          <w:tcPr>
            <w:tcW w:w="3402" w:type="dxa"/>
            <w:tcBorders>
              <w:top w:val="nil"/>
              <w:left w:val="nil"/>
              <w:bottom w:val="single" w:sz="4" w:space="0" w:color="auto"/>
              <w:right w:val="nil"/>
            </w:tcBorders>
          </w:tcPr>
          <w:p>
            <w:pPr>
              <w:pStyle w:val="yTable"/>
              <w:spacing w:after="40" w:line="288" w:lineRule="auto"/>
              <w:jc w:val="center"/>
              <w:rPr>
                <w:b/>
              </w:rPr>
            </w:pPr>
            <w:r>
              <w:rPr>
                <w:b/>
              </w:rPr>
              <w:t>Rate of land tax</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
              <w:tabs>
                <w:tab w:val="right" w:leader="dot" w:pos="1460"/>
              </w:tabs>
              <w:spacing w:after="40" w:line="240" w:lineRule="auto"/>
            </w:pPr>
            <w:r>
              <w:t>0</w:t>
            </w:r>
          </w:p>
        </w:tc>
        <w:tc>
          <w:tcPr>
            <w:tcW w:w="1531" w:type="dxa"/>
            <w:tcBorders>
              <w:top w:val="nil"/>
              <w:left w:val="nil"/>
              <w:bottom w:val="nil"/>
              <w:right w:val="nil"/>
            </w:tcBorders>
          </w:tcPr>
          <w:p>
            <w:pPr>
              <w:pStyle w:val="Table"/>
              <w:tabs>
                <w:tab w:val="right" w:leader="dot" w:pos="1460"/>
              </w:tabs>
              <w:spacing w:after="40" w:line="240" w:lineRule="auto"/>
            </w:pPr>
            <w:r>
              <w:t>50 000</w:t>
            </w:r>
          </w:p>
        </w:tc>
        <w:tc>
          <w:tcPr>
            <w:tcW w:w="3402" w:type="dxa"/>
            <w:tcBorders>
              <w:top w:val="nil"/>
              <w:left w:val="nil"/>
              <w:bottom w:val="nil"/>
              <w:right w:val="nil"/>
            </w:tcBorders>
          </w:tcPr>
          <w:p>
            <w:pPr>
              <w:pStyle w:val="Table"/>
              <w:tabs>
                <w:tab w:val="right" w:leader="dot" w:pos="1460"/>
              </w:tabs>
              <w:spacing w:after="40" w:line="240" w:lineRule="auto"/>
            </w:pPr>
            <w:r>
              <w:t>Nil</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
              <w:tabs>
                <w:tab w:val="right" w:leader="dot" w:pos="1460"/>
              </w:tabs>
              <w:spacing w:after="40" w:line="240" w:lineRule="auto"/>
            </w:pPr>
            <w:r>
              <w:t>50 000</w:t>
            </w:r>
          </w:p>
        </w:tc>
        <w:tc>
          <w:tcPr>
            <w:tcW w:w="1531" w:type="dxa"/>
            <w:tcBorders>
              <w:top w:val="nil"/>
              <w:left w:val="nil"/>
              <w:bottom w:val="nil"/>
              <w:right w:val="nil"/>
            </w:tcBorders>
          </w:tcPr>
          <w:p>
            <w:pPr>
              <w:pStyle w:val="Table"/>
              <w:tabs>
                <w:tab w:val="right" w:leader="dot" w:pos="1460"/>
              </w:tabs>
              <w:spacing w:after="40" w:line="240" w:lineRule="auto"/>
            </w:pPr>
            <w:r>
              <w:t>100 000</w:t>
            </w:r>
          </w:p>
        </w:tc>
        <w:tc>
          <w:tcPr>
            <w:tcW w:w="3402" w:type="dxa"/>
            <w:tcBorders>
              <w:top w:val="nil"/>
              <w:left w:val="nil"/>
              <w:bottom w:val="nil"/>
              <w:right w:val="nil"/>
            </w:tcBorders>
          </w:tcPr>
          <w:p>
            <w:pPr>
              <w:pStyle w:val="Table"/>
              <w:tabs>
                <w:tab w:val="right" w:leader="dot" w:pos="1460"/>
              </w:tabs>
              <w:spacing w:after="40" w:line="240" w:lineRule="auto"/>
            </w:pPr>
            <w:r>
              <w:t>$75.00 + 0.15 cent for each $1 in excess of $50 000</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
              <w:tabs>
                <w:tab w:val="right" w:leader="dot" w:pos="1460"/>
              </w:tabs>
              <w:spacing w:after="40" w:line="240" w:lineRule="auto"/>
            </w:pPr>
            <w:r>
              <w:t>100 000</w:t>
            </w:r>
          </w:p>
        </w:tc>
        <w:tc>
          <w:tcPr>
            <w:tcW w:w="1531" w:type="dxa"/>
            <w:tcBorders>
              <w:top w:val="nil"/>
              <w:left w:val="nil"/>
              <w:bottom w:val="nil"/>
              <w:right w:val="nil"/>
            </w:tcBorders>
          </w:tcPr>
          <w:p>
            <w:pPr>
              <w:pStyle w:val="Table"/>
              <w:tabs>
                <w:tab w:val="right" w:leader="dot" w:pos="1460"/>
              </w:tabs>
              <w:spacing w:after="40" w:line="240" w:lineRule="auto"/>
            </w:pPr>
            <w:r>
              <w:t>190 000</w:t>
            </w:r>
          </w:p>
        </w:tc>
        <w:tc>
          <w:tcPr>
            <w:tcW w:w="3402" w:type="dxa"/>
            <w:tcBorders>
              <w:top w:val="nil"/>
              <w:left w:val="nil"/>
              <w:bottom w:val="nil"/>
              <w:right w:val="nil"/>
            </w:tcBorders>
          </w:tcPr>
          <w:p>
            <w:pPr>
              <w:pStyle w:val="Table"/>
              <w:tabs>
                <w:tab w:val="right" w:leader="dot" w:pos="1460"/>
              </w:tabs>
              <w:spacing w:after="40" w:line="240" w:lineRule="auto"/>
            </w:pPr>
            <w:r>
              <w:t>$150.00 + 0.25 cent for each $1 in excess of $100 000</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
              <w:tabs>
                <w:tab w:val="right" w:leader="dot" w:pos="1460"/>
              </w:tabs>
              <w:spacing w:after="40" w:line="240" w:lineRule="auto"/>
            </w:pPr>
            <w:r>
              <w:t>190 000</w:t>
            </w:r>
          </w:p>
        </w:tc>
        <w:tc>
          <w:tcPr>
            <w:tcW w:w="1531" w:type="dxa"/>
            <w:tcBorders>
              <w:top w:val="nil"/>
              <w:left w:val="nil"/>
              <w:bottom w:val="nil"/>
              <w:right w:val="nil"/>
            </w:tcBorders>
          </w:tcPr>
          <w:p>
            <w:pPr>
              <w:pStyle w:val="Table"/>
              <w:tabs>
                <w:tab w:val="right" w:leader="dot" w:pos="1460"/>
              </w:tabs>
              <w:spacing w:after="40" w:line="240" w:lineRule="auto"/>
            </w:pPr>
            <w:r>
              <w:t>325 000</w:t>
            </w:r>
          </w:p>
        </w:tc>
        <w:tc>
          <w:tcPr>
            <w:tcW w:w="3402" w:type="dxa"/>
            <w:tcBorders>
              <w:top w:val="nil"/>
              <w:left w:val="nil"/>
              <w:bottom w:val="nil"/>
              <w:right w:val="nil"/>
            </w:tcBorders>
          </w:tcPr>
          <w:p>
            <w:pPr>
              <w:pStyle w:val="Table"/>
              <w:tabs>
                <w:tab w:val="right" w:leader="dot" w:pos="1460"/>
              </w:tabs>
              <w:spacing w:after="40" w:line="240" w:lineRule="auto"/>
            </w:pPr>
            <w:r>
              <w:t>$375.00 + 0.45 cent for each $1 in excess of $190 000</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
              <w:tabs>
                <w:tab w:val="right" w:leader="dot" w:pos="1460"/>
              </w:tabs>
              <w:spacing w:after="40" w:line="240" w:lineRule="auto"/>
            </w:pPr>
            <w:r>
              <w:t>325 000</w:t>
            </w:r>
          </w:p>
        </w:tc>
        <w:tc>
          <w:tcPr>
            <w:tcW w:w="1531" w:type="dxa"/>
            <w:tcBorders>
              <w:top w:val="nil"/>
              <w:left w:val="nil"/>
              <w:bottom w:val="nil"/>
              <w:right w:val="nil"/>
            </w:tcBorders>
          </w:tcPr>
          <w:p>
            <w:pPr>
              <w:pStyle w:val="Table"/>
              <w:tabs>
                <w:tab w:val="right" w:leader="dot" w:pos="1460"/>
              </w:tabs>
              <w:spacing w:after="40" w:line="240" w:lineRule="auto"/>
            </w:pPr>
            <w:r>
              <w:t>550 000</w:t>
            </w:r>
          </w:p>
        </w:tc>
        <w:tc>
          <w:tcPr>
            <w:tcW w:w="3402" w:type="dxa"/>
            <w:tcBorders>
              <w:top w:val="nil"/>
              <w:left w:val="nil"/>
              <w:bottom w:val="nil"/>
              <w:right w:val="nil"/>
            </w:tcBorders>
          </w:tcPr>
          <w:p>
            <w:pPr>
              <w:pStyle w:val="Table"/>
              <w:tabs>
                <w:tab w:val="right" w:leader="dot" w:pos="1460"/>
              </w:tabs>
              <w:spacing w:after="40" w:line="240" w:lineRule="auto"/>
            </w:pPr>
            <w:r>
              <w:t>$982.50 + 0.80 cent for each $1 in excess of $325 000</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
              <w:tabs>
                <w:tab w:val="right" w:leader="dot" w:pos="1460"/>
              </w:tabs>
              <w:spacing w:after="40" w:line="240" w:lineRule="auto"/>
            </w:pPr>
            <w:r>
              <w:t>550 000</w:t>
            </w:r>
          </w:p>
        </w:tc>
        <w:tc>
          <w:tcPr>
            <w:tcW w:w="1531" w:type="dxa"/>
            <w:tcBorders>
              <w:top w:val="nil"/>
              <w:left w:val="nil"/>
              <w:bottom w:val="nil"/>
              <w:right w:val="nil"/>
            </w:tcBorders>
          </w:tcPr>
          <w:p>
            <w:pPr>
              <w:pStyle w:val="Table"/>
              <w:tabs>
                <w:tab w:val="right" w:leader="dot" w:pos="1460"/>
              </w:tabs>
              <w:spacing w:after="40" w:line="240" w:lineRule="auto"/>
            </w:pPr>
            <w:r>
              <w:t>850 000</w:t>
            </w:r>
          </w:p>
        </w:tc>
        <w:tc>
          <w:tcPr>
            <w:tcW w:w="3402" w:type="dxa"/>
            <w:tcBorders>
              <w:top w:val="nil"/>
              <w:left w:val="nil"/>
              <w:bottom w:val="nil"/>
              <w:right w:val="nil"/>
            </w:tcBorders>
          </w:tcPr>
          <w:p>
            <w:pPr>
              <w:pStyle w:val="Table"/>
              <w:tabs>
                <w:tab w:val="right" w:leader="dot" w:pos="1460"/>
              </w:tabs>
              <w:spacing w:after="40" w:line="240" w:lineRule="auto"/>
            </w:pPr>
            <w:r>
              <w:t>$2 782.50 + 1.20 cents for each $1 in excess of $550 000</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
              <w:tabs>
                <w:tab w:val="right" w:leader="dot" w:pos="1460"/>
              </w:tabs>
              <w:spacing w:after="40" w:line="240" w:lineRule="auto"/>
            </w:pPr>
            <w:r>
              <w:t>850 000</w:t>
            </w:r>
          </w:p>
        </w:tc>
        <w:tc>
          <w:tcPr>
            <w:tcW w:w="1531" w:type="dxa"/>
            <w:tcBorders>
              <w:top w:val="nil"/>
              <w:left w:val="nil"/>
              <w:bottom w:val="nil"/>
              <w:right w:val="nil"/>
            </w:tcBorders>
          </w:tcPr>
          <w:p>
            <w:pPr>
              <w:pStyle w:val="Table"/>
              <w:tabs>
                <w:tab w:val="right" w:leader="dot" w:pos="1460"/>
              </w:tabs>
              <w:spacing w:after="40" w:line="240" w:lineRule="auto"/>
            </w:pPr>
            <w:r>
              <w:t>1 250 000</w:t>
            </w:r>
          </w:p>
        </w:tc>
        <w:tc>
          <w:tcPr>
            <w:tcW w:w="3402" w:type="dxa"/>
            <w:tcBorders>
              <w:top w:val="nil"/>
              <w:left w:val="nil"/>
              <w:bottom w:val="nil"/>
              <w:right w:val="nil"/>
            </w:tcBorders>
          </w:tcPr>
          <w:p>
            <w:pPr>
              <w:pStyle w:val="Table"/>
              <w:tabs>
                <w:tab w:val="right" w:leader="dot" w:pos="1460"/>
              </w:tabs>
              <w:spacing w:after="40" w:line="240" w:lineRule="auto"/>
            </w:pPr>
            <w:r>
              <w:t>$6 382.50 + 1.60 cents for each $1 in excess of $850 000</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
              <w:tabs>
                <w:tab w:val="right" w:leader="dot" w:pos="1460"/>
              </w:tabs>
              <w:spacing w:after="40" w:line="240" w:lineRule="auto"/>
            </w:pPr>
            <w:r>
              <w:t>1 250 000</w:t>
            </w:r>
          </w:p>
        </w:tc>
        <w:tc>
          <w:tcPr>
            <w:tcW w:w="1531" w:type="dxa"/>
            <w:tcBorders>
              <w:top w:val="nil"/>
              <w:left w:val="nil"/>
              <w:bottom w:val="nil"/>
              <w:right w:val="nil"/>
            </w:tcBorders>
          </w:tcPr>
          <w:p>
            <w:pPr>
              <w:pStyle w:val="Table"/>
              <w:tabs>
                <w:tab w:val="right" w:leader="dot" w:pos="1460"/>
              </w:tabs>
              <w:spacing w:after="40" w:line="240" w:lineRule="auto"/>
            </w:pPr>
            <w:r>
              <w:t>2 000 000</w:t>
            </w:r>
          </w:p>
        </w:tc>
        <w:tc>
          <w:tcPr>
            <w:tcW w:w="3402" w:type="dxa"/>
            <w:tcBorders>
              <w:top w:val="nil"/>
              <w:left w:val="nil"/>
              <w:bottom w:val="nil"/>
              <w:right w:val="nil"/>
            </w:tcBorders>
          </w:tcPr>
          <w:p>
            <w:pPr>
              <w:pStyle w:val="Table"/>
              <w:tabs>
                <w:tab w:val="right" w:leader="dot" w:pos="1460"/>
              </w:tabs>
              <w:spacing w:after="40" w:line="240" w:lineRule="auto"/>
            </w:pPr>
            <w:r>
              <w:t>$12 782.50 + 2.00 cents for each $1 in excess of $1 250 000</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
              <w:tabs>
                <w:tab w:val="right" w:leader="dot" w:pos="1460"/>
              </w:tabs>
              <w:spacing w:after="40" w:line="240" w:lineRule="auto"/>
            </w:pPr>
            <w:r>
              <w:t>2 000 000</w:t>
            </w:r>
          </w:p>
        </w:tc>
        <w:tc>
          <w:tcPr>
            <w:tcW w:w="1531" w:type="dxa"/>
            <w:tcBorders>
              <w:top w:val="nil"/>
              <w:left w:val="nil"/>
              <w:bottom w:val="nil"/>
              <w:right w:val="nil"/>
            </w:tcBorders>
          </w:tcPr>
          <w:p>
            <w:pPr>
              <w:pStyle w:val="Table"/>
              <w:tabs>
                <w:tab w:val="right" w:leader="dot" w:pos="1460"/>
              </w:tabs>
              <w:spacing w:after="40" w:line="240" w:lineRule="auto"/>
            </w:pPr>
            <w:r>
              <w:t>5 000 000</w:t>
            </w:r>
          </w:p>
        </w:tc>
        <w:tc>
          <w:tcPr>
            <w:tcW w:w="3402" w:type="dxa"/>
            <w:tcBorders>
              <w:top w:val="nil"/>
              <w:left w:val="nil"/>
              <w:bottom w:val="nil"/>
              <w:right w:val="nil"/>
            </w:tcBorders>
          </w:tcPr>
          <w:p>
            <w:pPr>
              <w:pStyle w:val="Table"/>
              <w:tabs>
                <w:tab w:val="right" w:leader="dot" w:pos="1460"/>
              </w:tabs>
              <w:spacing w:after="40" w:line="240" w:lineRule="auto"/>
            </w:pPr>
            <w:r>
              <w:t>$27 782.50 + 2.30 cents for each $1 in excess of $2 000 000</w:t>
            </w:r>
          </w:p>
        </w:tc>
      </w:tr>
      <w:tr>
        <w:tblPrEx>
          <w:tblCellMar>
            <w:left w:w="85" w:type="dxa"/>
            <w:right w:w="85" w:type="dxa"/>
          </w:tblCellMar>
        </w:tblPrEx>
        <w:trPr>
          <w:cantSplit/>
          <w:trHeight w:val="240"/>
        </w:trPr>
        <w:tc>
          <w:tcPr>
            <w:tcW w:w="1304" w:type="dxa"/>
            <w:tcBorders>
              <w:top w:val="nil"/>
              <w:left w:val="nil"/>
              <w:right w:val="nil"/>
            </w:tcBorders>
          </w:tcPr>
          <w:p>
            <w:pPr>
              <w:pStyle w:val="Table"/>
              <w:tabs>
                <w:tab w:val="right" w:leader="dot" w:pos="1460"/>
              </w:tabs>
              <w:spacing w:after="40" w:line="240" w:lineRule="auto"/>
            </w:pPr>
            <w:r>
              <w:t>5 000 000</w:t>
            </w:r>
          </w:p>
        </w:tc>
        <w:tc>
          <w:tcPr>
            <w:tcW w:w="1531" w:type="dxa"/>
            <w:tcBorders>
              <w:top w:val="nil"/>
              <w:left w:val="nil"/>
              <w:right w:val="nil"/>
            </w:tcBorders>
          </w:tcPr>
          <w:p>
            <w:pPr>
              <w:pStyle w:val="Table"/>
              <w:tabs>
                <w:tab w:val="right" w:leader="dot" w:pos="1460"/>
              </w:tabs>
              <w:spacing w:after="40" w:line="240" w:lineRule="auto"/>
            </w:pPr>
          </w:p>
        </w:tc>
        <w:tc>
          <w:tcPr>
            <w:tcW w:w="3402" w:type="dxa"/>
            <w:tcBorders>
              <w:top w:val="nil"/>
              <w:left w:val="nil"/>
              <w:right w:val="nil"/>
            </w:tcBorders>
          </w:tcPr>
          <w:p>
            <w:pPr>
              <w:pStyle w:val="Table"/>
              <w:tabs>
                <w:tab w:val="right" w:leader="dot" w:pos="1460"/>
              </w:tabs>
              <w:spacing w:after="40" w:line="240" w:lineRule="auto"/>
            </w:pPr>
            <w:r>
              <w:t>$96 782.50 + 2.50 cents for each $1 in excess of $5 000 000</w:t>
            </w:r>
          </w:p>
        </w:tc>
      </w:tr>
    </w:tbl>
    <w:p>
      <w:pPr>
        <w:pStyle w:val="MiscellaneousHeading"/>
        <w:keepLines/>
        <w:spacing w:after="60"/>
        <w:rPr>
          <w:b/>
        </w:rPr>
      </w:pPr>
      <w:r>
        <w:rPr>
          <w:b/>
        </w:rPr>
        <w:t>Table 2: Land tax rates for 2003/04</w:t>
      </w:r>
    </w:p>
    <w:tbl>
      <w:tblPr>
        <w:tblW w:w="0" w:type="auto"/>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304"/>
        <w:gridCol w:w="1531"/>
        <w:gridCol w:w="3402"/>
      </w:tblGrid>
      <w:tr>
        <w:trPr>
          <w:cantSplit/>
          <w:trHeight w:val="240"/>
        </w:trPr>
        <w:tc>
          <w:tcPr>
            <w:tcW w:w="1531" w:type="dxa"/>
            <w:gridSpan w:val="2"/>
            <w:tcBorders>
              <w:top w:val="single" w:sz="4" w:space="0" w:color="auto"/>
              <w:left w:val="nil"/>
              <w:bottom w:val="nil"/>
              <w:right w:val="nil"/>
            </w:tcBorders>
          </w:tcPr>
          <w:p>
            <w:pPr>
              <w:pStyle w:val="Table"/>
              <w:keepNext/>
              <w:keepLines/>
              <w:jc w:val="center"/>
              <w:rPr>
                <w:b/>
              </w:rPr>
            </w:pPr>
            <w:r>
              <w:rPr>
                <w:b/>
              </w:rPr>
              <w:t>Unimproved value</w:t>
            </w:r>
            <w:r>
              <w:rPr>
                <w:b/>
              </w:rPr>
              <w:br/>
              <w:t>of the land</w:t>
            </w:r>
          </w:p>
        </w:tc>
        <w:tc>
          <w:tcPr>
            <w:tcW w:w="3402" w:type="dxa"/>
            <w:tcBorders>
              <w:top w:val="single" w:sz="4" w:space="0" w:color="auto"/>
              <w:left w:val="nil"/>
              <w:bottom w:val="nil"/>
              <w:right w:val="nil"/>
            </w:tcBorders>
          </w:tcPr>
          <w:p>
            <w:pPr>
              <w:pStyle w:val="Table"/>
              <w:keepNext/>
              <w:keepLines/>
            </w:pPr>
          </w:p>
        </w:tc>
      </w:tr>
      <w:tr>
        <w:tblPrEx>
          <w:tblCellMar>
            <w:left w:w="85" w:type="dxa"/>
            <w:right w:w="85" w:type="dxa"/>
          </w:tblCellMar>
        </w:tblPrEx>
        <w:trPr>
          <w:cantSplit/>
          <w:trHeight w:val="240"/>
        </w:trPr>
        <w:tc>
          <w:tcPr>
            <w:tcW w:w="1304" w:type="dxa"/>
            <w:tcBorders>
              <w:top w:val="single" w:sz="4" w:space="0" w:color="auto"/>
              <w:left w:val="nil"/>
              <w:bottom w:val="single" w:sz="4" w:space="0" w:color="auto"/>
              <w:right w:val="nil"/>
            </w:tcBorders>
          </w:tcPr>
          <w:p>
            <w:pPr>
              <w:pStyle w:val="Table"/>
              <w:keepNext/>
              <w:keepLines/>
              <w:jc w:val="center"/>
              <w:rPr>
                <w:b/>
              </w:rPr>
            </w:pPr>
            <w:r>
              <w:rPr>
                <w:b/>
              </w:rPr>
              <w:t>Exceeding</w:t>
            </w:r>
          </w:p>
          <w:p>
            <w:pPr>
              <w:pStyle w:val="Table"/>
              <w:keepNext/>
              <w:keepLines/>
              <w:jc w:val="center"/>
              <w:rPr>
                <w:b/>
              </w:rPr>
            </w:pPr>
            <w:r>
              <w:rPr>
                <w:b/>
              </w:rPr>
              <w:t>($)</w:t>
            </w:r>
          </w:p>
        </w:tc>
        <w:tc>
          <w:tcPr>
            <w:tcW w:w="1531" w:type="dxa"/>
            <w:tcBorders>
              <w:top w:val="single" w:sz="4" w:space="0" w:color="auto"/>
              <w:left w:val="nil"/>
              <w:bottom w:val="single" w:sz="4" w:space="0" w:color="auto"/>
              <w:right w:val="nil"/>
            </w:tcBorders>
          </w:tcPr>
          <w:p>
            <w:pPr>
              <w:pStyle w:val="Table"/>
              <w:keepNext/>
              <w:keepLines/>
              <w:jc w:val="center"/>
              <w:rPr>
                <w:b/>
              </w:rPr>
            </w:pPr>
            <w:r>
              <w:rPr>
                <w:b/>
              </w:rPr>
              <w:t>Not exceeding</w:t>
            </w:r>
          </w:p>
          <w:p>
            <w:pPr>
              <w:pStyle w:val="Table"/>
              <w:keepNext/>
              <w:keepLines/>
              <w:jc w:val="center"/>
              <w:rPr>
                <w:b/>
              </w:rPr>
            </w:pPr>
            <w:r>
              <w:rPr>
                <w:b/>
              </w:rPr>
              <w:t>($)</w:t>
            </w:r>
          </w:p>
        </w:tc>
        <w:tc>
          <w:tcPr>
            <w:tcW w:w="3402" w:type="dxa"/>
            <w:tcBorders>
              <w:top w:val="nil"/>
              <w:left w:val="nil"/>
              <w:bottom w:val="single" w:sz="4" w:space="0" w:color="auto"/>
              <w:right w:val="nil"/>
            </w:tcBorders>
          </w:tcPr>
          <w:p>
            <w:pPr>
              <w:pStyle w:val="Table"/>
              <w:keepNext/>
              <w:keepLines/>
              <w:jc w:val="center"/>
              <w:rPr>
                <w:b/>
              </w:rPr>
            </w:pPr>
            <w:r>
              <w:rPr>
                <w:b/>
              </w:rPr>
              <w:t>Rate of land tax</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
            </w:pPr>
            <w:r>
              <w:t>0</w:t>
            </w:r>
          </w:p>
        </w:tc>
        <w:tc>
          <w:tcPr>
            <w:tcW w:w="1531" w:type="dxa"/>
            <w:tcBorders>
              <w:top w:val="nil"/>
              <w:left w:val="nil"/>
              <w:bottom w:val="nil"/>
              <w:right w:val="nil"/>
            </w:tcBorders>
          </w:tcPr>
          <w:p>
            <w:pPr>
              <w:pStyle w:val="Table"/>
            </w:pPr>
            <w:r>
              <w:t>50 000</w:t>
            </w:r>
          </w:p>
        </w:tc>
        <w:tc>
          <w:tcPr>
            <w:tcW w:w="3402" w:type="dxa"/>
            <w:tcBorders>
              <w:top w:val="nil"/>
              <w:left w:val="nil"/>
              <w:bottom w:val="nil"/>
              <w:right w:val="nil"/>
            </w:tcBorders>
          </w:tcPr>
          <w:p>
            <w:pPr>
              <w:pStyle w:val="Table"/>
            </w:pPr>
            <w:r>
              <w:t>Nil</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
            </w:pPr>
            <w:r>
              <w:t>50 000</w:t>
            </w:r>
          </w:p>
        </w:tc>
        <w:tc>
          <w:tcPr>
            <w:tcW w:w="1531" w:type="dxa"/>
            <w:tcBorders>
              <w:top w:val="nil"/>
              <w:left w:val="nil"/>
              <w:bottom w:val="nil"/>
              <w:right w:val="nil"/>
            </w:tcBorders>
          </w:tcPr>
          <w:p>
            <w:pPr>
              <w:pStyle w:val="Table"/>
            </w:pPr>
            <w:r>
              <w:t>190 000</w:t>
            </w:r>
          </w:p>
        </w:tc>
        <w:tc>
          <w:tcPr>
            <w:tcW w:w="3402" w:type="dxa"/>
            <w:tcBorders>
              <w:top w:val="nil"/>
              <w:left w:val="nil"/>
              <w:bottom w:val="nil"/>
              <w:right w:val="nil"/>
            </w:tcBorders>
          </w:tcPr>
          <w:p>
            <w:pPr>
              <w:pStyle w:val="Table"/>
            </w:pPr>
            <w:r>
              <w:t>$75.00 + 0.15 cent for each $1 in excess of $50 000</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
            </w:pPr>
            <w:r>
              <w:t>190 000</w:t>
            </w:r>
          </w:p>
        </w:tc>
        <w:tc>
          <w:tcPr>
            <w:tcW w:w="1531" w:type="dxa"/>
            <w:tcBorders>
              <w:top w:val="nil"/>
              <w:left w:val="nil"/>
              <w:bottom w:val="nil"/>
              <w:right w:val="nil"/>
            </w:tcBorders>
          </w:tcPr>
          <w:p>
            <w:pPr>
              <w:pStyle w:val="Table"/>
            </w:pPr>
            <w:r>
              <w:t>550 000</w:t>
            </w:r>
          </w:p>
        </w:tc>
        <w:tc>
          <w:tcPr>
            <w:tcW w:w="3402" w:type="dxa"/>
            <w:tcBorders>
              <w:top w:val="nil"/>
              <w:left w:val="nil"/>
              <w:bottom w:val="nil"/>
              <w:right w:val="nil"/>
            </w:tcBorders>
          </w:tcPr>
          <w:p>
            <w:pPr>
              <w:pStyle w:val="Table"/>
            </w:pPr>
            <w:r>
              <w:t>$285.00 + 0.45 cent for each $1 in excess of $190 000</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
            </w:pPr>
            <w:r>
              <w:t>550 000</w:t>
            </w:r>
          </w:p>
        </w:tc>
        <w:tc>
          <w:tcPr>
            <w:tcW w:w="1531" w:type="dxa"/>
            <w:tcBorders>
              <w:top w:val="nil"/>
              <w:left w:val="nil"/>
              <w:bottom w:val="nil"/>
              <w:right w:val="nil"/>
            </w:tcBorders>
          </w:tcPr>
          <w:p>
            <w:pPr>
              <w:pStyle w:val="Table"/>
            </w:pPr>
            <w:r>
              <w:t>2 000 000</w:t>
            </w:r>
          </w:p>
        </w:tc>
        <w:tc>
          <w:tcPr>
            <w:tcW w:w="3402" w:type="dxa"/>
            <w:tcBorders>
              <w:top w:val="nil"/>
              <w:left w:val="nil"/>
              <w:bottom w:val="nil"/>
              <w:right w:val="nil"/>
            </w:tcBorders>
          </w:tcPr>
          <w:p>
            <w:pPr>
              <w:pStyle w:val="Table"/>
            </w:pPr>
            <w:r>
              <w:t>$1 905.00 + 1.76 cents for each $1 in excess of $550 000</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
            </w:pPr>
            <w:r>
              <w:t>2 000 000</w:t>
            </w:r>
          </w:p>
        </w:tc>
        <w:tc>
          <w:tcPr>
            <w:tcW w:w="1531" w:type="dxa"/>
            <w:tcBorders>
              <w:top w:val="nil"/>
              <w:left w:val="nil"/>
              <w:bottom w:val="nil"/>
              <w:right w:val="nil"/>
            </w:tcBorders>
          </w:tcPr>
          <w:p>
            <w:pPr>
              <w:pStyle w:val="Table"/>
            </w:pPr>
            <w:r>
              <w:t>5 000 000</w:t>
            </w:r>
          </w:p>
        </w:tc>
        <w:tc>
          <w:tcPr>
            <w:tcW w:w="3402" w:type="dxa"/>
            <w:tcBorders>
              <w:top w:val="nil"/>
              <w:left w:val="nil"/>
              <w:bottom w:val="nil"/>
              <w:right w:val="nil"/>
            </w:tcBorders>
          </w:tcPr>
          <w:p>
            <w:pPr>
              <w:pStyle w:val="Table"/>
            </w:pPr>
            <w:r>
              <w:t>$27 425.00 + 2.30 cents for each $1 in excess of $2 000 000</w:t>
            </w:r>
          </w:p>
        </w:tc>
      </w:tr>
      <w:tr>
        <w:tblPrEx>
          <w:tblCellMar>
            <w:left w:w="85" w:type="dxa"/>
            <w:right w:w="85" w:type="dxa"/>
          </w:tblCellMar>
        </w:tblPrEx>
        <w:trPr>
          <w:cantSplit/>
          <w:trHeight w:val="240"/>
        </w:trPr>
        <w:tc>
          <w:tcPr>
            <w:tcW w:w="1304" w:type="dxa"/>
            <w:tcBorders>
              <w:top w:val="nil"/>
              <w:left w:val="nil"/>
              <w:right w:val="nil"/>
            </w:tcBorders>
          </w:tcPr>
          <w:p>
            <w:pPr>
              <w:pStyle w:val="Table"/>
            </w:pPr>
            <w:r>
              <w:t>5 000 000</w:t>
            </w:r>
          </w:p>
        </w:tc>
        <w:tc>
          <w:tcPr>
            <w:tcW w:w="1531" w:type="dxa"/>
            <w:tcBorders>
              <w:top w:val="nil"/>
              <w:left w:val="nil"/>
              <w:right w:val="nil"/>
            </w:tcBorders>
          </w:tcPr>
          <w:p>
            <w:pPr>
              <w:pStyle w:val="Table"/>
            </w:pPr>
          </w:p>
        </w:tc>
        <w:tc>
          <w:tcPr>
            <w:tcW w:w="3402" w:type="dxa"/>
            <w:tcBorders>
              <w:top w:val="nil"/>
              <w:left w:val="nil"/>
              <w:right w:val="nil"/>
            </w:tcBorders>
          </w:tcPr>
          <w:p>
            <w:pPr>
              <w:pStyle w:val="Table"/>
            </w:pPr>
            <w:r>
              <w:t>$96 425.00 + 2.50 cents for each $1 in excess of $5 000 000</w:t>
            </w:r>
          </w:p>
        </w:tc>
      </w:tr>
    </w:tbl>
    <w:p>
      <w:pPr>
        <w:pStyle w:val="MiscellaneousHeading"/>
        <w:spacing w:before="200" w:after="60"/>
        <w:ind w:left="480"/>
        <w:rPr>
          <w:b/>
        </w:rPr>
      </w:pPr>
      <w:r>
        <w:rPr>
          <w:b/>
        </w:rPr>
        <w:t xml:space="preserve">Table 3: Land tax rates for 2004/05 </w:t>
      </w:r>
    </w:p>
    <w:tbl>
      <w:tblPr>
        <w:tblW w:w="0" w:type="auto"/>
        <w:tblInd w:w="534" w:type="dxa"/>
        <w:tblLayout w:type="fixed"/>
        <w:tblLook w:val="0000" w:firstRow="0" w:lastRow="0" w:firstColumn="0" w:lastColumn="0" w:noHBand="0" w:noVBand="0"/>
      </w:tblPr>
      <w:tblGrid>
        <w:gridCol w:w="1304"/>
        <w:gridCol w:w="1531"/>
        <w:gridCol w:w="3402"/>
      </w:tblGrid>
      <w:tr>
        <w:trPr>
          <w:cantSplit/>
        </w:trPr>
        <w:tc>
          <w:tcPr>
            <w:tcW w:w="1531" w:type="dxa"/>
            <w:gridSpan w:val="2"/>
            <w:tcBorders>
              <w:top w:val="single" w:sz="4" w:space="0" w:color="auto"/>
            </w:tcBorders>
          </w:tcPr>
          <w:p>
            <w:pPr>
              <w:pStyle w:val="Table"/>
              <w:spacing w:after="40"/>
              <w:jc w:val="center"/>
              <w:rPr>
                <w:b/>
              </w:rPr>
            </w:pPr>
            <w:r>
              <w:rPr>
                <w:b/>
              </w:rPr>
              <w:t>Unimproved value</w:t>
            </w:r>
            <w:r>
              <w:rPr>
                <w:b/>
              </w:rPr>
              <w:br/>
              <w:t>of the land</w:t>
            </w:r>
          </w:p>
        </w:tc>
        <w:tc>
          <w:tcPr>
            <w:tcW w:w="3402" w:type="dxa"/>
            <w:tcBorders>
              <w:top w:val="single" w:sz="4" w:space="0" w:color="auto"/>
            </w:tcBorders>
          </w:tcPr>
          <w:p>
            <w:pPr>
              <w:pStyle w:val="Table"/>
              <w:spacing w:after="40"/>
            </w:pPr>
          </w:p>
        </w:tc>
      </w:tr>
      <w:tr>
        <w:trPr>
          <w:cantSplit/>
        </w:trPr>
        <w:tc>
          <w:tcPr>
            <w:tcW w:w="1304" w:type="dxa"/>
            <w:tcBorders>
              <w:bottom w:val="single" w:sz="4" w:space="0" w:color="auto"/>
            </w:tcBorders>
          </w:tcPr>
          <w:p>
            <w:pPr>
              <w:pStyle w:val="Table"/>
              <w:spacing w:after="40"/>
              <w:jc w:val="center"/>
              <w:rPr>
                <w:b/>
              </w:rPr>
            </w:pPr>
            <w:r>
              <w:rPr>
                <w:b/>
              </w:rPr>
              <w:t>Exceeding ($)</w:t>
            </w:r>
          </w:p>
        </w:tc>
        <w:tc>
          <w:tcPr>
            <w:tcW w:w="1531" w:type="dxa"/>
            <w:tcBorders>
              <w:bottom w:val="single" w:sz="4" w:space="0" w:color="auto"/>
            </w:tcBorders>
          </w:tcPr>
          <w:p>
            <w:pPr>
              <w:pStyle w:val="Table"/>
              <w:spacing w:after="40"/>
              <w:jc w:val="center"/>
              <w:rPr>
                <w:b/>
              </w:rPr>
            </w:pPr>
            <w:r>
              <w:rPr>
                <w:b/>
              </w:rPr>
              <w:t>Not exceeding ($)</w:t>
            </w:r>
          </w:p>
        </w:tc>
        <w:tc>
          <w:tcPr>
            <w:tcW w:w="3402" w:type="dxa"/>
            <w:tcBorders>
              <w:bottom w:val="single" w:sz="4" w:space="0" w:color="auto"/>
            </w:tcBorders>
          </w:tcPr>
          <w:p>
            <w:pPr>
              <w:pStyle w:val="Table"/>
              <w:spacing w:after="40"/>
              <w:jc w:val="center"/>
              <w:rPr>
                <w:b/>
              </w:rPr>
            </w:pPr>
            <w:r>
              <w:rPr>
                <w:b/>
              </w:rPr>
              <w:t>Rate of land tax</w:t>
            </w:r>
          </w:p>
        </w:tc>
      </w:tr>
      <w:tr>
        <w:trPr>
          <w:cantSplit/>
        </w:trPr>
        <w:tc>
          <w:tcPr>
            <w:tcW w:w="1304" w:type="dxa"/>
            <w:tcBorders>
              <w:top w:val="single" w:sz="4" w:space="0" w:color="auto"/>
            </w:tcBorders>
          </w:tcPr>
          <w:p>
            <w:pPr>
              <w:pStyle w:val="Table"/>
              <w:spacing w:after="40"/>
            </w:pPr>
            <w:r>
              <w:t>0</w:t>
            </w:r>
          </w:p>
        </w:tc>
        <w:tc>
          <w:tcPr>
            <w:tcW w:w="1531" w:type="dxa"/>
            <w:tcBorders>
              <w:top w:val="single" w:sz="4" w:space="0" w:color="auto"/>
            </w:tcBorders>
          </w:tcPr>
          <w:p>
            <w:pPr>
              <w:pStyle w:val="Table"/>
              <w:spacing w:after="40"/>
            </w:pPr>
            <w:r>
              <w:t>100 000</w:t>
            </w:r>
          </w:p>
        </w:tc>
        <w:tc>
          <w:tcPr>
            <w:tcW w:w="3402" w:type="dxa"/>
            <w:tcBorders>
              <w:top w:val="single" w:sz="4" w:space="0" w:color="auto"/>
            </w:tcBorders>
          </w:tcPr>
          <w:p>
            <w:pPr>
              <w:pStyle w:val="Table"/>
              <w:spacing w:after="40"/>
            </w:pPr>
            <w:r>
              <w:t>Nil</w:t>
            </w:r>
          </w:p>
        </w:tc>
      </w:tr>
      <w:tr>
        <w:trPr>
          <w:cantSplit/>
        </w:trPr>
        <w:tc>
          <w:tcPr>
            <w:tcW w:w="1304" w:type="dxa"/>
          </w:tcPr>
          <w:p>
            <w:pPr>
              <w:pStyle w:val="Table"/>
              <w:spacing w:after="40"/>
            </w:pPr>
            <w:r>
              <w:t>100 000</w:t>
            </w:r>
          </w:p>
        </w:tc>
        <w:tc>
          <w:tcPr>
            <w:tcW w:w="1531" w:type="dxa"/>
          </w:tcPr>
          <w:p>
            <w:pPr>
              <w:pStyle w:val="Table"/>
              <w:spacing w:after="40"/>
            </w:pPr>
            <w:r>
              <w:t>220 000</w:t>
            </w:r>
          </w:p>
        </w:tc>
        <w:tc>
          <w:tcPr>
            <w:tcW w:w="3402" w:type="dxa"/>
          </w:tcPr>
          <w:p>
            <w:pPr>
              <w:pStyle w:val="Table"/>
              <w:spacing w:after="40"/>
            </w:pPr>
            <w:r>
              <w:t>$150.00 + 0.15 cent for each $1 in excess of $100 000</w:t>
            </w:r>
          </w:p>
        </w:tc>
      </w:tr>
      <w:tr>
        <w:trPr>
          <w:cantSplit/>
        </w:trPr>
        <w:tc>
          <w:tcPr>
            <w:tcW w:w="1304" w:type="dxa"/>
          </w:tcPr>
          <w:p>
            <w:pPr>
              <w:pStyle w:val="Table"/>
              <w:spacing w:after="40"/>
            </w:pPr>
            <w:r>
              <w:t>220 000</w:t>
            </w:r>
          </w:p>
        </w:tc>
        <w:tc>
          <w:tcPr>
            <w:tcW w:w="1531" w:type="dxa"/>
          </w:tcPr>
          <w:p>
            <w:pPr>
              <w:pStyle w:val="Table"/>
              <w:spacing w:after="40"/>
            </w:pPr>
            <w:r>
              <w:t>570 000</w:t>
            </w:r>
          </w:p>
        </w:tc>
        <w:tc>
          <w:tcPr>
            <w:tcW w:w="3402" w:type="dxa"/>
          </w:tcPr>
          <w:p>
            <w:pPr>
              <w:pStyle w:val="Table"/>
              <w:spacing w:after="40"/>
            </w:pPr>
            <w:r>
              <w:t>$330.00 + 0.45 cent for each $1 in excess of $220 000</w:t>
            </w:r>
          </w:p>
        </w:tc>
      </w:tr>
      <w:tr>
        <w:trPr>
          <w:cantSplit/>
        </w:trPr>
        <w:tc>
          <w:tcPr>
            <w:tcW w:w="1304" w:type="dxa"/>
          </w:tcPr>
          <w:p>
            <w:pPr>
              <w:pStyle w:val="Table"/>
              <w:spacing w:after="40"/>
            </w:pPr>
            <w:r>
              <w:t>570 000</w:t>
            </w:r>
          </w:p>
        </w:tc>
        <w:tc>
          <w:tcPr>
            <w:tcW w:w="1531" w:type="dxa"/>
          </w:tcPr>
          <w:p>
            <w:pPr>
              <w:pStyle w:val="Table"/>
              <w:spacing w:after="40"/>
            </w:pPr>
            <w:r>
              <w:t>2 000 000</w:t>
            </w:r>
          </w:p>
        </w:tc>
        <w:tc>
          <w:tcPr>
            <w:tcW w:w="3402" w:type="dxa"/>
          </w:tcPr>
          <w:p>
            <w:pPr>
              <w:pStyle w:val="Table"/>
              <w:spacing w:after="40"/>
            </w:pPr>
            <w:r>
              <w:t>$1 905.00 + 1.76 cents for each $1 in excess of $570 000</w:t>
            </w:r>
          </w:p>
        </w:tc>
      </w:tr>
      <w:tr>
        <w:trPr>
          <w:cantSplit/>
        </w:trPr>
        <w:tc>
          <w:tcPr>
            <w:tcW w:w="1304" w:type="dxa"/>
          </w:tcPr>
          <w:p>
            <w:pPr>
              <w:pStyle w:val="Table"/>
              <w:spacing w:after="40"/>
            </w:pPr>
            <w:r>
              <w:t>2 000 000</w:t>
            </w:r>
          </w:p>
        </w:tc>
        <w:tc>
          <w:tcPr>
            <w:tcW w:w="1531" w:type="dxa"/>
          </w:tcPr>
          <w:p>
            <w:pPr>
              <w:pStyle w:val="Table"/>
              <w:spacing w:after="40"/>
            </w:pPr>
            <w:r>
              <w:t>5 000 000</w:t>
            </w:r>
          </w:p>
        </w:tc>
        <w:tc>
          <w:tcPr>
            <w:tcW w:w="3402" w:type="dxa"/>
          </w:tcPr>
          <w:p>
            <w:pPr>
              <w:pStyle w:val="Table"/>
              <w:spacing w:after="40"/>
            </w:pPr>
            <w:r>
              <w:t>$27 073.00 + 2.30 cents for each $1 in excess of $2 000 000</w:t>
            </w:r>
          </w:p>
        </w:tc>
      </w:tr>
      <w:tr>
        <w:trPr>
          <w:cantSplit/>
        </w:trPr>
        <w:tc>
          <w:tcPr>
            <w:tcW w:w="1304" w:type="dxa"/>
          </w:tcPr>
          <w:p>
            <w:pPr>
              <w:pStyle w:val="Table"/>
              <w:spacing w:after="40"/>
            </w:pPr>
            <w:r>
              <w:t>5 000 000</w:t>
            </w:r>
          </w:p>
        </w:tc>
        <w:tc>
          <w:tcPr>
            <w:tcW w:w="1531" w:type="dxa"/>
          </w:tcPr>
          <w:p>
            <w:pPr>
              <w:pStyle w:val="Table"/>
              <w:spacing w:after="40"/>
            </w:pPr>
          </w:p>
        </w:tc>
        <w:tc>
          <w:tcPr>
            <w:tcW w:w="3402" w:type="dxa"/>
          </w:tcPr>
          <w:p>
            <w:pPr>
              <w:pStyle w:val="Table"/>
              <w:spacing w:after="40"/>
            </w:pPr>
            <w:r>
              <w:t>$96 073.00 + 2.50 cents for each $1 in excess of $5 000 000</w:t>
            </w:r>
          </w:p>
        </w:tc>
      </w:tr>
    </w:tbl>
    <w:p>
      <w:pPr>
        <w:pStyle w:val="MiscellaneousHeading"/>
        <w:spacing w:after="60"/>
      </w:pPr>
      <w:r>
        <w:rPr>
          <w:b/>
        </w:rPr>
        <w:t xml:space="preserve">Table 4: Land tax rates for 2005/06 </w:t>
      </w:r>
    </w:p>
    <w:tbl>
      <w:tblPr>
        <w:tblW w:w="0" w:type="auto"/>
        <w:tblInd w:w="534" w:type="dxa"/>
        <w:tblLayout w:type="fixed"/>
        <w:tblLook w:val="0000" w:firstRow="0" w:lastRow="0" w:firstColumn="0" w:lastColumn="0" w:noHBand="0" w:noVBand="0"/>
      </w:tblPr>
      <w:tblGrid>
        <w:gridCol w:w="1304"/>
        <w:gridCol w:w="1531"/>
        <w:gridCol w:w="1797"/>
        <w:gridCol w:w="1605"/>
      </w:tblGrid>
      <w:tr>
        <w:trPr>
          <w:cantSplit/>
        </w:trPr>
        <w:tc>
          <w:tcPr>
            <w:tcW w:w="2835" w:type="dxa"/>
            <w:gridSpan w:val="2"/>
            <w:tcBorders>
              <w:top w:val="single" w:sz="4" w:space="0" w:color="auto"/>
              <w:bottom w:val="single" w:sz="4" w:space="0" w:color="auto"/>
            </w:tcBorders>
          </w:tcPr>
          <w:p>
            <w:pPr>
              <w:pStyle w:val="Table"/>
              <w:jc w:val="center"/>
              <w:rPr>
                <w:b/>
              </w:rPr>
            </w:pPr>
            <w:r>
              <w:rPr>
                <w:b/>
              </w:rPr>
              <w:t>Unimproved value</w:t>
            </w:r>
            <w:r>
              <w:rPr>
                <w:b/>
              </w:rPr>
              <w:br/>
              <w:t>of the land</w:t>
            </w:r>
          </w:p>
        </w:tc>
        <w:tc>
          <w:tcPr>
            <w:tcW w:w="1797" w:type="dxa"/>
            <w:tcBorders>
              <w:top w:val="single" w:sz="4" w:space="0" w:color="auto"/>
            </w:tcBorders>
          </w:tcPr>
          <w:p>
            <w:pPr>
              <w:pStyle w:val="Table"/>
            </w:pPr>
          </w:p>
        </w:tc>
        <w:tc>
          <w:tcPr>
            <w:tcW w:w="1605" w:type="dxa"/>
            <w:tcBorders>
              <w:top w:val="single" w:sz="4" w:space="0" w:color="auto"/>
            </w:tcBorders>
          </w:tcPr>
          <w:p>
            <w:pPr>
              <w:pStyle w:val="Table"/>
            </w:pPr>
          </w:p>
        </w:tc>
      </w:tr>
      <w:tr>
        <w:trPr>
          <w:cantSplit/>
          <w:trHeight w:val="255"/>
        </w:trPr>
        <w:tc>
          <w:tcPr>
            <w:tcW w:w="1304" w:type="dxa"/>
            <w:tcBorders>
              <w:top w:val="single" w:sz="4" w:space="0" w:color="auto"/>
              <w:bottom w:val="single" w:sz="4" w:space="0" w:color="auto"/>
            </w:tcBorders>
          </w:tcPr>
          <w:p>
            <w:pPr>
              <w:pStyle w:val="Table"/>
              <w:jc w:val="center"/>
              <w:rPr>
                <w:b/>
                <w:bCs/>
              </w:rPr>
            </w:pPr>
            <w:r>
              <w:rPr>
                <w:b/>
                <w:bCs/>
              </w:rPr>
              <w:t>Exceeding ($)</w:t>
            </w:r>
          </w:p>
        </w:tc>
        <w:tc>
          <w:tcPr>
            <w:tcW w:w="1531" w:type="dxa"/>
            <w:tcBorders>
              <w:top w:val="single" w:sz="4" w:space="0" w:color="auto"/>
              <w:bottom w:val="single" w:sz="4" w:space="0" w:color="auto"/>
            </w:tcBorders>
          </w:tcPr>
          <w:p>
            <w:pPr>
              <w:pStyle w:val="Table"/>
              <w:jc w:val="center"/>
              <w:rPr>
                <w:b/>
                <w:bCs/>
              </w:rPr>
            </w:pPr>
            <w:r>
              <w:rPr>
                <w:b/>
                <w:bCs/>
              </w:rPr>
              <w:t>Not exceeding ($)</w:t>
            </w:r>
          </w:p>
        </w:tc>
        <w:tc>
          <w:tcPr>
            <w:tcW w:w="3402" w:type="dxa"/>
            <w:gridSpan w:val="2"/>
            <w:tcBorders>
              <w:bottom w:val="single" w:sz="4" w:space="0" w:color="auto"/>
            </w:tcBorders>
          </w:tcPr>
          <w:p>
            <w:pPr>
              <w:pStyle w:val="Table"/>
              <w:jc w:val="center"/>
              <w:rPr>
                <w:b/>
                <w:bCs/>
              </w:rPr>
            </w:pPr>
            <w:r>
              <w:rPr>
                <w:b/>
                <w:bCs/>
              </w:rPr>
              <w:t>Rate of land tax</w:t>
            </w:r>
          </w:p>
        </w:tc>
      </w:tr>
      <w:tr>
        <w:trPr>
          <w:cantSplit/>
        </w:trPr>
        <w:tc>
          <w:tcPr>
            <w:tcW w:w="1304" w:type="dxa"/>
            <w:tcBorders>
              <w:top w:val="single" w:sz="4" w:space="0" w:color="auto"/>
            </w:tcBorders>
          </w:tcPr>
          <w:p>
            <w:pPr>
              <w:pStyle w:val="Table"/>
            </w:pPr>
            <w:r>
              <w:t>0</w:t>
            </w:r>
          </w:p>
        </w:tc>
        <w:tc>
          <w:tcPr>
            <w:tcW w:w="1531" w:type="dxa"/>
            <w:tcBorders>
              <w:top w:val="single" w:sz="4" w:space="0" w:color="auto"/>
            </w:tcBorders>
          </w:tcPr>
          <w:p>
            <w:pPr>
              <w:pStyle w:val="Table"/>
            </w:pPr>
            <w:r>
              <w:t>130 000</w:t>
            </w:r>
          </w:p>
        </w:tc>
        <w:tc>
          <w:tcPr>
            <w:tcW w:w="3402" w:type="dxa"/>
            <w:gridSpan w:val="2"/>
            <w:tcBorders>
              <w:top w:val="single" w:sz="4" w:space="0" w:color="auto"/>
            </w:tcBorders>
          </w:tcPr>
          <w:p>
            <w:pPr>
              <w:pStyle w:val="Table"/>
            </w:pPr>
            <w:r>
              <w:t>Nil</w:t>
            </w:r>
          </w:p>
        </w:tc>
      </w:tr>
      <w:tr>
        <w:trPr>
          <w:cantSplit/>
        </w:trPr>
        <w:tc>
          <w:tcPr>
            <w:tcW w:w="1304" w:type="dxa"/>
          </w:tcPr>
          <w:p>
            <w:pPr>
              <w:pStyle w:val="Table"/>
            </w:pPr>
            <w:r>
              <w:t>130 000</w:t>
            </w:r>
          </w:p>
        </w:tc>
        <w:tc>
          <w:tcPr>
            <w:tcW w:w="1531" w:type="dxa"/>
          </w:tcPr>
          <w:p>
            <w:pPr>
              <w:pStyle w:val="Table"/>
            </w:pPr>
            <w:r>
              <w:t>290 000</w:t>
            </w:r>
          </w:p>
        </w:tc>
        <w:tc>
          <w:tcPr>
            <w:tcW w:w="3402" w:type="dxa"/>
            <w:gridSpan w:val="2"/>
          </w:tcPr>
          <w:p>
            <w:pPr>
              <w:pStyle w:val="Table"/>
            </w:pPr>
            <w:r>
              <w:t>0.15 cent for each $1 in excess of $130 000</w:t>
            </w:r>
          </w:p>
        </w:tc>
      </w:tr>
      <w:tr>
        <w:trPr>
          <w:cantSplit/>
        </w:trPr>
        <w:tc>
          <w:tcPr>
            <w:tcW w:w="1304" w:type="dxa"/>
          </w:tcPr>
          <w:p>
            <w:pPr>
              <w:pStyle w:val="Table"/>
            </w:pPr>
            <w:r>
              <w:t>290 000</w:t>
            </w:r>
          </w:p>
        </w:tc>
        <w:tc>
          <w:tcPr>
            <w:tcW w:w="1531" w:type="dxa"/>
          </w:tcPr>
          <w:p>
            <w:pPr>
              <w:pStyle w:val="Table"/>
            </w:pPr>
            <w:r>
              <w:t>750 000</w:t>
            </w:r>
          </w:p>
        </w:tc>
        <w:tc>
          <w:tcPr>
            <w:tcW w:w="3402" w:type="dxa"/>
            <w:gridSpan w:val="2"/>
          </w:tcPr>
          <w:p>
            <w:pPr>
              <w:pStyle w:val="Table"/>
            </w:pPr>
            <w:r>
              <w:t>$240.00 + 0.45 cent for each $1 in excess of $290 000</w:t>
            </w:r>
          </w:p>
        </w:tc>
      </w:tr>
      <w:tr>
        <w:trPr>
          <w:cantSplit/>
        </w:trPr>
        <w:tc>
          <w:tcPr>
            <w:tcW w:w="1304" w:type="dxa"/>
          </w:tcPr>
          <w:p>
            <w:pPr>
              <w:pStyle w:val="Table"/>
            </w:pPr>
            <w:r>
              <w:t>750 000</w:t>
            </w:r>
          </w:p>
        </w:tc>
        <w:tc>
          <w:tcPr>
            <w:tcW w:w="1531" w:type="dxa"/>
          </w:tcPr>
          <w:p>
            <w:pPr>
              <w:pStyle w:val="Table"/>
            </w:pPr>
            <w:r>
              <w:t>2 000 000</w:t>
            </w:r>
          </w:p>
        </w:tc>
        <w:tc>
          <w:tcPr>
            <w:tcW w:w="3402" w:type="dxa"/>
            <w:gridSpan w:val="2"/>
          </w:tcPr>
          <w:p>
            <w:pPr>
              <w:pStyle w:val="Table"/>
            </w:pPr>
            <w:r>
              <w:t>$2 310.00 + 1.62 cents for each $1 in excess of $750 000</w:t>
            </w:r>
          </w:p>
        </w:tc>
      </w:tr>
      <w:tr>
        <w:trPr>
          <w:cantSplit/>
        </w:trPr>
        <w:tc>
          <w:tcPr>
            <w:tcW w:w="1304" w:type="dxa"/>
          </w:tcPr>
          <w:p>
            <w:pPr>
              <w:pStyle w:val="Table"/>
            </w:pPr>
            <w:r>
              <w:t>2 000 000</w:t>
            </w:r>
          </w:p>
        </w:tc>
        <w:tc>
          <w:tcPr>
            <w:tcW w:w="1531" w:type="dxa"/>
          </w:tcPr>
          <w:p>
            <w:pPr>
              <w:pStyle w:val="Table"/>
            </w:pPr>
            <w:r>
              <w:t>5 000 000</w:t>
            </w:r>
          </w:p>
        </w:tc>
        <w:tc>
          <w:tcPr>
            <w:tcW w:w="3402" w:type="dxa"/>
            <w:gridSpan w:val="2"/>
          </w:tcPr>
          <w:p>
            <w:pPr>
              <w:pStyle w:val="Table"/>
            </w:pPr>
            <w:r>
              <w:t>$22 560.00 + 2.30 cents for each $1 in excess of $2 000 000</w:t>
            </w:r>
          </w:p>
        </w:tc>
      </w:tr>
      <w:tr>
        <w:trPr>
          <w:cantSplit/>
        </w:trPr>
        <w:tc>
          <w:tcPr>
            <w:tcW w:w="1304" w:type="dxa"/>
            <w:tcBorders>
              <w:bottom w:val="single" w:sz="4" w:space="0" w:color="auto"/>
            </w:tcBorders>
          </w:tcPr>
          <w:p>
            <w:pPr>
              <w:pStyle w:val="Table"/>
            </w:pPr>
            <w:r>
              <w:t>5 000 000</w:t>
            </w:r>
          </w:p>
        </w:tc>
        <w:tc>
          <w:tcPr>
            <w:tcW w:w="1531" w:type="dxa"/>
            <w:tcBorders>
              <w:bottom w:val="single" w:sz="4" w:space="0" w:color="auto"/>
            </w:tcBorders>
          </w:tcPr>
          <w:p>
            <w:pPr>
              <w:pStyle w:val="Table"/>
            </w:pPr>
          </w:p>
        </w:tc>
        <w:tc>
          <w:tcPr>
            <w:tcW w:w="3402" w:type="dxa"/>
            <w:gridSpan w:val="2"/>
            <w:tcBorders>
              <w:bottom w:val="single" w:sz="4" w:space="0" w:color="auto"/>
            </w:tcBorders>
          </w:tcPr>
          <w:p>
            <w:pPr>
              <w:pStyle w:val="Table"/>
            </w:pPr>
            <w:r>
              <w:t>$91 560.00 + 2.50 cents for each $1 in excess of $5 000 000</w:t>
            </w:r>
          </w:p>
        </w:tc>
      </w:tr>
    </w:tbl>
    <w:p>
      <w:pPr>
        <w:pStyle w:val="MiscellaneousHeading"/>
        <w:spacing w:after="60"/>
      </w:pPr>
      <w:r>
        <w:rPr>
          <w:b/>
        </w:rPr>
        <w:t>Table 5: Land tax rates for 2006/07</w:t>
      </w:r>
      <w:del w:id="33" w:author="svcMRProcess" w:date="2015-11-01T20:50:00Z">
        <w:r>
          <w:rPr>
            <w:b/>
          </w:rPr>
          <w:delText xml:space="preserve"> and subsequent financial years</w:delText>
        </w:r>
      </w:del>
    </w:p>
    <w:tbl>
      <w:tblPr>
        <w:tblW w:w="0" w:type="auto"/>
        <w:tblInd w:w="1101" w:type="dxa"/>
        <w:tblLayout w:type="fixed"/>
        <w:tblLook w:val="0000" w:firstRow="0" w:lastRow="0" w:firstColumn="0" w:lastColumn="0" w:noHBand="0" w:noVBand="0"/>
      </w:tblPr>
      <w:tblGrid>
        <w:gridCol w:w="1417"/>
        <w:gridCol w:w="1559"/>
        <w:gridCol w:w="1229"/>
        <w:gridCol w:w="1748"/>
      </w:tblGrid>
      <w:tr>
        <w:trPr>
          <w:cantSplit/>
          <w:tblHeader/>
        </w:trPr>
        <w:tc>
          <w:tcPr>
            <w:tcW w:w="2976" w:type="dxa"/>
            <w:gridSpan w:val="2"/>
            <w:tcBorders>
              <w:top w:val="single" w:sz="4" w:space="0" w:color="auto"/>
              <w:bottom w:val="single" w:sz="4" w:space="0" w:color="auto"/>
            </w:tcBorders>
          </w:tcPr>
          <w:p>
            <w:pPr>
              <w:pStyle w:val="Table"/>
              <w:jc w:val="center"/>
              <w:rPr>
                <w:b/>
                <w:bCs/>
              </w:rPr>
            </w:pPr>
            <w:r>
              <w:rPr>
                <w:b/>
                <w:bCs/>
              </w:rPr>
              <w:t>Unimproved value of the land</w:t>
            </w:r>
          </w:p>
        </w:tc>
        <w:tc>
          <w:tcPr>
            <w:tcW w:w="1229" w:type="dxa"/>
            <w:tcBorders>
              <w:top w:val="single" w:sz="4" w:space="0" w:color="auto"/>
            </w:tcBorders>
          </w:tcPr>
          <w:p>
            <w:pPr>
              <w:pStyle w:val="Table"/>
            </w:pPr>
          </w:p>
        </w:tc>
        <w:tc>
          <w:tcPr>
            <w:tcW w:w="1748" w:type="dxa"/>
            <w:tcBorders>
              <w:top w:val="single" w:sz="4" w:space="0" w:color="auto"/>
            </w:tcBorders>
          </w:tcPr>
          <w:p>
            <w:pPr>
              <w:pStyle w:val="Table"/>
            </w:pPr>
          </w:p>
        </w:tc>
      </w:tr>
      <w:tr>
        <w:trPr>
          <w:cantSplit/>
          <w:tblHeader/>
        </w:trPr>
        <w:tc>
          <w:tcPr>
            <w:tcW w:w="1417" w:type="dxa"/>
            <w:tcBorders>
              <w:top w:val="single" w:sz="4" w:space="0" w:color="auto"/>
              <w:bottom w:val="single" w:sz="4" w:space="0" w:color="auto"/>
            </w:tcBorders>
          </w:tcPr>
          <w:p>
            <w:pPr>
              <w:pStyle w:val="Table"/>
              <w:jc w:val="center"/>
              <w:rPr>
                <w:b/>
                <w:bCs/>
              </w:rPr>
            </w:pPr>
            <w:r>
              <w:rPr>
                <w:b/>
                <w:bCs/>
              </w:rPr>
              <w:t>Exceeding ($)</w:t>
            </w:r>
          </w:p>
        </w:tc>
        <w:tc>
          <w:tcPr>
            <w:tcW w:w="1559" w:type="dxa"/>
            <w:tcBorders>
              <w:top w:val="single" w:sz="4" w:space="0" w:color="auto"/>
              <w:bottom w:val="single" w:sz="4" w:space="0" w:color="auto"/>
            </w:tcBorders>
          </w:tcPr>
          <w:p>
            <w:pPr>
              <w:pStyle w:val="Table"/>
              <w:jc w:val="center"/>
              <w:rPr>
                <w:b/>
                <w:bCs/>
              </w:rPr>
            </w:pPr>
            <w:r>
              <w:rPr>
                <w:b/>
                <w:bCs/>
              </w:rPr>
              <w:t>Not exceeding ($)</w:t>
            </w:r>
          </w:p>
        </w:tc>
        <w:tc>
          <w:tcPr>
            <w:tcW w:w="2977" w:type="dxa"/>
            <w:gridSpan w:val="2"/>
            <w:tcBorders>
              <w:bottom w:val="single" w:sz="4" w:space="0" w:color="auto"/>
            </w:tcBorders>
          </w:tcPr>
          <w:p>
            <w:pPr>
              <w:pStyle w:val="Table"/>
              <w:jc w:val="center"/>
              <w:rPr>
                <w:b/>
                <w:bCs/>
              </w:rPr>
            </w:pPr>
            <w:r>
              <w:rPr>
                <w:b/>
                <w:bCs/>
              </w:rPr>
              <w:t>Rate of land tax</w:t>
            </w:r>
          </w:p>
        </w:tc>
      </w:tr>
      <w:tr>
        <w:trPr>
          <w:cantSplit/>
        </w:trPr>
        <w:tc>
          <w:tcPr>
            <w:tcW w:w="1417" w:type="dxa"/>
            <w:tcBorders>
              <w:top w:val="single" w:sz="4" w:space="0" w:color="auto"/>
            </w:tcBorders>
          </w:tcPr>
          <w:p>
            <w:pPr>
              <w:pStyle w:val="Table"/>
            </w:pPr>
            <w:r>
              <w:t>0</w:t>
            </w:r>
          </w:p>
        </w:tc>
        <w:tc>
          <w:tcPr>
            <w:tcW w:w="1559" w:type="dxa"/>
            <w:tcBorders>
              <w:top w:val="single" w:sz="4" w:space="0" w:color="auto"/>
            </w:tcBorders>
          </w:tcPr>
          <w:p>
            <w:pPr>
              <w:pStyle w:val="Table"/>
            </w:pPr>
            <w:r>
              <w:t>150 000</w:t>
            </w:r>
          </w:p>
        </w:tc>
        <w:tc>
          <w:tcPr>
            <w:tcW w:w="2977" w:type="dxa"/>
            <w:gridSpan w:val="2"/>
            <w:tcBorders>
              <w:top w:val="single" w:sz="4" w:space="0" w:color="auto"/>
            </w:tcBorders>
          </w:tcPr>
          <w:p>
            <w:pPr>
              <w:pStyle w:val="Table"/>
            </w:pPr>
            <w:r>
              <w:t>Nil</w:t>
            </w:r>
          </w:p>
        </w:tc>
      </w:tr>
      <w:tr>
        <w:trPr>
          <w:cantSplit/>
        </w:trPr>
        <w:tc>
          <w:tcPr>
            <w:tcW w:w="1417" w:type="dxa"/>
          </w:tcPr>
          <w:p>
            <w:pPr>
              <w:pStyle w:val="Table"/>
            </w:pPr>
            <w:r>
              <w:t>150 000</w:t>
            </w:r>
          </w:p>
        </w:tc>
        <w:tc>
          <w:tcPr>
            <w:tcW w:w="1559" w:type="dxa"/>
          </w:tcPr>
          <w:p>
            <w:pPr>
              <w:pStyle w:val="Table"/>
            </w:pPr>
            <w:r>
              <w:t>390 000</w:t>
            </w:r>
          </w:p>
        </w:tc>
        <w:tc>
          <w:tcPr>
            <w:tcW w:w="2977" w:type="dxa"/>
            <w:gridSpan w:val="2"/>
          </w:tcPr>
          <w:p>
            <w:pPr>
              <w:pStyle w:val="Table"/>
            </w:pPr>
            <w:r>
              <w:t>0.15 cent for each $1 in excess of $150 000</w:t>
            </w:r>
          </w:p>
        </w:tc>
      </w:tr>
      <w:tr>
        <w:trPr>
          <w:cantSplit/>
        </w:trPr>
        <w:tc>
          <w:tcPr>
            <w:tcW w:w="1417" w:type="dxa"/>
          </w:tcPr>
          <w:p>
            <w:pPr>
              <w:pStyle w:val="Table"/>
            </w:pPr>
            <w:r>
              <w:t>390 000</w:t>
            </w:r>
          </w:p>
        </w:tc>
        <w:tc>
          <w:tcPr>
            <w:tcW w:w="1559" w:type="dxa"/>
          </w:tcPr>
          <w:p>
            <w:pPr>
              <w:pStyle w:val="Table"/>
            </w:pPr>
            <w:r>
              <w:t>875 000</w:t>
            </w:r>
          </w:p>
        </w:tc>
        <w:tc>
          <w:tcPr>
            <w:tcW w:w="2977" w:type="dxa"/>
            <w:gridSpan w:val="2"/>
          </w:tcPr>
          <w:p>
            <w:pPr>
              <w:pStyle w:val="Table"/>
            </w:pPr>
            <w:r>
              <w:t>$360.00 + 0.45 cent for each $1 in excess of $390 000</w:t>
            </w:r>
          </w:p>
        </w:tc>
      </w:tr>
      <w:tr>
        <w:trPr>
          <w:cantSplit/>
        </w:trPr>
        <w:tc>
          <w:tcPr>
            <w:tcW w:w="1417" w:type="dxa"/>
          </w:tcPr>
          <w:p>
            <w:pPr>
              <w:pStyle w:val="Table"/>
            </w:pPr>
            <w:r>
              <w:t>875 000</w:t>
            </w:r>
          </w:p>
        </w:tc>
        <w:tc>
          <w:tcPr>
            <w:tcW w:w="1559" w:type="dxa"/>
          </w:tcPr>
          <w:p>
            <w:pPr>
              <w:pStyle w:val="Table"/>
            </w:pPr>
            <w:r>
              <w:t>2 000 000</w:t>
            </w:r>
          </w:p>
        </w:tc>
        <w:tc>
          <w:tcPr>
            <w:tcW w:w="2977" w:type="dxa"/>
            <w:gridSpan w:val="2"/>
          </w:tcPr>
          <w:p>
            <w:pPr>
              <w:pStyle w:val="Table"/>
            </w:pPr>
            <w:r>
              <w:t>$2 542.50 + 1.62 cents for each $1 in excess of $875 000</w:t>
            </w:r>
          </w:p>
        </w:tc>
      </w:tr>
      <w:tr>
        <w:trPr>
          <w:cantSplit/>
        </w:trPr>
        <w:tc>
          <w:tcPr>
            <w:tcW w:w="1417" w:type="dxa"/>
          </w:tcPr>
          <w:p>
            <w:pPr>
              <w:pStyle w:val="Table"/>
            </w:pPr>
            <w:r>
              <w:t>2 000 000</w:t>
            </w:r>
          </w:p>
        </w:tc>
        <w:tc>
          <w:tcPr>
            <w:tcW w:w="1559" w:type="dxa"/>
          </w:tcPr>
          <w:p>
            <w:pPr>
              <w:pStyle w:val="Table"/>
            </w:pPr>
            <w:r>
              <w:t>5 000 000</w:t>
            </w:r>
          </w:p>
        </w:tc>
        <w:tc>
          <w:tcPr>
            <w:tcW w:w="2977" w:type="dxa"/>
            <w:gridSpan w:val="2"/>
          </w:tcPr>
          <w:p>
            <w:pPr>
              <w:pStyle w:val="Table"/>
            </w:pPr>
            <w:r>
              <w:t>$20 767.50 + 2.30 cents for each $1 in excess of $2 000 000</w:t>
            </w:r>
          </w:p>
        </w:tc>
      </w:tr>
      <w:tr>
        <w:trPr>
          <w:cantSplit/>
        </w:trPr>
        <w:tc>
          <w:tcPr>
            <w:tcW w:w="1417" w:type="dxa"/>
            <w:tcBorders>
              <w:bottom w:val="single" w:sz="4" w:space="0" w:color="auto"/>
            </w:tcBorders>
          </w:tcPr>
          <w:p>
            <w:pPr>
              <w:pStyle w:val="Table"/>
            </w:pPr>
            <w:r>
              <w:t>5 000 000</w:t>
            </w:r>
          </w:p>
        </w:tc>
        <w:tc>
          <w:tcPr>
            <w:tcW w:w="1559" w:type="dxa"/>
            <w:tcBorders>
              <w:bottom w:val="single" w:sz="4" w:space="0" w:color="auto"/>
            </w:tcBorders>
          </w:tcPr>
          <w:p>
            <w:pPr>
              <w:pStyle w:val="Table"/>
            </w:pPr>
          </w:p>
        </w:tc>
        <w:tc>
          <w:tcPr>
            <w:tcW w:w="2977" w:type="dxa"/>
            <w:gridSpan w:val="2"/>
            <w:tcBorders>
              <w:bottom w:val="single" w:sz="4" w:space="0" w:color="auto"/>
            </w:tcBorders>
          </w:tcPr>
          <w:p>
            <w:pPr>
              <w:pStyle w:val="Table"/>
            </w:pPr>
            <w:r>
              <w:t>$89 767.50 + 2.50 cents for each $1 in excess of $5 000 000</w:t>
            </w:r>
          </w:p>
        </w:tc>
      </w:tr>
    </w:tbl>
    <w:p>
      <w:pPr>
        <w:pStyle w:val="MiscellaneousHeading"/>
        <w:rPr>
          <w:ins w:id="34" w:author="svcMRProcess" w:date="2015-11-01T20:50:00Z"/>
        </w:rPr>
      </w:pPr>
      <w:ins w:id="35" w:author="svcMRProcess" w:date="2015-11-01T20:50:00Z">
        <w:r>
          <w:rPr>
            <w:b/>
            <w:bCs/>
          </w:rPr>
          <w:t>Table 6: Land tax rates for 2007/08 and subsequent financial years</w:t>
        </w:r>
      </w:ins>
    </w:p>
    <w:tbl>
      <w:tblPr>
        <w:tblW w:w="0" w:type="auto"/>
        <w:tblInd w:w="1101" w:type="dxa"/>
        <w:tblLayout w:type="fixed"/>
        <w:tblLook w:val="0000" w:firstRow="0" w:lastRow="0" w:firstColumn="0" w:lastColumn="0" w:noHBand="0" w:noVBand="0"/>
      </w:tblPr>
      <w:tblGrid>
        <w:gridCol w:w="1417"/>
        <w:gridCol w:w="1559"/>
        <w:gridCol w:w="1229"/>
        <w:gridCol w:w="1748"/>
      </w:tblGrid>
      <w:tr>
        <w:trPr>
          <w:cantSplit/>
          <w:tblHeader/>
          <w:ins w:id="36" w:author="svcMRProcess" w:date="2015-11-01T20:50:00Z"/>
        </w:trPr>
        <w:tc>
          <w:tcPr>
            <w:tcW w:w="2976" w:type="dxa"/>
            <w:gridSpan w:val="2"/>
            <w:tcBorders>
              <w:top w:val="single" w:sz="4" w:space="0" w:color="auto"/>
              <w:bottom w:val="single" w:sz="4" w:space="0" w:color="auto"/>
            </w:tcBorders>
          </w:tcPr>
          <w:p>
            <w:pPr>
              <w:pStyle w:val="Table"/>
              <w:jc w:val="center"/>
              <w:rPr>
                <w:ins w:id="37" w:author="svcMRProcess" w:date="2015-11-01T20:50:00Z"/>
                <w:b/>
                <w:bCs/>
              </w:rPr>
            </w:pPr>
            <w:ins w:id="38" w:author="svcMRProcess" w:date="2015-11-01T20:50:00Z">
              <w:r>
                <w:rPr>
                  <w:b/>
                  <w:bCs/>
                </w:rPr>
                <w:t>Unimproved value of the land</w:t>
              </w:r>
            </w:ins>
          </w:p>
        </w:tc>
        <w:tc>
          <w:tcPr>
            <w:tcW w:w="1229" w:type="dxa"/>
            <w:tcBorders>
              <w:top w:val="single" w:sz="4" w:space="0" w:color="auto"/>
            </w:tcBorders>
          </w:tcPr>
          <w:p>
            <w:pPr>
              <w:pStyle w:val="zTablet"/>
              <w:rPr>
                <w:ins w:id="39" w:author="svcMRProcess" w:date="2015-11-01T20:50:00Z"/>
              </w:rPr>
            </w:pPr>
          </w:p>
        </w:tc>
        <w:tc>
          <w:tcPr>
            <w:tcW w:w="1748" w:type="dxa"/>
            <w:tcBorders>
              <w:top w:val="single" w:sz="4" w:space="0" w:color="auto"/>
            </w:tcBorders>
          </w:tcPr>
          <w:p>
            <w:pPr>
              <w:pStyle w:val="zTablet"/>
              <w:rPr>
                <w:ins w:id="40" w:author="svcMRProcess" w:date="2015-11-01T20:50:00Z"/>
              </w:rPr>
            </w:pPr>
          </w:p>
        </w:tc>
      </w:tr>
      <w:tr>
        <w:trPr>
          <w:cantSplit/>
          <w:tblHeader/>
          <w:ins w:id="41" w:author="svcMRProcess" w:date="2015-11-01T20:50:00Z"/>
        </w:trPr>
        <w:tc>
          <w:tcPr>
            <w:tcW w:w="1417" w:type="dxa"/>
            <w:tcBorders>
              <w:top w:val="single" w:sz="4" w:space="0" w:color="auto"/>
              <w:bottom w:val="single" w:sz="4" w:space="0" w:color="auto"/>
            </w:tcBorders>
          </w:tcPr>
          <w:p>
            <w:pPr>
              <w:pStyle w:val="Table"/>
              <w:jc w:val="center"/>
              <w:rPr>
                <w:ins w:id="42" w:author="svcMRProcess" w:date="2015-11-01T20:50:00Z"/>
                <w:b/>
                <w:bCs/>
              </w:rPr>
            </w:pPr>
            <w:ins w:id="43" w:author="svcMRProcess" w:date="2015-11-01T20:50:00Z">
              <w:r>
                <w:rPr>
                  <w:b/>
                  <w:bCs/>
                </w:rPr>
                <w:t>Exceeding ($)</w:t>
              </w:r>
            </w:ins>
          </w:p>
        </w:tc>
        <w:tc>
          <w:tcPr>
            <w:tcW w:w="1559" w:type="dxa"/>
            <w:tcBorders>
              <w:top w:val="single" w:sz="4" w:space="0" w:color="auto"/>
              <w:bottom w:val="single" w:sz="4" w:space="0" w:color="auto"/>
            </w:tcBorders>
          </w:tcPr>
          <w:p>
            <w:pPr>
              <w:pStyle w:val="Table"/>
              <w:jc w:val="center"/>
              <w:rPr>
                <w:ins w:id="44" w:author="svcMRProcess" w:date="2015-11-01T20:50:00Z"/>
                <w:b/>
                <w:bCs/>
              </w:rPr>
            </w:pPr>
            <w:ins w:id="45" w:author="svcMRProcess" w:date="2015-11-01T20:50:00Z">
              <w:r>
                <w:rPr>
                  <w:b/>
                  <w:bCs/>
                </w:rPr>
                <w:t>Not exceeding ($)</w:t>
              </w:r>
            </w:ins>
          </w:p>
        </w:tc>
        <w:tc>
          <w:tcPr>
            <w:tcW w:w="2977" w:type="dxa"/>
            <w:gridSpan w:val="2"/>
            <w:tcBorders>
              <w:bottom w:val="single" w:sz="4" w:space="0" w:color="auto"/>
            </w:tcBorders>
          </w:tcPr>
          <w:p>
            <w:pPr>
              <w:pStyle w:val="Table"/>
              <w:jc w:val="center"/>
              <w:rPr>
                <w:ins w:id="46" w:author="svcMRProcess" w:date="2015-11-01T20:50:00Z"/>
                <w:b/>
                <w:bCs/>
              </w:rPr>
            </w:pPr>
            <w:ins w:id="47" w:author="svcMRProcess" w:date="2015-11-01T20:50:00Z">
              <w:r>
                <w:rPr>
                  <w:b/>
                  <w:bCs/>
                </w:rPr>
                <w:t>Rate of land tax</w:t>
              </w:r>
            </w:ins>
          </w:p>
        </w:tc>
      </w:tr>
      <w:tr>
        <w:trPr>
          <w:cantSplit/>
          <w:ins w:id="48" w:author="svcMRProcess" w:date="2015-11-01T20:50:00Z"/>
        </w:trPr>
        <w:tc>
          <w:tcPr>
            <w:tcW w:w="1417" w:type="dxa"/>
            <w:tcBorders>
              <w:top w:val="single" w:sz="4" w:space="0" w:color="auto"/>
            </w:tcBorders>
          </w:tcPr>
          <w:p>
            <w:pPr>
              <w:pStyle w:val="Table"/>
              <w:rPr>
                <w:ins w:id="49" w:author="svcMRProcess" w:date="2015-11-01T20:50:00Z"/>
              </w:rPr>
            </w:pPr>
            <w:ins w:id="50" w:author="svcMRProcess" w:date="2015-11-01T20:50:00Z">
              <w:r>
                <w:t>0</w:t>
              </w:r>
            </w:ins>
          </w:p>
        </w:tc>
        <w:tc>
          <w:tcPr>
            <w:tcW w:w="1559" w:type="dxa"/>
            <w:tcBorders>
              <w:top w:val="single" w:sz="4" w:space="0" w:color="auto"/>
            </w:tcBorders>
          </w:tcPr>
          <w:p>
            <w:pPr>
              <w:pStyle w:val="Table"/>
              <w:rPr>
                <w:ins w:id="51" w:author="svcMRProcess" w:date="2015-11-01T20:50:00Z"/>
              </w:rPr>
            </w:pPr>
            <w:ins w:id="52" w:author="svcMRProcess" w:date="2015-11-01T20:50:00Z">
              <w:r>
                <w:t>250 000</w:t>
              </w:r>
            </w:ins>
          </w:p>
        </w:tc>
        <w:tc>
          <w:tcPr>
            <w:tcW w:w="2977" w:type="dxa"/>
            <w:gridSpan w:val="2"/>
            <w:tcBorders>
              <w:top w:val="single" w:sz="4" w:space="0" w:color="auto"/>
            </w:tcBorders>
          </w:tcPr>
          <w:p>
            <w:pPr>
              <w:pStyle w:val="Table"/>
              <w:rPr>
                <w:ins w:id="53" w:author="svcMRProcess" w:date="2015-11-01T20:50:00Z"/>
              </w:rPr>
            </w:pPr>
            <w:ins w:id="54" w:author="svcMRProcess" w:date="2015-11-01T20:50:00Z">
              <w:r>
                <w:t>Nil</w:t>
              </w:r>
            </w:ins>
          </w:p>
        </w:tc>
      </w:tr>
      <w:tr>
        <w:trPr>
          <w:cantSplit/>
          <w:ins w:id="55" w:author="svcMRProcess" w:date="2015-11-01T20:50:00Z"/>
        </w:trPr>
        <w:tc>
          <w:tcPr>
            <w:tcW w:w="1417" w:type="dxa"/>
          </w:tcPr>
          <w:p>
            <w:pPr>
              <w:pStyle w:val="Table"/>
              <w:rPr>
                <w:ins w:id="56" w:author="svcMRProcess" w:date="2015-11-01T20:50:00Z"/>
              </w:rPr>
            </w:pPr>
            <w:ins w:id="57" w:author="svcMRProcess" w:date="2015-11-01T20:50:00Z">
              <w:r>
                <w:t>250 000</w:t>
              </w:r>
            </w:ins>
          </w:p>
        </w:tc>
        <w:tc>
          <w:tcPr>
            <w:tcW w:w="1559" w:type="dxa"/>
          </w:tcPr>
          <w:p>
            <w:pPr>
              <w:pStyle w:val="Table"/>
              <w:rPr>
                <w:ins w:id="58" w:author="svcMRProcess" w:date="2015-11-01T20:50:00Z"/>
              </w:rPr>
            </w:pPr>
            <w:ins w:id="59" w:author="svcMRProcess" w:date="2015-11-01T20:50:00Z">
              <w:r>
                <w:t>875 000</w:t>
              </w:r>
            </w:ins>
          </w:p>
        </w:tc>
        <w:tc>
          <w:tcPr>
            <w:tcW w:w="2977" w:type="dxa"/>
            <w:gridSpan w:val="2"/>
          </w:tcPr>
          <w:p>
            <w:pPr>
              <w:pStyle w:val="Table"/>
              <w:rPr>
                <w:ins w:id="60" w:author="svcMRProcess" w:date="2015-11-01T20:50:00Z"/>
              </w:rPr>
            </w:pPr>
            <w:ins w:id="61" w:author="svcMRProcess" w:date="2015-11-01T20:50:00Z">
              <w:r>
                <w:t>0.15 cent for each $1 in excess of $250 000</w:t>
              </w:r>
            </w:ins>
          </w:p>
        </w:tc>
      </w:tr>
      <w:tr>
        <w:trPr>
          <w:cantSplit/>
          <w:ins w:id="62" w:author="svcMRProcess" w:date="2015-11-01T20:50:00Z"/>
        </w:trPr>
        <w:tc>
          <w:tcPr>
            <w:tcW w:w="1417" w:type="dxa"/>
          </w:tcPr>
          <w:p>
            <w:pPr>
              <w:pStyle w:val="Table"/>
              <w:rPr>
                <w:ins w:id="63" w:author="svcMRProcess" w:date="2015-11-01T20:50:00Z"/>
              </w:rPr>
            </w:pPr>
            <w:ins w:id="64" w:author="svcMRProcess" w:date="2015-11-01T20:50:00Z">
              <w:r>
                <w:t>875 000</w:t>
              </w:r>
            </w:ins>
          </w:p>
        </w:tc>
        <w:tc>
          <w:tcPr>
            <w:tcW w:w="1559" w:type="dxa"/>
          </w:tcPr>
          <w:p>
            <w:pPr>
              <w:pStyle w:val="Table"/>
              <w:rPr>
                <w:ins w:id="65" w:author="svcMRProcess" w:date="2015-11-01T20:50:00Z"/>
              </w:rPr>
            </w:pPr>
            <w:ins w:id="66" w:author="svcMRProcess" w:date="2015-11-01T20:50:00Z">
              <w:r>
                <w:t>2 000 000</w:t>
              </w:r>
            </w:ins>
          </w:p>
        </w:tc>
        <w:tc>
          <w:tcPr>
            <w:tcW w:w="2977" w:type="dxa"/>
            <w:gridSpan w:val="2"/>
          </w:tcPr>
          <w:p>
            <w:pPr>
              <w:pStyle w:val="Table"/>
              <w:rPr>
                <w:ins w:id="67" w:author="svcMRProcess" w:date="2015-11-01T20:50:00Z"/>
              </w:rPr>
            </w:pPr>
            <w:ins w:id="68" w:author="svcMRProcess" w:date="2015-11-01T20:50:00Z">
              <w:r>
                <w:t>$937.50 + 0.75 cent for each $1 in excess of $875 000</w:t>
              </w:r>
            </w:ins>
          </w:p>
        </w:tc>
      </w:tr>
      <w:tr>
        <w:trPr>
          <w:cantSplit/>
          <w:ins w:id="69" w:author="svcMRProcess" w:date="2015-11-01T20:50:00Z"/>
        </w:trPr>
        <w:tc>
          <w:tcPr>
            <w:tcW w:w="1417" w:type="dxa"/>
          </w:tcPr>
          <w:p>
            <w:pPr>
              <w:pStyle w:val="Table"/>
              <w:rPr>
                <w:ins w:id="70" w:author="svcMRProcess" w:date="2015-11-01T20:50:00Z"/>
              </w:rPr>
            </w:pPr>
            <w:ins w:id="71" w:author="svcMRProcess" w:date="2015-11-01T20:50:00Z">
              <w:r>
                <w:t>2 000 000</w:t>
              </w:r>
            </w:ins>
          </w:p>
        </w:tc>
        <w:tc>
          <w:tcPr>
            <w:tcW w:w="1559" w:type="dxa"/>
          </w:tcPr>
          <w:p>
            <w:pPr>
              <w:pStyle w:val="Table"/>
              <w:rPr>
                <w:ins w:id="72" w:author="svcMRProcess" w:date="2015-11-01T20:50:00Z"/>
              </w:rPr>
            </w:pPr>
            <w:ins w:id="73" w:author="svcMRProcess" w:date="2015-11-01T20:50:00Z">
              <w:r>
                <w:t>5 000 000</w:t>
              </w:r>
            </w:ins>
          </w:p>
        </w:tc>
        <w:tc>
          <w:tcPr>
            <w:tcW w:w="2977" w:type="dxa"/>
            <w:gridSpan w:val="2"/>
          </w:tcPr>
          <w:p>
            <w:pPr>
              <w:pStyle w:val="Table"/>
              <w:rPr>
                <w:ins w:id="74" w:author="svcMRProcess" w:date="2015-11-01T20:50:00Z"/>
              </w:rPr>
            </w:pPr>
            <w:ins w:id="75" w:author="svcMRProcess" w:date="2015-11-01T20:50:00Z">
              <w:r>
                <w:t>$9 375.00 + 1.30 cents for each $1 in excess of $2 000 000</w:t>
              </w:r>
            </w:ins>
          </w:p>
        </w:tc>
      </w:tr>
      <w:tr>
        <w:trPr>
          <w:cantSplit/>
          <w:ins w:id="76" w:author="svcMRProcess" w:date="2015-11-01T20:50:00Z"/>
        </w:trPr>
        <w:tc>
          <w:tcPr>
            <w:tcW w:w="1417" w:type="dxa"/>
          </w:tcPr>
          <w:p>
            <w:pPr>
              <w:pStyle w:val="Table"/>
              <w:rPr>
                <w:ins w:id="77" w:author="svcMRProcess" w:date="2015-11-01T20:50:00Z"/>
              </w:rPr>
            </w:pPr>
            <w:ins w:id="78" w:author="svcMRProcess" w:date="2015-11-01T20:50:00Z">
              <w:r>
                <w:t>5 000 000</w:t>
              </w:r>
            </w:ins>
          </w:p>
        </w:tc>
        <w:tc>
          <w:tcPr>
            <w:tcW w:w="1559" w:type="dxa"/>
          </w:tcPr>
          <w:p>
            <w:pPr>
              <w:pStyle w:val="Table"/>
              <w:rPr>
                <w:ins w:id="79" w:author="svcMRProcess" w:date="2015-11-01T20:50:00Z"/>
              </w:rPr>
            </w:pPr>
            <w:ins w:id="80" w:author="svcMRProcess" w:date="2015-11-01T20:50:00Z">
              <w:r>
                <w:t>10 000 000</w:t>
              </w:r>
            </w:ins>
          </w:p>
        </w:tc>
        <w:tc>
          <w:tcPr>
            <w:tcW w:w="2977" w:type="dxa"/>
            <w:gridSpan w:val="2"/>
          </w:tcPr>
          <w:p>
            <w:pPr>
              <w:pStyle w:val="Table"/>
              <w:rPr>
                <w:ins w:id="81" w:author="svcMRProcess" w:date="2015-11-01T20:50:00Z"/>
              </w:rPr>
            </w:pPr>
            <w:ins w:id="82" w:author="svcMRProcess" w:date="2015-11-01T20:50:00Z">
              <w:r>
                <w:t>$48 375.00 + 1.55 cents for each $1 in excess of $5 000 000</w:t>
              </w:r>
            </w:ins>
          </w:p>
        </w:tc>
      </w:tr>
      <w:tr>
        <w:trPr>
          <w:cantSplit/>
          <w:ins w:id="83" w:author="svcMRProcess" w:date="2015-11-01T20:50:00Z"/>
        </w:trPr>
        <w:tc>
          <w:tcPr>
            <w:tcW w:w="1417" w:type="dxa"/>
            <w:tcBorders>
              <w:bottom w:val="single" w:sz="4" w:space="0" w:color="auto"/>
            </w:tcBorders>
          </w:tcPr>
          <w:p>
            <w:pPr>
              <w:pStyle w:val="Table"/>
              <w:rPr>
                <w:ins w:id="84" w:author="svcMRProcess" w:date="2015-11-01T20:50:00Z"/>
              </w:rPr>
            </w:pPr>
            <w:ins w:id="85" w:author="svcMRProcess" w:date="2015-11-01T20:50:00Z">
              <w:r>
                <w:t>10 000 000</w:t>
              </w:r>
            </w:ins>
          </w:p>
        </w:tc>
        <w:tc>
          <w:tcPr>
            <w:tcW w:w="1559" w:type="dxa"/>
            <w:tcBorders>
              <w:bottom w:val="single" w:sz="4" w:space="0" w:color="auto"/>
            </w:tcBorders>
          </w:tcPr>
          <w:p>
            <w:pPr>
              <w:pStyle w:val="Table"/>
              <w:rPr>
                <w:ins w:id="86" w:author="svcMRProcess" w:date="2015-11-01T20:50:00Z"/>
              </w:rPr>
            </w:pPr>
          </w:p>
        </w:tc>
        <w:tc>
          <w:tcPr>
            <w:tcW w:w="2977" w:type="dxa"/>
            <w:gridSpan w:val="2"/>
            <w:tcBorders>
              <w:bottom w:val="single" w:sz="4" w:space="0" w:color="auto"/>
            </w:tcBorders>
          </w:tcPr>
          <w:p>
            <w:pPr>
              <w:pStyle w:val="Table"/>
              <w:rPr>
                <w:ins w:id="87" w:author="svcMRProcess" w:date="2015-11-01T20:50:00Z"/>
              </w:rPr>
            </w:pPr>
            <w:ins w:id="88" w:author="svcMRProcess" w:date="2015-11-01T20:50:00Z">
              <w:r>
                <w:t>$125 875.00 + 2.30 cents for each $1 in excess of $10 000 000</w:t>
              </w:r>
            </w:ins>
          </w:p>
        </w:tc>
      </w:tr>
    </w:tbl>
    <w:p>
      <w:pPr>
        <w:pStyle w:val="Footnotesection"/>
      </w:pPr>
      <w:r>
        <w:tab/>
        <w:t>[Section 5 amended by No. 41 of 2003 s. 4; No. 11 of 2004 s. 4; No. 83 of 2004 s. 4; No. 10 of 2005 s. 4; No. 31 of 2006 s. </w:t>
      </w:r>
      <w:del w:id="89" w:author="svcMRProcess" w:date="2015-11-01T20:50:00Z">
        <w:r>
          <w:delText>18</w:delText>
        </w:r>
      </w:del>
      <w:ins w:id="90" w:author="svcMRProcess" w:date="2015-11-01T20:50:00Z">
        <w:r>
          <w:t>18; No. 12 of 2007 s. 4</w:t>
        </w:r>
      </w:ins>
      <w:r>
        <w:t>.]</w:t>
      </w:r>
    </w:p>
    <w:p>
      <w:pPr>
        <w:spacing w:after="40"/>
        <w:jc w:val="cente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nHeading2"/>
      </w:pPr>
      <w:bookmarkStart w:id="91" w:name="UpToHere"/>
      <w:bookmarkStart w:id="92" w:name="_Toc76896044"/>
      <w:bookmarkStart w:id="93" w:name="_Toc90440284"/>
      <w:bookmarkStart w:id="94" w:name="_Toc90452168"/>
      <w:bookmarkStart w:id="95" w:name="_Toc113165993"/>
      <w:bookmarkStart w:id="96" w:name="_Toc113169293"/>
      <w:bookmarkStart w:id="97" w:name="_Toc117399701"/>
      <w:bookmarkStart w:id="98" w:name="_Toc117400158"/>
      <w:bookmarkStart w:id="99" w:name="_Toc118683042"/>
      <w:bookmarkStart w:id="100" w:name="_Toc119141816"/>
      <w:bookmarkStart w:id="101" w:name="_Toc120606027"/>
      <w:bookmarkStart w:id="102" w:name="_Toc139798320"/>
      <w:bookmarkStart w:id="103" w:name="_Toc140045606"/>
      <w:bookmarkStart w:id="104" w:name="_Toc140045680"/>
      <w:bookmarkStart w:id="105" w:name="_Toc161040193"/>
      <w:bookmarkStart w:id="106" w:name="_Toc161114740"/>
      <w:bookmarkStart w:id="107" w:name="_Toc161569711"/>
      <w:bookmarkStart w:id="108" w:name="_Toc161629381"/>
      <w:bookmarkStart w:id="109" w:name="_Toc171161309"/>
      <w:bookmarkStart w:id="110" w:name="_Toc171236349"/>
      <w:bookmarkEnd w:id="91"/>
      <w:r>
        <w:t>Notes</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pPr>
        <w:pStyle w:val="nSubsection"/>
        <w:rPr>
          <w:snapToGrid w:val="0"/>
        </w:rPr>
      </w:pPr>
      <w:r>
        <w:rPr>
          <w:snapToGrid w:val="0"/>
          <w:vertAlign w:val="superscript"/>
        </w:rPr>
        <w:t>1</w:t>
      </w:r>
      <w:r>
        <w:rPr>
          <w:snapToGrid w:val="0"/>
        </w:rPr>
        <w:tab/>
        <w:t xml:space="preserve">This is a compilation of the </w:t>
      </w:r>
      <w:r>
        <w:rPr>
          <w:i/>
          <w:noProof/>
          <w:snapToGrid w:val="0"/>
        </w:rPr>
        <w:t>Land Tax</w:t>
      </w:r>
      <w:del w:id="111" w:author="svcMRProcess" w:date="2015-11-01T20:50:00Z">
        <w:r>
          <w:rPr>
            <w:i/>
            <w:noProof/>
            <w:snapToGrid w:val="0"/>
          </w:rPr>
          <w:delText xml:space="preserve"> </w:delText>
        </w:r>
      </w:del>
      <w:ins w:id="112" w:author="svcMRProcess" w:date="2015-11-01T20:50:00Z">
        <w:r>
          <w:rPr>
            <w:i/>
            <w:noProof/>
            <w:snapToGrid w:val="0"/>
          </w:rPr>
          <w:t> </w:t>
        </w:r>
      </w:ins>
      <w:r>
        <w:rPr>
          <w:i/>
          <w:noProof/>
          <w:snapToGrid w:val="0"/>
        </w:rPr>
        <w:t>Act 2002</w:t>
      </w:r>
      <w:r>
        <w:rPr>
          <w:snapToGrid w:val="0"/>
        </w:rPr>
        <w:t xml:space="preserve"> and includes the amendments made by the other written laws referred to in the following table</w:t>
      </w:r>
      <w:r>
        <w:rPr>
          <w:snapToGrid w:val="0"/>
          <w:vertAlign w:val="superscript"/>
        </w:rPr>
        <w:t> 2, 3</w:t>
      </w:r>
      <w:r>
        <w:rPr>
          <w:snapToGrid w:val="0"/>
        </w:rPr>
        <w:t>.  The table also contains information about any reprint.</w:t>
      </w:r>
    </w:p>
    <w:p>
      <w:pPr>
        <w:pStyle w:val="nHeading3"/>
        <w:rPr>
          <w:snapToGrid w:val="0"/>
        </w:rPr>
      </w:pPr>
      <w:bookmarkStart w:id="113" w:name="_Toc140045681"/>
      <w:bookmarkStart w:id="114" w:name="_Toc171236350"/>
      <w:bookmarkStart w:id="115" w:name="_Toc161629382"/>
      <w:r>
        <w:rPr>
          <w:snapToGrid w:val="0"/>
        </w:rPr>
        <w:t>Compilation table</w:t>
      </w:r>
      <w:bookmarkEnd w:id="113"/>
      <w:bookmarkEnd w:id="114"/>
      <w:bookmarkEnd w:id="115"/>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c>
          <w:tcPr>
            <w:tcW w:w="2268" w:type="dxa"/>
            <w:tcBorders>
              <w:top w:val="single" w:sz="8" w:space="0" w:color="auto"/>
            </w:tcBorders>
          </w:tcPr>
          <w:p>
            <w:pPr>
              <w:pStyle w:val="nTable"/>
              <w:spacing w:after="40"/>
              <w:rPr>
                <w:sz w:val="19"/>
              </w:rPr>
            </w:pPr>
            <w:r>
              <w:rPr>
                <w:i/>
                <w:sz w:val="19"/>
              </w:rPr>
              <w:t>Land Tax Act 2002</w:t>
            </w:r>
          </w:p>
        </w:tc>
        <w:tc>
          <w:tcPr>
            <w:tcW w:w="1134" w:type="dxa"/>
            <w:tcBorders>
              <w:top w:val="single" w:sz="8" w:space="0" w:color="auto"/>
            </w:tcBorders>
          </w:tcPr>
          <w:p>
            <w:pPr>
              <w:pStyle w:val="nTable"/>
              <w:spacing w:after="40"/>
              <w:rPr>
                <w:sz w:val="19"/>
              </w:rPr>
            </w:pPr>
            <w:r>
              <w:rPr>
                <w:sz w:val="19"/>
              </w:rPr>
              <w:t>51 of 2002</w:t>
            </w:r>
          </w:p>
        </w:tc>
        <w:tc>
          <w:tcPr>
            <w:tcW w:w="1134" w:type="dxa"/>
            <w:tcBorders>
              <w:top w:val="single" w:sz="8" w:space="0" w:color="auto"/>
            </w:tcBorders>
          </w:tcPr>
          <w:p>
            <w:pPr>
              <w:pStyle w:val="nTable"/>
              <w:spacing w:after="40"/>
              <w:rPr>
                <w:sz w:val="19"/>
              </w:rPr>
            </w:pPr>
            <w:r>
              <w:rPr>
                <w:sz w:val="19"/>
              </w:rPr>
              <w:t>20 Mar 2003</w:t>
            </w:r>
          </w:p>
        </w:tc>
        <w:tc>
          <w:tcPr>
            <w:tcW w:w="2552" w:type="dxa"/>
            <w:tcBorders>
              <w:top w:val="single" w:sz="8" w:space="0" w:color="auto"/>
            </w:tcBorders>
          </w:tcPr>
          <w:p>
            <w:pPr>
              <w:pStyle w:val="nTable"/>
              <w:spacing w:after="40"/>
              <w:rPr>
                <w:sz w:val="19"/>
              </w:rPr>
            </w:pPr>
            <w:r>
              <w:rPr>
                <w:sz w:val="19"/>
              </w:rPr>
              <w:t xml:space="preserve">1 Jul 2003 (see s. 2 and </w:t>
            </w:r>
            <w:r>
              <w:rPr>
                <w:i/>
                <w:sz w:val="19"/>
              </w:rPr>
              <w:t>Gazette</w:t>
            </w:r>
            <w:r>
              <w:rPr>
                <w:sz w:val="19"/>
              </w:rPr>
              <w:t xml:space="preserve"> 27 Jun 2003 p. 2383)</w:t>
            </w:r>
          </w:p>
        </w:tc>
      </w:tr>
      <w:tr>
        <w:tc>
          <w:tcPr>
            <w:tcW w:w="2268" w:type="dxa"/>
          </w:tcPr>
          <w:p>
            <w:pPr>
              <w:pStyle w:val="nTable"/>
              <w:spacing w:after="40"/>
              <w:rPr>
                <w:sz w:val="19"/>
              </w:rPr>
            </w:pPr>
            <w:r>
              <w:rPr>
                <w:i/>
                <w:sz w:val="19"/>
              </w:rPr>
              <w:t>Business Tax Review (Taxing) Act 2003</w:t>
            </w:r>
            <w:r>
              <w:rPr>
                <w:sz w:val="19"/>
              </w:rPr>
              <w:t xml:space="preserve"> Pt. 2</w:t>
            </w:r>
          </w:p>
        </w:tc>
        <w:tc>
          <w:tcPr>
            <w:tcW w:w="1134" w:type="dxa"/>
          </w:tcPr>
          <w:p>
            <w:pPr>
              <w:pStyle w:val="nTable"/>
              <w:spacing w:after="40"/>
              <w:rPr>
                <w:sz w:val="19"/>
              </w:rPr>
            </w:pPr>
            <w:r>
              <w:rPr>
                <w:sz w:val="19"/>
              </w:rPr>
              <w:t>41 of 2003</w:t>
            </w:r>
          </w:p>
        </w:tc>
        <w:tc>
          <w:tcPr>
            <w:tcW w:w="1134" w:type="dxa"/>
          </w:tcPr>
          <w:p>
            <w:pPr>
              <w:pStyle w:val="nTable"/>
              <w:spacing w:after="40"/>
              <w:rPr>
                <w:sz w:val="19"/>
              </w:rPr>
            </w:pPr>
            <w:r>
              <w:rPr>
                <w:sz w:val="19"/>
              </w:rPr>
              <w:t>30 Jun 2003</w:t>
            </w:r>
          </w:p>
        </w:tc>
        <w:tc>
          <w:tcPr>
            <w:tcW w:w="2552" w:type="dxa"/>
          </w:tcPr>
          <w:p>
            <w:pPr>
              <w:pStyle w:val="nTable"/>
              <w:spacing w:after="40"/>
              <w:rPr>
                <w:sz w:val="19"/>
              </w:rPr>
            </w:pPr>
            <w:r>
              <w:rPr>
                <w:sz w:val="19"/>
              </w:rPr>
              <w:t>1 Jul 2003 (see s. 2)</w:t>
            </w:r>
          </w:p>
        </w:tc>
      </w:tr>
      <w:tr>
        <w:tc>
          <w:tcPr>
            <w:tcW w:w="2268" w:type="dxa"/>
          </w:tcPr>
          <w:p>
            <w:pPr>
              <w:pStyle w:val="nTable"/>
              <w:spacing w:after="40"/>
              <w:rPr>
                <w:sz w:val="19"/>
              </w:rPr>
            </w:pPr>
            <w:r>
              <w:rPr>
                <w:i/>
                <w:sz w:val="19"/>
              </w:rPr>
              <w:t>Revenue Laws Amendment Act 2004</w:t>
            </w:r>
            <w:r>
              <w:rPr>
                <w:sz w:val="19"/>
              </w:rPr>
              <w:t xml:space="preserve"> Pt. 2</w:t>
            </w:r>
          </w:p>
        </w:tc>
        <w:tc>
          <w:tcPr>
            <w:tcW w:w="1134" w:type="dxa"/>
          </w:tcPr>
          <w:p>
            <w:pPr>
              <w:pStyle w:val="nTable"/>
              <w:spacing w:after="40"/>
              <w:rPr>
                <w:sz w:val="19"/>
              </w:rPr>
            </w:pPr>
            <w:r>
              <w:rPr>
                <w:sz w:val="19"/>
              </w:rPr>
              <w:t>11 of 2004</w:t>
            </w:r>
          </w:p>
        </w:tc>
        <w:tc>
          <w:tcPr>
            <w:tcW w:w="1134" w:type="dxa"/>
          </w:tcPr>
          <w:p>
            <w:pPr>
              <w:pStyle w:val="nTable"/>
              <w:spacing w:after="40"/>
              <w:rPr>
                <w:sz w:val="19"/>
              </w:rPr>
            </w:pPr>
            <w:r>
              <w:rPr>
                <w:sz w:val="19"/>
              </w:rPr>
              <w:t>29 Jun 2004</w:t>
            </w:r>
          </w:p>
        </w:tc>
        <w:tc>
          <w:tcPr>
            <w:tcW w:w="2552" w:type="dxa"/>
          </w:tcPr>
          <w:p>
            <w:pPr>
              <w:pStyle w:val="nTable"/>
              <w:spacing w:after="40"/>
              <w:rPr>
                <w:sz w:val="19"/>
              </w:rPr>
            </w:pPr>
            <w:r>
              <w:rPr>
                <w:sz w:val="19"/>
              </w:rPr>
              <w:t>1 Jul 2004 (see s. 2(2))</w:t>
            </w:r>
          </w:p>
        </w:tc>
      </w:tr>
      <w:tr>
        <w:tc>
          <w:tcPr>
            <w:tcW w:w="2268" w:type="dxa"/>
          </w:tcPr>
          <w:p>
            <w:pPr>
              <w:pStyle w:val="nTable"/>
              <w:spacing w:after="40"/>
              <w:rPr>
                <w:i/>
                <w:sz w:val="19"/>
              </w:rPr>
            </w:pPr>
            <w:r>
              <w:rPr>
                <w:i/>
                <w:sz w:val="19"/>
              </w:rPr>
              <w:t xml:space="preserve">Revenue Laws Amendment (Tax Relief) Act (No. 2) 2004 </w:t>
            </w:r>
            <w:r>
              <w:rPr>
                <w:sz w:val="19"/>
              </w:rPr>
              <w:t>Pt. 2</w:t>
            </w:r>
          </w:p>
        </w:tc>
        <w:tc>
          <w:tcPr>
            <w:tcW w:w="1134" w:type="dxa"/>
          </w:tcPr>
          <w:p>
            <w:pPr>
              <w:pStyle w:val="nTable"/>
              <w:spacing w:after="40"/>
              <w:rPr>
                <w:sz w:val="19"/>
              </w:rPr>
            </w:pPr>
            <w:r>
              <w:rPr>
                <w:sz w:val="19"/>
              </w:rPr>
              <w:t>83 of 2004</w:t>
            </w:r>
          </w:p>
        </w:tc>
        <w:tc>
          <w:tcPr>
            <w:tcW w:w="1134" w:type="dxa"/>
          </w:tcPr>
          <w:p>
            <w:pPr>
              <w:pStyle w:val="nTable"/>
              <w:spacing w:after="40"/>
              <w:rPr>
                <w:sz w:val="19"/>
              </w:rPr>
            </w:pPr>
            <w:r>
              <w:rPr>
                <w:sz w:val="19"/>
              </w:rPr>
              <w:t>8 Dec 2004</w:t>
            </w:r>
          </w:p>
        </w:tc>
        <w:tc>
          <w:tcPr>
            <w:tcW w:w="2552" w:type="dxa"/>
          </w:tcPr>
          <w:p>
            <w:pPr>
              <w:pStyle w:val="nTable"/>
              <w:spacing w:after="40"/>
              <w:rPr>
                <w:sz w:val="19"/>
              </w:rPr>
            </w:pPr>
            <w:r>
              <w:rPr>
                <w:sz w:val="19"/>
              </w:rPr>
              <w:t>8 Dec 2004 (see s. 2)</w:t>
            </w:r>
          </w:p>
        </w:tc>
      </w:tr>
      <w:tr>
        <w:tc>
          <w:tcPr>
            <w:tcW w:w="2268" w:type="dxa"/>
          </w:tcPr>
          <w:p>
            <w:pPr>
              <w:pStyle w:val="nTable"/>
              <w:spacing w:after="40"/>
              <w:rPr>
                <w:iCs/>
                <w:sz w:val="19"/>
              </w:rPr>
            </w:pPr>
            <w:r>
              <w:rPr>
                <w:i/>
                <w:sz w:val="19"/>
              </w:rPr>
              <w:t>Revenue Laws Amendment Act (No. 3) 2005</w:t>
            </w:r>
            <w:r>
              <w:rPr>
                <w:iCs/>
                <w:sz w:val="19"/>
              </w:rPr>
              <w:t xml:space="preserve"> Pt. 2</w:t>
            </w:r>
          </w:p>
        </w:tc>
        <w:tc>
          <w:tcPr>
            <w:tcW w:w="1134" w:type="dxa"/>
          </w:tcPr>
          <w:p>
            <w:pPr>
              <w:pStyle w:val="nTable"/>
              <w:spacing w:after="40"/>
              <w:rPr>
                <w:sz w:val="19"/>
              </w:rPr>
            </w:pPr>
            <w:r>
              <w:rPr>
                <w:sz w:val="19"/>
              </w:rPr>
              <w:t>10 of 2005</w:t>
            </w:r>
          </w:p>
        </w:tc>
        <w:tc>
          <w:tcPr>
            <w:tcW w:w="1134" w:type="dxa"/>
          </w:tcPr>
          <w:p>
            <w:pPr>
              <w:pStyle w:val="nTable"/>
              <w:spacing w:after="40"/>
              <w:rPr>
                <w:sz w:val="19"/>
              </w:rPr>
            </w:pPr>
            <w:r>
              <w:rPr>
                <w:sz w:val="19"/>
              </w:rPr>
              <w:t>29 Aug 2005</w:t>
            </w:r>
          </w:p>
        </w:tc>
        <w:tc>
          <w:tcPr>
            <w:tcW w:w="2552" w:type="dxa"/>
          </w:tcPr>
          <w:p>
            <w:pPr>
              <w:pStyle w:val="nTable"/>
              <w:spacing w:after="40"/>
              <w:rPr>
                <w:sz w:val="19"/>
              </w:rPr>
            </w:pPr>
            <w:r>
              <w:rPr>
                <w:sz w:val="19"/>
              </w:rPr>
              <w:t>1 Jul 2005 (see s. 2(2))</w:t>
            </w:r>
          </w:p>
        </w:tc>
      </w:tr>
      <w:tr>
        <w:trPr>
          <w:cantSplit/>
        </w:trPr>
        <w:tc>
          <w:tcPr>
            <w:tcW w:w="7088" w:type="dxa"/>
            <w:gridSpan w:val="4"/>
          </w:tcPr>
          <w:p>
            <w:pPr>
              <w:pStyle w:val="nTable"/>
              <w:spacing w:after="40"/>
              <w:rPr>
                <w:sz w:val="19"/>
              </w:rPr>
            </w:pPr>
            <w:r>
              <w:rPr>
                <w:b/>
                <w:bCs/>
                <w:sz w:val="19"/>
              </w:rPr>
              <w:t xml:space="preserve">Reprint 1: The </w:t>
            </w:r>
            <w:r>
              <w:rPr>
                <w:b/>
                <w:bCs/>
                <w:i/>
                <w:sz w:val="19"/>
              </w:rPr>
              <w:t>Land Tax Act 2002</w:t>
            </w:r>
            <w:r>
              <w:rPr>
                <w:b/>
                <w:bCs/>
                <w:sz w:val="19"/>
              </w:rPr>
              <w:t xml:space="preserve"> as at 4 Nov 2005</w:t>
            </w:r>
            <w:r>
              <w:rPr>
                <w:sz w:val="19"/>
              </w:rPr>
              <w:t xml:space="preserve"> (includes amendments listed above)</w:t>
            </w:r>
          </w:p>
        </w:tc>
      </w:tr>
      <w:tr>
        <w:tc>
          <w:tcPr>
            <w:tcW w:w="2268" w:type="dxa"/>
          </w:tcPr>
          <w:p>
            <w:pPr>
              <w:pStyle w:val="nTable"/>
              <w:spacing w:after="40"/>
              <w:rPr>
                <w:sz w:val="19"/>
              </w:rPr>
            </w:pPr>
            <w:r>
              <w:rPr>
                <w:i/>
                <w:sz w:val="19"/>
              </w:rPr>
              <w:t xml:space="preserve">Revenue Laws Amendment Act 2006 </w:t>
            </w:r>
            <w:r>
              <w:rPr>
                <w:sz w:val="19"/>
              </w:rPr>
              <w:t>Pt. 3</w:t>
            </w:r>
          </w:p>
        </w:tc>
        <w:tc>
          <w:tcPr>
            <w:tcW w:w="1134" w:type="dxa"/>
          </w:tcPr>
          <w:p>
            <w:pPr>
              <w:pStyle w:val="nTable"/>
              <w:spacing w:after="40"/>
              <w:rPr>
                <w:sz w:val="19"/>
              </w:rPr>
            </w:pPr>
            <w:r>
              <w:rPr>
                <w:sz w:val="19"/>
              </w:rPr>
              <w:t>31 of 2006</w:t>
            </w:r>
          </w:p>
        </w:tc>
        <w:tc>
          <w:tcPr>
            <w:tcW w:w="1134" w:type="dxa"/>
          </w:tcPr>
          <w:p>
            <w:pPr>
              <w:pStyle w:val="nTable"/>
              <w:spacing w:after="40"/>
              <w:rPr>
                <w:sz w:val="19"/>
              </w:rPr>
            </w:pPr>
            <w:r>
              <w:rPr>
                <w:sz w:val="19"/>
              </w:rPr>
              <w:t>4 Jul 2006</w:t>
            </w:r>
          </w:p>
        </w:tc>
        <w:tc>
          <w:tcPr>
            <w:tcW w:w="2552" w:type="dxa"/>
          </w:tcPr>
          <w:p>
            <w:pPr>
              <w:pStyle w:val="nTable"/>
              <w:spacing w:after="40"/>
              <w:rPr>
                <w:sz w:val="19"/>
              </w:rPr>
            </w:pPr>
            <w:r>
              <w:rPr>
                <w:sz w:val="19"/>
              </w:rPr>
              <w:t>1 Jul 2006 (see s. 2(5))</w:t>
            </w:r>
          </w:p>
        </w:tc>
      </w:tr>
      <w:tr>
        <w:trPr>
          <w:ins w:id="116" w:author="svcMRProcess" w:date="2015-11-01T20:50:00Z"/>
        </w:trPr>
        <w:tc>
          <w:tcPr>
            <w:tcW w:w="2268" w:type="dxa"/>
            <w:tcBorders>
              <w:bottom w:val="single" w:sz="4" w:space="0" w:color="auto"/>
            </w:tcBorders>
          </w:tcPr>
          <w:p>
            <w:pPr>
              <w:pStyle w:val="nTable"/>
              <w:spacing w:after="40"/>
              <w:rPr>
                <w:ins w:id="117" w:author="svcMRProcess" w:date="2015-11-01T20:50:00Z"/>
                <w:iCs/>
                <w:sz w:val="19"/>
              </w:rPr>
            </w:pPr>
            <w:ins w:id="118" w:author="svcMRProcess" w:date="2015-11-01T20:50:00Z">
              <w:r>
                <w:rPr>
                  <w:i/>
                  <w:sz w:val="19"/>
                </w:rPr>
                <w:t>Revenue Laws Amendment (Taxation) Act 2007</w:t>
              </w:r>
              <w:r>
                <w:rPr>
                  <w:iCs/>
                  <w:sz w:val="19"/>
                </w:rPr>
                <w:t xml:space="preserve"> Pt. 2</w:t>
              </w:r>
            </w:ins>
          </w:p>
        </w:tc>
        <w:tc>
          <w:tcPr>
            <w:tcW w:w="1134" w:type="dxa"/>
            <w:tcBorders>
              <w:bottom w:val="single" w:sz="4" w:space="0" w:color="auto"/>
            </w:tcBorders>
          </w:tcPr>
          <w:p>
            <w:pPr>
              <w:pStyle w:val="nTable"/>
              <w:spacing w:after="40"/>
              <w:rPr>
                <w:ins w:id="119" w:author="svcMRProcess" w:date="2015-11-01T20:50:00Z"/>
                <w:sz w:val="19"/>
              </w:rPr>
            </w:pPr>
            <w:ins w:id="120" w:author="svcMRProcess" w:date="2015-11-01T20:50:00Z">
              <w:r>
                <w:rPr>
                  <w:sz w:val="19"/>
                </w:rPr>
                <w:t>12 of 2007</w:t>
              </w:r>
            </w:ins>
          </w:p>
        </w:tc>
        <w:tc>
          <w:tcPr>
            <w:tcW w:w="1134" w:type="dxa"/>
            <w:tcBorders>
              <w:bottom w:val="single" w:sz="4" w:space="0" w:color="auto"/>
            </w:tcBorders>
          </w:tcPr>
          <w:p>
            <w:pPr>
              <w:pStyle w:val="nTable"/>
              <w:spacing w:after="40"/>
              <w:rPr>
                <w:ins w:id="121" w:author="svcMRProcess" w:date="2015-11-01T20:50:00Z"/>
                <w:sz w:val="19"/>
              </w:rPr>
            </w:pPr>
            <w:ins w:id="122" w:author="svcMRProcess" w:date="2015-11-01T20:50:00Z">
              <w:r>
                <w:rPr>
                  <w:sz w:val="19"/>
                </w:rPr>
                <w:t>29 Jun 2007</w:t>
              </w:r>
            </w:ins>
          </w:p>
        </w:tc>
        <w:tc>
          <w:tcPr>
            <w:tcW w:w="2552" w:type="dxa"/>
            <w:tcBorders>
              <w:bottom w:val="single" w:sz="4" w:space="0" w:color="auto"/>
            </w:tcBorders>
          </w:tcPr>
          <w:p>
            <w:pPr>
              <w:pStyle w:val="nTable"/>
              <w:spacing w:after="40"/>
              <w:rPr>
                <w:ins w:id="123" w:author="svcMRProcess" w:date="2015-11-01T20:50:00Z"/>
                <w:sz w:val="19"/>
              </w:rPr>
            </w:pPr>
            <w:ins w:id="124" w:author="svcMRProcess" w:date="2015-11-01T20:50:00Z">
              <w:r>
                <w:rPr>
                  <w:sz w:val="19"/>
                </w:rPr>
                <w:t>30 Jun 2007 (see s. 2(b))</w:t>
              </w:r>
            </w:ins>
          </w:p>
        </w:tc>
      </w:tr>
    </w:tbl>
    <w:p>
      <w:pPr>
        <w:pStyle w:val="nSubsection"/>
      </w:pPr>
      <w:r>
        <w:rPr>
          <w:vertAlign w:val="superscript"/>
        </w:rPr>
        <w:t>2</w:t>
      </w:r>
      <w:r>
        <w:tab/>
        <w:t xml:space="preserve">Under the </w:t>
      </w:r>
      <w:r>
        <w:rPr>
          <w:i/>
        </w:rPr>
        <w:t>Commonwealth Places (Mirror Taxes Administration) Act 1999</w:t>
      </w:r>
      <w:r>
        <w:t xml:space="preserve"> s. 7 this Act is to be read and construed with any modifications referred to in subsection (1) of that section and, in particular, with the modifications set out in the </w:t>
      </w:r>
      <w:r>
        <w:rPr>
          <w:i/>
        </w:rPr>
        <w:t>Commonwealth Places (Mirror Taxes Administration) Regulations 2007</w:t>
      </w:r>
      <w:r>
        <w:t>.  r. 1</w:t>
      </w:r>
      <w:r>
        <w:noBreakHyphen/>
        <w:t>4 and Pt. 3 Div. 1 of those regulations read as follows:</w:t>
      </w:r>
    </w:p>
    <w:p>
      <w:pPr>
        <w:pStyle w:val="MiscOpen"/>
      </w:pPr>
      <w:r>
        <w:t>“</w:t>
      </w:r>
    </w:p>
    <w:p>
      <w:pPr>
        <w:pStyle w:val="nzHeading5"/>
      </w:pPr>
      <w:bookmarkStart w:id="125" w:name="_Toc423332722"/>
      <w:bookmarkStart w:id="126" w:name="_Toc425219441"/>
      <w:bookmarkStart w:id="127" w:name="_Toc426249308"/>
      <w:bookmarkStart w:id="128" w:name="_Toc449924704"/>
      <w:bookmarkStart w:id="129" w:name="_Toc449947722"/>
      <w:bookmarkStart w:id="130" w:name="_Toc454185713"/>
      <w:bookmarkStart w:id="131" w:name="_Toc515958686"/>
      <w:bookmarkStart w:id="132" w:name="_Toc156617931"/>
      <w:r>
        <w:t>1.</w:t>
      </w:r>
      <w:r>
        <w:tab/>
        <w:t>Citation</w:t>
      </w:r>
      <w:bookmarkEnd w:id="125"/>
      <w:bookmarkEnd w:id="126"/>
      <w:bookmarkEnd w:id="127"/>
      <w:bookmarkEnd w:id="128"/>
      <w:bookmarkEnd w:id="129"/>
      <w:bookmarkEnd w:id="130"/>
      <w:bookmarkEnd w:id="131"/>
      <w:bookmarkEnd w:id="132"/>
    </w:p>
    <w:p>
      <w:pPr>
        <w:pStyle w:val="nzSubsection"/>
      </w:pPr>
      <w:r>
        <w:tab/>
      </w:r>
      <w:r>
        <w:tab/>
        <w:t xml:space="preserve">These regulations are the </w:t>
      </w:r>
      <w:r>
        <w:rPr>
          <w:i/>
          <w:iCs/>
        </w:rPr>
        <w:t>Commonwealth Places (Mirror Taxes Administration) Regulations 2007</w:t>
      </w:r>
      <w:r>
        <w:t>.</w:t>
      </w:r>
    </w:p>
    <w:p>
      <w:pPr>
        <w:pStyle w:val="nzHeading5"/>
      </w:pPr>
      <w:bookmarkStart w:id="133" w:name="_Toc423332723"/>
      <w:bookmarkStart w:id="134" w:name="_Toc425219442"/>
      <w:bookmarkStart w:id="135" w:name="_Toc426249309"/>
      <w:bookmarkStart w:id="136" w:name="_Toc449924705"/>
      <w:bookmarkStart w:id="137" w:name="_Toc449947723"/>
      <w:bookmarkStart w:id="138" w:name="_Toc454185714"/>
      <w:bookmarkStart w:id="139" w:name="_Toc515958687"/>
      <w:bookmarkStart w:id="140" w:name="_Toc156617932"/>
      <w:r>
        <w:t>2.</w:t>
      </w:r>
      <w:r>
        <w:tab/>
        <w:t>Commencement</w:t>
      </w:r>
      <w:bookmarkEnd w:id="133"/>
      <w:bookmarkEnd w:id="134"/>
      <w:bookmarkEnd w:id="135"/>
      <w:bookmarkEnd w:id="136"/>
      <w:bookmarkEnd w:id="137"/>
      <w:bookmarkEnd w:id="138"/>
      <w:bookmarkEnd w:id="139"/>
      <w:bookmarkEnd w:id="140"/>
    </w:p>
    <w:p>
      <w:pPr>
        <w:pStyle w:val="nzSubsection"/>
      </w:pPr>
      <w:r>
        <w:tab/>
      </w:r>
      <w:r>
        <w:tab/>
        <w:t xml:space="preserve">These regulations come into operation on the day on which the </w:t>
      </w:r>
      <w:r>
        <w:rPr>
          <w:i/>
          <w:iCs/>
        </w:rPr>
        <w:t>Commonwealth Places (Mirror Taxes) (Modification of Applied Laws (WA)) Notice 2007</w:t>
      </w:r>
      <w:r>
        <w:t xml:space="preserve"> comes into operation.</w:t>
      </w:r>
    </w:p>
    <w:p>
      <w:pPr>
        <w:pStyle w:val="nzHeading5"/>
      </w:pPr>
      <w:bookmarkStart w:id="141" w:name="_Toc125188319"/>
      <w:bookmarkStart w:id="142" w:name="_Toc156617933"/>
      <w:r>
        <w:t>3.</w:t>
      </w:r>
      <w:r>
        <w:tab/>
        <w:t>When certain modifications have effect</w:t>
      </w:r>
      <w:bookmarkEnd w:id="141"/>
      <w:bookmarkEnd w:id="142"/>
    </w:p>
    <w:p>
      <w:pPr>
        <w:pStyle w:val="nzSubsection"/>
      </w:pPr>
      <w:r>
        <w:tab/>
        <w:t>(1)</w:t>
      </w:r>
      <w:r>
        <w:tab/>
        <w:t>The modifications prescribed in Part 2, Part 3, Part 5, Part 6 Division 2 and Part 7 have effect on and from 1 July 2003.</w:t>
      </w:r>
    </w:p>
    <w:p>
      <w:pPr>
        <w:pStyle w:val="nzSubsection"/>
      </w:pPr>
      <w:r>
        <w:tab/>
        <w:t>(2)</w:t>
      </w:r>
      <w:r>
        <w:tab/>
        <w:t xml:space="preserve">The modifications prescribed in Part 4 have effect on and from 9 April 2006 and prevail over the modifications in the </w:t>
      </w:r>
      <w:r>
        <w:rPr>
          <w:i/>
          <w:iCs/>
        </w:rPr>
        <w:t>Commonwealth Places (Mirror Taxes Administration) Regulations 2002</w:t>
      </w:r>
      <w:r>
        <w:t xml:space="preserve"> Part 5 to the extent of any inconsistency.</w:t>
      </w:r>
    </w:p>
    <w:p>
      <w:pPr>
        <w:pStyle w:val="nzNotesPerm"/>
      </w:pPr>
      <w:r>
        <w:t>Note:</w:t>
      </w:r>
      <w:r>
        <w:tab/>
        <w:t>Modifications prescribed for the purposes of section 7(2) of the Act may be expressed to take effect from a date that is earlier than the date on which the modifications are published in the Gazette, see section 7(3) of the Act.</w:t>
      </w:r>
    </w:p>
    <w:p>
      <w:pPr>
        <w:pStyle w:val="nzHeading5"/>
      </w:pPr>
      <w:bookmarkStart w:id="143" w:name="_Toc25468872"/>
      <w:bookmarkStart w:id="144" w:name="_Toc31620063"/>
      <w:bookmarkStart w:id="145" w:name="_Toc156617934"/>
      <w:r>
        <w:t>4.</w:t>
      </w:r>
      <w:r>
        <w:tab/>
        <w:t>Modification of State taxing laws</w:t>
      </w:r>
      <w:bookmarkEnd w:id="143"/>
      <w:bookmarkEnd w:id="144"/>
      <w:bookmarkEnd w:id="145"/>
    </w:p>
    <w:p>
      <w:pPr>
        <w:pStyle w:val="nzSubsection"/>
      </w:pPr>
      <w:r>
        <w:tab/>
        <w:t>(1)</w:t>
      </w:r>
      <w:r>
        <w:tab/>
        <w:t>For the purposes of section 7(2) of the Act, each State taxing law is taken to be modified to the extent necessary to give effect to subregulation (2).</w:t>
      </w:r>
    </w:p>
    <w:p>
      <w:pPr>
        <w:pStyle w:val="nzSubsection"/>
      </w:pPr>
      <w:r>
        <w:tab/>
        <w:t>(2)</w:t>
      </w:r>
      <w:r>
        <w:tab/>
        <w:t xml:space="preserve">If — </w:t>
      </w:r>
    </w:p>
    <w:p>
      <w:pPr>
        <w:pStyle w:val="nzIndenta"/>
      </w:pPr>
      <w:r>
        <w:tab/>
        <w:t>(a)</w:t>
      </w:r>
      <w:r>
        <w:tab/>
        <w:t>a State taxing law applies, or could apply, to any extent, to or in relation to an event, state of affairs or transaction, and the corresponding applied law also applies, or could apply, to any extent, to or in relation to the same event, state of affairs or transaction; and</w:t>
      </w:r>
    </w:p>
    <w:p>
      <w:pPr>
        <w:pStyle w:val="nzIndenta"/>
      </w:pPr>
      <w:r>
        <w:tab/>
        <w:t>(b)</w:t>
      </w:r>
      <w:r>
        <w:tab/>
        <w:t>a person is required or permitted, or could be required or permitted, to take an action under both the State taxing law and the corresponding applied law in relation to the event, state of affairs or transaction; and</w:t>
      </w:r>
    </w:p>
    <w:p>
      <w:pPr>
        <w:pStyle w:val="nzIndenta"/>
      </w:pPr>
      <w:r>
        <w:tab/>
        <w:t>(c)</w:t>
      </w:r>
      <w:r>
        <w:tab/>
        <w:t>the person has taken the action in accordance with the corresponding applied law; and</w:t>
      </w:r>
    </w:p>
    <w:p>
      <w:pPr>
        <w:pStyle w:val="nzIndenta"/>
      </w:pPr>
      <w:r>
        <w:tab/>
        <w:t>(d)</w:t>
      </w:r>
      <w:r>
        <w:tab/>
        <w:t>the Commissioner of State Revenue has sufficient information about the event, state of affairs or transaction to carry out his or her functions in relation to it under the State taxing law or the corresponding applied law or both, as the case requires,</w:t>
      </w:r>
    </w:p>
    <w:p>
      <w:pPr>
        <w:pStyle w:val="nzSubsection"/>
      </w:pPr>
      <w:r>
        <w:tab/>
      </w:r>
      <w:r>
        <w:tab/>
        <w:t xml:space="preserve">then — </w:t>
      </w:r>
    </w:p>
    <w:p>
      <w:pPr>
        <w:pStyle w:val="nzIndenta"/>
      </w:pPr>
      <w:r>
        <w:tab/>
        <w:t>(e)</w:t>
      </w:r>
      <w:r>
        <w:tab/>
        <w:t>the person is not required to take the action under the State taxing law; and</w:t>
      </w:r>
    </w:p>
    <w:p>
      <w:pPr>
        <w:pStyle w:val="nzIndenta"/>
      </w:pPr>
      <w:r>
        <w:tab/>
        <w:t>(f)</w:t>
      </w:r>
      <w:r>
        <w:tab/>
        <w:t>the Commissioner may carry out his or her functions in relation to the event, state of affairs or transaction as if the person had taken whatever action is required or permitted under the State taxing law in relation to the event, state of affairs or transaction.</w:t>
      </w:r>
    </w:p>
    <w:p>
      <w:pPr>
        <w:pStyle w:val="nzSubsection"/>
      </w:pPr>
      <w:r>
        <w:tab/>
        <w:t>(3)</w:t>
      </w:r>
      <w:r>
        <w:tab/>
        <w:t>The particular modifications set out in these regulations of certain State taxing laws have effect for the purposes of section 7(2) of the Act.</w:t>
      </w:r>
    </w:p>
    <w:p>
      <w:pPr>
        <w:pStyle w:val="nzHeading2"/>
      </w:pPr>
      <w:bookmarkStart w:id="146" w:name="_Toc144540268"/>
      <w:bookmarkStart w:id="147" w:name="_Toc144541779"/>
      <w:bookmarkStart w:id="148" w:name="_Toc144541865"/>
      <w:bookmarkStart w:id="149" w:name="_Toc144541949"/>
      <w:bookmarkStart w:id="150" w:name="_Toc144548749"/>
      <w:bookmarkStart w:id="151" w:name="_Toc144718445"/>
      <w:bookmarkStart w:id="152" w:name="_Toc144809141"/>
      <w:bookmarkStart w:id="153" w:name="_Toc144880973"/>
      <w:bookmarkStart w:id="154" w:name="_Toc145135869"/>
      <w:bookmarkStart w:id="155" w:name="_Toc145240300"/>
      <w:bookmarkStart w:id="156" w:name="_Toc145328485"/>
      <w:bookmarkStart w:id="157" w:name="_Toc145392241"/>
      <w:bookmarkStart w:id="158" w:name="_Toc145392875"/>
      <w:bookmarkStart w:id="159" w:name="_Toc145468607"/>
      <w:bookmarkStart w:id="160" w:name="_Toc145826934"/>
      <w:bookmarkStart w:id="161" w:name="_Toc145827081"/>
      <w:bookmarkStart w:id="162" w:name="_Toc145827205"/>
      <w:bookmarkStart w:id="163" w:name="_Toc145830367"/>
      <w:bookmarkStart w:id="164" w:name="_Toc145830476"/>
      <w:bookmarkStart w:id="165" w:name="_Toc145830920"/>
      <w:bookmarkStart w:id="166" w:name="_Toc145831479"/>
      <w:bookmarkStart w:id="167" w:name="_Toc145839543"/>
      <w:bookmarkStart w:id="168" w:name="_Toc145839636"/>
      <w:bookmarkStart w:id="169" w:name="_Toc145842609"/>
      <w:bookmarkStart w:id="170" w:name="_Toc145843141"/>
      <w:bookmarkStart w:id="171" w:name="_Toc145843428"/>
      <w:bookmarkStart w:id="172" w:name="_Toc145909034"/>
      <w:bookmarkStart w:id="173" w:name="_Toc145909725"/>
      <w:bookmarkStart w:id="174" w:name="_Toc145999321"/>
      <w:bookmarkStart w:id="175" w:name="_Toc146351941"/>
      <w:bookmarkStart w:id="176" w:name="_Toc146353099"/>
      <w:bookmarkStart w:id="177" w:name="_Toc146353213"/>
      <w:bookmarkStart w:id="178" w:name="_Toc146353559"/>
      <w:bookmarkStart w:id="179" w:name="_Toc146354033"/>
      <w:bookmarkStart w:id="180" w:name="_Toc146354579"/>
      <w:bookmarkStart w:id="181" w:name="_Toc146432525"/>
      <w:bookmarkStart w:id="182" w:name="_Toc146449881"/>
      <w:bookmarkStart w:id="183" w:name="_Toc146968874"/>
      <w:bookmarkStart w:id="184" w:name="_Toc147055856"/>
      <w:bookmarkStart w:id="185" w:name="_Toc147141295"/>
      <w:bookmarkStart w:id="186" w:name="_Toc147311388"/>
      <w:bookmarkStart w:id="187" w:name="_Toc147655490"/>
      <w:bookmarkStart w:id="188" w:name="_Toc147657721"/>
      <w:bookmarkStart w:id="189" w:name="_Toc147746216"/>
      <w:bookmarkStart w:id="190" w:name="_Toc148264684"/>
      <w:bookmarkStart w:id="191" w:name="_Toc148437907"/>
      <w:bookmarkStart w:id="192" w:name="_Toc148502693"/>
      <w:bookmarkStart w:id="193" w:name="_Toc148512901"/>
      <w:bookmarkStart w:id="194" w:name="_Toc148516512"/>
      <w:bookmarkStart w:id="195" w:name="_Toc150917022"/>
      <w:bookmarkStart w:id="196" w:name="_Toc150926131"/>
      <w:bookmarkStart w:id="197" w:name="_Toc150926633"/>
      <w:bookmarkStart w:id="198" w:name="_Toc150931288"/>
      <w:bookmarkStart w:id="199" w:name="_Toc150933907"/>
      <w:bookmarkStart w:id="200" w:name="_Toc151182295"/>
      <w:bookmarkStart w:id="201" w:name="_Toc151182414"/>
      <w:bookmarkStart w:id="202" w:name="_Toc151182508"/>
      <w:bookmarkStart w:id="203" w:name="_Toc151182602"/>
      <w:bookmarkStart w:id="204" w:name="_Toc151182897"/>
      <w:bookmarkStart w:id="205" w:name="_Toc151516954"/>
      <w:bookmarkStart w:id="206" w:name="_Toc153939252"/>
      <w:bookmarkStart w:id="207" w:name="_Toc153942069"/>
      <w:bookmarkStart w:id="208" w:name="_Toc153942163"/>
      <w:bookmarkStart w:id="209" w:name="_Toc156361759"/>
      <w:bookmarkStart w:id="210" w:name="_Toc156369096"/>
      <w:bookmarkStart w:id="211" w:name="_Toc156379969"/>
      <w:bookmarkStart w:id="212" w:name="_Toc156380668"/>
      <w:bookmarkStart w:id="213" w:name="_Toc156617837"/>
      <w:bookmarkStart w:id="214" w:name="_Toc156617950"/>
      <w:bookmarkStart w:id="215" w:name="_Toc160958662"/>
      <w:bookmarkStart w:id="216" w:name="_Toc160961561"/>
      <w:bookmarkStart w:id="217" w:name="_Toc121894571"/>
      <w:bookmarkStart w:id="218" w:name="_Toc121894598"/>
      <w:bookmarkStart w:id="219" w:name="_Toc121894836"/>
      <w:bookmarkStart w:id="220" w:name="_Toc121894945"/>
      <w:bookmarkStart w:id="221" w:name="_Toc121908473"/>
      <w:bookmarkStart w:id="222" w:name="_Toc122430241"/>
      <w:bookmarkStart w:id="223" w:name="_Toc122496424"/>
      <w:bookmarkStart w:id="224" w:name="_Toc122512860"/>
      <w:bookmarkStart w:id="225" w:name="_Toc124236102"/>
      <w:bookmarkStart w:id="226" w:name="_Toc124242883"/>
      <w:bookmarkStart w:id="227" w:name="_Toc124676938"/>
      <w:bookmarkStart w:id="228" w:name="_Toc124758540"/>
      <w:bookmarkStart w:id="229" w:name="_Toc124758565"/>
      <w:bookmarkStart w:id="230" w:name="_Toc124759459"/>
      <w:bookmarkStart w:id="231" w:name="_Toc124763020"/>
      <w:bookmarkStart w:id="232" w:name="_Toc124833234"/>
      <w:bookmarkStart w:id="233" w:name="_Toc124845558"/>
      <w:bookmarkStart w:id="234" w:name="_Toc125194920"/>
      <w:bookmarkStart w:id="235" w:name="_Toc125253345"/>
      <w:bookmarkStart w:id="236" w:name="_Toc135044725"/>
      <w:bookmarkStart w:id="237" w:name="_Toc135045398"/>
      <w:bookmarkStart w:id="238" w:name="_Toc135045677"/>
      <w:bookmarkStart w:id="239" w:name="_Toc135115533"/>
      <w:bookmarkStart w:id="240" w:name="_Toc135209385"/>
      <w:bookmarkStart w:id="241" w:name="_Toc135559734"/>
      <w:bookmarkStart w:id="242" w:name="_Toc135649687"/>
      <w:bookmarkStart w:id="243" w:name="_Toc136762411"/>
      <w:bookmarkStart w:id="244" w:name="_Toc139883011"/>
      <w:bookmarkStart w:id="245" w:name="_Toc139954198"/>
      <w:bookmarkStart w:id="246" w:name="_Toc139967959"/>
      <w:bookmarkStart w:id="247" w:name="_Toc140032676"/>
      <w:bookmarkStart w:id="248" w:name="_Toc140312093"/>
      <w:bookmarkStart w:id="249" w:name="_Toc141866504"/>
      <w:bookmarkStart w:id="250" w:name="_Toc142898259"/>
      <w:bookmarkStart w:id="251" w:name="_Toc143414810"/>
      <w:bookmarkStart w:id="252" w:name="_Toc143416395"/>
      <w:bookmarkStart w:id="253" w:name="_Toc143508070"/>
      <w:bookmarkStart w:id="254" w:name="_Toc143508307"/>
      <w:bookmarkStart w:id="255" w:name="_Toc143510886"/>
      <w:bookmarkStart w:id="256" w:name="_Toc143944394"/>
      <w:bookmarkStart w:id="257" w:name="_Toc144195329"/>
      <w:bookmarkStart w:id="258" w:name="_Toc144196134"/>
      <w:bookmarkStart w:id="259" w:name="_Toc144196391"/>
      <w:bookmarkStart w:id="260" w:name="_Toc144203394"/>
      <w:bookmarkStart w:id="261" w:name="_Toc144286212"/>
      <w:bookmarkStart w:id="262" w:name="_Toc144538030"/>
      <w:bookmarkStart w:id="263" w:name="_Toc144539554"/>
      <w:r>
        <w:t>Part 3 — Land tax</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pPr>
        <w:pStyle w:val="nzHeading3"/>
      </w:pPr>
      <w:bookmarkStart w:id="264" w:name="_Toc121894572"/>
      <w:bookmarkStart w:id="265" w:name="_Toc121894599"/>
      <w:bookmarkStart w:id="266" w:name="_Toc121894837"/>
      <w:bookmarkStart w:id="267" w:name="_Toc121894946"/>
      <w:bookmarkStart w:id="268" w:name="_Toc121908474"/>
      <w:bookmarkStart w:id="269" w:name="_Toc122430242"/>
      <w:bookmarkStart w:id="270" w:name="_Toc122496425"/>
      <w:bookmarkStart w:id="271" w:name="_Toc122512861"/>
      <w:bookmarkStart w:id="272" w:name="_Toc124236103"/>
      <w:bookmarkStart w:id="273" w:name="_Toc124242884"/>
      <w:bookmarkStart w:id="274" w:name="_Toc124676939"/>
      <w:bookmarkStart w:id="275" w:name="_Toc124758541"/>
      <w:bookmarkStart w:id="276" w:name="_Toc124758566"/>
      <w:bookmarkStart w:id="277" w:name="_Toc124759460"/>
      <w:bookmarkStart w:id="278" w:name="_Toc124763021"/>
      <w:bookmarkStart w:id="279" w:name="_Toc124833235"/>
      <w:bookmarkStart w:id="280" w:name="_Toc124845559"/>
      <w:bookmarkStart w:id="281" w:name="_Toc125194921"/>
      <w:bookmarkStart w:id="282" w:name="_Toc125253346"/>
      <w:bookmarkStart w:id="283" w:name="_Toc135044726"/>
      <w:bookmarkStart w:id="284" w:name="_Toc135045399"/>
      <w:bookmarkStart w:id="285" w:name="_Toc135045678"/>
      <w:bookmarkStart w:id="286" w:name="_Toc135115534"/>
      <w:bookmarkStart w:id="287" w:name="_Toc135209386"/>
      <w:bookmarkStart w:id="288" w:name="_Toc135559735"/>
      <w:bookmarkStart w:id="289" w:name="_Toc135649688"/>
      <w:bookmarkStart w:id="290" w:name="_Toc136762412"/>
      <w:bookmarkStart w:id="291" w:name="_Toc139883012"/>
      <w:bookmarkStart w:id="292" w:name="_Toc139954199"/>
      <w:bookmarkStart w:id="293" w:name="_Toc139967960"/>
      <w:bookmarkStart w:id="294" w:name="_Toc140032677"/>
      <w:bookmarkStart w:id="295" w:name="_Toc140312094"/>
      <w:bookmarkStart w:id="296" w:name="_Toc141866505"/>
      <w:bookmarkStart w:id="297" w:name="_Toc142898260"/>
      <w:bookmarkStart w:id="298" w:name="_Toc143414811"/>
      <w:bookmarkStart w:id="299" w:name="_Toc143416396"/>
      <w:bookmarkStart w:id="300" w:name="_Toc143508071"/>
      <w:bookmarkStart w:id="301" w:name="_Toc143508308"/>
      <w:bookmarkStart w:id="302" w:name="_Toc143510887"/>
      <w:bookmarkStart w:id="303" w:name="_Toc143944395"/>
      <w:bookmarkStart w:id="304" w:name="_Toc144195330"/>
      <w:bookmarkStart w:id="305" w:name="_Toc144196135"/>
      <w:bookmarkStart w:id="306" w:name="_Toc144196392"/>
      <w:bookmarkStart w:id="307" w:name="_Toc144203395"/>
      <w:bookmarkStart w:id="308" w:name="_Toc144286213"/>
      <w:bookmarkStart w:id="309" w:name="_Toc144538031"/>
      <w:bookmarkStart w:id="310" w:name="_Toc144539555"/>
      <w:bookmarkStart w:id="311" w:name="_Toc144540269"/>
      <w:bookmarkStart w:id="312" w:name="_Toc144541780"/>
      <w:bookmarkStart w:id="313" w:name="_Toc144541866"/>
      <w:bookmarkStart w:id="314" w:name="_Toc144541950"/>
      <w:bookmarkStart w:id="315" w:name="_Toc144548750"/>
      <w:bookmarkStart w:id="316" w:name="_Toc144718446"/>
      <w:bookmarkStart w:id="317" w:name="_Toc144809142"/>
      <w:bookmarkStart w:id="318" w:name="_Toc144880974"/>
      <w:bookmarkStart w:id="319" w:name="_Toc145135870"/>
      <w:bookmarkStart w:id="320" w:name="_Toc145240301"/>
      <w:bookmarkStart w:id="321" w:name="_Toc145328486"/>
      <w:bookmarkStart w:id="322" w:name="_Toc145392242"/>
      <w:bookmarkStart w:id="323" w:name="_Toc145392876"/>
      <w:bookmarkStart w:id="324" w:name="_Toc145468608"/>
      <w:bookmarkStart w:id="325" w:name="_Toc145826935"/>
      <w:bookmarkStart w:id="326" w:name="_Toc145827082"/>
      <w:bookmarkStart w:id="327" w:name="_Toc145827206"/>
      <w:bookmarkStart w:id="328" w:name="_Toc145830368"/>
      <w:bookmarkStart w:id="329" w:name="_Toc145830477"/>
      <w:bookmarkStart w:id="330" w:name="_Toc145830921"/>
      <w:bookmarkStart w:id="331" w:name="_Toc145831480"/>
      <w:bookmarkStart w:id="332" w:name="_Toc145839544"/>
      <w:bookmarkStart w:id="333" w:name="_Toc145839637"/>
      <w:bookmarkStart w:id="334" w:name="_Toc145842610"/>
      <w:bookmarkStart w:id="335" w:name="_Toc145843142"/>
      <w:bookmarkStart w:id="336" w:name="_Toc145843429"/>
      <w:bookmarkStart w:id="337" w:name="_Toc145909035"/>
      <w:bookmarkStart w:id="338" w:name="_Toc145909726"/>
      <w:bookmarkStart w:id="339" w:name="_Toc145999322"/>
      <w:bookmarkStart w:id="340" w:name="_Toc146351942"/>
      <w:bookmarkStart w:id="341" w:name="_Toc146353100"/>
      <w:bookmarkStart w:id="342" w:name="_Toc146353214"/>
      <w:bookmarkStart w:id="343" w:name="_Toc146353560"/>
      <w:bookmarkStart w:id="344" w:name="_Toc146354034"/>
      <w:bookmarkStart w:id="345" w:name="_Toc146354580"/>
      <w:bookmarkStart w:id="346" w:name="_Toc146432526"/>
      <w:bookmarkStart w:id="347" w:name="_Toc146449882"/>
      <w:bookmarkStart w:id="348" w:name="_Toc146968875"/>
      <w:bookmarkStart w:id="349" w:name="_Toc147055857"/>
      <w:bookmarkStart w:id="350" w:name="_Toc147141296"/>
      <w:bookmarkStart w:id="351" w:name="_Toc147311389"/>
      <w:bookmarkStart w:id="352" w:name="_Toc147655491"/>
      <w:bookmarkStart w:id="353" w:name="_Toc147657722"/>
      <w:bookmarkStart w:id="354" w:name="_Toc147746217"/>
      <w:bookmarkStart w:id="355" w:name="_Toc148264685"/>
      <w:bookmarkStart w:id="356" w:name="_Toc148437908"/>
      <w:bookmarkStart w:id="357" w:name="_Toc148502694"/>
      <w:bookmarkStart w:id="358" w:name="_Toc148512902"/>
      <w:bookmarkStart w:id="359" w:name="_Toc148516513"/>
      <w:bookmarkStart w:id="360" w:name="_Toc150917023"/>
      <w:bookmarkStart w:id="361" w:name="_Toc150926132"/>
      <w:bookmarkStart w:id="362" w:name="_Toc150926634"/>
      <w:bookmarkStart w:id="363" w:name="_Toc150931289"/>
      <w:bookmarkStart w:id="364" w:name="_Toc150933908"/>
      <w:bookmarkStart w:id="365" w:name="_Toc151182296"/>
      <w:bookmarkStart w:id="366" w:name="_Toc151182415"/>
      <w:bookmarkStart w:id="367" w:name="_Toc151182509"/>
      <w:bookmarkStart w:id="368" w:name="_Toc151182603"/>
      <w:bookmarkStart w:id="369" w:name="_Toc151182898"/>
      <w:bookmarkStart w:id="370" w:name="_Toc151516955"/>
      <w:bookmarkStart w:id="371" w:name="_Toc153939253"/>
      <w:bookmarkStart w:id="372" w:name="_Toc153942070"/>
      <w:bookmarkStart w:id="373" w:name="_Toc153942164"/>
      <w:bookmarkStart w:id="374" w:name="_Toc156361760"/>
      <w:bookmarkStart w:id="375" w:name="_Toc156369097"/>
      <w:bookmarkStart w:id="376" w:name="_Toc156379970"/>
      <w:bookmarkStart w:id="377" w:name="_Toc156380669"/>
      <w:bookmarkStart w:id="378" w:name="_Toc156617838"/>
      <w:bookmarkStart w:id="379" w:name="_Toc156617951"/>
      <w:bookmarkStart w:id="380" w:name="_Toc160958663"/>
      <w:bookmarkStart w:id="381" w:name="_Toc160961562"/>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r>
        <w:t xml:space="preserve">Division 1 — The </w:t>
      </w:r>
      <w:r>
        <w:rPr>
          <w:i/>
          <w:iCs/>
        </w:rPr>
        <w:t>Land Tax Act 2002</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p>
      <w:pPr>
        <w:pStyle w:val="nzHeading5"/>
      </w:pPr>
      <w:bookmarkStart w:id="382" w:name="_Toc25468903"/>
      <w:bookmarkStart w:id="383" w:name="_Toc31620094"/>
      <w:bookmarkStart w:id="384" w:name="_Toc156617952"/>
      <w:bookmarkStart w:id="385" w:name="_Toc160961563"/>
      <w:r>
        <w:t>13.</w:t>
      </w:r>
      <w:r>
        <w:tab/>
        <w:t xml:space="preserve">Modification of the </w:t>
      </w:r>
      <w:r>
        <w:rPr>
          <w:i/>
          <w:iCs/>
        </w:rPr>
        <w:t>Land Tax Act 2002</w:t>
      </w:r>
      <w:bookmarkEnd w:id="382"/>
      <w:bookmarkEnd w:id="383"/>
      <w:bookmarkEnd w:id="384"/>
      <w:bookmarkEnd w:id="385"/>
    </w:p>
    <w:p>
      <w:pPr>
        <w:pStyle w:val="Subsection"/>
        <w:rPr>
          <w:sz w:val="20"/>
        </w:rPr>
      </w:pPr>
      <w:r>
        <w:rPr>
          <w:sz w:val="20"/>
        </w:rPr>
        <w:tab/>
      </w:r>
      <w:r>
        <w:rPr>
          <w:sz w:val="20"/>
        </w:rPr>
        <w:tab/>
        <w:t xml:space="preserve">This Division sets out modifications of the </w:t>
      </w:r>
      <w:r>
        <w:rPr>
          <w:i/>
          <w:iCs/>
          <w:sz w:val="20"/>
        </w:rPr>
        <w:t>Land Tax Act 2002</w:t>
      </w:r>
      <w:r>
        <w:rPr>
          <w:sz w:val="20"/>
        </w:rPr>
        <w:t xml:space="preserve"> in its application as a law of Western Australia.</w:t>
      </w:r>
    </w:p>
    <w:p>
      <w:pPr>
        <w:pStyle w:val="nzHeading5"/>
      </w:pPr>
      <w:bookmarkStart w:id="386" w:name="_Toc25468904"/>
      <w:bookmarkStart w:id="387" w:name="_Toc31620095"/>
      <w:bookmarkStart w:id="388" w:name="_Toc156617953"/>
      <w:bookmarkStart w:id="389" w:name="_Toc160961564"/>
      <w:r>
        <w:t>14.</w:t>
      </w:r>
      <w:r>
        <w:tab/>
        <w:t>Section 4A inserted</w:t>
      </w:r>
      <w:bookmarkEnd w:id="386"/>
      <w:bookmarkEnd w:id="387"/>
      <w:bookmarkEnd w:id="388"/>
      <w:bookmarkEnd w:id="389"/>
    </w:p>
    <w:p>
      <w:pPr>
        <w:pStyle w:val="Subsection"/>
        <w:rPr>
          <w:sz w:val="20"/>
        </w:rPr>
      </w:pPr>
      <w:r>
        <w:rPr>
          <w:sz w:val="20"/>
        </w:rPr>
        <w:tab/>
      </w:r>
      <w:r>
        <w:rPr>
          <w:sz w:val="20"/>
        </w:rPr>
        <w:tab/>
        <w:t xml:space="preserve">After section 4 the following section is inserted — </w:t>
      </w:r>
    </w:p>
    <w:p>
      <w:pPr>
        <w:pStyle w:val="MiscOpen"/>
      </w:pPr>
      <w:r>
        <w:t xml:space="preserve">“    </w:t>
      </w:r>
    </w:p>
    <w:p>
      <w:pPr>
        <w:pStyle w:val="nzMiscellaneousHeading"/>
        <w:rPr>
          <w:b/>
        </w:rPr>
      </w:pPr>
      <w:bookmarkStart w:id="390" w:name="_Toc156617954"/>
      <w:r>
        <w:rPr>
          <w:b/>
        </w:rPr>
        <w:t>4A.</w:t>
      </w:r>
      <w:r>
        <w:rPr>
          <w:b/>
        </w:rPr>
        <w:tab/>
        <w:t>Application of Act in non</w:t>
      </w:r>
      <w:r>
        <w:rPr>
          <w:b/>
        </w:rPr>
        <w:noBreakHyphen/>
        <w:t>Commonwealth places</w:t>
      </w:r>
      <w:bookmarkEnd w:id="390"/>
    </w:p>
    <w:p>
      <w:pPr>
        <w:pStyle w:val="nzMiscellaneousBody"/>
        <w:tabs>
          <w:tab w:val="left" w:pos="1418"/>
          <w:tab w:val="left" w:pos="1985"/>
        </w:tabs>
        <w:ind w:left="1985" w:hanging="1418"/>
      </w:pPr>
      <w:r>
        <w:tab/>
        <w:t>(1)</w:t>
      </w:r>
      <w:r>
        <w:tab/>
        <w:t xml:space="preserve">In this Act, unless the contrary intention appears — </w:t>
      </w:r>
    </w:p>
    <w:p>
      <w:pPr>
        <w:pStyle w:val="nzMiscellaneousBody"/>
        <w:tabs>
          <w:tab w:val="left" w:pos="2268"/>
          <w:tab w:val="left" w:pos="2835"/>
        </w:tabs>
        <w:ind w:left="2835" w:hanging="2268"/>
      </w:pPr>
      <w:r>
        <w:tab/>
        <w:t>(a)</w:t>
      </w:r>
      <w:r>
        <w:tab/>
        <w:t>a reference to this Act is to be read as a reference to this Act in its application as a law of Western Australia; and</w:t>
      </w:r>
    </w:p>
    <w:p>
      <w:pPr>
        <w:pStyle w:val="nzMiscellaneousBody"/>
        <w:tabs>
          <w:tab w:val="left" w:pos="2268"/>
          <w:tab w:val="left" w:pos="2835"/>
        </w:tabs>
        <w:ind w:left="2835" w:hanging="2268"/>
      </w:pPr>
      <w:r>
        <w:tab/>
        <w:t>(b)</w:t>
      </w:r>
      <w:r>
        <w:tab/>
        <w:t xml:space="preserve">a reference to the </w:t>
      </w:r>
      <w:r>
        <w:rPr>
          <w:i/>
          <w:iCs/>
        </w:rPr>
        <w:t>Land Tax Assessment Act 2002</w:t>
      </w:r>
      <w:r>
        <w:t xml:space="preserve"> is to be read as a reference to that Act in its application as a law of Western Australia.</w:t>
      </w:r>
    </w:p>
    <w:p>
      <w:pPr>
        <w:pStyle w:val="nzMiscellaneousBody"/>
        <w:tabs>
          <w:tab w:val="left" w:pos="1418"/>
          <w:tab w:val="left" w:pos="1985"/>
        </w:tabs>
        <w:ind w:left="1985" w:hanging="1418"/>
      </w:pPr>
      <w:r>
        <w:tab/>
        <w:t>(2)</w:t>
      </w:r>
      <w:r>
        <w:tab/>
        <w:t>This Act is to be read with the applied Land Tax Act as a single body of law.</w:t>
      </w:r>
    </w:p>
    <w:p>
      <w:pPr>
        <w:pStyle w:val="MiscClose"/>
        <w:ind w:right="618"/>
      </w:pPr>
      <w:r>
        <w:t xml:space="preserve">    ”.</w:t>
      </w:r>
    </w:p>
    <w:p>
      <w:pPr>
        <w:pStyle w:val="MiscClose"/>
      </w:pPr>
      <w:r>
        <w:t>”.</w:t>
      </w:r>
    </w:p>
    <w:p>
      <w:pPr>
        <w:pStyle w:val="nSubsection"/>
      </w:pPr>
      <w:r>
        <w:rPr>
          <w:vertAlign w:val="superscript"/>
        </w:rPr>
        <w:t>3</w:t>
      </w:r>
      <w:r>
        <w:tab/>
        <w:t xml:space="preserve">Under the </w:t>
      </w:r>
      <w:r>
        <w:rPr>
          <w:i/>
        </w:rPr>
        <w:t>Commonwealth Places (Mirror Taxes) Act 1998</w:t>
      </w:r>
      <w:r>
        <w:t xml:space="preserve"> s. 8(2) of the Commonwealth, this Act is to be read and construed with any modifications referred to in subsection (1) of that section and, in particular, with the modifications set out in the </w:t>
      </w:r>
      <w:r>
        <w:rPr>
          <w:i/>
        </w:rPr>
        <w:t>Commonwealth Places (Mirror Taxes) (Modification of Applied Laws (WA)) Notice 2007</w:t>
      </w:r>
      <w:r>
        <w:t>.  r. 1-5 and Pt. 3 Div. 1 of that notice read as follows:</w:t>
      </w:r>
    </w:p>
    <w:p>
      <w:pPr>
        <w:pStyle w:val="MiscOpen"/>
      </w:pPr>
      <w:r>
        <w:t>“</w:t>
      </w:r>
    </w:p>
    <w:p>
      <w:pPr>
        <w:pStyle w:val="nzHeading5"/>
      </w:pPr>
      <w:bookmarkStart w:id="391" w:name="_Toc156621577"/>
      <w:bookmarkStart w:id="392" w:name="_Toc161561296"/>
      <w:bookmarkStart w:id="393" w:name="_Toc31794758"/>
      <w:bookmarkStart w:id="394" w:name="_Toc156621581"/>
      <w:bookmarkStart w:id="395" w:name="_Toc161561300"/>
      <w:r>
        <w:rPr>
          <w:rStyle w:val="CharSectno"/>
        </w:rPr>
        <w:t>1</w:t>
      </w:r>
      <w:r>
        <w:t>.</w:t>
      </w:r>
      <w:r>
        <w:tab/>
        <w:t>Citation</w:t>
      </w:r>
      <w:bookmarkEnd w:id="391"/>
      <w:bookmarkEnd w:id="392"/>
    </w:p>
    <w:p>
      <w:pPr>
        <w:pStyle w:val="nzSubsection"/>
      </w:pPr>
      <w:r>
        <w:tab/>
      </w:r>
      <w:r>
        <w:tab/>
      </w:r>
      <w:r>
        <w:rPr>
          <w:spacing w:val="-2"/>
        </w:rPr>
        <w:t>This</w:t>
      </w:r>
      <w:r>
        <w:t xml:space="preserve"> notice is the </w:t>
      </w:r>
      <w:r>
        <w:rPr>
          <w:i/>
        </w:rPr>
        <w:t>Commonwealth Places (Mirror Taxes) (Modification of Applied Laws (WA)) Notice 2007</w:t>
      </w:r>
      <w:r>
        <w:t>.</w:t>
      </w:r>
    </w:p>
    <w:p>
      <w:pPr>
        <w:pStyle w:val="nzHeading5"/>
      </w:pPr>
      <w:bookmarkStart w:id="396" w:name="_Toc156621578"/>
      <w:bookmarkStart w:id="397" w:name="_Toc161561297"/>
      <w:r>
        <w:rPr>
          <w:rStyle w:val="CharSectno"/>
        </w:rPr>
        <w:t>2</w:t>
      </w:r>
      <w:r>
        <w:rPr>
          <w:spacing w:val="-2"/>
        </w:rPr>
        <w:t>.</w:t>
      </w:r>
      <w:r>
        <w:rPr>
          <w:spacing w:val="-2"/>
        </w:rPr>
        <w:tab/>
        <w:t>Commencement</w:t>
      </w:r>
      <w:bookmarkEnd w:id="396"/>
      <w:bookmarkEnd w:id="397"/>
    </w:p>
    <w:p>
      <w:pPr>
        <w:pStyle w:val="nzSubsection"/>
      </w:pPr>
      <w:r>
        <w:tab/>
      </w:r>
      <w:r>
        <w:tab/>
      </w:r>
      <w:r>
        <w:rPr>
          <w:spacing w:val="-2"/>
        </w:rPr>
        <w:t>This</w:t>
      </w:r>
      <w:r>
        <w:t xml:space="preserve"> notice comes into operation on the day after the day on which it is registered under the </w:t>
      </w:r>
      <w:r>
        <w:rPr>
          <w:i/>
          <w:iCs/>
        </w:rPr>
        <w:t>Legislative Instruments Act 2003</w:t>
      </w:r>
      <w:r>
        <w:t xml:space="preserve"> of the Commonwealth.</w:t>
      </w:r>
    </w:p>
    <w:p>
      <w:pPr>
        <w:pStyle w:val="nzHeading5"/>
      </w:pPr>
      <w:bookmarkStart w:id="398" w:name="_Toc156621579"/>
      <w:bookmarkStart w:id="399" w:name="_Toc161561298"/>
      <w:r>
        <w:rPr>
          <w:rStyle w:val="CharSectno"/>
        </w:rPr>
        <w:t>3</w:t>
      </w:r>
      <w:r>
        <w:t>.</w:t>
      </w:r>
      <w:r>
        <w:tab/>
        <w:t>When certain modifications have effect</w:t>
      </w:r>
      <w:bookmarkEnd w:id="398"/>
      <w:bookmarkEnd w:id="399"/>
    </w:p>
    <w:p>
      <w:pPr>
        <w:pStyle w:val="nzSubsection"/>
      </w:pPr>
      <w:r>
        <w:tab/>
        <w:t>(1)</w:t>
      </w:r>
      <w:r>
        <w:tab/>
        <w:t xml:space="preserve">The modifications prescribed in Part 2, Part 3, Part 5, Part 6 Division 2 and Part 7 </w:t>
      </w:r>
      <w:r>
        <w:rPr>
          <w:iCs/>
        </w:rPr>
        <w:t>have effect on and from 1 July 2003.</w:t>
      </w:r>
    </w:p>
    <w:p>
      <w:pPr>
        <w:pStyle w:val="nzSubsection"/>
      </w:pPr>
      <w:r>
        <w:tab/>
        <w:t>(2)</w:t>
      </w:r>
      <w:r>
        <w:tab/>
        <w:t xml:space="preserve">The modifications prescribed in Part 4 have effect on and from 9 April 2006 and prevail over the modifications in the </w:t>
      </w:r>
      <w:r>
        <w:rPr>
          <w:i/>
        </w:rPr>
        <w:t>Commonwealth Places (Mirror Taxes) (Modification of Applied Laws (WA)) Notice 2002</w:t>
      </w:r>
      <w:r>
        <w:t xml:space="preserve"> Part 5 to the extent of any inconsistency.</w:t>
      </w:r>
    </w:p>
    <w:p>
      <w:pPr>
        <w:pStyle w:val="nzNotesPerm"/>
      </w:pPr>
      <w:r>
        <w:t>Note:</w:t>
      </w:r>
      <w:r>
        <w:tab/>
        <w:t xml:space="preserve">Modifications prescribed in a notice under section 8 of the Act may be expressed to take effect from a date that is earlier than the date on which the modifications are published in the </w:t>
      </w:r>
      <w:r>
        <w:rPr>
          <w:i/>
          <w:iCs/>
        </w:rPr>
        <w:t>Commonwealth of Australia Gazette</w:t>
      </w:r>
      <w:r>
        <w:t>, see section 8(5) of the Act.</w:t>
      </w:r>
    </w:p>
    <w:p>
      <w:pPr>
        <w:pStyle w:val="nzHeading5"/>
      </w:pPr>
      <w:bookmarkStart w:id="400" w:name="_Toc31794757"/>
      <w:bookmarkStart w:id="401" w:name="_Toc156621580"/>
      <w:bookmarkStart w:id="402" w:name="_Toc161561299"/>
      <w:r>
        <w:rPr>
          <w:rStyle w:val="CharSectno"/>
        </w:rPr>
        <w:t>4</w:t>
      </w:r>
      <w:r>
        <w:t>.</w:t>
      </w:r>
      <w:r>
        <w:tab/>
        <w:t>Definitions</w:t>
      </w:r>
      <w:bookmarkEnd w:id="400"/>
      <w:bookmarkEnd w:id="401"/>
      <w:bookmarkEnd w:id="402"/>
    </w:p>
    <w:p>
      <w:pPr>
        <w:pStyle w:val="nzSubsection"/>
      </w:pPr>
      <w:r>
        <w:tab/>
      </w:r>
      <w:r>
        <w:tab/>
        <w:t xml:space="preserve">In this notice — </w:t>
      </w:r>
    </w:p>
    <w:p>
      <w:pPr>
        <w:pStyle w:val="nzDefstart"/>
      </w:pPr>
      <w:r>
        <w:rPr>
          <w:b/>
        </w:rPr>
        <w:tab/>
        <w:t>“</w:t>
      </w:r>
      <w:r>
        <w:rPr>
          <w:rStyle w:val="CharDefText"/>
        </w:rPr>
        <w:t>applied WA law</w:t>
      </w:r>
      <w:r>
        <w:rPr>
          <w:b/>
        </w:rPr>
        <w:t>”</w:t>
      </w:r>
      <w:r>
        <w:t xml:space="preserve"> means the provisions of a State taxing law of Western Australia that apply or are taken to have applied in relation to Commonwealth places in Western Australia in accordance with the Commonwealth Mirror Taxes Act;</w:t>
      </w:r>
    </w:p>
    <w:p>
      <w:pPr>
        <w:pStyle w:val="nzDefstart"/>
      </w:pPr>
      <w:r>
        <w:rPr>
          <w:b/>
        </w:rPr>
        <w:tab/>
        <w:t>“</w:t>
      </w:r>
      <w:r>
        <w:rPr>
          <w:rStyle w:val="CharDefText"/>
        </w:rPr>
        <w:t>Commissioner of State Revenue</w:t>
      </w:r>
      <w:r>
        <w:rPr>
          <w:b/>
        </w:rPr>
        <w:t>”</w:t>
      </w:r>
      <w:r>
        <w:t xml:space="preserve"> means the Commissioner of State Revenue of Western Australia appointed in accordance with the </w:t>
      </w:r>
      <w:r>
        <w:rPr>
          <w:i/>
          <w:iCs/>
        </w:rPr>
        <w:t>Taxation Administration Act 2003</w:t>
      </w:r>
      <w:r>
        <w:t xml:space="preserve"> section 6 of Western Australia;</w:t>
      </w:r>
    </w:p>
    <w:p>
      <w:pPr>
        <w:pStyle w:val="nzDefstart"/>
      </w:pPr>
      <w:r>
        <w:rPr>
          <w:b/>
        </w:rPr>
        <w:tab/>
        <w:t>“</w:t>
      </w:r>
      <w:r>
        <w:rPr>
          <w:rStyle w:val="CharDefText"/>
        </w:rPr>
        <w:t>Commonwealth Mirror Taxes Act</w:t>
      </w:r>
      <w:r>
        <w:rPr>
          <w:b/>
        </w:rPr>
        <w:t>”</w:t>
      </w:r>
      <w:r>
        <w:t xml:space="preserve"> means the </w:t>
      </w:r>
      <w:r>
        <w:rPr>
          <w:i/>
        </w:rPr>
        <w:t>Commonwealth Places (Mirror Taxes) Act 1998</w:t>
      </w:r>
      <w:r>
        <w:t xml:space="preserve"> of the Commonwealth.</w:t>
      </w:r>
    </w:p>
    <w:p>
      <w:pPr>
        <w:pStyle w:val="nzHeading5"/>
      </w:pPr>
      <w:r>
        <w:rPr>
          <w:rStyle w:val="CharSectno"/>
        </w:rPr>
        <w:t>5</w:t>
      </w:r>
      <w:r>
        <w:t>.</w:t>
      </w:r>
      <w:r>
        <w:tab/>
        <w:t>Modification of applied WA laws</w:t>
      </w:r>
      <w:bookmarkEnd w:id="393"/>
      <w:bookmarkEnd w:id="394"/>
      <w:bookmarkEnd w:id="395"/>
    </w:p>
    <w:p>
      <w:pPr>
        <w:pStyle w:val="nzSubsection"/>
      </w:pPr>
      <w:r>
        <w:tab/>
        <w:t>(1)</w:t>
      </w:r>
      <w:r>
        <w:tab/>
        <w:t>For the purposes of the Commonwealth Mirror Taxes Act section 8, each applied WA law is taken to be modified to the extent necessary to give effect to subclause (2).</w:t>
      </w:r>
    </w:p>
    <w:p>
      <w:pPr>
        <w:pStyle w:val="nzSubsection"/>
      </w:pPr>
      <w:r>
        <w:tab/>
        <w:t>(2)</w:t>
      </w:r>
      <w:r>
        <w:tab/>
        <w:t xml:space="preserve">If — </w:t>
      </w:r>
    </w:p>
    <w:p>
      <w:pPr>
        <w:pStyle w:val="nzIndenta"/>
      </w:pPr>
      <w:r>
        <w:tab/>
        <w:t>(a)</w:t>
      </w:r>
      <w:r>
        <w:tab/>
        <w:t>an applied WA law applies, or could apply, to any extent, to or in relation to an event, state of affairs or transaction, and the corresponding State taxing law also applies, or could apply, to any extent, to or in relation to the same event, state of affairs or transaction; and</w:t>
      </w:r>
    </w:p>
    <w:p>
      <w:pPr>
        <w:pStyle w:val="nzIndenta"/>
      </w:pPr>
      <w:r>
        <w:tab/>
        <w:t>(b)</w:t>
      </w:r>
      <w:r>
        <w:tab/>
        <w:t>a person is required or permitted, or could be required or permitted, to take an action under both the applied WA law and the corresponding State taxing law in relation to the event, state of affairs or transaction; and</w:t>
      </w:r>
    </w:p>
    <w:p>
      <w:pPr>
        <w:pStyle w:val="nzIndenta"/>
      </w:pPr>
      <w:r>
        <w:tab/>
        <w:t>(c)</w:t>
      </w:r>
      <w:r>
        <w:tab/>
        <w:t>the person has taken the action in accordance with the corresponding State taxing law; and</w:t>
      </w:r>
    </w:p>
    <w:p>
      <w:pPr>
        <w:pStyle w:val="nzIndenta"/>
      </w:pPr>
      <w:r>
        <w:tab/>
        <w:t>(d)</w:t>
      </w:r>
      <w:r>
        <w:tab/>
        <w:t>the Commissioner of State Revenue has sufficient information about the event, state of affairs or transaction to carry out his or her functions in relation to it under the applied WA law or the corresponding State taxing law or both, as the case requires,</w:t>
      </w:r>
    </w:p>
    <w:p>
      <w:pPr>
        <w:pStyle w:val="nzSubsection"/>
      </w:pPr>
      <w:r>
        <w:tab/>
      </w:r>
      <w:r>
        <w:tab/>
        <w:t xml:space="preserve">then — </w:t>
      </w:r>
    </w:p>
    <w:p>
      <w:pPr>
        <w:pStyle w:val="nzIndenta"/>
      </w:pPr>
      <w:r>
        <w:tab/>
        <w:t>(e)</w:t>
      </w:r>
      <w:r>
        <w:tab/>
        <w:t>the person is not required to take the action under the applied WA law; and</w:t>
      </w:r>
    </w:p>
    <w:p>
      <w:pPr>
        <w:pStyle w:val="nzIndenta"/>
      </w:pPr>
      <w:r>
        <w:tab/>
        <w:t>(f)</w:t>
      </w:r>
      <w:r>
        <w:tab/>
        <w:t>the Commissioner may carry out his or her functions in relation to the event, state of affairs or transaction as if the person had taken whatever action is required or permitted under the applied WA law in relation to the event, state of affairs or transaction.</w:t>
      </w:r>
    </w:p>
    <w:p>
      <w:pPr>
        <w:pStyle w:val="nzSubsection"/>
      </w:pPr>
      <w:r>
        <w:tab/>
        <w:t>(3)</w:t>
      </w:r>
      <w:r>
        <w:tab/>
        <w:t>The particular modifications set out in this notice of certain applied WA laws have effect for the purposes of the Commonwealth Mirror Taxes Act section 8.</w:t>
      </w:r>
    </w:p>
    <w:p>
      <w:pPr>
        <w:pStyle w:val="nzHeading2"/>
      </w:pPr>
      <w:bookmarkStart w:id="403" w:name="_Toc144705787"/>
      <w:bookmarkStart w:id="404" w:name="_Toc144706654"/>
      <w:bookmarkStart w:id="405" w:name="_Toc144707077"/>
      <w:bookmarkStart w:id="406" w:name="_Toc144718532"/>
      <w:bookmarkStart w:id="407" w:name="_Toc144809042"/>
      <w:bookmarkStart w:id="408" w:name="_Toc144880874"/>
      <w:bookmarkStart w:id="409" w:name="_Toc145136032"/>
      <w:bookmarkStart w:id="410" w:name="_Toc145240386"/>
      <w:bookmarkStart w:id="411" w:name="_Toc145319352"/>
      <w:bookmarkStart w:id="412" w:name="_Toc145328388"/>
      <w:bookmarkStart w:id="413" w:name="_Toc145392327"/>
      <w:bookmarkStart w:id="414" w:name="_Toc145392777"/>
      <w:bookmarkStart w:id="415" w:name="_Toc145468693"/>
      <w:bookmarkStart w:id="416" w:name="_Toc145739112"/>
      <w:bookmarkStart w:id="417" w:name="_Toc145740209"/>
      <w:bookmarkStart w:id="418" w:name="_Toc145740818"/>
      <w:bookmarkStart w:id="419" w:name="_Toc145743800"/>
      <w:bookmarkStart w:id="420" w:name="_Toc145743919"/>
      <w:bookmarkStart w:id="421" w:name="_Toc145744367"/>
      <w:bookmarkStart w:id="422" w:name="_Toc145752419"/>
      <w:bookmarkStart w:id="423" w:name="_Toc145754439"/>
      <w:bookmarkStart w:id="424" w:name="_Toc145754580"/>
      <w:bookmarkStart w:id="425" w:name="_Toc145754679"/>
      <w:bookmarkStart w:id="426" w:name="_Toc145756023"/>
      <w:bookmarkStart w:id="427" w:name="_Toc145757580"/>
      <w:bookmarkStart w:id="428" w:name="_Toc145814096"/>
      <w:bookmarkStart w:id="429" w:name="_Toc145815409"/>
      <w:bookmarkStart w:id="430" w:name="_Toc145819855"/>
      <w:bookmarkStart w:id="431" w:name="_Toc145822123"/>
      <w:bookmarkStart w:id="432" w:name="_Toc145822688"/>
      <w:bookmarkStart w:id="433" w:name="_Toc145823467"/>
      <w:bookmarkStart w:id="434" w:name="_Toc145823630"/>
      <w:bookmarkStart w:id="435" w:name="_Toc145823751"/>
      <w:bookmarkStart w:id="436" w:name="_Toc145824332"/>
      <w:bookmarkStart w:id="437" w:name="_Toc145999466"/>
      <w:bookmarkStart w:id="438" w:name="_Toc146017383"/>
      <w:bookmarkStart w:id="439" w:name="_Toc146017482"/>
      <w:bookmarkStart w:id="440" w:name="_Toc146017581"/>
      <w:bookmarkStart w:id="441" w:name="_Toc146017680"/>
      <w:bookmarkStart w:id="442" w:name="_Toc146345962"/>
      <w:bookmarkStart w:id="443" w:name="_Toc147055944"/>
      <w:bookmarkStart w:id="444" w:name="_Toc147311290"/>
      <w:bookmarkStart w:id="445" w:name="_Toc147746118"/>
      <w:bookmarkStart w:id="446" w:name="_Toc148257808"/>
      <w:bookmarkStart w:id="447" w:name="_Toc148259147"/>
      <w:bookmarkStart w:id="448" w:name="_Toc148264578"/>
      <w:bookmarkStart w:id="449" w:name="_Toc148437802"/>
      <w:bookmarkStart w:id="450" w:name="_Toc148502787"/>
      <w:bookmarkStart w:id="451" w:name="_Toc148512796"/>
      <w:bookmarkStart w:id="452" w:name="_Toc148516407"/>
      <w:bookmarkStart w:id="453" w:name="_Toc150655919"/>
      <w:bookmarkStart w:id="454" w:name="_Toc150656438"/>
      <w:bookmarkStart w:id="455" w:name="_Toc150761749"/>
      <w:bookmarkStart w:id="456" w:name="_Toc150931409"/>
      <w:bookmarkStart w:id="457" w:name="_Toc150931589"/>
      <w:bookmarkStart w:id="458" w:name="_Toc151193110"/>
      <w:bookmarkStart w:id="459" w:name="_Toc151193471"/>
      <w:bookmarkStart w:id="460" w:name="_Toc151193845"/>
      <w:bookmarkStart w:id="461" w:name="_Toc151194406"/>
      <w:bookmarkStart w:id="462" w:name="_Toc151194512"/>
      <w:bookmarkStart w:id="463" w:name="_Toc151517218"/>
      <w:bookmarkStart w:id="464" w:name="_Toc153939147"/>
      <w:bookmarkStart w:id="465" w:name="_Toc153941858"/>
      <w:bookmarkStart w:id="466" w:name="_Toc153941964"/>
      <w:bookmarkStart w:id="467" w:name="_Toc156361654"/>
      <w:bookmarkStart w:id="468" w:name="_Toc156368304"/>
      <w:bookmarkStart w:id="469" w:name="_Toc156369191"/>
      <w:bookmarkStart w:id="470" w:name="_Toc156380563"/>
      <w:bookmarkStart w:id="471" w:name="_Toc156619098"/>
      <w:bookmarkStart w:id="472" w:name="_Toc156619204"/>
      <w:bookmarkStart w:id="473" w:name="_Toc156619310"/>
      <w:bookmarkStart w:id="474" w:name="_Toc156621597"/>
      <w:bookmarkStart w:id="475" w:name="_Toc161561316"/>
      <w:bookmarkStart w:id="476" w:name="_Toc124763047"/>
      <w:bookmarkStart w:id="477" w:name="_Toc124827713"/>
      <w:bookmarkStart w:id="478" w:name="_Toc124845589"/>
      <w:bookmarkStart w:id="479" w:name="_Toc125188324"/>
      <w:bookmarkStart w:id="480" w:name="_Toc125194951"/>
      <w:bookmarkStart w:id="481" w:name="_Toc125253489"/>
      <w:bookmarkStart w:id="482" w:name="_Toc135045443"/>
      <w:bookmarkStart w:id="483" w:name="_Toc135045641"/>
      <w:bookmarkStart w:id="484" w:name="_Toc135115498"/>
      <w:bookmarkStart w:id="485" w:name="_Toc135194711"/>
      <w:bookmarkStart w:id="486" w:name="_Toc135209680"/>
      <w:bookmarkStart w:id="487" w:name="_Toc135559794"/>
      <w:bookmarkStart w:id="488" w:name="_Toc135649539"/>
      <w:bookmarkStart w:id="489" w:name="_Toc135735276"/>
      <w:bookmarkStart w:id="490" w:name="_Toc136228449"/>
      <w:bookmarkStart w:id="491" w:name="_Toc136761390"/>
      <w:bookmarkStart w:id="492" w:name="_Toc137012193"/>
      <w:bookmarkStart w:id="493" w:name="_Toc139883042"/>
      <w:bookmarkStart w:id="494" w:name="_Toc139954162"/>
      <w:bookmarkStart w:id="495" w:name="_Toc139967991"/>
      <w:bookmarkStart w:id="496" w:name="_Toc140030081"/>
      <w:bookmarkStart w:id="497" w:name="_Toc140032640"/>
      <w:bookmarkStart w:id="498" w:name="_Toc140312194"/>
      <w:bookmarkStart w:id="499" w:name="_Toc141866465"/>
      <w:bookmarkStart w:id="500" w:name="_Toc142302439"/>
      <w:bookmarkStart w:id="501" w:name="_Toc142373645"/>
      <w:bookmarkStart w:id="502" w:name="_Toc142452651"/>
      <w:bookmarkStart w:id="503" w:name="_Toc142468834"/>
      <w:bookmarkStart w:id="504" w:name="_Toc142900216"/>
      <w:bookmarkStart w:id="505" w:name="_Toc142908449"/>
      <w:bookmarkStart w:id="506" w:name="_Toc142968700"/>
      <w:bookmarkStart w:id="507" w:name="_Toc142989121"/>
      <w:bookmarkStart w:id="508" w:name="_Toc143414951"/>
      <w:bookmarkStart w:id="509" w:name="_Toc143415634"/>
      <w:bookmarkStart w:id="510" w:name="_Toc143512087"/>
      <w:bookmarkStart w:id="511" w:name="_Toc143513074"/>
      <w:bookmarkStart w:id="512" w:name="_Toc143576784"/>
      <w:bookmarkStart w:id="513" w:name="_Toc143594109"/>
      <w:bookmarkStart w:id="514" w:name="_Toc143598614"/>
      <w:bookmarkStart w:id="515" w:name="_Toc143944436"/>
      <w:bookmarkStart w:id="516" w:name="_Toc144198968"/>
      <w:bookmarkStart w:id="517" w:name="_Toc144199428"/>
      <w:bookmarkStart w:id="518" w:name="_Toc144199490"/>
      <w:bookmarkStart w:id="519" w:name="_Toc144286148"/>
      <w:bookmarkStart w:id="520" w:name="_Toc144538209"/>
      <w:bookmarkStart w:id="521" w:name="_Toc144548647"/>
      <w:bookmarkStart w:id="522" w:name="_Toc144705198"/>
      <w:r>
        <w:rPr>
          <w:rStyle w:val="CharPartNo"/>
        </w:rPr>
        <w:t>Part 3</w:t>
      </w:r>
      <w:r>
        <w:t> — </w:t>
      </w:r>
      <w:r>
        <w:rPr>
          <w:rStyle w:val="CharPartText"/>
        </w:rPr>
        <w:t>Land tax</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pPr>
        <w:pStyle w:val="nzHeading3"/>
      </w:pPr>
      <w:bookmarkStart w:id="523" w:name="_Toc124763048"/>
      <w:bookmarkStart w:id="524" w:name="_Toc124827714"/>
      <w:bookmarkStart w:id="525" w:name="_Toc124845590"/>
      <w:bookmarkStart w:id="526" w:name="_Toc125188325"/>
      <w:bookmarkStart w:id="527" w:name="_Toc125194952"/>
      <w:bookmarkStart w:id="528" w:name="_Toc125253490"/>
      <w:bookmarkStart w:id="529" w:name="_Toc135045444"/>
      <w:bookmarkStart w:id="530" w:name="_Toc135045642"/>
      <w:bookmarkStart w:id="531" w:name="_Toc135115499"/>
      <w:bookmarkStart w:id="532" w:name="_Toc135194712"/>
      <w:bookmarkStart w:id="533" w:name="_Toc135209681"/>
      <w:bookmarkStart w:id="534" w:name="_Toc135559795"/>
      <w:bookmarkStart w:id="535" w:name="_Toc135649540"/>
      <w:bookmarkStart w:id="536" w:name="_Toc135735277"/>
      <w:bookmarkStart w:id="537" w:name="_Toc136228450"/>
      <w:bookmarkStart w:id="538" w:name="_Toc136761391"/>
      <w:bookmarkStart w:id="539" w:name="_Toc137012194"/>
      <w:bookmarkStart w:id="540" w:name="_Toc139883043"/>
      <w:bookmarkStart w:id="541" w:name="_Toc139954163"/>
      <w:bookmarkStart w:id="542" w:name="_Toc139967992"/>
      <w:bookmarkStart w:id="543" w:name="_Toc140030082"/>
      <w:bookmarkStart w:id="544" w:name="_Toc140032641"/>
      <w:bookmarkStart w:id="545" w:name="_Toc140312195"/>
      <w:bookmarkStart w:id="546" w:name="_Toc141866466"/>
      <w:bookmarkStart w:id="547" w:name="_Toc142302440"/>
      <w:bookmarkStart w:id="548" w:name="_Toc142373646"/>
      <w:bookmarkStart w:id="549" w:name="_Toc142452652"/>
      <w:bookmarkStart w:id="550" w:name="_Toc142468835"/>
      <w:bookmarkStart w:id="551" w:name="_Toc142900217"/>
      <w:bookmarkStart w:id="552" w:name="_Toc142908450"/>
      <w:bookmarkStart w:id="553" w:name="_Toc142968701"/>
      <w:bookmarkStart w:id="554" w:name="_Toc142989122"/>
      <w:bookmarkStart w:id="555" w:name="_Toc143414952"/>
      <w:bookmarkStart w:id="556" w:name="_Toc143415635"/>
      <w:bookmarkStart w:id="557" w:name="_Toc143512088"/>
      <w:bookmarkStart w:id="558" w:name="_Toc143513075"/>
      <w:bookmarkStart w:id="559" w:name="_Toc143576785"/>
      <w:bookmarkStart w:id="560" w:name="_Toc143594110"/>
      <w:bookmarkStart w:id="561" w:name="_Toc143598615"/>
      <w:bookmarkStart w:id="562" w:name="_Toc143944437"/>
      <w:bookmarkStart w:id="563" w:name="_Toc144198969"/>
      <w:bookmarkStart w:id="564" w:name="_Toc144199429"/>
      <w:bookmarkStart w:id="565" w:name="_Toc144199491"/>
      <w:bookmarkStart w:id="566" w:name="_Toc144286149"/>
      <w:bookmarkStart w:id="567" w:name="_Toc144538210"/>
      <w:bookmarkStart w:id="568" w:name="_Toc144548648"/>
      <w:bookmarkStart w:id="569" w:name="_Toc144705199"/>
      <w:bookmarkStart w:id="570" w:name="_Toc144705788"/>
      <w:bookmarkStart w:id="571" w:name="_Toc144706655"/>
      <w:bookmarkStart w:id="572" w:name="_Toc144707078"/>
      <w:bookmarkStart w:id="573" w:name="_Toc144718533"/>
      <w:bookmarkStart w:id="574" w:name="_Toc144809043"/>
      <w:bookmarkStart w:id="575" w:name="_Toc144880875"/>
      <w:bookmarkStart w:id="576" w:name="_Toc145136033"/>
      <w:bookmarkStart w:id="577" w:name="_Toc145240387"/>
      <w:bookmarkStart w:id="578" w:name="_Toc145319353"/>
      <w:bookmarkStart w:id="579" w:name="_Toc145328389"/>
      <w:bookmarkStart w:id="580" w:name="_Toc145392328"/>
      <w:bookmarkStart w:id="581" w:name="_Toc145392778"/>
      <w:bookmarkStart w:id="582" w:name="_Toc145468694"/>
      <w:bookmarkStart w:id="583" w:name="_Toc145739113"/>
      <w:bookmarkStart w:id="584" w:name="_Toc145740210"/>
      <w:bookmarkStart w:id="585" w:name="_Toc145740819"/>
      <w:bookmarkStart w:id="586" w:name="_Toc145743801"/>
      <w:bookmarkStart w:id="587" w:name="_Toc145743920"/>
      <w:bookmarkStart w:id="588" w:name="_Toc145744368"/>
      <w:bookmarkStart w:id="589" w:name="_Toc145752420"/>
      <w:bookmarkStart w:id="590" w:name="_Toc145754440"/>
      <w:bookmarkStart w:id="591" w:name="_Toc145754581"/>
      <w:bookmarkStart w:id="592" w:name="_Toc145754680"/>
      <w:bookmarkStart w:id="593" w:name="_Toc145756024"/>
      <w:bookmarkStart w:id="594" w:name="_Toc145757581"/>
      <w:bookmarkStart w:id="595" w:name="_Toc145814097"/>
      <w:bookmarkStart w:id="596" w:name="_Toc145815410"/>
      <w:bookmarkStart w:id="597" w:name="_Toc145819856"/>
      <w:bookmarkStart w:id="598" w:name="_Toc145822124"/>
      <w:bookmarkStart w:id="599" w:name="_Toc145822689"/>
      <w:bookmarkStart w:id="600" w:name="_Toc145823468"/>
      <w:bookmarkStart w:id="601" w:name="_Toc145823631"/>
      <w:bookmarkStart w:id="602" w:name="_Toc145823752"/>
      <w:bookmarkStart w:id="603" w:name="_Toc145824333"/>
      <w:bookmarkStart w:id="604" w:name="_Toc145999467"/>
      <w:bookmarkStart w:id="605" w:name="_Toc146017384"/>
      <w:bookmarkStart w:id="606" w:name="_Toc146017483"/>
      <w:bookmarkStart w:id="607" w:name="_Toc146017582"/>
      <w:bookmarkStart w:id="608" w:name="_Toc146017681"/>
      <w:bookmarkStart w:id="609" w:name="_Toc146345963"/>
      <w:bookmarkStart w:id="610" w:name="_Toc147055945"/>
      <w:bookmarkStart w:id="611" w:name="_Toc147311291"/>
      <w:bookmarkStart w:id="612" w:name="_Toc147746119"/>
      <w:bookmarkStart w:id="613" w:name="_Toc148257809"/>
      <w:bookmarkStart w:id="614" w:name="_Toc148259148"/>
      <w:bookmarkStart w:id="615" w:name="_Toc148264579"/>
      <w:bookmarkStart w:id="616" w:name="_Toc148437803"/>
      <w:bookmarkStart w:id="617" w:name="_Toc148502788"/>
      <w:bookmarkStart w:id="618" w:name="_Toc148512797"/>
      <w:bookmarkStart w:id="619" w:name="_Toc148516408"/>
      <w:bookmarkStart w:id="620" w:name="_Toc150655920"/>
      <w:bookmarkStart w:id="621" w:name="_Toc150656439"/>
      <w:bookmarkStart w:id="622" w:name="_Toc150761750"/>
      <w:bookmarkStart w:id="623" w:name="_Toc150931410"/>
      <w:bookmarkStart w:id="624" w:name="_Toc150931590"/>
      <w:bookmarkStart w:id="625" w:name="_Toc151193111"/>
      <w:bookmarkStart w:id="626" w:name="_Toc151193472"/>
      <w:bookmarkStart w:id="627" w:name="_Toc151193846"/>
      <w:bookmarkStart w:id="628" w:name="_Toc151194407"/>
      <w:bookmarkStart w:id="629" w:name="_Toc151194513"/>
      <w:bookmarkStart w:id="630" w:name="_Toc151517219"/>
      <w:bookmarkStart w:id="631" w:name="_Toc153939148"/>
      <w:bookmarkStart w:id="632" w:name="_Toc153941859"/>
      <w:bookmarkStart w:id="633" w:name="_Toc153941965"/>
      <w:bookmarkStart w:id="634" w:name="_Toc156361655"/>
      <w:bookmarkStart w:id="635" w:name="_Toc156368305"/>
      <w:bookmarkStart w:id="636" w:name="_Toc156369192"/>
      <w:bookmarkStart w:id="637" w:name="_Toc156380564"/>
      <w:bookmarkStart w:id="638" w:name="_Toc156619099"/>
      <w:bookmarkStart w:id="639" w:name="_Toc156619205"/>
      <w:bookmarkStart w:id="640" w:name="_Toc156619311"/>
      <w:bookmarkStart w:id="641" w:name="_Toc156621598"/>
      <w:bookmarkStart w:id="642" w:name="_Toc161561317"/>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r>
        <w:rPr>
          <w:rStyle w:val="CharDivNo"/>
        </w:rPr>
        <w:t>Division 1</w:t>
      </w:r>
      <w:r>
        <w:t> — </w:t>
      </w:r>
      <w:r>
        <w:rPr>
          <w:rStyle w:val="CharDivText"/>
        </w:rPr>
        <w:t xml:space="preserve">The applied </w:t>
      </w:r>
      <w:r>
        <w:rPr>
          <w:rStyle w:val="CharDivText"/>
          <w:i/>
          <w:iCs/>
        </w:rPr>
        <w:t>Land Tax Act 2002</w:t>
      </w:r>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pPr>
        <w:pStyle w:val="nzHeading5"/>
      </w:pPr>
      <w:bookmarkStart w:id="643" w:name="_Toc156621599"/>
      <w:bookmarkStart w:id="644" w:name="_Toc161561318"/>
      <w:r>
        <w:rPr>
          <w:rStyle w:val="CharSectno"/>
        </w:rPr>
        <w:t>14</w:t>
      </w:r>
      <w:r>
        <w:t>.</w:t>
      </w:r>
      <w:r>
        <w:tab/>
        <w:t xml:space="preserve">Modification of the applied </w:t>
      </w:r>
      <w:r>
        <w:rPr>
          <w:i/>
          <w:iCs/>
        </w:rPr>
        <w:t>Land Tax Act 2002</w:t>
      </w:r>
      <w:bookmarkEnd w:id="643"/>
      <w:bookmarkEnd w:id="644"/>
    </w:p>
    <w:p>
      <w:pPr>
        <w:pStyle w:val="nzSubsection"/>
      </w:pPr>
      <w:r>
        <w:tab/>
      </w:r>
      <w:r>
        <w:tab/>
        <w:t xml:space="preserve">This Division sets out modifications of the </w:t>
      </w:r>
      <w:r>
        <w:rPr>
          <w:i/>
        </w:rPr>
        <w:t>Land Tax Act 2002</w:t>
      </w:r>
      <w:r>
        <w:t xml:space="preserve"> of Western Australia in its application as a law of the Commonwealth in or in relation to Commonwealth places in Western Australia.</w:t>
      </w:r>
    </w:p>
    <w:p>
      <w:pPr>
        <w:pStyle w:val="nzHeading5"/>
      </w:pPr>
      <w:bookmarkStart w:id="645" w:name="_Toc31794802"/>
      <w:bookmarkStart w:id="646" w:name="_Toc156621600"/>
      <w:bookmarkStart w:id="647" w:name="_Toc161561319"/>
      <w:r>
        <w:rPr>
          <w:rStyle w:val="CharSectno"/>
        </w:rPr>
        <w:t>15</w:t>
      </w:r>
      <w:r>
        <w:t>.</w:t>
      </w:r>
      <w:r>
        <w:tab/>
        <w:t>Section 4A inserted</w:t>
      </w:r>
      <w:bookmarkEnd w:id="645"/>
      <w:bookmarkEnd w:id="646"/>
      <w:bookmarkEnd w:id="647"/>
    </w:p>
    <w:p>
      <w:pPr>
        <w:pStyle w:val="nzSubsection"/>
      </w:pPr>
      <w:r>
        <w:tab/>
      </w:r>
      <w:r>
        <w:tab/>
        <w:t xml:space="preserve">After section 4 the following section is inserted — </w:t>
      </w:r>
    </w:p>
    <w:p>
      <w:pPr>
        <w:pStyle w:val="MiscOpen"/>
        <w:spacing w:before="80"/>
      </w:pPr>
      <w:r>
        <w:t xml:space="preserve">“    </w:t>
      </w:r>
    </w:p>
    <w:p>
      <w:pPr>
        <w:pStyle w:val="nzHeading5"/>
      </w:pPr>
      <w:bookmarkStart w:id="648" w:name="_Toc156621601"/>
      <w:bookmarkStart w:id="649" w:name="_Toc161561320"/>
      <w:r>
        <w:t>4A.</w:t>
      </w:r>
      <w:r>
        <w:tab/>
        <w:t>Application of Act in Commonwealth places</w:t>
      </w:r>
      <w:bookmarkEnd w:id="648"/>
      <w:bookmarkEnd w:id="649"/>
    </w:p>
    <w:p>
      <w:pPr>
        <w:pStyle w:val="nzSubsection"/>
      </w:pPr>
      <w:r>
        <w:tab/>
        <w:t>(1)</w:t>
      </w:r>
      <w:r>
        <w:tab/>
        <w:t xml:space="preserve">In this Act, unless the contrary intention appears — </w:t>
      </w:r>
    </w:p>
    <w:p>
      <w:pPr>
        <w:pStyle w:val="nzIndenta"/>
      </w:pPr>
      <w:r>
        <w:tab/>
        <w:t>(a)</w:t>
      </w:r>
      <w:r>
        <w:tab/>
        <w:t xml:space="preserve">a reference to this Act is to be read as a reference to this Act in its application as a law of the Commonwealth in or in relation to Commonwealth places in Western Australia in accordance with the </w:t>
      </w:r>
      <w:r>
        <w:rPr>
          <w:i/>
          <w:iCs/>
        </w:rPr>
        <w:t>Commonwealth Places (Mirror Taxes) Act 1998</w:t>
      </w:r>
      <w:r>
        <w:t>; and</w:t>
      </w:r>
    </w:p>
    <w:p>
      <w:pPr>
        <w:pStyle w:val="nzIndenta"/>
        <w:rPr>
          <w:iCs/>
        </w:rPr>
      </w:pPr>
      <w:r>
        <w:tab/>
        <w:t>(b)</w:t>
      </w:r>
      <w:r>
        <w:tab/>
        <w:t xml:space="preserve">a reference to the </w:t>
      </w:r>
      <w:r>
        <w:rPr>
          <w:i/>
        </w:rPr>
        <w:t>Land Tax Assessment Act 2002</w:t>
      </w:r>
      <w:r>
        <w:t xml:space="preserve"> is to be read as a reference to </w:t>
      </w:r>
      <w:r>
        <w:rPr>
          <w:spacing w:val="-4"/>
        </w:rPr>
        <w:t xml:space="preserve">the </w:t>
      </w:r>
      <w:r>
        <w:rPr>
          <w:i/>
        </w:rPr>
        <w:t>Land Tax Assessment Act 2002</w:t>
      </w:r>
      <w:r>
        <w:rPr>
          <w:spacing w:val="-4"/>
        </w:rPr>
        <w:t xml:space="preserve"> of Western Australia in its application as a law of the Commonwealth in or in relation to Commonwealth places in Western Australia in accordance with the </w:t>
      </w:r>
      <w:r>
        <w:rPr>
          <w:i/>
          <w:iCs/>
        </w:rPr>
        <w:t>Commonwealth Places (Mirror Taxes) Act 1998</w:t>
      </w:r>
      <w:r>
        <w:rPr>
          <w:iCs/>
        </w:rPr>
        <w:t>; and</w:t>
      </w:r>
    </w:p>
    <w:p>
      <w:pPr>
        <w:pStyle w:val="nzIndenta"/>
      </w:pPr>
      <w:r>
        <w:rPr>
          <w:iCs/>
        </w:rPr>
        <w:tab/>
        <w:t>(c)</w:t>
      </w:r>
      <w:r>
        <w:rPr>
          <w:iCs/>
        </w:rPr>
        <w:tab/>
      </w:r>
      <w:r>
        <w:t xml:space="preserve">a reference to the </w:t>
      </w:r>
      <w:r>
        <w:rPr>
          <w:i/>
        </w:rPr>
        <w:t>Taxation Administration Act 2003</w:t>
      </w:r>
      <w:r>
        <w:t xml:space="preserve"> is to be read as a reference to </w:t>
      </w:r>
      <w:r>
        <w:rPr>
          <w:spacing w:val="-4"/>
        </w:rPr>
        <w:t xml:space="preserve">the </w:t>
      </w:r>
      <w:r>
        <w:rPr>
          <w:i/>
        </w:rPr>
        <w:t>Taxation Administration Act 2003</w:t>
      </w:r>
      <w:r>
        <w:rPr>
          <w:spacing w:val="-4"/>
        </w:rPr>
        <w:t xml:space="preserve"> of Western Australia in its application as a law of the Commonwealth in or in relation to Commonwealth places in Western Australia in accordance with the </w:t>
      </w:r>
      <w:r>
        <w:rPr>
          <w:i/>
          <w:iCs/>
        </w:rPr>
        <w:t>Commonwealth Places (Mirror Taxes) Act 1998</w:t>
      </w:r>
      <w:r>
        <w:t>.</w:t>
      </w:r>
    </w:p>
    <w:p>
      <w:pPr>
        <w:pStyle w:val="nzSubsection"/>
      </w:pPr>
      <w:r>
        <w:tab/>
        <w:t>(2)</w:t>
      </w:r>
      <w:r>
        <w:tab/>
        <w:t>This Act is to be read with the corresponding Land Tax Act as a single body of law.</w:t>
      </w:r>
    </w:p>
    <w:p>
      <w:pPr>
        <w:pStyle w:val="nzSubsection"/>
        <w:rPr>
          <w:spacing w:val="-4"/>
        </w:rPr>
      </w:pPr>
      <w:r>
        <w:rPr>
          <w:spacing w:val="-4"/>
        </w:rPr>
        <w:tab/>
        <w:t>(3)</w:t>
      </w:r>
      <w:r>
        <w:rPr>
          <w:spacing w:val="-4"/>
        </w:rPr>
        <w:tab/>
        <w:t xml:space="preserve">In addition to being modified as prescribed by the </w:t>
      </w:r>
      <w:r>
        <w:rPr>
          <w:i/>
          <w:spacing w:val="-4"/>
        </w:rPr>
        <w:t>Commonwealth Places (Mirror Taxes) (Modification of Applied Laws (WA)) Notice 2007</w:t>
      </w:r>
      <w:r>
        <w:rPr>
          <w:spacing w:val="-4"/>
        </w:rPr>
        <w:t xml:space="preserve">, this Act is deemed to be further modified to any extent that is necessary or convenient — </w:t>
      </w:r>
    </w:p>
    <w:p>
      <w:pPr>
        <w:pStyle w:val="nzIndenta"/>
      </w:pPr>
      <w:r>
        <w:tab/>
        <w:t>(a)</w:t>
      </w:r>
      <w:r>
        <w:tab/>
        <w:t>to enable this Act to operate effectively as a law of the Commonwealth; and</w:t>
      </w:r>
    </w:p>
    <w:p>
      <w:pPr>
        <w:pStyle w:val="nzIndenta"/>
      </w:pPr>
      <w:r>
        <w:tab/>
        <w:t>(b)</w:t>
      </w:r>
      <w:r>
        <w:tab/>
        <w:t>to ensure that the combined liability of a taxpayer under this Act and the corresponding Land Tax Act is as nearly as possible the same as the taxpayer’s liability would be under the corresponding Land Tax Act alone if the Commonwealth places in Western Australia were not Commonwealth places.</w:t>
      </w:r>
    </w:p>
    <w:p>
      <w:pPr>
        <w:pStyle w:val="MiscClose"/>
      </w:pPr>
      <w:r>
        <w:t>”.</w:t>
      </w:r>
    </w:p>
    <w:p>
      <w:pPr>
        <w:pStyle w:val="MiscClose"/>
      </w:pPr>
      <w:r>
        <w:t>”.</w:t>
      </w:r>
    </w:p>
    <w:p/>
    <w:p>
      <w:pPr>
        <w:sectPr>
          <w:headerReference w:type="even" r:id="rId21"/>
          <w:headerReference w:type="default" r:id="rId22"/>
          <w:headerReference w:type="first" r:id="rId23"/>
          <w:pgSz w:w="11906" w:h="16838" w:code="9"/>
          <w:pgMar w:top="2376" w:right="2404" w:bottom="3544" w:left="2404" w:header="720" w:footer="3380" w:gutter="0"/>
          <w:cols w:space="720"/>
          <w:noEndnote/>
          <w:docGrid w:linePitch="326"/>
        </w:sectPr>
      </w:pPr>
    </w:p>
    <w:p/>
    <w:sectPr>
      <w:headerReference w:type="even" r:id="rId24"/>
      <w:headerReference w:type="default" r:id="rId25"/>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05 Feb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01-c0-04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Jun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01-d0-02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05 Feb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01-c0-04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Jun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01-d0-02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05 Feb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01-c0-04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Jun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01-d0-02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Land Tax Act 2002</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Land Tax Act 2002</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Land Tax Act 2002</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Land Tax Act 2002</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Land Tax Act 2002</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TextLeft"/>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Land Tax Act 2002</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Borders>
            <w:bottom w:val="single" w:sz="4" w:space="0" w:color="auto"/>
          </w:tcBorders>
        </w:tcPr>
        <w:p>
          <w:pPr>
            <w:pStyle w:val="HeaderSectionRight"/>
          </w:pPr>
        </w:p>
      </w:tc>
    </w:tr>
  </w:tbl>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CharSClsNo">
    <w:name w:val="CharSClsNo"/>
    <w:basedOn w:val="DefaultParagraphFont"/>
    <w:rPr>
      <w:sz w:val="22"/>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CharSDivNo">
    <w:name w:val="CharSDivNo"/>
    <w:basedOn w:val="DefaultParagraphFont"/>
    <w:rPr>
      <w:sz w:val="24"/>
      <w:lang w:val="en-AU"/>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CharSClsNo">
    <w:name w:val="CharSClsNo"/>
    <w:basedOn w:val="DefaultParagraphFont"/>
    <w:rPr>
      <w:sz w:val="22"/>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CharSDivNo">
    <w:name w:val="CharSDivNo"/>
    <w:basedOn w:val="DefaultParagraphFont"/>
    <w:rPr>
      <w:sz w:val="24"/>
      <w:lang w:val="en-AU"/>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2833</Words>
  <Characters>12072</Characters>
  <Application>Microsoft Office Word</Application>
  <DocSecurity>0</DocSecurity>
  <Lines>503</Lines>
  <Paragraphs>346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Drafting Template</vt:lpstr>
      <vt:lpstr>    Notes</vt:lpstr>
    </vt:vector>
  </TitlesOfParts>
  <Manager/>
  <Company/>
  <LinksUpToDate>false</LinksUpToDate>
  <CharactersWithSpaces>14559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 Tax Act 2002 01-c0-04 - 01-d0-02</dc:title>
  <dc:subject/>
  <dc:creator/>
  <cp:keywords/>
  <dc:description/>
  <cp:lastModifiedBy>svcMRProcess</cp:lastModifiedBy>
  <cp:revision>2</cp:revision>
  <cp:lastPrinted>2005-11-08T03:28:00Z</cp:lastPrinted>
  <dcterms:created xsi:type="dcterms:W3CDTF">2015-11-01T12:50:00Z</dcterms:created>
  <dcterms:modified xsi:type="dcterms:W3CDTF">2015-11-01T12:50:00Z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51 of 2002</vt:lpwstr>
  </property>
  <property fmtid="{D5CDD505-2E9C-101B-9397-08002B2CF9AE}" pid="3" name="CommencementDate">
    <vt:lpwstr>20070630</vt:lpwstr>
  </property>
  <property fmtid="{D5CDD505-2E9C-101B-9397-08002B2CF9AE}" pid="4" name="DocumentType">
    <vt:lpwstr>Act</vt:lpwstr>
  </property>
  <property fmtid="{D5CDD505-2E9C-101B-9397-08002B2CF9AE}" pid="5" name="OwlsUID">
    <vt:i4>6340</vt:i4>
  </property>
  <property fmtid="{D5CDD505-2E9C-101B-9397-08002B2CF9AE}" pid="6" name="ReprintNo">
    <vt:lpwstr>1</vt:lpwstr>
  </property>
  <property fmtid="{D5CDD505-2E9C-101B-9397-08002B2CF9AE}" pid="7" name="FromSuffix">
    <vt:lpwstr>01-c0-04</vt:lpwstr>
  </property>
  <property fmtid="{D5CDD505-2E9C-101B-9397-08002B2CF9AE}" pid="8" name="FromAsAtDate">
    <vt:lpwstr>05 Feb 2007</vt:lpwstr>
  </property>
  <property fmtid="{D5CDD505-2E9C-101B-9397-08002B2CF9AE}" pid="9" name="ToSuffix">
    <vt:lpwstr>01-d0-02</vt:lpwstr>
  </property>
  <property fmtid="{D5CDD505-2E9C-101B-9397-08002B2CF9AE}" pid="10" name="ToAsAtDate">
    <vt:lpwstr>30 Jun 2007</vt:lpwstr>
  </property>
</Properties>
</file>