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0" w:name="_GoBack"/>
      <w:bookmarkEnd w:id="0"/>
      <w:r>
        <w:rPr>
          <w:snapToGrid w:val="0"/>
        </w:rPr>
        <w:t xml:space="preserve">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59453820"/>
      <w:bookmarkStart w:id="9" w:name="_Toc44997318"/>
      <w:bookmarkStart w:id="10" w:name="_Toc170710828"/>
      <w:bookmarkStart w:id="11" w:name="_Toc171067531"/>
      <w:bookmarkStart w:id="12" w:name="_Toc15179668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3" w:name="_Toc459453821"/>
      <w:bookmarkStart w:id="14" w:name="_Toc44997319"/>
      <w:bookmarkStart w:id="15" w:name="_Toc170710829"/>
      <w:bookmarkStart w:id="16" w:name="_Toc171067532"/>
      <w:bookmarkStart w:id="17" w:name="_Toc15179668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r>
      <w:del w:id="18" w:author="svcMRProcess" w:date="2015-12-11T12:23:00Z">
        <w:r>
          <w:delText>Repealed</w:delText>
        </w:r>
      </w:del>
      <w:ins w:id="19" w:author="svcMRProcess" w:date="2015-12-11T12:23:00Z">
        <w:r>
          <w:t>Deleted</w:t>
        </w:r>
      </w:ins>
      <w:r>
        <w:t xml:space="preserve"> by No. 10 of 1998 s.76.]</w:t>
      </w:r>
    </w:p>
    <w:p>
      <w:pPr>
        <w:pStyle w:val="Heading5"/>
        <w:rPr>
          <w:snapToGrid w:val="0"/>
        </w:rPr>
      </w:pPr>
      <w:bookmarkStart w:id="20" w:name="_Toc459453822"/>
      <w:bookmarkStart w:id="21" w:name="_Toc44997320"/>
      <w:bookmarkStart w:id="22" w:name="_Toc170710830"/>
      <w:bookmarkStart w:id="23" w:name="_Toc171067533"/>
      <w:bookmarkStart w:id="24" w:name="_Toc151796687"/>
      <w:r>
        <w:rPr>
          <w:rStyle w:val="CharSectno"/>
        </w:rPr>
        <w:t>4</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5" w:author="svcMRProcess" w:date="2015-12-11T12:23:00Z">
        <w:r>
          <w:delText>“</w:delText>
        </w:r>
      </w:del>
      <w:r>
        <w:rPr>
          <w:rStyle w:val="CharDefText"/>
        </w:rPr>
        <w:t>application</w:t>
      </w:r>
      <w:del w:id="26" w:author="svcMRProcess" w:date="2015-12-11T12:23:00Z">
        <w:r>
          <w:rPr>
            <w:b/>
          </w:rPr>
          <w:delText>”</w:delText>
        </w:r>
      </w:del>
      <w:r>
        <w:t xml:space="preserve"> means an application to the court, under section 17(3), section 19(1), or section 20, for an order;</w:t>
      </w:r>
    </w:p>
    <w:p>
      <w:pPr>
        <w:pStyle w:val="Defstart"/>
      </w:pPr>
      <w:r>
        <w:rPr>
          <w:b/>
        </w:rPr>
        <w:tab/>
      </w:r>
      <w:del w:id="27" w:author="svcMRProcess" w:date="2015-12-11T12:23:00Z">
        <w:r>
          <w:rPr>
            <w:b/>
          </w:rPr>
          <w:delText>“</w:delText>
        </w:r>
      </w:del>
      <w:r>
        <w:rPr>
          <w:rStyle w:val="CharDefText"/>
        </w:rPr>
        <w:t>Commissioner</w:t>
      </w:r>
      <w:del w:id="28" w:author="svcMRProcess" w:date="2015-12-11T12:23:00Z">
        <w:r>
          <w:rPr>
            <w:b/>
          </w:rPr>
          <w:delText>”</w:delText>
        </w:r>
      </w:del>
      <w:r>
        <w:t xml:space="preserve"> means the Commissioner of Police appointed under the </w:t>
      </w:r>
      <w:r>
        <w:rPr>
          <w:i/>
        </w:rPr>
        <w:t>Police Act 1892</w:t>
      </w:r>
      <w:r>
        <w:t>;</w:t>
      </w:r>
    </w:p>
    <w:p>
      <w:pPr>
        <w:pStyle w:val="Defstart"/>
      </w:pPr>
      <w:r>
        <w:tab/>
      </w:r>
      <w:del w:id="29" w:author="svcMRProcess" w:date="2015-12-11T12:23:00Z">
        <w:r>
          <w:rPr>
            <w:b/>
          </w:rPr>
          <w:delText>“</w:delText>
        </w:r>
      </w:del>
      <w:r>
        <w:rPr>
          <w:rStyle w:val="CharDefText"/>
        </w:rPr>
        <w:t>court</w:t>
      </w:r>
      <w:del w:id="30" w:author="svcMRProcess" w:date="2015-12-11T12:23:00Z">
        <w:r>
          <w:rPr>
            <w:b/>
          </w:rPr>
          <w:delText>”</w:delText>
        </w:r>
      </w:del>
      <w:r>
        <w:t xml:space="preserve"> means the Magistrates Court constituted by a magistrate;</w:t>
      </w:r>
    </w:p>
    <w:p>
      <w:pPr>
        <w:pStyle w:val="Defstart"/>
      </w:pPr>
      <w:r>
        <w:rPr>
          <w:b/>
        </w:rPr>
        <w:tab/>
      </w:r>
      <w:del w:id="31" w:author="svcMRProcess" w:date="2015-12-11T12:23:00Z">
        <w:r>
          <w:rPr>
            <w:b/>
          </w:rPr>
          <w:delText>“</w:delText>
        </w:r>
      </w:del>
      <w:r>
        <w:rPr>
          <w:rStyle w:val="CharDefText"/>
        </w:rPr>
        <w:t>inspection</w:t>
      </w:r>
      <w:del w:id="32" w:author="svcMRProcess" w:date="2015-12-11T12:23:00Z">
        <w:r>
          <w:rPr>
            <w:b/>
          </w:rPr>
          <w:delText>”</w:delText>
        </w:r>
      </w:del>
      <w:r>
        <w:t xml:space="preserve"> includes the acceptance of goods for the purpose of submitting a quotation of the charges to be made for the repair or other treatment of such goods;</w:t>
      </w:r>
    </w:p>
    <w:p>
      <w:pPr>
        <w:pStyle w:val="Defstart"/>
      </w:pPr>
      <w:r>
        <w:rPr>
          <w:b/>
        </w:rPr>
        <w:tab/>
      </w:r>
      <w:del w:id="33" w:author="svcMRProcess" w:date="2015-12-11T12:23:00Z">
        <w:r>
          <w:rPr>
            <w:b/>
          </w:rPr>
          <w:delText>“</w:delText>
        </w:r>
      </w:del>
      <w:r>
        <w:rPr>
          <w:rStyle w:val="CharDefText"/>
        </w:rPr>
        <w:t>order</w:t>
      </w:r>
      <w:del w:id="34" w:author="svcMRProcess" w:date="2015-12-11T12:23:00Z">
        <w:r>
          <w:rPr>
            <w:b/>
          </w:rPr>
          <w:delText>”</w:delText>
        </w:r>
      </w:del>
      <w:r>
        <w:t xml:space="preserve"> means an order of the court made on an application;</w:t>
      </w:r>
    </w:p>
    <w:p>
      <w:pPr>
        <w:pStyle w:val="Defstart"/>
      </w:pPr>
      <w:r>
        <w:rPr>
          <w:b/>
        </w:rPr>
        <w:tab/>
      </w:r>
      <w:del w:id="35" w:author="svcMRProcess" w:date="2015-12-11T12:23:00Z">
        <w:r>
          <w:rPr>
            <w:b/>
          </w:rPr>
          <w:delText>“</w:delText>
        </w:r>
      </w:del>
      <w:r>
        <w:rPr>
          <w:rStyle w:val="CharDefText"/>
        </w:rPr>
        <w:t>Part</w:t>
      </w:r>
      <w:del w:id="36" w:author="svcMRProcess" w:date="2015-12-11T12:23:00Z">
        <w:r>
          <w:rPr>
            <w:b/>
          </w:rPr>
          <w:delText>”</w:delText>
        </w:r>
      </w:del>
      <w:r>
        <w:t xml:space="preserve"> means a Part of this Act;</w:t>
      </w:r>
    </w:p>
    <w:p>
      <w:pPr>
        <w:pStyle w:val="Defstart"/>
      </w:pPr>
      <w:r>
        <w:rPr>
          <w:b/>
        </w:rPr>
        <w:tab/>
      </w:r>
      <w:del w:id="37" w:author="svcMRProcess" w:date="2015-12-11T12:23:00Z">
        <w:r>
          <w:rPr>
            <w:b/>
          </w:rPr>
          <w:delText>“</w:delText>
        </w:r>
      </w:del>
      <w:r>
        <w:rPr>
          <w:rStyle w:val="CharDefText"/>
        </w:rPr>
        <w:t>prescribed goods</w:t>
      </w:r>
      <w:del w:id="38" w:author="svcMRProcess" w:date="2015-12-11T12:23:00Z">
        <w:r>
          <w:rPr>
            <w:b/>
          </w:rPr>
          <w:delText>”</w:delText>
        </w:r>
      </w:del>
      <w:r>
        <w:t xml:space="preserve"> means goods prescribed by regulation; and</w:t>
      </w:r>
    </w:p>
    <w:p>
      <w:pPr>
        <w:pStyle w:val="Defstart"/>
      </w:pPr>
      <w:r>
        <w:tab/>
      </w:r>
      <w:del w:id="39" w:author="svcMRProcess" w:date="2015-12-11T12:23:00Z">
        <w:r>
          <w:rPr>
            <w:b/>
          </w:rPr>
          <w:delText>“</w:delText>
        </w:r>
      </w:del>
      <w:r>
        <w:rPr>
          <w:rStyle w:val="CharDefText"/>
        </w:rPr>
        <w:t>section</w:t>
      </w:r>
      <w:del w:id="40" w:author="svcMRProcess" w:date="2015-12-11T12:23:00Z">
        <w:r>
          <w:rPr>
            <w:b/>
          </w:rPr>
          <w:delText>”</w:delText>
        </w:r>
      </w:del>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41" w:name="_Toc459453823"/>
      <w:bookmarkStart w:id="42" w:name="_Toc44997321"/>
      <w:bookmarkStart w:id="43" w:name="_Toc170710831"/>
      <w:bookmarkStart w:id="44" w:name="_Toc171067534"/>
      <w:bookmarkStart w:id="45" w:name="_Toc151796688"/>
      <w:r>
        <w:rPr>
          <w:rStyle w:val="CharSectno"/>
        </w:rPr>
        <w:t>5</w:t>
      </w:r>
      <w:r>
        <w:rPr>
          <w:snapToGrid w:val="0"/>
        </w:rPr>
        <w:t>.</w:t>
      </w:r>
      <w:r>
        <w:rPr>
          <w:snapToGrid w:val="0"/>
        </w:rPr>
        <w:tab/>
        <w:t>Savings</w:t>
      </w:r>
      <w:bookmarkEnd w:id="41"/>
      <w:bookmarkEnd w:id="42"/>
      <w:bookmarkEnd w:id="43"/>
      <w:bookmarkEnd w:id="44"/>
      <w:bookmarkEnd w:id="45"/>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46" w:name="_Toc459453824"/>
      <w:bookmarkStart w:id="47" w:name="_Toc44997322"/>
      <w:bookmarkStart w:id="48" w:name="_Toc170710832"/>
      <w:bookmarkStart w:id="49" w:name="_Toc171067535"/>
      <w:bookmarkStart w:id="50" w:name="_Toc151796689"/>
      <w:r>
        <w:rPr>
          <w:rStyle w:val="CharSectno"/>
        </w:rPr>
        <w:t>6</w:t>
      </w:r>
      <w:r>
        <w:rPr>
          <w:snapToGrid w:val="0"/>
        </w:rPr>
        <w:t>.</w:t>
      </w:r>
      <w:r>
        <w:rPr>
          <w:snapToGrid w:val="0"/>
        </w:rPr>
        <w:tab/>
        <w:t>Act not to apply to certain bailments, etc.</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51" w:name="_Toc89514930"/>
      <w:bookmarkStart w:id="52" w:name="_Toc102282361"/>
      <w:bookmarkStart w:id="53" w:name="_Toc102282414"/>
      <w:bookmarkStart w:id="54" w:name="_Toc151796690"/>
      <w:bookmarkStart w:id="55" w:name="_Toc170710833"/>
      <w:bookmarkStart w:id="56" w:name="_Toc170717855"/>
      <w:bookmarkStart w:id="57" w:name="_Toc171067536"/>
      <w:r>
        <w:rPr>
          <w:rStyle w:val="CharPartNo"/>
        </w:rPr>
        <w:t>Part II</w:t>
      </w:r>
      <w:r>
        <w:rPr>
          <w:rStyle w:val="CharDivNo"/>
        </w:rPr>
        <w:t> </w:t>
      </w:r>
      <w:r>
        <w:t>—</w:t>
      </w:r>
      <w:r>
        <w:rPr>
          <w:rStyle w:val="CharDivText"/>
        </w:rPr>
        <w:t> </w:t>
      </w:r>
      <w:r>
        <w:rPr>
          <w:rStyle w:val="CharPartText"/>
        </w:rPr>
        <w:t>Disposal of uncollected prescribed goods</w:t>
      </w:r>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59453825"/>
      <w:bookmarkStart w:id="59" w:name="_Toc44997323"/>
      <w:bookmarkStart w:id="60" w:name="_Toc170710834"/>
      <w:bookmarkStart w:id="61" w:name="_Toc171067537"/>
      <w:bookmarkStart w:id="62" w:name="_Toc151796691"/>
      <w:r>
        <w:rPr>
          <w:rStyle w:val="CharSectno"/>
        </w:rPr>
        <w:t>7</w:t>
      </w:r>
      <w:r>
        <w:rPr>
          <w:snapToGrid w:val="0"/>
        </w:rPr>
        <w:t>.</w:t>
      </w:r>
      <w:r>
        <w:rPr>
          <w:snapToGrid w:val="0"/>
        </w:rPr>
        <w:tab/>
        <w:t>Application of Part II</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63" w:name="_Toc459453826"/>
      <w:bookmarkStart w:id="64" w:name="_Toc44997324"/>
      <w:bookmarkStart w:id="65" w:name="_Toc170710835"/>
      <w:bookmarkStart w:id="66" w:name="_Toc171067538"/>
      <w:bookmarkStart w:id="67" w:name="_Toc151796692"/>
      <w:r>
        <w:rPr>
          <w:rStyle w:val="CharSectno"/>
        </w:rPr>
        <w:t>8</w:t>
      </w:r>
      <w:r>
        <w:rPr>
          <w:snapToGrid w:val="0"/>
        </w:rPr>
        <w:t>.</w:t>
      </w:r>
      <w:r>
        <w:rPr>
          <w:snapToGrid w:val="0"/>
        </w:rPr>
        <w:tab/>
        <w:t>Rights of bailee to dispose of prescribed goods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68" w:name="_Toc459453827"/>
      <w:bookmarkStart w:id="69" w:name="_Toc44997325"/>
      <w:bookmarkStart w:id="70" w:name="_Toc170710836"/>
      <w:bookmarkStart w:id="71" w:name="_Toc171067539"/>
      <w:bookmarkStart w:id="72" w:name="_Toc151796693"/>
      <w:r>
        <w:rPr>
          <w:rStyle w:val="CharSectno"/>
        </w:rPr>
        <w:t>9</w:t>
      </w:r>
      <w:r>
        <w:rPr>
          <w:snapToGrid w:val="0"/>
        </w:rPr>
        <w:t>.</w:t>
      </w:r>
      <w:r>
        <w:rPr>
          <w:snapToGrid w:val="0"/>
        </w:rPr>
        <w:tab/>
        <w:t>Conditions as to disposal of prescribed goods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73" w:name="_Toc89514934"/>
      <w:bookmarkStart w:id="74" w:name="_Toc102282365"/>
      <w:bookmarkStart w:id="75" w:name="_Toc102282418"/>
      <w:bookmarkStart w:id="76" w:name="_Toc151796694"/>
      <w:bookmarkStart w:id="77" w:name="_Toc170710837"/>
      <w:bookmarkStart w:id="78" w:name="_Toc170717859"/>
      <w:bookmarkStart w:id="79" w:name="_Toc171067540"/>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73"/>
      <w:bookmarkEnd w:id="74"/>
      <w:bookmarkEnd w:id="75"/>
      <w:bookmarkEnd w:id="76"/>
      <w:bookmarkEnd w:id="77"/>
      <w:bookmarkEnd w:id="78"/>
      <w:bookmarkEnd w:id="79"/>
    </w:p>
    <w:p>
      <w:pPr>
        <w:pStyle w:val="Heading5"/>
        <w:rPr>
          <w:snapToGrid w:val="0"/>
        </w:rPr>
      </w:pPr>
      <w:bookmarkStart w:id="80" w:name="_Toc459453828"/>
      <w:bookmarkStart w:id="81" w:name="_Toc44997326"/>
      <w:bookmarkStart w:id="82" w:name="_Toc170710838"/>
      <w:bookmarkStart w:id="83" w:name="_Toc171067541"/>
      <w:bookmarkStart w:id="84" w:name="_Toc151796695"/>
      <w:r>
        <w:rPr>
          <w:rStyle w:val="CharSectno"/>
        </w:rPr>
        <w:t>10</w:t>
      </w:r>
      <w:r>
        <w:rPr>
          <w:snapToGrid w:val="0"/>
        </w:rPr>
        <w:t>.</w:t>
      </w:r>
      <w:r>
        <w:rPr>
          <w:snapToGrid w:val="0"/>
        </w:rPr>
        <w:tab/>
        <w:t>Application of Part III</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85" w:name="_Toc459453829"/>
      <w:bookmarkStart w:id="86" w:name="_Toc44997327"/>
      <w:bookmarkStart w:id="87" w:name="_Toc170710839"/>
      <w:bookmarkStart w:id="88" w:name="_Toc171067542"/>
      <w:bookmarkStart w:id="89" w:name="_Toc151796696"/>
      <w:r>
        <w:rPr>
          <w:rStyle w:val="CharSectno"/>
        </w:rPr>
        <w:t>11</w:t>
      </w:r>
      <w:r>
        <w:rPr>
          <w:snapToGrid w:val="0"/>
        </w:rPr>
        <w:t>.</w:t>
      </w:r>
      <w:r>
        <w:rPr>
          <w:snapToGrid w:val="0"/>
        </w:rPr>
        <w:tab/>
        <w:t>Rights of bailee to dispose of goods not exceeding $300 in value</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90" w:name="_Toc459453830"/>
      <w:bookmarkStart w:id="91" w:name="_Toc44997328"/>
      <w:bookmarkStart w:id="92" w:name="_Toc170710840"/>
      <w:bookmarkStart w:id="93" w:name="_Toc171067543"/>
      <w:bookmarkStart w:id="94" w:name="_Toc151796697"/>
      <w:r>
        <w:rPr>
          <w:rStyle w:val="CharSectno"/>
        </w:rPr>
        <w:t>12</w:t>
      </w:r>
      <w:r>
        <w:rPr>
          <w:snapToGrid w:val="0"/>
        </w:rPr>
        <w:t>.</w:t>
      </w:r>
      <w:r>
        <w:rPr>
          <w:snapToGrid w:val="0"/>
        </w:rPr>
        <w:tab/>
        <w:t>Conditions as to disposal of goods not exceeding $300 in value</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95" w:name="_Toc89514938"/>
      <w:bookmarkStart w:id="96" w:name="_Toc102282369"/>
      <w:bookmarkStart w:id="97" w:name="_Toc102282422"/>
      <w:bookmarkStart w:id="98" w:name="_Toc151796698"/>
      <w:bookmarkStart w:id="99" w:name="_Toc170710841"/>
      <w:bookmarkStart w:id="100" w:name="_Toc170717863"/>
      <w:bookmarkStart w:id="101" w:name="_Toc171067544"/>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95"/>
      <w:bookmarkEnd w:id="96"/>
      <w:bookmarkEnd w:id="97"/>
      <w:bookmarkEnd w:id="98"/>
      <w:bookmarkEnd w:id="99"/>
      <w:bookmarkEnd w:id="100"/>
      <w:bookmarkEnd w:id="101"/>
    </w:p>
    <w:p>
      <w:pPr>
        <w:pStyle w:val="Heading5"/>
        <w:rPr>
          <w:snapToGrid w:val="0"/>
        </w:rPr>
      </w:pPr>
      <w:bookmarkStart w:id="102" w:name="_Toc459453831"/>
      <w:bookmarkStart w:id="103" w:name="_Toc44997329"/>
      <w:bookmarkStart w:id="104" w:name="_Toc170710842"/>
      <w:bookmarkStart w:id="105" w:name="_Toc171067545"/>
      <w:bookmarkStart w:id="106" w:name="_Toc151796699"/>
      <w:r>
        <w:rPr>
          <w:rStyle w:val="CharSectno"/>
        </w:rPr>
        <w:t>13</w:t>
      </w:r>
      <w:r>
        <w:rPr>
          <w:snapToGrid w:val="0"/>
        </w:rPr>
        <w:t>.</w:t>
      </w:r>
      <w:r>
        <w:rPr>
          <w:snapToGrid w:val="0"/>
        </w:rPr>
        <w:tab/>
        <w:t>Application of Part IV</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107" w:name="_Toc459453832"/>
      <w:bookmarkStart w:id="108" w:name="_Toc44997330"/>
      <w:bookmarkStart w:id="109" w:name="_Toc170710843"/>
      <w:bookmarkStart w:id="110" w:name="_Toc171067546"/>
      <w:bookmarkStart w:id="111" w:name="_Toc151796700"/>
      <w:r>
        <w:rPr>
          <w:rStyle w:val="CharSectno"/>
        </w:rPr>
        <w:t>14</w:t>
      </w:r>
      <w:r>
        <w:rPr>
          <w:snapToGrid w:val="0"/>
        </w:rPr>
        <w:t>.</w:t>
      </w:r>
      <w:r>
        <w:rPr>
          <w:snapToGrid w:val="0"/>
        </w:rPr>
        <w:tab/>
        <w:t>Procedure after disposal of goods pursuant to Parts II and III</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112" w:name="_Toc89514941"/>
      <w:bookmarkStart w:id="113" w:name="_Toc102282372"/>
      <w:bookmarkStart w:id="114" w:name="_Toc102282425"/>
      <w:bookmarkStart w:id="115" w:name="_Toc151796701"/>
      <w:bookmarkStart w:id="116" w:name="_Toc170710844"/>
      <w:bookmarkStart w:id="117" w:name="_Toc170717866"/>
      <w:bookmarkStart w:id="118" w:name="_Toc171067547"/>
      <w:r>
        <w:rPr>
          <w:rStyle w:val="CharPartNo"/>
        </w:rPr>
        <w:t>Part V</w:t>
      </w:r>
      <w:r>
        <w:rPr>
          <w:rStyle w:val="CharDivNo"/>
        </w:rPr>
        <w:t> </w:t>
      </w:r>
      <w:r>
        <w:t>—</w:t>
      </w:r>
      <w:r>
        <w:rPr>
          <w:rStyle w:val="CharDivText"/>
        </w:rPr>
        <w:t> </w:t>
      </w:r>
      <w:r>
        <w:rPr>
          <w:rStyle w:val="CharPartText"/>
        </w:rPr>
        <w:t>Provisions relating to disputes</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59453833"/>
      <w:bookmarkStart w:id="120" w:name="_Toc44997331"/>
      <w:bookmarkStart w:id="121" w:name="_Toc170710845"/>
      <w:bookmarkStart w:id="122" w:name="_Toc171067548"/>
      <w:bookmarkStart w:id="123" w:name="_Toc151796702"/>
      <w:r>
        <w:rPr>
          <w:rStyle w:val="CharSectno"/>
        </w:rPr>
        <w:t>15</w:t>
      </w:r>
      <w:r>
        <w:rPr>
          <w:snapToGrid w:val="0"/>
        </w:rPr>
        <w:t>.</w:t>
      </w:r>
      <w:r>
        <w:rPr>
          <w:snapToGrid w:val="0"/>
        </w:rPr>
        <w:tab/>
        <w:t>Disputes as to charges, etc.</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24" w:name="_Toc459453834"/>
      <w:bookmarkStart w:id="125" w:name="_Toc44997332"/>
      <w:bookmarkStart w:id="126" w:name="_Toc170710846"/>
      <w:bookmarkStart w:id="127" w:name="_Toc171067549"/>
      <w:bookmarkStart w:id="128" w:name="_Toc151796703"/>
      <w:r>
        <w:rPr>
          <w:rStyle w:val="CharSectno"/>
        </w:rPr>
        <w:t>16</w:t>
      </w:r>
      <w:r>
        <w:rPr>
          <w:snapToGrid w:val="0"/>
        </w:rPr>
        <w:t>.</w:t>
      </w:r>
      <w:r>
        <w:rPr>
          <w:snapToGrid w:val="0"/>
        </w:rPr>
        <w:tab/>
        <w:t>Disputes as to description of goods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129" w:name="_Toc459453835"/>
      <w:bookmarkStart w:id="130" w:name="_Toc44997333"/>
      <w:bookmarkStart w:id="131" w:name="_Toc170710847"/>
      <w:bookmarkStart w:id="132" w:name="_Toc171067550"/>
      <w:bookmarkStart w:id="133" w:name="_Toc151796704"/>
      <w:r>
        <w:rPr>
          <w:rStyle w:val="CharSectno"/>
        </w:rPr>
        <w:t>17</w:t>
      </w:r>
      <w:r>
        <w:rPr>
          <w:snapToGrid w:val="0"/>
        </w:rPr>
        <w:t>.</w:t>
      </w:r>
      <w:r>
        <w:rPr>
          <w:snapToGrid w:val="0"/>
        </w:rPr>
        <w:tab/>
        <w:t>Determination of disputes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34" w:name="_Toc89514945"/>
      <w:bookmarkStart w:id="135" w:name="_Toc102282376"/>
      <w:bookmarkStart w:id="136" w:name="_Toc102282429"/>
      <w:bookmarkStart w:id="137" w:name="_Toc151796705"/>
      <w:bookmarkStart w:id="138" w:name="_Toc170710848"/>
      <w:bookmarkStart w:id="139" w:name="_Toc170717870"/>
      <w:bookmarkStart w:id="140" w:name="_Toc171067551"/>
      <w:r>
        <w:rPr>
          <w:rStyle w:val="CharPartNo"/>
        </w:rPr>
        <w:t>Part VI</w:t>
      </w:r>
      <w:r>
        <w:rPr>
          <w:rStyle w:val="CharDivNo"/>
        </w:rPr>
        <w:t> </w:t>
      </w:r>
      <w:r>
        <w:t>—</w:t>
      </w:r>
      <w:r>
        <w:rPr>
          <w:rStyle w:val="CharDivText"/>
        </w:rPr>
        <w:t> </w:t>
      </w:r>
      <w:r>
        <w:rPr>
          <w:rStyle w:val="CharPartText"/>
        </w:rPr>
        <w:t>Disposal of goods valued in excess of $300</w:t>
      </w:r>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59453836"/>
      <w:bookmarkStart w:id="142" w:name="_Toc44997334"/>
      <w:bookmarkStart w:id="143" w:name="_Toc170710849"/>
      <w:bookmarkStart w:id="144" w:name="_Toc171067552"/>
      <w:bookmarkStart w:id="145" w:name="_Toc151796706"/>
      <w:r>
        <w:rPr>
          <w:rStyle w:val="CharSectno"/>
        </w:rPr>
        <w:t>18</w:t>
      </w:r>
      <w:r>
        <w:rPr>
          <w:snapToGrid w:val="0"/>
        </w:rPr>
        <w:t>.</w:t>
      </w:r>
      <w:r>
        <w:rPr>
          <w:snapToGrid w:val="0"/>
        </w:rPr>
        <w:tab/>
        <w:t>Application of Part VI</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46" w:name="_Toc459453837"/>
      <w:bookmarkStart w:id="147" w:name="_Toc44997335"/>
      <w:bookmarkStart w:id="148" w:name="_Toc170710850"/>
      <w:bookmarkStart w:id="149" w:name="_Toc171067553"/>
      <w:bookmarkStart w:id="150" w:name="_Toc151796707"/>
      <w:r>
        <w:rPr>
          <w:rStyle w:val="CharSectno"/>
        </w:rPr>
        <w:t>19</w:t>
      </w:r>
      <w:r>
        <w:rPr>
          <w:snapToGrid w:val="0"/>
        </w:rPr>
        <w:t>.</w:t>
      </w:r>
      <w:r>
        <w:rPr>
          <w:snapToGrid w:val="0"/>
        </w:rPr>
        <w:tab/>
        <w:t>Application by bailee for order to dispose of goods exceeding $300 in value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51" w:name="_Toc89514948"/>
      <w:bookmarkStart w:id="152" w:name="_Toc102282379"/>
      <w:bookmarkStart w:id="153" w:name="_Toc102282432"/>
      <w:bookmarkStart w:id="154" w:name="_Toc151796708"/>
      <w:bookmarkStart w:id="155" w:name="_Toc170710851"/>
      <w:bookmarkStart w:id="156" w:name="_Toc170717873"/>
      <w:bookmarkStart w:id="157" w:name="_Toc171067554"/>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59453838"/>
      <w:bookmarkStart w:id="159" w:name="_Toc44997336"/>
      <w:bookmarkStart w:id="160" w:name="_Toc170710852"/>
      <w:bookmarkStart w:id="161" w:name="_Toc171067555"/>
      <w:bookmarkStart w:id="162" w:name="_Toc151796709"/>
      <w:r>
        <w:rPr>
          <w:rStyle w:val="CharSectno"/>
        </w:rPr>
        <w:t>20</w:t>
      </w:r>
      <w:r>
        <w:rPr>
          <w:snapToGrid w:val="0"/>
        </w:rPr>
        <w:t>.</w:t>
      </w:r>
      <w:r>
        <w:rPr>
          <w:snapToGrid w:val="0"/>
        </w:rPr>
        <w:tab/>
        <w:t>Disposal of goods held in any way other than by bailment in the course of business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63" w:name="_Toc459453839"/>
      <w:bookmarkStart w:id="164" w:name="_Toc44997337"/>
      <w:bookmarkStart w:id="165" w:name="_Toc170710853"/>
      <w:bookmarkStart w:id="166" w:name="_Toc171067556"/>
      <w:bookmarkStart w:id="167" w:name="_Toc151796710"/>
      <w:r>
        <w:rPr>
          <w:rStyle w:val="CharSectno"/>
        </w:rPr>
        <w:t>21</w:t>
      </w:r>
      <w:r>
        <w:rPr>
          <w:snapToGrid w:val="0"/>
        </w:rPr>
        <w:t>.</w:t>
      </w:r>
      <w:r>
        <w:rPr>
          <w:snapToGrid w:val="0"/>
        </w:rPr>
        <w:tab/>
        <w:t>Conditions precedent to application to court</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68" w:name="_Toc89514951"/>
      <w:bookmarkStart w:id="169" w:name="_Toc102282382"/>
      <w:bookmarkStart w:id="170" w:name="_Toc102282435"/>
      <w:bookmarkStart w:id="171" w:name="_Toc151796711"/>
      <w:bookmarkStart w:id="172" w:name="_Toc170710854"/>
      <w:bookmarkStart w:id="173" w:name="_Toc170717876"/>
      <w:bookmarkStart w:id="174" w:name="_Toc171067557"/>
      <w:r>
        <w:rPr>
          <w:rStyle w:val="CharPartNo"/>
        </w:rPr>
        <w:t>Part VIII</w:t>
      </w:r>
      <w:r>
        <w:rPr>
          <w:rStyle w:val="CharDivNo"/>
        </w:rPr>
        <w:t> </w:t>
      </w:r>
      <w:r>
        <w:t>—</w:t>
      </w:r>
      <w:r>
        <w:rPr>
          <w:rStyle w:val="CharDivText"/>
        </w:rPr>
        <w:t> </w:t>
      </w:r>
      <w:r>
        <w:rPr>
          <w:rStyle w:val="CharPartText"/>
        </w:rPr>
        <w:t>Powers of the court</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59453840"/>
      <w:bookmarkStart w:id="176" w:name="_Toc44997338"/>
      <w:bookmarkStart w:id="177" w:name="_Toc170710855"/>
      <w:bookmarkStart w:id="178" w:name="_Toc171067558"/>
      <w:bookmarkStart w:id="179" w:name="_Toc151796712"/>
      <w:r>
        <w:rPr>
          <w:rStyle w:val="CharSectno"/>
        </w:rPr>
        <w:t>22</w:t>
      </w:r>
      <w:r>
        <w:rPr>
          <w:snapToGrid w:val="0"/>
        </w:rPr>
        <w:t>.</w:t>
      </w:r>
      <w:r>
        <w:rPr>
          <w:snapToGrid w:val="0"/>
        </w:rPr>
        <w:tab/>
        <w:t>Power of court to make order for disposal of goods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80" w:name="_Toc459453841"/>
      <w:bookmarkStart w:id="181" w:name="_Toc44997339"/>
      <w:bookmarkStart w:id="182" w:name="_Toc170710856"/>
      <w:bookmarkStart w:id="183" w:name="_Toc171067559"/>
      <w:bookmarkStart w:id="184" w:name="_Toc151796713"/>
      <w:r>
        <w:rPr>
          <w:rStyle w:val="CharSectno"/>
        </w:rPr>
        <w:t>23</w:t>
      </w:r>
      <w:r>
        <w:rPr>
          <w:snapToGrid w:val="0"/>
        </w:rPr>
        <w:t>.</w:t>
      </w:r>
      <w:r>
        <w:rPr>
          <w:snapToGrid w:val="0"/>
        </w:rPr>
        <w:tab/>
        <w:t>Effect of order for disposal</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85" w:name="_Toc459453842"/>
      <w:bookmarkStart w:id="186" w:name="_Toc44997340"/>
      <w:bookmarkStart w:id="187" w:name="_Toc170710857"/>
      <w:bookmarkStart w:id="188" w:name="_Toc171067560"/>
      <w:bookmarkStart w:id="189" w:name="_Toc151796714"/>
      <w:r>
        <w:rPr>
          <w:rStyle w:val="CharSectno"/>
        </w:rPr>
        <w:t>24</w:t>
      </w:r>
      <w:r>
        <w:rPr>
          <w:snapToGrid w:val="0"/>
        </w:rPr>
        <w:t>.</w:t>
      </w:r>
      <w:r>
        <w:rPr>
          <w:snapToGrid w:val="0"/>
        </w:rPr>
        <w:tab/>
        <w:t>Subsidiary charges</w:t>
      </w:r>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90" w:name="_Toc459453843"/>
      <w:bookmarkStart w:id="191" w:name="_Toc44997341"/>
      <w:bookmarkStart w:id="192" w:name="_Toc170710858"/>
      <w:bookmarkStart w:id="193" w:name="_Toc171067561"/>
      <w:bookmarkStart w:id="194" w:name="_Toc151796715"/>
      <w:r>
        <w:rPr>
          <w:rStyle w:val="CharSectno"/>
        </w:rPr>
        <w:t>25</w:t>
      </w:r>
      <w:r>
        <w:rPr>
          <w:snapToGrid w:val="0"/>
        </w:rPr>
        <w:t>.</w:t>
      </w:r>
      <w:r>
        <w:rPr>
          <w:snapToGrid w:val="0"/>
        </w:rPr>
        <w:tab/>
        <w:t>Procedure after disposal under this Part</w:t>
      </w:r>
      <w:bookmarkEnd w:id="190"/>
      <w:bookmarkEnd w:id="191"/>
      <w:bookmarkEnd w:id="192"/>
      <w:bookmarkEnd w:id="193"/>
      <w:bookmarkEnd w:id="194"/>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95" w:name="_Toc89514956"/>
      <w:bookmarkStart w:id="196" w:name="_Toc102282387"/>
      <w:bookmarkStart w:id="197" w:name="_Toc102282440"/>
      <w:bookmarkStart w:id="198" w:name="_Toc151796716"/>
      <w:bookmarkStart w:id="199" w:name="_Toc170710859"/>
      <w:bookmarkStart w:id="200" w:name="_Toc170717881"/>
      <w:bookmarkStart w:id="201" w:name="_Toc171067562"/>
      <w:r>
        <w:rPr>
          <w:rStyle w:val="CharPartNo"/>
        </w:rPr>
        <w:t>Part IX</w:t>
      </w:r>
      <w:r>
        <w:rPr>
          <w:rStyle w:val="CharDivNo"/>
        </w:rPr>
        <w:t> </w:t>
      </w:r>
      <w:r>
        <w:t>—</w:t>
      </w:r>
      <w:r>
        <w:rPr>
          <w:rStyle w:val="CharDivText"/>
        </w:rPr>
        <w:t> </w:t>
      </w:r>
      <w:r>
        <w:rPr>
          <w:rStyle w:val="CharPartText"/>
        </w:rPr>
        <w:t>Provisions as to notices</w:t>
      </w:r>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59453844"/>
      <w:bookmarkStart w:id="203" w:name="_Toc44997342"/>
      <w:bookmarkStart w:id="204" w:name="_Toc170710860"/>
      <w:bookmarkStart w:id="205" w:name="_Toc171067563"/>
      <w:bookmarkStart w:id="206" w:name="_Toc151796717"/>
      <w:r>
        <w:rPr>
          <w:rStyle w:val="CharSectno"/>
        </w:rPr>
        <w:t>26</w:t>
      </w:r>
      <w:r>
        <w:rPr>
          <w:snapToGrid w:val="0"/>
        </w:rPr>
        <w:t>.</w:t>
      </w:r>
      <w:r>
        <w:rPr>
          <w:snapToGrid w:val="0"/>
        </w:rPr>
        <w:tab/>
        <w:t>Provisions as to notices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207" w:name="_Toc89514958"/>
      <w:bookmarkStart w:id="208" w:name="_Toc102282389"/>
      <w:bookmarkStart w:id="209" w:name="_Toc102282442"/>
      <w:bookmarkStart w:id="210" w:name="_Toc151796718"/>
      <w:bookmarkStart w:id="211" w:name="_Toc170710861"/>
      <w:bookmarkStart w:id="212" w:name="_Toc170717883"/>
      <w:bookmarkStart w:id="213" w:name="_Toc171067564"/>
      <w:r>
        <w:rPr>
          <w:rStyle w:val="CharPartNo"/>
        </w:rPr>
        <w:t>Part X</w:t>
      </w:r>
      <w:r>
        <w:rPr>
          <w:rStyle w:val="CharDivNo"/>
        </w:rPr>
        <w:t> </w:t>
      </w:r>
      <w:r>
        <w:t>—</w:t>
      </w:r>
      <w:r>
        <w:rPr>
          <w:rStyle w:val="CharDivText"/>
        </w:rPr>
        <w:t> </w:t>
      </w:r>
      <w:r>
        <w:rPr>
          <w:rStyle w:val="CharPartText"/>
        </w:rPr>
        <w:t>General</w:t>
      </w:r>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59453845"/>
      <w:bookmarkStart w:id="215" w:name="_Toc44997343"/>
      <w:bookmarkStart w:id="216" w:name="_Toc170710862"/>
      <w:bookmarkStart w:id="217" w:name="_Toc171067565"/>
      <w:bookmarkStart w:id="218" w:name="_Toc151796719"/>
      <w:r>
        <w:rPr>
          <w:rStyle w:val="CharSectno"/>
        </w:rPr>
        <w:t>27</w:t>
      </w:r>
      <w:r>
        <w:rPr>
          <w:snapToGrid w:val="0"/>
        </w:rPr>
        <w:t>.</w:t>
      </w:r>
      <w:r>
        <w:rPr>
          <w:snapToGrid w:val="0"/>
        </w:rPr>
        <w:tab/>
        <w:t>Certificate of court order</w:t>
      </w:r>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219" w:name="_Toc459453846"/>
      <w:bookmarkStart w:id="220" w:name="_Toc44997344"/>
      <w:bookmarkStart w:id="221" w:name="_Toc170710863"/>
      <w:bookmarkStart w:id="222" w:name="_Toc171067566"/>
      <w:bookmarkStart w:id="223" w:name="_Toc151796720"/>
      <w:r>
        <w:rPr>
          <w:rStyle w:val="CharSectno"/>
        </w:rPr>
        <w:t>28</w:t>
      </w:r>
      <w:r>
        <w:rPr>
          <w:snapToGrid w:val="0"/>
        </w:rPr>
        <w:t>.</w:t>
      </w:r>
      <w:r>
        <w:rPr>
          <w:snapToGrid w:val="0"/>
        </w:rPr>
        <w:tab/>
        <w:t>Application of surplus proceeds of sale</w:t>
      </w:r>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224" w:name="endcomma"/>
      <w:bookmarkEnd w:id="224"/>
      <w:del w:id="225" w:author="svcMRProcess" w:date="2015-12-11T12:23:00Z">
        <w:r>
          <w:rPr>
            <w:b/>
            <w:snapToGrid w:val="0"/>
          </w:rPr>
          <w:delText>“</w:delText>
        </w:r>
      </w:del>
      <w:r>
        <w:rPr>
          <w:rStyle w:val="CharDefText"/>
        </w:rPr>
        <w:t>Treasurer</w:t>
      </w:r>
      <w:del w:id="226" w:author="svcMRProcess" w:date="2015-12-11T12:23:00Z">
        <w:r>
          <w:rPr>
            <w:b/>
            <w:snapToGrid w:val="0"/>
          </w:rPr>
          <w:delText>”</w:delText>
        </w:r>
      </w:del>
      <w:r>
        <w:rPr>
          <w:snapToGrid w:val="0"/>
        </w:rPr>
        <w:t xml:space="preserve"> </w:t>
      </w:r>
      <w:bookmarkStart w:id="227" w:name="comma"/>
      <w:bookmarkEnd w:id="227"/>
      <w:r>
        <w:rPr>
          <w:snapToGrid w:val="0"/>
        </w:rPr>
        <w:t>means Treasurer of the State for the time being.</w:t>
      </w:r>
    </w:p>
    <w:p>
      <w:pPr>
        <w:pStyle w:val="Heading5"/>
        <w:rPr>
          <w:snapToGrid w:val="0"/>
        </w:rPr>
      </w:pPr>
      <w:bookmarkStart w:id="228" w:name="_Toc459453847"/>
      <w:bookmarkStart w:id="229" w:name="_Toc44997345"/>
      <w:bookmarkStart w:id="230" w:name="_Toc170710864"/>
      <w:bookmarkStart w:id="231" w:name="_Toc171067567"/>
      <w:bookmarkStart w:id="232" w:name="_Toc151796721"/>
      <w:r>
        <w:rPr>
          <w:rStyle w:val="CharSectno"/>
        </w:rPr>
        <w:t>29</w:t>
      </w:r>
      <w:r>
        <w:rPr>
          <w:snapToGrid w:val="0"/>
        </w:rPr>
        <w:t>.</w:t>
      </w:r>
      <w:r>
        <w:rPr>
          <w:snapToGrid w:val="0"/>
        </w:rPr>
        <w:tab/>
        <w:t>Provisions for payment before sale of goods</w:t>
      </w:r>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233" w:name="_Toc459453848"/>
      <w:bookmarkStart w:id="234" w:name="_Toc44997346"/>
      <w:bookmarkStart w:id="235" w:name="_Toc170710865"/>
      <w:bookmarkStart w:id="236" w:name="_Toc171067568"/>
      <w:bookmarkStart w:id="237" w:name="_Toc151796722"/>
      <w:r>
        <w:rPr>
          <w:rStyle w:val="CharSectno"/>
        </w:rPr>
        <w:t>30</w:t>
      </w:r>
      <w:r>
        <w:rPr>
          <w:snapToGrid w:val="0"/>
        </w:rPr>
        <w:t>.</w:t>
      </w:r>
      <w:r>
        <w:rPr>
          <w:snapToGrid w:val="0"/>
        </w:rPr>
        <w:tab/>
        <w:t>Title of person acquiring goods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238" w:name="_Toc459453849"/>
      <w:bookmarkStart w:id="239" w:name="_Toc44997347"/>
      <w:bookmarkStart w:id="240" w:name="_Toc170710866"/>
      <w:bookmarkStart w:id="241" w:name="_Toc171067569"/>
      <w:bookmarkStart w:id="242" w:name="_Toc151796723"/>
      <w:r>
        <w:rPr>
          <w:rStyle w:val="CharSectno"/>
        </w:rPr>
        <w:t>31</w:t>
      </w:r>
      <w:r>
        <w:rPr>
          <w:snapToGrid w:val="0"/>
        </w:rPr>
        <w:t>.</w:t>
      </w:r>
      <w:r>
        <w:rPr>
          <w:snapToGrid w:val="0"/>
        </w:rPr>
        <w:tab/>
        <w:t>Procedure for application to court</w:t>
      </w:r>
      <w:bookmarkEnd w:id="238"/>
      <w:bookmarkEnd w:id="239"/>
      <w:bookmarkEnd w:id="240"/>
      <w:bookmarkEnd w:id="241"/>
      <w:bookmarkEnd w:id="24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243" w:name="_Toc170710867"/>
      <w:bookmarkStart w:id="244" w:name="_Toc171067570"/>
      <w:bookmarkStart w:id="245" w:name="_Toc151796724"/>
      <w:bookmarkStart w:id="246" w:name="_Toc459453851"/>
      <w:bookmarkStart w:id="247" w:name="_Toc44997349"/>
      <w:r>
        <w:rPr>
          <w:rStyle w:val="CharSectno"/>
        </w:rPr>
        <w:t>32</w:t>
      </w:r>
      <w:r>
        <w:rPr>
          <w:snapToGrid w:val="0"/>
        </w:rPr>
        <w:t>.</w:t>
      </w:r>
      <w:r>
        <w:rPr>
          <w:snapToGrid w:val="0"/>
        </w:rPr>
        <w:tab/>
        <w:t>Procedure</w:t>
      </w:r>
      <w:bookmarkEnd w:id="243"/>
      <w:bookmarkEnd w:id="244"/>
      <w:bookmarkEnd w:id="245"/>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246"/>
    <w:bookmarkEnd w:id="247"/>
    <w:p>
      <w:pPr>
        <w:pStyle w:val="Ednotesection"/>
      </w:pPr>
      <w:r>
        <w:t>[</w:t>
      </w:r>
      <w:r>
        <w:rPr>
          <w:b/>
        </w:rPr>
        <w:t>33.</w:t>
      </w:r>
      <w:r>
        <w:tab/>
      </w:r>
      <w:del w:id="248" w:author="svcMRProcess" w:date="2015-12-11T12:23:00Z">
        <w:r>
          <w:delText>Repealed</w:delText>
        </w:r>
      </w:del>
      <w:ins w:id="249" w:author="svcMRProcess" w:date="2015-12-11T12:23:00Z">
        <w:r>
          <w:t>Deleted</w:t>
        </w:r>
      </w:ins>
      <w:r>
        <w:t xml:space="preserve"> by No. 59 of 2004 s. 141.]</w:t>
      </w:r>
    </w:p>
    <w:p>
      <w:pPr>
        <w:pStyle w:val="Heading5"/>
        <w:rPr>
          <w:snapToGrid w:val="0"/>
        </w:rPr>
      </w:pPr>
      <w:bookmarkStart w:id="250" w:name="_Toc459453852"/>
      <w:bookmarkStart w:id="251" w:name="_Toc44997350"/>
      <w:bookmarkStart w:id="252" w:name="_Toc170710868"/>
      <w:bookmarkStart w:id="253" w:name="_Toc171067571"/>
      <w:bookmarkStart w:id="254" w:name="_Toc151796725"/>
      <w:r>
        <w:rPr>
          <w:rStyle w:val="CharSectno"/>
        </w:rPr>
        <w:t>34</w:t>
      </w:r>
      <w:r>
        <w:rPr>
          <w:snapToGrid w:val="0"/>
        </w:rPr>
        <w:t>.</w:t>
      </w:r>
      <w:r>
        <w:rPr>
          <w:snapToGrid w:val="0"/>
        </w:rPr>
        <w:tab/>
        <w:t>Penalties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55" w:name="_Toc459453853"/>
      <w:bookmarkStart w:id="256" w:name="_Toc44997351"/>
      <w:bookmarkStart w:id="257" w:name="_Toc170710869"/>
      <w:bookmarkStart w:id="258" w:name="_Toc171067572"/>
      <w:bookmarkStart w:id="259" w:name="_Toc151796726"/>
      <w:r>
        <w:rPr>
          <w:rStyle w:val="CharSectno"/>
        </w:rPr>
        <w:t>35</w:t>
      </w:r>
      <w:r>
        <w:rPr>
          <w:snapToGrid w:val="0"/>
        </w:rPr>
        <w:t>.</w:t>
      </w:r>
      <w:r>
        <w:rPr>
          <w:snapToGrid w:val="0"/>
        </w:rPr>
        <w:tab/>
        <w:t>Regulations</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0" w:name="_Toc170710870"/>
      <w:bookmarkStart w:id="261" w:name="_Toc170717892"/>
      <w:bookmarkStart w:id="262" w:name="_Toc171067573"/>
      <w:bookmarkStart w:id="263" w:name="_Toc151796727"/>
      <w:r>
        <w:rPr>
          <w:rStyle w:val="CharSchNo"/>
        </w:rPr>
        <w:t>Schedule</w:t>
      </w:r>
      <w:bookmarkEnd w:id="260"/>
      <w:bookmarkEnd w:id="261"/>
      <w:bookmarkEnd w:id="262"/>
      <w:bookmarkEnd w:id="263"/>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2722"/>
        <w:gridCol w:w="5070"/>
      </w:tblGrid>
      <w:tr>
        <w:trPr>
          <w:trHeight w:val="331"/>
        </w:trPr>
        <w:tc>
          <w:tcPr>
            <w:tcW w:w="2722" w:type="dxa"/>
            <w:cellDel w:id="264" w:author="svcMRProcess" w:date="2015-12-11T12:23:00Z"/>
          </w:tcPr>
          <w:p>
            <w:pPr>
              <w:pStyle w:val="yTable"/>
              <w:jc w:val="center"/>
              <w:rPr>
                <w:b/>
                <w:snapToGrid w:val="0"/>
                <w:sz w:val="20"/>
              </w:rPr>
            </w:pPr>
            <w:del w:id="265" w:author="svcMRProcess" w:date="2015-12-11T12:23:00Z">
              <w:r>
                <w:rPr>
                  <w:b/>
                  <w:snapToGrid w:val="0"/>
                  <w:sz w:val="20"/>
                </w:rPr>
                <w:delText>Number of Act.</w:delText>
              </w:r>
            </w:del>
          </w:p>
        </w:tc>
        <w:tc>
          <w:tcPr>
            <w:tcW w:w="5070" w:type="dxa"/>
          </w:tcPr>
          <w:p>
            <w:pPr>
              <w:pStyle w:val="yTable"/>
              <w:tabs>
                <w:tab w:val="left" w:pos="680"/>
              </w:tabs>
              <w:rPr>
                <w:b/>
                <w:snapToGrid w:val="0"/>
                <w:sz w:val="20"/>
              </w:rPr>
            </w:pPr>
            <w:r>
              <w:rPr>
                <w:b/>
                <w:snapToGrid w:val="0"/>
                <w:sz w:val="20"/>
              </w:rPr>
              <w:tab/>
              <w:t>Title of Act.</w:t>
            </w:r>
          </w:p>
        </w:tc>
      </w:tr>
      <w:tr>
        <w:trPr>
          <w:trHeight w:val="325"/>
          <w:ins w:id="266" w:author="svcMRProcess" w:date="2015-12-11T12:23:00Z"/>
        </w:trPr>
        <w:tc>
          <w:tcPr>
            <w:tcW w:w="5070" w:type="dxa"/>
            <w:gridSpan w:val="2"/>
          </w:tcPr>
          <w:p>
            <w:pPr>
              <w:pStyle w:val="yTable"/>
              <w:rPr>
                <w:ins w:id="267" w:author="svcMRProcess" w:date="2015-12-11T12:23:00Z"/>
                <w:i/>
                <w:snapToGrid w:val="0"/>
                <w:sz w:val="20"/>
              </w:rPr>
            </w:pPr>
            <w:ins w:id="268" w:author="svcMRProcess" w:date="2015-12-11T12:23:00Z">
              <w:r>
                <w:rPr>
                  <w:i/>
                  <w:snapToGrid w:val="0"/>
                  <w:sz w:val="20"/>
                </w:rPr>
                <w:t>Criminal and Found Property Disposal Act 2006.</w:t>
              </w:r>
            </w:ins>
          </w:p>
        </w:tc>
      </w:tr>
      <w:tr>
        <w:trPr>
          <w:trHeight w:val="325"/>
          <w:ins w:id="269" w:author="svcMRProcess" w:date="2015-12-11T12:23:00Z"/>
        </w:trPr>
        <w:tc>
          <w:tcPr>
            <w:tcW w:w="5070" w:type="dxa"/>
            <w:gridSpan w:val="2"/>
          </w:tcPr>
          <w:p>
            <w:pPr>
              <w:pStyle w:val="yTable"/>
              <w:rPr>
                <w:ins w:id="270" w:author="svcMRProcess" w:date="2015-12-11T12:23:00Z"/>
                <w:i/>
                <w:snapToGrid w:val="0"/>
                <w:sz w:val="20"/>
              </w:rPr>
            </w:pPr>
            <w:ins w:id="271" w:author="svcMRProcess" w:date="2015-12-11T12:23:00Z">
              <w:r>
                <w:rPr>
                  <w:i/>
                  <w:snapToGrid w:val="0"/>
                  <w:sz w:val="20"/>
                </w:rPr>
                <w:t>Criminal Investigation Act 2006.</w:t>
              </w:r>
            </w:ins>
          </w:p>
        </w:tc>
      </w:tr>
      <w:tr>
        <w:trPr>
          <w:trHeight w:val="325"/>
        </w:trPr>
        <w:tc>
          <w:tcPr>
            <w:tcW w:w="2722" w:type="dxa"/>
            <w:cellDel w:id="272" w:author="svcMRProcess" w:date="2015-12-11T12:23:00Z"/>
          </w:tcPr>
          <w:p>
            <w:pPr>
              <w:pStyle w:val="yTable"/>
              <w:ind w:left="567"/>
              <w:rPr>
                <w:snapToGrid w:val="0"/>
                <w:sz w:val="20"/>
              </w:rPr>
            </w:pPr>
            <w:del w:id="273" w:author="svcMRProcess" w:date="2015-12-11T12:23:00Z">
              <w:r>
                <w:rPr>
                  <w:snapToGrid w:val="0"/>
                  <w:sz w:val="20"/>
                </w:rPr>
                <w:delText>8 of 1931</w:delText>
              </w:r>
            </w:del>
          </w:p>
        </w:tc>
        <w:tc>
          <w:tcPr>
            <w:tcW w:w="5070" w:type="dxa"/>
          </w:tcPr>
          <w:p>
            <w:pPr>
              <w:pStyle w:val="yTable"/>
              <w:rPr>
                <w:i/>
                <w:snapToGrid w:val="0"/>
                <w:sz w:val="20"/>
              </w:rPr>
            </w:pPr>
            <w:r>
              <w:rPr>
                <w:i/>
                <w:snapToGrid w:val="0"/>
                <w:sz w:val="20"/>
              </w:rPr>
              <w:t xml:space="preserve">Firearms </w:t>
            </w:r>
            <w:del w:id="274" w:author="svcMRProcess" w:date="2015-12-11T12:23:00Z">
              <w:r>
                <w:rPr>
                  <w:i/>
                  <w:snapToGrid w:val="0"/>
                  <w:sz w:val="20"/>
                </w:rPr>
                <w:delText xml:space="preserve">and Guns </w:delText>
              </w:r>
            </w:del>
            <w:r>
              <w:rPr>
                <w:i/>
                <w:snapToGrid w:val="0"/>
                <w:sz w:val="20"/>
              </w:rPr>
              <w:t>Act</w:t>
            </w:r>
            <w:del w:id="275" w:author="svcMRProcess" w:date="2015-12-11T12:23:00Z">
              <w:r>
                <w:rPr>
                  <w:i/>
                  <w:snapToGrid w:val="0"/>
                  <w:sz w:val="20"/>
                </w:rPr>
                <w:delText> 1931</w:delText>
              </w:r>
              <w:r>
                <w:rPr>
                  <w:snapToGrid w:val="0"/>
                  <w:sz w:val="20"/>
                </w:rPr>
                <w:delText xml:space="preserve"> </w:delText>
              </w:r>
              <w:r>
                <w:rPr>
                  <w:snapToGrid w:val="0"/>
                  <w:sz w:val="20"/>
                  <w:vertAlign w:val="superscript"/>
                </w:rPr>
                <w:delText>2</w:delText>
              </w:r>
            </w:del>
            <w:ins w:id="276" w:author="svcMRProcess" w:date="2015-12-11T12:23:00Z">
              <w:r>
                <w:rPr>
                  <w:i/>
                  <w:snapToGrid w:val="0"/>
                  <w:sz w:val="20"/>
                </w:rPr>
                <w:t xml:space="preserve"> 1973</w:t>
              </w:r>
            </w:ins>
            <w:r>
              <w:rPr>
                <w:i/>
                <w:snapToGrid w:val="0"/>
                <w:sz w:val="20"/>
              </w:rPr>
              <w:t>.</w:t>
            </w:r>
          </w:p>
        </w:tc>
      </w:tr>
      <w:tr>
        <w:trPr>
          <w:trHeight w:val="325"/>
        </w:trPr>
        <w:tc>
          <w:tcPr>
            <w:tcW w:w="2722" w:type="dxa"/>
            <w:cellDel w:id="277" w:author="svcMRProcess" w:date="2015-12-11T12:23:00Z"/>
          </w:tcPr>
          <w:p>
            <w:pPr>
              <w:pStyle w:val="yTable"/>
              <w:ind w:left="567"/>
              <w:rPr>
                <w:snapToGrid w:val="0"/>
                <w:sz w:val="20"/>
              </w:rPr>
            </w:pPr>
            <w:del w:id="278" w:author="svcMRProcess" w:date="2015-12-11T12:23:00Z">
              <w:r>
                <w:rPr>
                  <w:snapToGrid w:val="0"/>
                  <w:sz w:val="20"/>
                </w:rPr>
                <w:delText>23 of 1904</w:delText>
              </w:r>
            </w:del>
          </w:p>
        </w:tc>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2722" w:type="dxa"/>
            <w:cellDel w:id="279" w:author="svcMRProcess" w:date="2015-12-11T12:23:00Z"/>
          </w:tcPr>
          <w:p>
            <w:pPr>
              <w:pStyle w:val="yTable"/>
              <w:ind w:left="567"/>
              <w:rPr>
                <w:snapToGrid w:val="0"/>
                <w:sz w:val="20"/>
              </w:rPr>
            </w:pPr>
            <w:del w:id="280" w:author="svcMRProcess" w:date="2015-12-11T12:23:00Z">
              <w:r>
                <w:rPr>
                  <w:snapToGrid w:val="0"/>
                  <w:sz w:val="20"/>
                </w:rPr>
                <w:delText>45 of 1926</w:delText>
              </w:r>
            </w:del>
          </w:p>
        </w:tc>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2722" w:type="dxa"/>
            <w:cellDel w:id="281" w:author="svcMRProcess" w:date="2015-12-11T12:23:00Z"/>
          </w:tcPr>
          <w:p>
            <w:pPr>
              <w:pStyle w:val="yTable"/>
              <w:ind w:left="567"/>
              <w:rPr>
                <w:snapToGrid w:val="0"/>
                <w:sz w:val="20"/>
              </w:rPr>
            </w:pPr>
            <w:del w:id="282" w:author="svcMRProcess" w:date="2015-12-11T12:23:00Z">
              <w:r>
                <w:rPr>
                  <w:snapToGrid w:val="0"/>
                  <w:sz w:val="20"/>
                </w:rPr>
                <w:delText>88 of 1994</w:delText>
              </w:r>
            </w:del>
          </w:p>
        </w:tc>
        <w:tc>
          <w:tcPr>
            <w:tcW w:w="5070" w:type="dxa"/>
          </w:tcPr>
          <w:p>
            <w:pPr>
              <w:pStyle w:val="yTable"/>
              <w:rPr>
                <w:i/>
                <w:snapToGrid w:val="0"/>
                <w:sz w:val="20"/>
                <w:highlight w:val="lightGray"/>
              </w:rPr>
            </w:pPr>
            <w:r>
              <w:rPr>
                <w:i/>
                <w:snapToGrid w:val="0"/>
                <w:sz w:val="20"/>
              </w:rPr>
              <w:t>Pawnbrokers and Second-hand Dealers Act 1994.</w:t>
            </w:r>
          </w:p>
        </w:tc>
      </w:tr>
      <w:tr>
        <w:trPr>
          <w:trHeight w:val="325"/>
          <w:del w:id="283" w:author="svcMRProcess" w:date="2015-12-11T12:23:00Z"/>
        </w:trPr>
        <w:tc>
          <w:tcPr>
            <w:tcW w:w="2722" w:type="dxa"/>
          </w:tcPr>
          <w:p>
            <w:pPr>
              <w:pStyle w:val="yTable"/>
              <w:ind w:left="567"/>
              <w:rPr>
                <w:del w:id="284" w:author="svcMRProcess" w:date="2015-12-11T12:23:00Z"/>
                <w:snapToGrid w:val="0"/>
                <w:sz w:val="20"/>
              </w:rPr>
            </w:pPr>
            <w:del w:id="285" w:author="svcMRProcess" w:date="2015-12-11T12:23:00Z">
              <w:r>
                <w:rPr>
                  <w:snapToGrid w:val="0"/>
                  <w:sz w:val="20"/>
                </w:rPr>
                <w:delText>55 Vict., No. 27</w:delText>
              </w:r>
            </w:del>
          </w:p>
        </w:tc>
        <w:tc>
          <w:tcPr>
            <w:tcW w:w="4190" w:type="dxa"/>
          </w:tcPr>
          <w:p>
            <w:pPr>
              <w:pStyle w:val="yTable"/>
              <w:rPr>
                <w:del w:id="286" w:author="svcMRProcess" w:date="2015-12-11T12:23:00Z"/>
                <w:i/>
                <w:snapToGrid w:val="0"/>
                <w:sz w:val="20"/>
              </w:rPr>
            </w:pPr>
            <w:del w:id="287" w:author="svcMRProcess" w:date="2015-12-11T12:23:00Z">
              <w:r>
                <w:rPr>
                  <w:i/>
                  <w:snapToGrid w:val="0"/>
                  <w:sz w:val="20"/>
                </w:rPr>
                <w:delText>Police Act 1892.</w:delText>
              </w:r>
            </w:del>
          </w:p>
        </w:tc>
      </w:tr>
      <w:tr>
        <w:trPr>
          <w:trHeight w:val="325"/>
        </w:trPr>
        <w:tc>
          <w:tcPr>
            <w:tcW w:w="2722" w:type="dxa"/>
            <w:cellDel w:id="288" w:author="svcMRProcess" w:date="2015-12-11T12:23:00Z"/>
          </w:tcPr>
          <w:p>
            <w:pPr>
              <w:pStyle w:val="yTable"/>
              <w:ind w:left="567"/>
              <w:rPr>
                <w:snapToGrid w:val="0"/>
                <w:sz w:val="20"/>
              </w:rPr>
            </w:pPr>
          </w:p>
        </w:tc>
        <w:tc>
          <w:tcPr>
            <w:tcW w:w="5070" w:type="dxa"/>
          </w:tcPr>
          <w:p>
            <w:pPr>
              <w:pStyle w:val="yTable"/>
              <w:rPr>
                <w:i/>
                <w:snapToGrid w:val="0"/>
                <w:sz w:val="20"/>
              </w:rPr>
            </w:pPr>
            <w:r>
              <w:rPr>
                <w:i/>
                <w:snapToGrid w:val="0"/>
                <w:sz w:val="20"/>
              </w:rPr>
              <w:t>Public Transport Authority Act 2003.</w:t>
            </w:r>
          </w:p>
        </w:tc>
      </w:tr>
      <w:tr>
        <w:trPr>
          <w:trHeight w:val="325"/>
        </w:trPr>
        <w:tc>
          <w:tcPr>
            <w:tcW w:w="2722" w:type="dxa"/>
            <w:cellDel w:id="289" w:author="svcMRProcess" w:date="2015-12-11T12:23:00Z"/>
          </w:tcPr>
          <w:p>
            <w:pPr>
              <w:pStyle w:val="yTable"/>
              <w:ind w:left="567"/>
              <w:rPr>
                <w:snapToGrid w:val="0"/>
                <w:sz w:val="20"/>
              </w:rPr>
            </w:pPr>
            <w:del w:id="290" w:author="svcMRProcess" w:date="2015-12-11T12:23:00Z">
              <w:r>
                <w:rPr>
                  <w:snapToGrid w:val="0"/>
                  <w:sz w:val="20"/>
                </w:rPr>
                <w:delText>17 of 1967</w:delText>
              </w:r>
            </w:del>
          </w:p>
        </w:tc>
        <w:tc>
          <w:tcPr>
            <w:tcW w:w="5070" w:type="dxa"/>
          </w:tcPr>
          <w:p>
            <w:pPr>
              <w:pStyle w:val="yTable"/>
              <w:rPr>
                <w:i/>
                <w:snapToGrid w:val="0"/>
                <w:sz w:val="20"/>
              </w:rPr>
            </w:pPr>
            <w:r>
              <w:rPr>
                <w:i/>
                <w:snapToGrid w:val="0"/>
                <w:sz w:val="20"/>
              </w:rPr>
              <w:t>Shipping and Pilotage Act 1967.</w:t>
            </w:r>
          </w:p>
        </w:tc>
      </w:tr>
      <w:tr>
        <w:trPr>
          <w:trHeight w:val="325"/>
        </w:trPr>
        <w:tc>
          <w:tcPr>
            <w:tcW w:w="2722" w:type="dxa"/>
            <w:cellDel w:id="291" w:author="svcMRProcess" w:date="2015-12-11T12:23:00Z"/>
          </w:tcPr>
          <w:p>
            <w:pPr>
              <w:pStyle w:val="yTable"/>
              <w:ind w:left="567"/>
              <w:rPr>
                <w:snapToGrid w:val="0"/>
                <w:sz w:val="20"/>
              </w:rPr>
            </w:pPr>
            <w:del w:id="292" w:author="svcMRProcess" w:date="2015-12-11T12:23:00Z">
              <w:r>
                <w:rPr>
                  <w:snapToGrid w:val="0"/>
                  <w:sz w:val="20"/>
                </w:rPr>
                <w:delText>26 of 1952</w:delText>
              </w:r>
            </w:del>
          </w:p>
        </w:tc>
        <w:tc>
          <w:tcPr>
            <w:tcW w:w="5070" w:type="dxa"/>
          </w:tcPr>
          <w:p>
            <w:pPr>
              <w:pStyle w:val="yTable"/>
              <w:rPr>
                <w:i/>
                <w:snapToGrid w:val="0"/>
                <w:sz w:val="20"/>
              </w:rPr>
            </w:pPr>
            <w:r>
              <w:rPr>
                <w:i/>
                <w:snapToGrid w:val="0"/>
                <w:sz w:val="20"/>
              </w:rPr>
              <w:t>Warehousemen’s Liens Act 1952.</w:t>
            </w:r>
          </w:p>
        </w:tc>
      </w:tr>
      <w:tr>
        <w:trPr>
          <w:trHeight w:val="325"/>
        </w:trPr>
        <w:tc>
          <w:tcPr>
            <w:tcW w:w="2722" w:type="dxa"/>
            <w:tcBorders>
              <w:bottom w:val="nil"/>
            </w:tcBorders>
            <w:cellDel w:id="293" w:author="svcMRProcess" w:date="2015-12-11T12:23:00Z"/>
          </w:tcPr>
          <w:p>
            <w:pPr>
              <w:pStyle w:val="yTable"/>
              <w:rPr>
                <w:snapToGrid w:val="0"/>
                <w:sz w:val="20"/>
              </w:rPr>
            </w:pPr>
          </w:p>
        </w:tc>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[Schedule amended by No. 128 of 1987 s.89; No. 88 of 1994 s.100; No. 5 of 1999 s.21; No. 16 of 1999 s.7(1); No. 31 of 2003 s. 157 and 203</w:t>
      </w:r>
      <w:del w:id="294" w:author="svcMRProcess" w:date="2015-12-11T12:23:00Z">
        <w:r>
          <w:delText>.]</w:delText>
        </w:r>
      </w:del>
      <w:ins w:id="295" w:author="svcMRProcess" w:date="2015-12-11T12:23:00Z">
        <w:r>
          <w:t>; No. 59 of 2006 s. 73.]</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6" w:name="_Toc89514969"/>
      <w:bookmarkStart w:id="297" w:name="_Toc102282401"/>
      <w:bookmarkStart w:id="298" w:name="_Toc102282454"/>
      <w:bookmarkStart w:id="299" w:name="_Toc151796728"/>
      <w:bookmarkStart w:id="300" w:name="_Toc170710871"/>
      <w:bookmarkStart w:id="301" w:name="_Toc170717893"/>
      <w:bookmarkStart w:id="302" w:name="_Toc171067574"/>
      <w:r>
        <w:t>Notes</w:t>
      </w:r>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del w:id="303" w:author="svcMRProcess" w:date="2015-12-11T12:23:00Z">
        <w:r>
          <w:rPr>
            <w:snapToGrid w:val="0"/>
            <w:vertAlign w:val="superscript"/>
          </w:rPr>
          <w:delText> 1a</w:delText>
        </w:r>
      </w:del>
      <w:r>
        <w:rPr>
          <w:snapToGrid w:val="0"/>
        </w:rPr>
        <w:t>.</w:t>
      </w:r>
    </w:p>
    <w:p>
      <w:pPr>
        <w:pStyle w:val="nHeading3"/>
        <w:rPr>
          <w:snapToGrid w:val="0"/>
        </w:rPr>
      </w:pPr>
      <w:bookmarkStart w:id="304" w:name="_Toc170710872"/>
      <w:bookmarkStart w:id="305" w:name="_Toc171067575"/>
      <w:bookmarkStart w:id="306" w:name="_Toc151796729"/>
      <w:r>
        <w:rPr>
          <w:snapToGrid w:val="0"/>
        </w:rPr>
        <w:t>Compilation table</w:t>
      </w:r>
      <w:bookmarkEnd w:id="304"/>
      <w:bookmarkEnd w:id="305"/>
      <w:bookmarkEnd w:id="30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10 Dec 1970</w:t>
            </w:r>
          </w:p>
        </w:tc>
        <w:tc>
          <w:tcPr>
            <w:tcW w:w="2552" w:type="dxa"/>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1966</w:t>
            </w:r>
          </w:p>
        </w:tc>
        <w:tc>
          <w:tcPr>
            <w:tcW w:w="2552" w:type="dxa"/>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del w:id="307" w:author="svcMRProcess" w:date="2015-12-11T12:23:00Z"/>
          <w:snapToGrid w:val="0"/>
        </w:rPr>
      </w:pPr>
      <w:del w:id="308" w:author="svcMRProcess" w:date="2015-12-11T12: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9" w:author="svcMRProcess" w:date="2015-12-11T12:23:00Z"/>
          <w:snapToGrid w:val="0"/>
        </w:rPr>
      </w:pPr>
      <w:bookmarkStart w:id="310" w:name="_Toc534778309"/>
      <w:bookmarkStart w:id="311" w:name="_Toc7405063"/>
      <w:bookmarkStart w:id="312" w:name="_Toc151796730"/>
      <w:del w:id="313" w:author="svcMRProcess" w:date="2015-12-11T12:23:00Z">
        <w:r>
          <w:rPr>
            <w:snapToGrid w:val="0"/>
          </w:rPr>
          <w:delText>Provisions that have not come into operation</w:delText>
        </w:r>
        <w:bookmarkEnd w:id="310"/>
        <w:bookmarkEnd w:id="311"/>
        <w:bookmarkEnd w:id="31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14" w:author="svcMRProcess" w:date="2015-12-11T12:23:00Z"/>
        </w:trPr>
        <w:tc>
          <w:tcPr>
            <w:tcW w:w="2223" w:type="dxa"/>
          </w:tcPr>
          <w:p>
            <w:pPr>
              <w:pStyle w:val="nTable"/>
              <w:rPr>
                <w:del w:id="315" w:author="svcMRProcess" w:date="2015-12-11T12:23:00Z"/>
                <w:b/>
                <w:snapToGrid w:val="0"/>
                <w:sz w:val="19"/>
                <w:lang w:val="en-US"/>
              </w:rPr>
            </w:pPr>
            <w:del w:id="316" w:author="svcMRProcess" w:date="2015-12-11T12:23:00Z">
              <w:r>
                <w:rPr>
                  <w:b/>
                  <w:snapToGrid w:val="0"/>
                  <w:sz w:val="19"/>
                  <w:lang w:val="en-US"/>
                </w:rPr>
                <w:delText>Short title</w:delText>
              </w:r>
            </w:del>
          </w:p>
        </w:tc>
        <w:tc>
          <w:tcPr>
            <w:tcW w:w="1118" w:type="dxa"/>
          </w:tcPr>
          <w:p>
            <w:pPr>
              <w:pStyle w:val="nTable"/>
              <w:rPr>
                <w:del w:id="317" w:author="svcMRProcess" w:date="2015-12-11T12:23:00Z"/>
                <w:b/>
                <w:snapToGrid w:val="0"/>
                <w:sz w:val="19"/>
                <w:lang w:val="en-US"/>
              </w:rPr>
            </w:pPr>
            <w:del w:id="318" w:author="svcMRProcess" w:date="2015-12-11T12:23:00Z">
              <w:r>
                <w:rPr>
                  <w:b/>
                  <w:snapToGrid w:val="0"/>
                  <w:sz w:val="19"/>
                  <w:lang w:val="en-US"/>
                </w:rPr>
                <w:delText>Number and Year</w:delText>
              </w:r>
            </w:del>
          </w:p>
        </w:tc>
        <w:tc>
          <w:tcPr>
            <w:tcW w:w="1195" w:type="dxa"/>
            <w:gridSpan w:val="2"/>
          </w:tcPr>
          <w:p>
            <w:pPr>
              <w:pStyle w:val="nTable"/>
              <w:rPr>
                <w:del w:id="319" w:author="svcMRProcess" w:date="2015-12-11T12:23:00Z"/>
                <w:b/>
                <w:snapToGrid w:val="0"/>
                <w:sz w:val="19"/>
                <w:lang w:val="en-US"/>
              </w:rPr>
            </w:pPr>
            <w:del w:id="320" w:author="svcMRProcess" w:date="2015-12-11T12:23:00Z">
              <w:r>
                <w:rPr>
                  <w:b/>
                  <w:snapToGrid w:val="0"/>
                  <w:sz w:val="19"/>
                  <w:lang w:val="en-US"/>
                </w:rPr>
                <w:delText>Assent</w:delText>
              </w:r>
            </w:del>
          </w:p>
        </w:tc>
        <w:tc>
          <w:tcPr>
            <w:tcW w:w="2552" w:type="dxa"/>
          </w:tcPr>
          <w:p>
            <w:pPr>
              <w:pStyle w:val="nTable"/>
              <w:rPr>
                <w:del w:id="321" w:author="svcMRProcess" w:date="2015-12-11T12:23:00Z"/>
                <w:b/>
                <w:snapToGrid w:val="0"/>
                <w:sz w:val="19"/>
                <w:lang w:val="en-US"/>
              </w:rPr>
            </w:pPr>
            <w:del w:id="322" w:author="svcMRProcess" w:date="2015-12-11T12:2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gridSpan w:val="2"/>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del w:id="323" w:author="svcMRProcess" w:date="2015-12-11T12:23:00Z">
              <w:r>
                <w:rPr>
                  <w:snapToGrid w:val="0"/>
                  <w:sz w:val="19"/>
                  <w:vertAlign w:val="superscript"/>
                  <w:lang w:val="en-US"/>
                </w:rPr>
                <w:delText> 3</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w:t>
            </w:r>
            <w:del w:id="324" w:author="svcMRProcess" w:date="2015-12-11T12:23:00Z">
              <w:r>
                <w:rPr>
                  <w:snapToGrid w:val="0"/>
                  <w:sz w:val="19"/>
                  <w:lang w:val="en-US"/>
                </w:rPr>
                <w:delText> </w:delText>
              </w:r>
            </w:del>
            <w:ins w:id="325" w:author="svcMRProcess" w:date="2015-12-11T12:23:00Z">
              <w:r>
                <w:rPr>
                  <w:sz w:val="19"/>
                </w:rPr>
                <w:t xml:space="preserve"> </w:t>
              </w:r>
            </w:ins>
            <w:r>
              <w:rPr>
                <w:sz w:val="19"/>
              </w:rPr>
              <w:t>Nov</w:t>
            </w:r>
            <w:del w:id="326" w:author="svcMRProcess" w:date="2015-12-11T12:23:00Z">
              <w:r>
                <w:rPr>
                  <w:snapToGrid w:val="0"/>
                  <w:sz w:val="19"/>
                  <w:lang w:val="en-US"/>
                </w:rPr>
                <w:delText> </w:delText>
              </w:r>
            </w:del>
            <w:ins w:id="327" w:author="svcMRProcess" w:date="2015-12-11T12:23:00Z">
              <w:r>
                <w:rPr>
                  <w:sz w:val="19"/>
                </w:rPr>
                <w:t xml:space="preserve"> </w:t>
              </w:r>
            </w:ins>
            <w:r>
              <w:rPr>
                <w:sz w:val="19"/>
              </w:rPr>
              <w:t>2006</w:t>
            </w:r>
          </w:p>
        </w:tc>
        <w:tc>
          <w:tcPr>
            <w:tcW w:w="2552" w:type="dxa"/>
            <w:tcBorders>
              <w:bottom w:val="single" w:sz="8" w:space="0" w:color="auto"/>
            </w:tcBorders>
          </w:tcPr>
          <w:p>
            <w:pPr>
              <w:pStyle w:val="nTable"/>
              <w:spacing w:after="40"/>
              <w:rPr>
                <w:snapToGrid w:val="0"/>
                <w:sz w:val="19"/>
                <w:lang w:val="en-US"/>
              </w:rPr>
            </w:pPr>
            <w:del w:id="328" w:author="svcMRProcess" w:date="2015-12-11T12:23:00Z">
              <w:r>
                <w:rPr>
                  <w:snapToGrid w:val="0"/>
                  <w:sz w:val="19"/>
                  <w:lang w:val="en-US"/>
                </w:rPr>
                <w:delText>To be proclaimed</w:delText>
              </w:r>
            </w:del>
            <w:ins w:id="329" w:author="svcMRProcess" w:date="2015-12-11T12:23:00Z">
              <w:r>
                <w:rPr>
                  <w:snapToGrid w:val="0"/>
                  <w:sz w:val="19"/>
                  <w:lang w:val="en-US"/>
                </w:rPr>
                <w:t>1 Jul 2007</w:t>
              </w:r>
            </w:ins>
            <w:r>
              <w:rPr>
                <w:snapToGrid w:val="0"/>
                <w:sz w:val="19"/>
                <w:lang w:val="en-US"/>
              </w:rPr>
              <w:t xml:space="preserve"> (see s. 2</w:t>
            </w:r>
            <w:ins w:id="330" w:author="svcMRProcess" w:date="2015-12-11T12:23:00Z">
              <w:r>
                <w:rPr>
                  <w:snapToGrid w:val="0"/>
                  <w:sz w:val="19"/>
                  <w:lang w:val="en-US"/>
                </w:rPr>
                <w:t xml:space="preserve"> and </w:t>
              </w:r>
              <w:r>
                <w:rPr>
                  <w:i/>
                  <w:iCs/>
                  <w:snapToGrid w:val="0"/>
                  <w:sz w:val="19"/>
                  <w:lang w:val="en-US"/>
                </w:rPr>
                <w:t>Gazette</w:t>
              </w:r>
              <w:r>
                <w:rPr>
                  <w:snapToGrid w:val="0"/>
                  <w:sz w:val="19"/>
                  <w:lang w:val="en-US"/>
                </w:rPr>
                <w:t xml:space="preserve"> 22 Jun 2007 p. 2838</w:t>
              </w:r>
            </w:ins>
            <w:r>
              <w:rPr>
                <w:snapToGrid w:val="0"/>
                <w:sz w:val="19"/>
                <w:lang w:val="en-US"/>
              </w:rPr>
              <w:t>)</w:t>
            </w:r>
          </w:p>
        </w:tc>
      </w:tr>
    </w:tbl>
    <w:p>
      <w:pPr>
        <w:pStyle w:val="nSubsection"/>
        <w:rPr>
          <w:del w:id="331" w:author="svcMRProcess" w:date="2015-12-11T12:23:00Z"/>
          <w:snapToGrid w:val="0"/>
          <w:vertAlign w:val="superscript"/>
        </w:rPr>
      </w:pPr>
    </w:p>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del w:id="332" w:author="svcMRProcess" w:date="2015-12-11T12:23:00Z"/>
          <w:snapToGrid w:val="0"/>
        </w:rPr>
      </w:pPr>
      <w:bookmarkStart w:id="333" w:name="AutoSch"/>
      <w:bookmarkEnd w:id="333"/>
      <w:del w:id="334" w:author="svcMRProcess" w:date="2015-12-11T12:23:00Z">
        <w:r>
          <w:rPr>
            <w:snapToGrid w:val="0"/>
            <w:vertAlign w:val="superscript"/>
          </w:rPr>
          <w:delText>2</w:delText>
        </w:r>
        <w:r>
          <w:rPr>
            <w:snapToGrid w:val="0"/>
          </w:rPr>
          <w:tab/>
          <w:delText xml:space="preserve">Repealed by the </w:delText>
        </w:r>
        <w:r>
          <w:rPr>
            <w:i/>
            <w:snapToGrid w:val="0"/>
          </w:rPr>
          <w:delText>Firearms Act 1973</w:delText>
        </w:r>
        <w:r>
          <w:rPr>
            <w:snapToGrid w:val="0"/>
          </w:rPr>
          <w:delText xml:space="preserve"> (No. 36 of 1973).</w:delText>
        </w:r>
      </w:del>
    </w:p>
    <w:p>
      <w:pPr>
        <w:pStyle w:val="nSubsection"/>
        <w:rPr>
          <w:del w:id="335" w:author="svcMRProcess" w:date="2015-12-11T12:23:00Z"/>
          <w:snapToGrid w:val="0"/>
        </w:rPr>
      </w:pPr>
      <w:del w:id="336" w:author="svcMRProcess" w:date="2015-12-11T12:23:00Z">
        <w:r>
          <w:rPr>
            <w:snapToGrid w:val="0"/>
            <w:vertAlign w:val="superscript"/>
          </w:rPr>
          <w:delText>3</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3 </w:delText>
        </w:r>
        <w:r>
          <w:rPr>
            <w:snapToGrid w:val="0"/>
          </w:rPr>
          <w:delText>had not come into operation.  They read as follows:</w:delText>
        </w:r>
      </w:del>
    </w:p>
    <w:p>
      <w:pPr>
        <w:pStyle w:val="MiscOpen"/>
        <w:rPr>
          <w:del w:id="337" w:author="svcMRProcess" w:date="2015-12-11T12:23:00Z"/>
          <w:snapToGrid w:val="0"/>
        </w:rPr>
      </w:pPr>
      <w:del w:id="338" w:author="svcMRProcess" w:date="2015-12-11T12:23:00Z">
        <w:r>
          <w:rPr>
            <w:snapToGrid w:val="0"/>
          </w:rPr>
          <w:delText>“</w:delText>
        </w:r>
      </w:del>
    </w:p>
    <w:p>
      <w:pPr>
        <w:pStyle w:val="nzHeading5"/>
        <w:rPr>
          <w:del w:id="339" w:author="svcMRProcess" w:date="2015-12-11T12:23:00Z"/>
        </w:rPr>
      </w:pPr>
      <w:bookmarkStart w:id="340" w:name="_Toc479499719"/>
      <w:bookmarkStart w:id="341" w:name="_Toc69117580"/>
      <w:bookmarkStart w:id="342" w:name="_Toc81374662"/>
      <w:bookmarkStart w:id="343" w:name="_Toc116106850"/>
      <w:bookmarkStart w:id="344" w:name="_Toc150762081"/>
      <w:del w:id="345" w:author="svcMRProcess" w:date="2015-12-11T12:23:00Z">
        <w:r>
          <w:rPr>
            <w:rStyle w:val="CharSectno"/>
          </w:rPr>
          <w:delText>73</w:delText>
        </w:r>
        <w:r>
          <w:delText>.</w:delText>
        </w:r>
        <w:r>
          <w:tab/>
          <w:delText>Various Acts amended</w:delText>
        </w:r>
        <w:bookmarkEnd w:id="340"/>
        <w:bookmarkEnd w:id="341"/>
        <w:r>
          <w:delText xml:space="preserve"> (Sch. 1)</w:delText>
        </w:r>
        <w:bookmarkEnd w:id="342"/>
        <w:bookmarkEnd w:id="343"/>
        <w:bookmarkEnd w:id="344"/>
      </w:del>
    </w:p>
    <w:p>
      <w:pPr>
        <w:pStyle w:val="nzSubsection"/>
        <w:rPr>
          <w:del w:id="346" w:author="svcMRProcess" w:date="2015-12-11T12:23:00Z"/>
        </w:rPr>
      </w:pPr>
      <w:del w:id="347" w:author="svcMRProcess" w:date="2015-12-11T12:23:00Z">
        <w:r>
          <w:tab/>
        </w:r>
        <w:r>
          <w:tab/>
          <w:delText>Each Act listed in Schedule 1 is amended as set out in that Schedule immediately below the short title of the Act.</w:delText>
        </w:r>
      </w:del>
    </w:p>
    <w:p>
      <w:pPr>
        <w:pStyle w:val="MiscClose"/>
        <w:rPr>
          <w:del w:id="348" w:author="svcMRProcess" w:date="2015-12-11T12:23:00Z"/>
        </w:rPr>
      </w:pPr>
      <w:del w:id="349" w:author="svcMRProcess" w:date="2015-12-11T12:23:00Z">
        <w:r>
          <w:delText>”.</w:delText>
        </w:r>
      </w:del>
    </w:p>
    <w:p>
      <w:pPr>
        <w:pStyle w:val="nzSubsection"/>
        <w:rPr>
          <w:del w:id="350" w:author="svcMRProcess" w:date="2015-12-11T12:23:00Z"/>
        </w:rPr>
      </w:pPr>
      <w:del w:id="351" w:author="svcMRProcess" w:date="2015-12-11T12:23:00Z">
        <w:r>
          <w:delText>Schedule 1 item 3 reads as follows:</w:delText>
        </w:r>
      </w:del>
    </w:p>
    <w:p>
      <w:pPr>
        <w:pStyle w:val="MiscOpen"/>
        <w:rPr>
          <w:del w:id="352" w:author="svcMRProcess" w:date="2015-12-11T12:23:00Z"/>
          <w:snapToGrid w:val="0"/>
        </w:rPr>
      </w:pPr>
      <w:del w:id="353" w:author="svcMRProcess" w:date="2015-12-11T12:23:00Z">
        <w:r>
          <w:rPr>
            <w:snapToGrid w:val="0"/>
          </w:rPr>
          <w:delText>“</w:delText>
        </w:r>
      </w:del>
    </w:p>
    <w:p>
      <w:pPr>
        <w:pStyle w:val="nzHeading2"/>
        <w:rPr>
          <w:del w:id="354" w:author="svcMRProcess" w:date="2015-12-11T12:23:00Z"/>
        </w:rPr>
      </w:pPr>
      <w:bookmarkStart w:id="355" w:name="_Toc116126352"/>
      <w:bookmarkStart w:id="356" w:name="_Toc116181883"/>
      <w:bookmarkStart w:id="357" w:name="_Toc116182399"/>
      <w:bookmarkStart w:id="358" w:name="_Toc116186493"/>
      <w:bookmarkStart w:id="359" w:name="_Toc116188388"/>
      <w:bookmarkStart w:id="360" w:name="_Toc116296007"/>
      <w:bookmarkStart w:id="361" w:name="_Toc116358516"/>
      <w:bookmarkStart w:id="362" w:name="_Toc116449709"/>
      <w:bookmarkStart w:id="363" w:name="_Toc116718964"/>
      <w:bookmarkStart w:id="364" w:name="_Toc117677216"/>
      <w:bookmarkStart w:id="365" w:name="_Toc117677351"/>
      <w:bookmarkStart w:id="366" w:name="_Toc117677471"/>
      <w:bookmarkStart w:id="367" w:name="_Toc118266132"/>
      <w:bookmarkStart w:id="368" w:name="_Toc118266252"/>
      <w:bookmarkStart w:id="369" w:name="_Toc118266372"/>
      <w:bookmarkStart w:id="370" w:name="_Toc118271706"/>
      <w:bookmarkStart w:id="371" w:name="_Toc118278468"/>
      <w:bookmarkStart w:id="372" w:name="_Toc118279005"/>
      <w:bookmarkStart w:id="373" w:name="_Toc118279118"/>
      <w:bookmarkStart w:id="374" w:name="_Toc118280789"/>
      <w:bookmarkStart w:id="375" w:name="_Toc118282630"/>
      <w:bookmarkStart w:id="376" w:name="_Toc119125731"/>
      <w:bookmarkStart w:id="377" w:name="_Toc119126774"/>
      <w:bookmarkStart w:id="378" w:name="_Toc119126891"/>
      <w:bookmarkStart w:id="379" w:name="_Toc119127572"/>
      <w:bookmarkStart w:id="380" w:name="_Toc119916293"/>
      <w:bookmarkStart w:id="381" w:name="_Toc120069419"/>
      <w:bookmarkStart w:id="382" w:name="_Toc120069799"/>
      <w:bookmarkStart w:id="383" w:name="_Toc120069953"/>
      <w:bookmarkStart w:id="384" w:name="_Toc120074554"/>
      <w:bookmarkStart w:id="385" w:name="_Toc120075014"/>
      <w:bookmarkStart w:id="386" w:name="_Toc120347185"/>
      <w:bookmarkStart w:id="387" w:name="_Toc120347357"/>
      <w:bookmarkStart w:id="388" w:name="_Toc120348971"/>
      <w:bookmarkStart w:id="389" w:name="_Toc120354514"/>
      <w:bookmarkStart w:id="390" w:name="_Toc120421707"/>
      <w:bookmarkStart w:id="391" w:name="_Toc120443181"/>
      <w:bookmarkStart w:id="392" w:name="_Toc131970206"/>
      <w:bookmarkStart w:id="393" w:name="_Toc149981120"/>
      <w:bookmarkStart w:id="394" w:name="_Toc149981253"/>
      <w:bookmarkStart w:id="395" w:name="_Toc149981386"/>
      <w:bookmarkStart w:id="396" w:name="_Toc149981519"/>
      <w:bookmarkStart w:id="397" w:name="_Toc150762082"/>
      <w:del w:id="398" w:author="svcMRProcess" w:date="2015-12-11T12:23: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del>
    </w:p>
    <w:p>
      <w:pPr>
        <w:pStyle w:val="nzMiscellaneousBody"/>
        <w:jc w:val="right"/>
        <w:rPr>
          <w:del w:id="399" w:author="svcMRProcess" w:date="2015-12-11T12:23:00Z"/>
        </w:rPr>
      </w:pPr>
      <w:del w:id="400" w:author="svcMRProcess" w:date="2015-12-11T12:23:00Z">
        <w:r>
          <w:delText>[s. 73]</w:delText>
        </w:r>
      </w:del>
    </w:p>
    <w:p>
      <w:pPr>
        <w:pStyle w:val="nzHeading5"/>
        <w:rPr>
          <w:del w:id="401" w:author="svcMRProcess" w:date="2015-12-11T12:23:00Z"/>
        </w:rPr>
      </w:pPr>
      <w:bookmarkStart w:id="402" w:name="_Toc116106855"/>
      <w:bookmarkStart w:id="403" w:name="_Toc150762085"/>
      <w:del w:id="404" w:author="svcMRProcess" w:date="2015-12-11T12:23:00Z">
        <w:r>
          <w:rPr>
            <w:rStyle w:val="CharSClsNo"/>
          </w:rPr>
          <w:delText>3</w:delText>
        </w:r>
        <w:r>
          <w:delText>.</w:delText>
        </w:r>
        <w:r>
          <w:tab/>
        </w:r>
        <w:r>
          <w:rPr>
            <w:i/>
          </w:rPr>
          <w:delText>Disposal of Uncollected Goods Act 1970</w:delText>
        </w:r>
        <w:bookmarkEnd w:id="402"/>
        <w:bookmarkEnd w:id="403"/>
      </w:del>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trPr>
          <w:cantSplit/>
          <w:del w:id="405" w:author="svcMRProcess" w:date="2015-12-11T12:23:00Z"/>
        </w:trPr>
        <w:tc>
          <w:tcPr>
            <w:tcW w:w="1276" w:type="dxa"/>
          </w:tcPr>
          <w:p>
            <w:pPr>
              <w:pStyle w:val="nzTable"/>
              <w:rPr>
                <w:del w:id="406" w:author="svcMRProcess" w:date="2015-12-11T12:23:00Z"/>
              </w:rPr>
            </w:pPr>
            <w:del w:id="407" w:author="svcMRProcess" w:date="2015-12-11T12:23:00Z">
              <w:r>
                <w:delText>Schedule</w:delText>
              </w:r>
            </w:del>
          </w:p>
        </w:tc>
        <w:tc>
          <w:tcPr>
            <w:tcW w:w="4961" w:type="dxa"/>
          </w:tcPr>
          <w:p>
            <w:pPr>
              <w:pStyle w:val="nzTable"/>
              <w:rPr>
                <w:del w:id="408" w:author="svcMRProcess" w:date="2015-12-11T12:23:00Z"/>
              </w:rPr>
            </w:pPr>
            <w:del w:id="409" w:author="svcMRProcess" w:date="2015-12-11T12:23:00Z">
              <w:r>
                <w:delText>Delete the column headed “Number of Act.”.</w:delText>
              </w:r>
            </w:del>
          </w:p>
          <w:p>
            <w:pPr>
              <w:pStyle w:val="nzTable"/>
              <w:rPr>
                <w:del w:id="410" w:author="svcMRProcess" w:date="2015-12-11T12:23:00Z"/>
              </w:rPr>
            </w:pPr>
            <w:del w:id="411" w:author="svcMRProcess" w:date="2015-12-11T12:23:00Z">
              <w:r>
                <w:delText>Delete “</w:delText>
              </w:r>
              <w:r>
                <w:rPr>
                  <w:i/>
                  <w:iCs/>
                </w:rPr>
                <w:delText>Firearms and Guns Act 1931</w:delText>
              </w:r>
              <w:r>
                <w:delText>.”.</w:delText>
              </w:r>
            </w:del>
          </w:p>
          <w:p>
            <w:pPr>
              <w:pStyle w:val="nzTable"/>
              <w:rPr>
                <w:del w:id="412" w:author="svcMRProcess" w:date="2015-12-11T12:23:00Z"/>
              </w:rPr>
            </w:pPr>
            <w:del w:id="413" w:author="svcMRProcess" w:date="2015-12-11T12:23:00Z">
              <w:r>
                <w:delText>Delete “</w:delText>
              </w:r>
              <w:r>
                <w:rPr>
                  <w:i/>
                </w:rPr>
                <w:delText>Police Act 1892</w:delText>
              </w:r>
              <w:r>
                <w:delText>.”.</w:delText>
              </w:r>
            </w:del>
          </w:p>
          <w:p>
            <w:pPr>
              <w:pStyle w:val="nzTable"/>
              <w:rPr>
                <w:del w:id="414" w:author="svcMRProcess" w:date="2015-12-11T12:23:00Z"/>
              </w:rPr>
            </w:pPr>
            <w:del w:id="415" w:author="svcMRProcess" w:date="2015-12-11T12:23:00Z">
              <w:r>
                <w:delText xml:space="preserve">Insert in the appropriate alphabetical positions — </w:delText>
              </w:r>
            </w:del>
          </w:p>
          <w:p>
            <w:pPr>
              <w:pStyle w:val="nzTable"/>
              <w:rPr>
                <w:del w:id="416" w:author="svcMRProcess" w:date="2015-12-11T12:23:00Z"/>
              </w:rPr>
            </w:pPr>
            <w:del w:id="417" w:author="svcMRProcess" w:date="2015-12-11T12:23:00Z">
              <w:r>
                <w:delText>“</w:delText>
              </w:r>
            </w:del>
          </w:p>
          <w:p>
            <w:pPr>
              <w:pStyle w:val="nzTable"/>
              <w:rPr>
                <w:del w:id="418" w:author="svcMRProcess" w:date="2015-12-11T12:23:00Z"/>
                <w:i/>
                <w:iCs/>
              </w:rPr>
            </w:pPr>
            <w:del w:id="419" w:author="svcMRProcess" w:date="2015-12-11T12:23:00Z">
              <w:r>
                <w:rPr>
                  <w:i/>
                  <w:iCs/>
                </w:rPr>
                <w:delText>Criminal and Found Property Disposal Act 2006.</w:delText>
              </w:r>
            </w:del>
          </w:p>
          <w:p>
            <w:pPr>
              <w:pStyle w:val="nzTable"/>
              <w:rPr>
                <w:del w:id="420" w:author="svcMRProcess" w:date="2015-12-11T12:23:00Z"/>
                <w:i/>
                <w:iCs/>
              </w:rPr>
            </w:pPr>
            <w:del w:id="421" w:author="svcMRProcess" w:date="2015-12-11T12:23:00Z">
              <w:r>
                <w:rPr>
                  <w:i/>
                  <w:iCs/>
                </w:rPr>
                <w:delText>Criminal Investigation Act 2006.</w:delText>
              </w:r>
            </w:del>
          </w:p>
          <w:p>
            <w:pPr>
              <w:pStyle w:val="nzTable"/>
              <w:rPr>
                <w:del w:id="422" w:author="svcMRProcess" w:date="2015-12-11T12:23:00Z"/>
                <w:i/>
                <w:iCs/>
              </w:rPr>
            </w:pPr>
            <w:del w:id="423" w:author="svcMRProcess" w:date="2015-12-11T12:23:00Z">
              <w:r>
                <w:rPr>
                  <w:i/>
                  <w:iCs/>
                </w:rPr>
                <w:delText>Firearms Act 1973.</w:delText>
              </w:r>
            </w:del>
          </w:p>
          <w:p>
            <w:pPr>
              <w:pStyle w:val="nzTable"/>
              <w:jc w:val="right"/>
              <w:rPr>
                <w:del w:id="424" w:author="svcMRProcess" w:date="2015-12-11T12:23:00Z"/>
              </w:rPr>
            </w:pPr>
            <w:del w:id="425" w:author="svcMRProcess" w:date="2015-12-11T12:23:00Z">
              <w:r>
                <w:delText>”.</w:delText>
              </w:r>
            </w:del>
          </w:p>
        </w:tc>
      </w:tr>
    </w:tbl>
    <w:p>
      <w:pPr>
        <w:pStyle w:val="MiscClose"/>
        <w:rPr>
          <w:del w:id="426" w:author="svcMRProcess" w:date="2015-12-11T12:23:00Z"/>
        </w:rPr>
      </w:pPr>
      <w:del w:id="427" w:author="svcMRProcess" w:date="2015-12-11T12:23:00Z">
        <w:r>
          <w:delText>”.</w:delText>
        </w:r>
      </w:del>
    </w:p>
    <w:p>
      <w:bookmarkStart w:id="428" w:name="UpToHere"/>
      <w:bookmarkEnd w:id="428"/>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685D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62C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E037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B61C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0A8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F012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32E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FCA7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E403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5083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2AC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4F05B1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807"/>
    <w:docVar w:name="WAFER_20151210085807" w:val="RemoveTrackChanges"/>
    <w:docVar w:name="WAFER_20151210085807_GUID" w:val="b7e99917-d5d2-4d81-9596-c47e52446d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6956</Words>
  <Characters>31163</Characters>
  <Application>Microsoft Office Word</Application>
  <DocSecurity>0</DocSecurity>
  <Lines>842</Lines>
  <Paragraphs>401</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01-c0-03 - 01-d0-06</dc:title>
  <dc:subject/>
  <dc:creator/>
  <cp:keywords/>
  <dc:description/>
  <cp:lastModifiedBy>svcMRProcess</cp:lastModifiedBy>
  <cp:revision>2</cp:revision>
  <cp:lastPrinted>2000-02-08T07:17:00Z</cp:lastPrinted>
  <dcterms:created xsi:type="dcterms:W3CDTF">2015-12-11T04:23:00Z</dcterms:created>
  <dcterms:modified xsi:type="dcterms:W3CDTF">2015-12-11T04:23:00Z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226</vt:i4>
  </property>
  <property fmtid="{D5CDD505-2E9C-101B-9397-08002B2CF9AE}" pid="6" name="FromSuffix">
    <vt:lpwstr>01-c0-03</vt:lpwstr>
  </property>
  <property fmtid="{D5CDD505-2E9C-101B-9397-08002B2CF9AE}" pid="7" name="FromAsAtDate">
    <vt:lpwstr>16 Nov 2006</vt:lpwstr>
  </property>
  <property fmtid="{D5CDD505-2E9C-101B-9397-08002B2CF9AE}" pid="8" name="ToSuffix">
    <vt:lpwstr>01-d0-06</vt:lpwstr>
  </property>
  <property fmtid="{D5CDD505-2E9C-101B-9397-08002B2CF9AE}" pid="9" name="ToAsAtDate">
    <vt:lpwstr>01 Jul 2007</vt:lpwstr>
  </property>
</Properties>
</file>