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29172079"/>
      <w:bookmarkStart w:id="11" w:name="_Toc40591296"/>
      <w:bookmarkStart w:id="12" w:name="_Toc151800952"/>
      <w:bookmarkStart w:id="13" w:name="_Toc171070606"/>
      <w:bookmarkStart w:id="14" w:name="_Toc157997785"/>
      <w:r>
        <w:rPr>
          <w:rStyle w:val="CharSectno"/>
        </w:rPr>
        <w:t>1</w:t>
      </w:r>
      <w:r>
        <w:rPr>
          <w:snapToGrid w:val="0"/>
        </w:rPr>
        <w:t>.</w:t>
      </w:r>
      <w:r>
        <w:rPr>
          <w:snapToGrid w:val="0"/>
        </w:rPr>
        <w:tab/>
        <w:t>Short title</w:t>
      </w:r>
      <w:bookmarkEnd w:id="7"/>
      <w:bookmarkEnd w:id="8"/>
      <w:bookmarkEnd w:id="9"/>
      <w:bookmarkEnd w:id="10"/>
      <w:bookmarkEnd w:id="11"/>
      <w:bookmarkEnd w:id="12"/>
      <w:bookmarkEnd w:id="13"/>
      <w:bookmarkEnd w:id="1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15" w:name="_Toc471793482"/>
      <w:bookmarkStart w:id="16" w:name="_Toc512746195"/>
      <w:bookmarkStart w:id="17" w:name="_Toc515958176"/>
      <w:bookmarkStart w:id="18" w:name="_Toc529172080"/>
      <w:bookmarkStart w:id="19" w:name="_Toc40591297"/>
      <w:bookmarkStart w:id="20" w:name="_Toc151800953"/>
      <w:bookmarkStart w:id="21" w:name="_Toc171070607"/>
      <w:bookmarkStart w:id="22" w:name="_Toc157997786"/>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23" w:name="_Toc520358834"/>
      <w:bookmarkStart w:id="24" w:name="_Toc520621773"/>
      <w:bookmarkStart w:id="25" w:name="_Toc520707974"/>
      <w:bookmarkStart w:id="26" w:name="_Toc520764650"/>
      <w:bookmarkStart w:id="27" w:name="_Toc520854277"/>
      <w:bookmarkStart w:id="28" w:name="_Toc520854350"/>
      <w:bookmarkStart w:id="29" w:name="_Toc524224604"/>
      <w:bookmarkStart w:id="30" w:name="_Toc529147896"/>
      <w:bookmarkStart w:id="31" w:name="_Toc529172081"/>
      <w:bookmarkStart w:id="32" w:name="_Toc40591298"/>
      <w:bookmarkStart w:id="33" w:name="_Toc151800954"/>
      <w:bookmarkStart w:id="34" w:name="_Toc171070608"/>
      <w:bookmarkStart w:id="35" w:name="_Toc157997787"/>
      <w:r>
        <w:rPr>
          <w:rStyle w:val="CharSectno"/>
        </w:rPr>
        <w:t>3</w:t>
      </w:r>
      <w:r>
        <w:t>.</w:t>
      </w:r>
      <w:r>
        <w:tab/>
        <w:t>Interpretation</w:t>
      </w:r>
      <w:bookmarkEnd w:id="23"/>
      <w:bookmarkEnd w:id="24"/>
      <w:bookmarkEnd w:id="25"/>
      <w:bookmarkEnd w:id="26"/>
      <w:bookmarkEnd w:id="27"/>
      <w:bookmarkEnd w:id="28"/>
      <w:bookmarkEnd w:id="29"/>
      <w:bookmarkEnd w:id="30"/>
      <w:bookmarkEnd w:id="31"/>
      <w:bookmarkEnd w:id="32"/>
      <w:bookmarkEnd w:id="33"/>
      <w:bookmarkEnd w:id="34"/>
      <w:bookmarkEnd w:id="35"/>
    </w:p>
    <w:p>
      <w:pPr>
        <w:pStyle w:val="Subsection"/>
        <w:ind w:right="709"/>
      </w:pPr>
      <w:r>
        <w:tab/>
        <w:t>(1)</w:t>
      </w:r>
      <w:r>
        <w:tab/>
        <w:t>In this Act, unless the contrary intention appears —</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lastRenderedPageBreak/>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ins w:id="36" w:author="svcMRProcess" w:date="2018-09-07T22:26:00Z">
        <w:r>
          <w:t xml:space="preserve"> or</w:t>
        </w:r>
      </w:ins>
    </w:p>
    <w:p>
      <w:pPr>
        <w:pStyle w:val="Defpara"/>
        <w:rPr>
          <w:del w:id="37" w:author="svcMRProcess" w:date="2018-09-07T22:26:00Z"/>
        </w:rPr>
      </w:pPr>
      <w:del w:id="38" w:author="svcMRProcess" w:date="2018-09-07T22:26:00Z">
        <w:r>
          <w:tab/>
          <w:delText>(b)</w:delText>
        </w:r>
        <w:r>
          <w:tab/>
          <w:delText xml:space="preserve">appointed under Part III of the </w:delText>
        </w:r>
        <w:r>
          <w:rPr>
            <w:i/>
          </w:rPr>
          <w:delText>Police Act 1892</w:delText>
        </w:r>
        <w:r>
          <w:delText xml:space="preserve"> to be a special constable; or</w:delText>
        </w:r>
      </w:del>
    </w:p>
    <w:p>
      <w:pPr>
        <w:pStyle w:val="Ednotedefpara"/>
        <w:rPr>
          <w:ins w:id="39" w:author="svcMRProcess" w:date="2018-09-07T22:26:00Z"/>
        </w:rPr>
      </w:pPr>
      <w:ins w:id="40" w:author="svcMRProcess" w:date="2018-09-07T22:26:00Z">
        <w:r>
          <w:tab/>
          <w:t>[(b)</w:t>
        </w:r>
        <w:r>
          <w:tab/>
          <w:t>deleted]</w:t>
        </w:r>
      </w:ins>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 No.</w:t>
      </w:r>
      <w:ins w:id="41" w:author="svcMRProcess" w:date="2018-09-07T22:26:00Z">
        <w:r>
          <w:t xml:space="preserve"> 59 of 2006 s. 73; No.</w:t>
        </w:r>
      </w:ins>
      <w:r>
        <w:t> 77 of 2006 s. 17.]</w:t>
      </w:r>
    </w:p>
    <w:p>
      <w:pPr>
        <w:pStyle w:val="Heading5"/>
      </w:pPr>
      <w:bookmarkStart w:id="42" w:name="_Toc529147897"/>
      <w:bookmarkStart w:id="43" w:name="_Toc529172082"/>
      <w:bookmarkStart w:id="44" w:name="_Toc40591299"/>
      <w:bookmarkStart w:id="45" w:name="_Toc151800955"/>
      <w:bookmarkStart w:id="46" w:name="_Toc171070609"/>
      <w:bookmarkStart w:id="47" w:name="_Toc157997788"/>
      <w:r>
        <w:rPr>
          <w:rStyle w:val="CharSectno"/>
        </w:rPr>
        <w:t>4</w:t>
      </w:r>
      <w:r>
        <w:t>.</w:t>
      </w:r>
      <w:r>
        <w:tab/>
        <w:t>Application to the Crown</w:t>
      </w:r>
      <w:bookmarkEnd w:id="42"/>
      <w:bookmarkEnd w:id="43"/>
      <w:bookmarkEnd w:id="44"/>
      <w:bookmarkEnd w:id="45"/>
      <w:bookmarkEnd w:id="46"/>
      <w:bookmarkEnd w:id="47"/>
    </w:p>
    <w:p>
      <w:pPr>
        <w:pStyle w:val="Subsection"/>
      </w:pPr>
      <w:r>
        <w:tab/>
      </w:r>
      <w:r>
        <w:tab/>
        <w:t>This Act binds the Crown in right of the State.</w:t>
      </w:r>
    </w:p>
    <w:p>
      <w:pPr>
        <w:pStyle w:val="Heading2"/>
      </w:pPr>
      <w:bookmarkStart w:id="48" w:name="_Toc77413692"/>
      <w:bookmarkStart w:id="49" w:name="_Toc151800956"/>
      <w:bookmarkStart w:id="50" w:name="_Toc157490044"/>
      <w:bookmarkStart w:id="51" w:name="_Toc157997747"/>
      <w:bookmarkStart w:id="52" w:name="_Toc157997789"/>
      <w:bookmarkStart w:id="53" w:name="_Toc171070610"/>
      <w:r>
        <w:rPr>
          <w:rStyle w:val="CharPartNo"/>
        </w:rPr>
        <w:t>Part 2</w:t>
      </w:r>
      <w:r>
        <w:t xml:space="preserve"> — </w:t>
      </w:r>
      <w:r>
        <w:rPr>
          <w:rStyle w:val="CharPartText"/>
        </w:rPr>
        <w:t>Public interest disclosures</w:t>
      </w:r>
      <w:bookmarkEnd w:id="48"/>
      <w:bookmarkEnd w:id="49"/>
      <w:bookmarkEnd w:id="50"/>
      <w:bookmarkEnd w:id="51"/>
      <w:bookmarkEnd w:id="52"/>
      <w:bookmarkEnd w:id="53"/>
    </w:p>
    <w:p>
      <w:pPr>
        <w:pStyle w:val="Heading3"/>
      </w:pPr>
      <w:bookmarkStart w:id="54" w:name="_Toc77413693"/>
      <w:bookmarkStart w:id="55" w:name="_Toc151800957"/>
      <w:bookmarkStart w:id="56" w:name="_Toc157490045"/>
      <w:bookmarkStart w:id="57" w:name="_Toc157997748"/>
      <w:bookmarkStart w:id="58" w:name="_Toc157997790"/>
      <w:bookmarkStart w:id="59" w:name="_Toc171070611"/>
      <w:r>
        <w:rPr>
          <w:rStyle w:val="CharDivNo"/>
        </w:rPr>
        <w:t>Division 1</w:t>
      </w:r>
      <w:r>
        <w:t xml:space="preserve"> — </w:t>
      </w:r>
      <w:r>
        <w:rPr>
          <w:rStyle w:val="CharDivText"/>
        </w:rPr>
        <w:t>Disclosures</w:t>
      </w:r>
      <w:bookmarkEnd w:id="54"/>
      <w:bookmarkEnd w:id="55"/>
      <w:bookmarkEnd w:id="56"/>
      <w:bookmarkEnd w:id="57"/>
      <w:bookmarkEnd w:id="58"/>
      <w:bookmarkEnd w:id="59"/>
    </w:p>
    <w:p>
      <w:pPr>
        <w:pStyle w:val="Heading5"/>
      </w:pPr>
      <w:bookmarkStart w:id="60" w:name="_Toc529147898"/>
      <w:bookmarkStart w:id="61" w:name="_Toc529172083"/>
      <w:bookmarkStart w:id="62" w:name="_Toc40591300"/>
      <w:bookmarkStart w:id="63" w:name="_Toc151800958"/>
      <w:bookmarkStart w:id="64" w:name="_Toc171070612"/>
      <w:bookmarkStart w:id="65" w:name="_Toc157997791"/>
      <w:r>
        <w:rPr>
          <w:rStyle w:val="CharSectno"/>
        </w:rPr>
        <w:t>5</w:t>
      </w:r>
      <w:r>
        <w:t>.</w:t>
      </w:r>
      <w:r>
        <w:tab/>
        <w:t>Public interest disclosure</w:t>
      </w:r>
      <w:bookmarkEnd w:id="60"/>
      <w:bookmarkEnd w:id="61"/>
      <w:bookmarkEnd w:id="62"/>
      <w:bookmarkEnd w:id="63"/>
      <w:bookmarkEnd w:id="64"/>
      <w:bookmarkEnd w:id="65"/>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66" w:name="_Toc529147899"/>
      <w:bookmarkStart w:id="67" w:name="_Toc529172084"/>
      <w:bookmarkStart w:id="68" w:name="_Toc40591301"/>
      <w:r>
        <w:tab/>
        <w:t>[Section 5 amended by No. 48 of 2003 s. 62; No. 78 of 2003 s. 74(2).]</w:t>
      </w:r>
    </w:p>
    <w:p>
      <w:pPr>
        <w:pStyle w:val="Heading5"/>
      </w:pPr>
      <w:bookmarkStart w:id="69" w:name="_Toc151800959"/>
      <w:bookmarkStart w:id="70" w:name="_Toc171070613"/>
      <w:bookmarkStart w:id="71" w:name="_Toc157997792"/>
      <w:r>
        <w:rPr>
          <w:rStyle w:val="CharSectno"/>
        </w:rPr>
        <w:t>6</w:t>
      </w:r>
      <w:r>
        <w:t>.</w:t>
      </w:r>
      <w:r>
        <w:tab/>
        <w:t>Liability of person disclosing unaffected</w:t>
      </w:r>
      <w:bookmarkEnd w:id="66"/>
      <w:bookmarkEnd w:id="67"/>
      <w:bookmarkEnd w:id="68"/>
      <w:bookmarkEnd w:id="69"/>
      <w:bookmarkEnd w:id="70"/>
      <w:bookmarkEnd w:id="71"/>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72" w:name="_Toc77413696"/>
      <w:bookmarkStart w:id="73" w:name="_Toc151800960"/>
      <w:bookmarkStart w:id="74" w:name="_Toc157490048"/>
      <w:bookmarkStart w:id="75" w:name="_Toc157997751"/>
      <w:bookmarkStart w:id="76" w:name="_Toc157997793"/>
      <w:bookmarkStart w:id="77" w:name="_Toc171070614"/>
      <w:r>
        <w:rPr>
          <w:rStyle w:val="CharDivNo"/>
        </w:rPr>
        <w:t>Division 2</w:t>
      </w:r>
      <w:r>
        <w:t xml:space="preserve"> — </w:t>
      </w:r>
      <w:r>
        <w:rPr>
          <w:rStyle w:val="CharDivText"/>
        </w:rPr>
        <w:t>Obligations of a person to whom a disclosure is made</w:t>
      </w:r>
      <w:bookmarkEnd w:id="72"/>
      <w:bookmarkEnd w:id="73"/>
      <w:bookmarkEnd w:id="74"/>
      <w:bookmarkEnd w:id="75"/>
      <w:bookmarkEnd w:id="76"/>
      <w:bookmarkEnd w:id="77"/>
    </w:p>
    <w:p>
      <w:pPr>
        <w:pStyle w:val="Heading5"/>
      </w:pPr>
      <w:bookmarkStart w:id="78" w:name="_Toc40591302"/>
      <w:bookmarkStart w:id="79" w:name="_Toc151800961"/>
      <w:bookmarkStart w:id="80" w:name="_Toc171070615"/>
      <w:bookmarkStart w:id="81" w:name="_Toc157997794"/>
      <w:r>
        <w:rPr>
          <w:rStyle w:val="CharSectno"/>
        </w:rPr>
        <w:t>7</w:t>
      </w:r>
      <w:r>
        <w:t>.</w:t>
      </w:r>
      <w:r>
        <w:tab/>
        <w:t>Interpretation</w:t>
      </w:r>
      <w:bookmarkEnd w:id="78"/>
      <w:bookmarkEnd w:id="79"/>
      <w:bookmarkEnd w:id="80"/>
      <w:bookmarkEnd w:id="81"/>
    </w:p>
    <w:p>
      <w:pPr>
        <w:pStyle w:val="Subsection"/>
      </w:pPr>
      <w:r>
        <w:tab/>
      </w:r>
      <w:r>
        <w:tab/>
        <w:t>In sections</w:t>
      </w:r>
      <w:bookmarkStart w:id="82" w:name="_Hlt529678544"/>
      <w:r>
        <w:t> 8, 9</w:t>
      </w:r>
      <w:bookmarkEnd w:id="82"/>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83" w:name="_Toc529147900"/>
      <w:bookmarkStart w:id="84" w:name="_Toc529172085"/>
      <w:bookmarkStart w:id="85" w:name="_Toc40591303"/>
      <w:bookmarkStart w:id="86" w:name="_Toc151800962"/>
      <w:bookmarkStart w:id="87" w:name="_Toc171070616"/>
      <w:bookmarkStart w:id="88" w:name="_Toc157997795"/>
      <w:r>
        <w:rPr>
          <w:rStyle w:val="CharSectno"/>
        </w:rPr>
        <w:t>8</w:t>
      </w:r>
      <w:r>
        <w:t>.</w:t>
      </w:r>
      <w:r>
        <w:tab/>
        <w:t>Obligation to carry out investigation</w:t>
      </w:r>
      <w:bookmarkEnd w:id="83"/>
      <w:bookmarkEnd w:id="84"/>
      <w:bookmarkEnd w:id="85"/>
      <w:bookmarkEnd w:id="86"/>
      <w:bookmarkEnd w:id="87"/>
      <w:bookmarkEnd w:id="8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89" w:name="_Toc479143648"/>
      <w:bookmarkStart w:id="90" w:name="_Toc520621805"/>
      <w:bookmarkStart w:id="91" w:name="_Toc524224612"/>
      <w:bookmarkStart w:id="92" w:name="_Toc529075193"/>
      <w:bookmarkStart w:id="93" w:name="_Toc529147901"/>
      <w:bookmarkStart w:id="94" w:name="_Toc529172086"/>
      <w:bookmarkStart w:id="95" w:name="_Toc40591304"/>
      <w:bookmarkStart w:id="96" w:name="_Toc151800963"/>
      <w:bookmarkStart w:id="97" w:name="_Toc171070617"/>
      <w:bookmarkStart w:id="98" w:name="_Toc157997796"/>
      <w:r>
        <w:rPr>
          <w:rStyle w:val="CharSectno"/>
        </w:rPr>
        <w:t>9</w:t>
      </w:r>
      <w:r>
        <w:rPr>
          <w:snapToGrid w:val="0"/>
        </w:rPr>
        <w:t>.</w:t>
      </w:r>
      <w:r>
        <w:rPr>
          <w:snapToGrid w:val="0"/>
        </w:rPr>
        <w:tab/>
        <w:t>Action by proper authority</w:t>
      </w:r>
      <w:bookmarkEnd w:id="89"/>
      <w:bookmarkEnd w:id="90"/>
      <w:bookmarkEnd w:id="91"/>
      <w:bookmarkEnd w:id="92"/>
      <w:bookmarkEnd w:id="93"/>
      <w:bookmarkEnd w:id="94"/>
      <w:bookmarkEnd w:id="95"/>
      <w:bookmarkEnd w:id="96"/>
      <w:bookmarkEnd w:id="97"/>
      <w:bookmarkEnd w:id="98"/>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99" w:name="_Toc520358838"/>
      <w:bookmarkStart w:id="100" w:name="_Toc520621777"/>
      <w:bookmarkStart w:id="101" w:name="_Toc520707978"/>
      <w:bookmarkStart w:id="102" w:name="_Toc520764654"/>
      <w:bookmarkStart w:id="103" w:name="_Toc520854281"/>
      <w:bookmarkStart w:id="104" w:name="_Toc520854354"/>
      <w:bookmarkStart w:id="105" w:name="_Toc524224616"/>
      <w:bookmarkStart w:id="106" w:name="_Toc527965817"/>
      <w:bookmarkStart w:id="107" w:name="_Toc529147902"/>
      <w:bookmarkStart w:id="108" w:name="_Toc529172087"/>
      <w:bookmarkStart w:id="109" w:name="_Toc40591305"/>
      <w:bookmarkStart w:id="110" w:name="_Toc151800964"/>
      <w:bookmarkStart w:id="111" w:name="_Toc171070618"/>
      <w:bookmarkStart w:id="112" w:name="_Toc157997797"/>
      <w:r>
        <w:rPr>
          <w:rStyle w:val="CharSectno"/>
        </w:rPr>
        <w:t>10</w:t>
      </w:r>
      <w:r>
        <w:t>.</w:t>
      </w:r>
      <w:r>
        <w:tab/>
      </w:r>
      <w:bookmarkEnd w:id="99"/>
      <w:bookmarkEnd w:id="100"/>
      <w:r>
        <w:t>Informant to be notified of action taken</w:t>
      </w:r>
      <w:bookmarkEnd w:id="101"/>
      <w:bookmarkEnd w:id="102"/>
      <w:bookmarkEnd w:id="103"/>
      <w:bookmarkEnd w:id="104"/>
      <w:bookmarkEnd w:id="105"/>
      <w:bookmarkEnd w:id="106"/>
      <w:bookmarkEnd w:id="107"/>
      <w:bookmarkEnd w:id="108"/>
      <w:bookmarkEnd w:id="109"/>
      <w:bookmarkEnd w:id="110"/>
      <w:bookmarkEnd w:id="111"/>
      <w:bookmarkEnd w:id="112"/>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113" w:name="_Toc479143649"/>
      <w:bookmarkStart w:id="114" w:name="_Toc520621806"/>
      <w:bookmarkStart w:id="115" w:name="_Toc524224617"/>
      <w:bookmarkStart w:id="116" w:name="_Toc527965818"/>
      <w:bookmarkStart w:id="117" w:name="_Toc529147903"/>
      <w:bookmarkStart w:id="118" w:name="_Toc529172088"/>
      <w:bookmarkStart w:id="119" w:name="_Toc40591306"/>
      <w:bookmarkStart w:id="120" w:name="_Toc151800965"/>
      <w:bookmarkStart w:id="121" w:name="_Toc171070619"/>
      <w:bookmarkStart w:id="122" w:name="_Toc157997798"/>
      <w:r>
        <w:rPr>
          <w:rStyle w:val="CharSectno"/>
        </w:rPr>
        <w:t>11</w:t>
      </w:r>
      <w:r>
        <w:rPr>
          <w:snapToGrid w:val="0"/>
        </w:rPr>
        <w:t>.</w:t>
      </w:r>
      <w:r>
        <w:rPr>
          <w:snapToGrid w:val="0"/>
        </w:rPr>
        <w:tab/>
      </w:r>
      <w:bookmarkEnd w:id="113"/>
      <w:bookmarkEnd w:id="114"/>
      <w:bookmarkEnd w:id="115"/>
      <w:bookmarkEnd w:id="116"/>
      <w:bookmarkEnd w:id="117"/>
      <w:bookmarkEnd w:id="118"/>
      <w:r>
        <w:rPr>
          <w:snapToGrid w:val="0"/>
        </w:rPr>
        <w:t>Limitation on notification of informant</w:t>
      </w:r>
      <w:bookmarkEnd w:id="119"/>
      <w:bookmarkEnd w:id="120"/>
      <w:bookmarkEnd w:id="121"/>
      <w:bookmarkEnd w:id="122"/>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123" w:name="_Toc479143652"/>
      <w:bookmarkStart w:id="124" w:name="_Toc520621809"/>
      <w:bookmarkStart w:id="125" w:name="_Toc524224615"/>
      <w:bookmarkStart w:id="126" w:name="_Toc527965816"/>
      <w:bookmarkStart w:id="127" w:name="_Toc529147904"/>
      <w:bookmarkStart w:id="128" w:name="_Toc529172089"/>
      <w:bookmarkStart w:id="129"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30" w:name="_Toc151800966"/>
      <w:bookmarkStart w:id="131" w:name="_Toc171070620"/>
      <w:bookmarkStart w:id="132" w:name="_Toc157997799"/>
      <w:r>
        <w:rPr>
          <w:rStyle w:val="CharSectno"/>
        </w:rPr>
        <w:t>12</w:t>
      </w:r>
      <w:r>
        <w:t>.</w:t>
      </w:r>
      <w:r>
        <w:tab/>
        <w:t xml:space="preserve">Obligations under this Act of certain persons </w:t>
      </w:r>
      <w:bookmarkEnd w:id="123"/>
      <w:bookmarkEnd w:id="124"/>
      <w:bookmarkEnd w:id="125"/>
      <w:bookmarkEnd w:id="126"/>
      <w:r>
        <w:t>limited</w:t>
      </w:r>
      <w:bookmarkEnd w:id="127"/>
      <w:bookmarkEnd w:id="128"/>
      <w:bookmarkEnd w:id="129"/>
      <w:bookmarkEnd w:id="130"/>
      <w:bookmarkEnd w:id="131"/>
      <w:bookmarkEnd w:id="132"/>
    </w:p>
    <w:p>
      <w:pPr>
        <w:pStyle w:val="Subsection"/>
      </w:pPr>
      <w:r>
        <w:tab/>
        <w:t>(1)</w:t>
      </w:r>
      <w:r>
        <w:tab/>
        <w:t xml:space="preserve">The Corruption and Crime Commission and the Parliamentary Commissioner are not required to comply with sections 8(1), </w:t>
      </w:r>
      <w:bookmarkStart w:id="133" w:name="_Hlt3780296"/>
      <w:r>
        <w:t>9</w:t>
      </w:r>
      <w:bookmarkEnd w:id="133"/>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34" w:name="_Toc77413703"/>
      <w:bookmarkStart w:id="135" w:name="_Toc151800967"/>
      <w:bookmarkStart w:id="136" w:name="_Toc157490055"/>
      <w:bookmarkStart w:id="137" w:name="_Toc157997758"/>
      <w:bookmarkStart w:id="138" w:name="_Toc157997800"/>
      <w:bookmarkStart w:id="139" w:name="_Toc171070621"/>
      <w:r>
        <w:rPr>
          <w:rStyle w:val="CharPartNo"/>
        </w:rPr>
        <w:t>Part 3</w:t>
      </w:r>
      <w:r>
        <w:rPr>
          <w:rStyle w:val="CharDivNo"/>
        </w:rPr>
        <w:t xml:space="preserve"> </w:t>
      </w:r>
      <w:r>
        <w:t>—</w:t>
      </w:r>
      <w:r>
        <w:rPr>
          <w:rStyle w:val="CharDivText"/>
        </w:rPr>
        <w:t xml:space="preserve"> </w:t>
      </w:r>
      <w:r>
        <w:rPr>
          <w:rStyle w:val="CharPartText"/>
        </w:rPr>
        <w:t>Protection</w:t>
      </w:r>
      <w:bookmarkEnd w:id="134"/>
      <w:bookmarkEnd w:id="135"/>
      <w:bookmarkEnd w:id="136"/>
      <w:bookmarkEnd w:id="137"/>
      <w:bookmarkEnd w:id="138"/>
      <w:bookmarkEnd w:id="139"/>
    </w:p>
    <w:p>
      <w:pPr>
        <w:pStyle w:val="Heading5"/>
      </w:pPr>
      <w:bookmarkStart w:id="140" w:name="_Toc529147905"/>
      <w:bookmarkStart w:id="141" w:name="_Toc529172090"/>
      <w:bookmarkStart w:id="142" w:name="_Toc40591308"/>
      <w:bookmarkStart w:id="143" w:name="_Toc151800968"/>
      <w:bookmarkStart w:id="144" w:name="_Toc171070622"/>
      <w:bookmarkStart w:id="145" w:name="_Toc157997801"/>
      <w:r>
        <w:rPr>
          <w:rStyle w:val="CharSectno"/>
        </w:rPr>
        <w:t>13</w:t>
      </w:r>
      <w:r>
        <w:t>.</w:t>
      </w:r>
      <w:r>
        <w:tab/>
        <w:t>Immunity for appropriate disclosure of public interest information</w:t>
      </w:r>
      <w:bookmarkEnd w:id="140"/>
      <w:bookmarkEnd w:id="141"/>
      <w:bookmarkEnd w:id="142"/>
      <w:bookmarkEnd w:id="143"/>
      <w:bookmarkEnd w:id="144"/>
      <w:bookmarkEnd w:id="145"/>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46" w:name="_Toc529147906"/>
      <w:bookmarkStart w:id="147" w:name="_Toc529172091"/>
      <w:bookmarkStart w:id="148" w:name="_Toc40591309"/>
      <w:bookmarkStart w:id="149" w:name="_Toc151800969"/>
      <w:bookmarkStart w:id="150" w:name="_Toc171070623"/>
      <w:bookmarkStart w:id="151" w:name="_Toc157997802"/>
      <w:r>
        <w:rPr>
          <w:rStyle w:val="CharSectno"/>
        </w:rPr>
        <w:t>14</w:t>
      </w:r>
      <w:r>
        <w:t>.</w:t>
      </w:r>
      <w:r>
        <w:tab/>
        <w:t>Reprisal an offence</w:t>
      </w:r>
      <w:bookmarkEnd w:id="146"/>
      <w:bookmarkEnd w:id="147"/>
      <w:bookmarkEnd w:id="148"/>
      <w:bookmarkEnd w:id="149"/>
      <w:bookmarkEnd w:id="150"/>
      <w:bookmarkEnd w:id="151"/>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52" w:name="_Toc529147907"/>
      <w:bookmarkStart w:id="153" w:name="_Toc529172092"/>
      <w:bookmarkStart w:id="154" w:name="_Toc40591310"/>
      <w:bookmarkStart w:id="155" w:name="_Toc151800970"/>
      <w:bookmarkStart w:id="156" w:name="_Toc171070624"/>
      <w:bookmarkStart w:id="157" w:name="_Toc157997803"/>
      <w:r>
        <w:rPr>
          <w:rStyle w:val="CharSectno"/>
        </w:rPr>
        <w:t>15</w:t>
      </w:r>
      <w:r>
        <w:t>.</w:t>
      </w:r>
      <w:r>
        <w:tab/>
        <w:t>Remedies for acts of victimisation</w:t>
      </w:r>
      <w:bookmarkEnd w:id="152"/>
      <w:bookmarkEnd w:id="153"/>
      <w:bookmarkEnd w:id="154"/>
      <w:bookmarkEnd w:id="155"/>
      <w:bookmarkEnd w:id="156"/>
      <w:bookmarkEnd w:id="157"/>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58" w:name="_Toc529147908"/>
      <w:bookmarkStart w:id="159" w:name="_Toc529172093"/>
      <w:bookmarkStart w:id="160" w:name="_Toc40591311"/>
      <w:bookmarkStart w:id="161" w:name="_Toc151800971"/>
      <w:bookmarkStart w:id="162" w:name="_Toc171070625"/>
      <w:bookmarkStart w:id="163" w:name="_Toc157997804"/>
      <w:r>
        <w:rPr>
          <w:rStyle w:val="CharSectno"/>
        </w:rPr>
        <w:t>16</w:t>
      </w:r>
      <w:r>
        <w:t>.</w:t>
      </w:r>
      <w:r>
        <w:tab/>
        <w:t>Confidentiality</w:t>
      </w:r>
      <w:bookmarkEnd w:id="158"/>
      <w:bookmarkEnd w:id="159"/>
      <w:bookmarkEnd w:id="160"/>
      <w:bookmarkEnd w:id="161"/>
      <w:bookmarkEnd w:id="162"/>
      <w:bookmarkEnd w:id="163"/>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64" w:name="_Toc529147910"/>
      <w:bookmarkStart w:id="165" w:name="_Toc529172095"/>
      <w:bookmarkStart w:id="166" w:name="_Toc40591312"/>
      <w:r>
        <w:tab/>
        <w:t>[Section 16 amended by No. 48 of 2003 s. 62 (as amended by No. 78 of 2003 s. 35(13)); No. 78 of 2003 s. 74(2).]</w:t>
      </w:r>
    </w:p>
    <w:p>
      <w:pPr>
        <w:pStyle w:val="Heading5"/>
      </w:pPr>
      <w:bookmarkStart w:id="167" w:name="_Toc151800972"/>
      <w:bookmarkStart w:id="168" w:name="_Toc171070626"/>
      <w:bookmarkStart w:id="169" w:name="_Toc157997805"/>
      <w:r>
        <w:rPr>
          <w:rStyle w:val="CharSectno"/>
        </w:rPr>
        <w:t>17</w:t>
      </w:r>
      <w:r>
        <w:t>.</w:t>
      </w:r>
      <w:r>
        <w:tab/>
        <w:t>Loss of protection of the Act</w:t>
      </w:r>
      <w:bookmarkEnd w:id="164"/>
      <w:bookmarkEnd w:id="165"/>
      <w:bookmarkEnd w:id="166"/>
      <w:bookmarkEnd w:id="167"/>
      <w:bookmarkEnd w:id="168"/>
      <w:bookmarkEnd w:id="169"/>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70" w:name="_Toc77413709"/>
      <w:bookmarkStart w:id="171" w:name="_Toc151800973"/>
      <w:bookmarkStart w:id="172" w:name="_Toc157490061"/>
      <w:bookmarkStart w:id="173" w:name="_Toc157997764"/>
      <w:bookmarkStart w:id="174" w:name="_Toc157997806"/>
      <w:bookmarkStart w:id="175" w:name="_Toc171070627"/>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70"/>
      <w:bookmarkEnd w:id="171"/>
      <w:bookmarkEnd w:id="172"/>
      <w:bookmarkEnd w:id="173"/>
      <w:bookmarkEnd w:id="174"/>
      <w:bookmarkEnd w:id="175"/>
    </w:p>
    <w:p>
      <w:pPr>
        <w:pStyle w:val="Heading5"/>
      </w:pPr>
      <w:bookmarkStart w:id="176" w:name="_Toc40591313"/>
      <w:bookmarkStart w:id="177" w:name="_Toc151800974"/>
      <w:bookmarkStart w:id="178" w:name="_Toc171070628"/>
      <w:bookmarkStart w:id="179" w:name="_Toc157997807"/>
      <w:r>
        <w:rPr>
          <w:rStyle w:val="CharSectno"/>
        </w:rPr>
        <w:t>18</w:t>
      </w:r>
      <w:r>
        <w:t>.</w:t>
      </w:r>
      <w:r>
        <w:tab/>
        <w:t>Interpretation</w:t>
      </w:r>
      <w:bookmarkEnd w:id="176"/>
      <w:bookmarkEnd w:id="177"/>
      <w:bookmarkEnd w:id="178"/>
      <w:bookmarkEnd w:id="179"/>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80" w:name="_Toc520358846"/>
      <w:bookmarkStart w:id="181" w:name="_Toc520621785"/>
      <w:bookmarkStart w:id="182" w:name="_Toc520707986"/>
      <w:bookmarkStart w:id="183" w:name="_Toc520764662"/>
      <w:bookmarkStart w:id="184" w:name="_Toc520854289"/>
      <w:bookmarkStart w:id="185" w:name="_Toc520854362"/>
      <w:bookmarkStart w:id="186" w:name="_Toc524224625"/>
      <w:bookmarkStart w:id="187" w:name="_Toc529147912"/>
      <w:bookmarkStart w:id="188" w:name="_Toc529172097"/>
      <w:bookmarkStart w:id="189" w:name="_Toc40591314"/>
      <w:bookmarkStart w:id="190" w:name="_Toc151800975"/>
      <w:bookmarkStart w:id="191" w:name="_Toc171070629"/>
      <w:bookmarkStart w:id="192" w:name="_Toc157997808"/>
      <w:r>
        <w:rPr>
          <w:rStyle w:val="CharSectno"/>
        </w:rPr>
        <w:t>19</w:t>
      </w:r>
      <w:r>
        <w:t>.</w:t>
      </w:r>
      <w:r>
        <w:tab/>
        <w:t>Promoting</w:t>
      </w:r>
      <w:bookmarkEnd w:id="180"/>
      <w:bookmarkEnd w:id="181"/>
      <w:bookmarkEnd w:id="182"/>
      <w:bookmarkEnd w:id="183"/>
      <w:bookmarkEnd w:id="184"/>
      <w:bookmarkEnd w:id="185"/>
      <w:bookmarkEnd w:id="186"/>
      <w:bookmarkEnd w:id="187"/>
      <w:bookmarkEnd w:id="188"/>
      <w:r>
        <w:t xml:space="preserve"> compliance with this Act</w:t>
      </w:r>
      <w:bookmarkEnd w:id="189"/>
      <w:bookmarkEnd w:id="190"/>
      <w:bookmarkEnd w:id="191"/>
      <w:bookmarkEnd w:id="19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93" w:name="_Hlt525637278"/>
      <w:r>
        <w:t>20</w:t>
      </w:r>
      <w:bookmarkEnd w:id="193"/>
      <w:r>
        <w:t>.</w:t>
      </w:r>
    </w:p>
    <w:p>
      <w:pPr>
        <w:pStyle w:val="Subsection"/>
      </w:pPr>
      <w:r>
        <w:tab/>
        <w:t>(2)</w:t>
      </w:r>
      <w:r>
        <w:tab/>
        <w:t>The Commissioner is to assist public authorities and public officers to comply with this Act and the code established under section 20.</w:t>
      </w:r>
    </w:p>
    <w:p>
      <w:pPr>
        <w:pStyle w:val="Heading5"/>
      </w:pPr>
      <w:bookmarkStart w:id="194" w:name="_Hlt525637282"/>
      <w:bookmarkStart w:id="195" w:name="_Toc520358847"/>
      <w:bookmarkStart w:id="196" w:name="_Toc520621786"/>
      <w:bookmarkStart w:id="197" w:name="_Toc520707987"/>
      <w:bookmarkStart w:id="198" w:name="_Toc520764663"/>
      <w:bookmarkStart w:id="199" w:name="_Toc520854290"/>
      <w:bookmarkStart w:id="200" w:name="_Toc520854363"/>
      <w:bookmarkStart w:id="201" w:name="_Toc524224626"/>
      <w:bookmarkStart w:id="202" w:name="_Toc529147913"/>
      <w:bookmarkStart w:id="203" w:name="_Toc529172098"/>
      <w:bookmarkStart w:id="204" w:name="_Toc40591315"/>
      <w:bookmarkStart w:id="205" w:name="_Toc151800976"/>
      <w:bookmarkStart w:id="206" w:name="_Toc171070630"/>
      <w:bookmarkStart w:id="207" w:name="_Toc157997809"/>
      <w:bookmarkEnd w:id="194"/>
      <w:r>
        <w:rPr>
          <w:rStyle w:val="CharSectno"/>
        </w:rPr>
        <w:t>20</w:t>
      </w:r>
      <w:r>
        <w:t>.</w:t>
      </w:r>
      <w:r>
        <w:tab/>
        <w:t>Code</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08" w:name="_Toc524224627"/>
      <w:bookmarkStart w:id="209" w:name="_Toc529147914"/>
      <w:bookmarkStart w:id="210" w:name="_Toc529172099"/>
      <w:bookmarkStart w:id="211" w:name="_Toc40591316"/>
      <w:bookmarkStart w:id="212" w:name="_Toc151800977"/>
      <w:bookmarkStart w:id="213" w:name="_Toc171070631"/>
      <w:bookmarkStart w:id="214" w:name="_Toc157997810"/>
      <w:r>
        <w:rPr>
          <w:rStyle w:val="CharSectno"/>
        </w:rPr>
        <w:t>21</w:t>
      </w:r>
      <w:r>
        <w:t>.</w:t>
      </w:r>
      <w:r>
        <w:tab/>
        <w:t>Guidelines</w:t>
      </w:r>
      <w:bookmarkEnd w:id="208"/>
      <w:bookmarkEnd w:id="209"/>
      <w:bookmarkEnd w:id="210"/>
      <w:bookmarkEnd w:id="211"/>
      <w:bookmarkEnd w:id="212"/>
      <w:bookmarkEnd w:id="213"/>
      <w:bookmarkEnd w:id="214"/>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15" w:name="_Toc520358848"/>
      <w:bookmarkStart w:id="216" w:name="_Toc520621787"/>
      <w:bookmarkStart w:id="217" w:name="_Toc520707988"/>
      <w:bookmarkStart w:id="218" w:name="_Toc520764664"/>
      <w:bookmarkStart w:id="219" w:name="_Toc520854291"/>
      <w:bookmarkStart w:id="220" w:name="_Toc520854364"/>
      <w:bookmarkStart w:id="221" w:name="_Toc524224628"/>
      <w:bookmarkStart w:id="222" w:name="_Toc529147915"/>
      <w:bookmarkStart w:id="223" w:name="_Toc529172100"/>
      <w:bookmarkStart w:id="224" w:name="_Toc40591317"/>
      <w:bookmarkStart w:id="225" w:name="_Toc151800978"/>
      <w:bookmarkStart w:id="226" w:name="_Toc171070632"/>
      <w:bookmarkStart w:id="227" w:name="_Toc157997811"/>
      <w:r>
        <w:rPr>
          <w:rStyle w:val="CharSectno"/>
        </w:rPr>
        <w:t>22</w:t>
      </w:r>
      <w:r>
        <w:t>.</w:t>
      </w:r>
      <w:r>
        <w:tab/>
        <w:t>Annual report and other reports to Parliament</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28" w:name="_Toc77413715"/>
      <w:bookmarkStart w:id="229" w:name="_Toc151800979"/>
      <w:bookmarkStart w:id="230" w:name="_Toc157490067"/>
      <w:bookmarkStart w:id="231" w:name="_Toc157997770"/>
      <w:bookmarkStart w:id="232" w:name="_Toc157997812"/>
      <w:bookmarkStart w:id="233" w:name="_Toc171070633"/>
      <w:r>
        <w:rPr>
          <w:rStyle w:val="CharPartNo"/>
        </w:rPr>
        <w:t>Part 5</w:t>
      </w:r>
      <w:r>
        <w:rPr>
          <w:rStyle w:val="CharDivNo"/>
        </w:rPr>
        <w:t xml:space="preserve"> </w:t>
      </w:r>
      <w:r>
        <w:t>—</w:t>
      </w:r>
      <w:r>
        <w:rPr>
          <w:rStyle w:val="CharDivText"/>
        </w:rPr>
        <w:t xml:space="preserve"> </w:t>
      </w:r>
      <w:r>
        <w:rPr>
          <w:rStyle w:val="CharPartText"/>
        </w:rPr>
        <w:t>Miscellaneous</w:t>
      </w:r>
      <w:bookmarkEnd w:id="228"/>
      <w:bookmarkEnd w:id="229"/>
      <w:bookmarkEnd w:id="230"/>
      <w:bookmarkEnd w:id="231"/>
      <w:bookmarkEnd w:id="232"/>
      <w:bookmarkEnd w:id="233"/>
    </w:p>
    <w:p>
      <w:pPr>
        <w:pStyle w:val="Heading5"/>
      </w:pPr>
      <w:bookmarkStart w:id="234" w:name="_Toc529147916"/>
      <w:bookmarkStart w:id="235" w:name="_Toc529172101"/>
      <w:bookmarkStart w:id="236" w:name="_Toc40591318"/>
      <w:bookmarkStart w:id="237" w:name="_Toc151800980"/>
      <w:bookmarkStart w:id="238" w:name="_Toc171070634"/>
      <w:bookmarkStart w:id="239" w:name="_Toc157997813"/>
      <w:r>
        <w:rPr>
          <w:rStyle w:val="CharSectno"/>
        </w:rPr>
        <w:t>23</w:t>
      </w:r>
      <w:r>
        <w:t>.</w:t>
      </w:r>
      <w:r>
        <w:tab/>
        <w:t>Obligations of principal executive officers of public authorities</w:t>
      </w:r>
      <w:bookmarkEnd w:id="234"/>
      <w:bookmarkEnd w:id="235"/>
      <w:bookmarkEnd w:id="236"/>
      <w:bookmarkEnd w:id="237"/>
      <w:bookmarkEnd w:id="238"/>
      <w:bookmarkEnd w:id="239"/>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40" w:name="_Toc520358849"/>
      <w:bookmarkStart w:id="241" w:name="_Toc520621788"/>
      <w:bookmarkStart w:id="242" w:name="_Toc520707989"/>
      <w:bookmarkStart w:id="243" w:name="_Toc520764665"/>
      <w:bookmarkStart w:id="244" w:name="_Toc520854292"/>
      <w:bookmarkStart w:id="245" w:name="_Toc520854365"/>
      <w:bookmarkStart w:id="246" w:name="_Toc524224629"/>
      <w:bookmarkStart w:id="247" w:name="_Toc529147918"/>
      <w:bookmarkStart w:id="248" w:name="_Toc529172103"/>
      <w:bookmarkStart w:id="249" w:name="_Toc40591319"/>
      <w:bookmarkStart w:id="250" w:name="_Toc151800981"/>
      <w:bookmarkStart w:id="251" w:name="_Toc171070635"/>
      <w:bookmarkStart w:id="252" w:name="_Toc157997814"/>
      <w:r>
        <w:rPr>
          <w:rStyle w:val="CharSectno"/>
        </w:rPr>
        <w:t>24</w:t>
      </w:r>
      <w:r>
        <w:t>.</w:t>
      </w:r>
      <w:r>
        <w:tab/>
        <w:t>Offence to make false or misleading disclosure</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53" w:name="_Toc479143660"/>
      <w:bookmarkStart w:id="254" w:name="_Toc520621817"/>
      <w:bookmarkStart w:id="255" w:name="_Toc524224632"/>
      <w:bookmarkStart w:id="256" w:name="_Toc529147919"/>
      <w:bookmarkStart w:id="257" w:name="_Toc529172104"/>
      <w:bookmarkStart w:id="258" w:name="_Toc40591320"/>
      <w:r>
        <w:tab/>
        <w:t>[Section 24 amended by No. 48 of 2003 s. 62.]</w:t>
      </w:r>
    </w:p>
    <w:p>
      <w:pPr>
        <w:pStyle w:val="Heading5"/>
        <w:rPr>
          <w:snapToGrid w:val="0"/>
        </w:rPr>
      </w:pPr>
      <w:bookmarkStart w:id="259" w:name="_Toc151800982"/>
      <w:bookmarkStart w:id="260" w:name="_Toc171070636"/>
      <w:bookmarkStart w:id="261" w:name="_Toc157997815"/>
      <w:r>
        <w:rPr>
          <w:rStyle w:val="CharSectno"/>
        </w:rPr>
        <w:t>25</w:t>
      </w:r>
      <w:r>
        <w:rPr>
          <w:snapToGrid w:val="0"/>
        </w:rPr>
        <w:t>.</w:t>
      </w:r>
      <w:r>
        <w:rPr>
          <w:snapToGrid w:val="0"/>
        </w:rPr>
        <w:tab/>
        <w:t>Other laws not excluded</w:t>
      </w:r>
      <w:bookmarkEnd w:id="253"/>
      <w:bookmarkEnd w:id="254"/>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62" w:name="_Toc520358852"/>
      <w:bookmarkStart w:id="263" w:name="_Toc520621791"/>
      <w:bookmarkStart w:id="264" w:name="_Toc520707992"/>
      <w:bookmarkStart w:id="265" w:name="_Toc520764668"/>
      <w:bookmarkStart w:id="266" w:name="_Toc520854295"/>
      <w:bookmarkStart w:id="267" w:name="_Toc520854368"/>
      <w:bookmarkStart w:id="268" w:name="_Toc524224633"/>
      <w:bookmarkStart w:id="269" w:name="_Toc529147920"/>
      <w:bookmarkStart w:id="270" w:name="_Toc529172105"/>
      <w:bookmarkStart w:id="271" w:name="_Toc40591321"/>
      <w:bookmarkStart w:id="272" w:name="_Toc151800983"/>
      <w:bookmarkStart w:id="273" w:name="_Toc171070637"/>
      <w:bookmarkStart w:id="274" w:name="_Toc157997816"/>
      <w:r>
        <w:rPr>
          <w:rStyle w:val="CharSectno"/>
        </w:rPr>
        <w:t>26</w:t>
      </w:r>
      <w:r>
        <w:t>.</w:t>
      </w:r>
      <w:r>
        <w:tab/>
        <w:t>Regulations</w:t>
      </w:r>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5" w:name="_Hlt529681358"/>
      <w:bookmarkStart w:id="276" w:name="_Toc40591322"/>
      <w:bookmarkStart w:id="277" w:name="_Toc151800984"/>
      <w:bookmarkStart w:id="278" w:name="_Toc171070638"/>
      <w:bookmarkStart w:id="279" w:name="_Toc157997817"/>
      <w:bookmarkEnd w:id="275"/>
      <w:r>
        <w:rPr>
          <w:rStyle w:val="CharSectno"/>
        </w:rPr>
        <w:t>27</w:t>
      </w:r>
      <w:r>
        <w:t>.</w:t>
      </w:r>
      <w:r>
        <w:tab/>
        <w:t>Review of this Act</w:t>
      </w:r>
      <w:bookmarkEnd w:id="276"/>
      <w:bookmarkEnd w:id="277"/>
      <w:bookmarkEnd w:id="278"/>
      <w:bookmarkEnd w:id="279"/>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280" w:name="_Toc479143664"/>
      <w:bookmarkStart w:id="281" w:name="_Toc512656303"/>
      <w:bookmarkStart w:id="282" w:name="_Toc520621792"/>
      <w:bookmarkStart w:id="283" w:name="_Toc520707993"/>
      <w:bookmarkStart w:id="284" w:name="_Toc520764669"/>
      <w:bookmarkStart w:id="285" w:name="_Toc520854296"/>
      <w:bookmarkStart w:id="286" w:name="_Toc520854369"/>
      <w:bookmarkStart w:id="287" w:name="_Toc524224634"/>
      <w:bookmarkStart w:id="288" w:name="_Toc529147921"/>
      <w:bookmarkStart w:id="289" w:name="_Toc529172106"/>
      <w:bookmarkStart w:id="290" w:name="_Toc40591323"/>
      <w:bookmarkStart w:id="291" w:name="_Toc151800985"/>
      <w:bookmarkStart w:id="292" w:name="_Toc171070639"/>
      <w:bookmarkStart w:id="293" w:name="_Toc157997818"/>
      <w:r>
        <w:rPr>
          <w:rStyle w:val="CharSectno"/>
        </w:rPr>
        <w:t>28</w:t>
      </w:r>
      <w:r>
        <w:rPr>
          <w:snapToGrid w:val="0"/>
        </w:rPr>
        <w:t>.</w:t>
      </w:r>
      <w:r>
        <w:rPr>
          <w:snapToGrid w:val="0"/>
        </w:rPr>
        <w:tab/>
        <w:t>Consequential and miscellaneous amendment</w:t>
      </w:r>
      <w:bookmarkEnd w:id="280"/>
      <w:r>
        <w:rPr>
          <w:snapToGrid w:val="0"/>
        </w:rPr>
        <w:t>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r>
      <w:r>
        <w:tab/>
        <w:t>The Acts specified in Schedule 1 are amended as specified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94" w:name="_Toc529147922"/>
      <w:bookmarkStart w:id="295" w:name="_Toc529172107"/>
      <w:bookmarkStart w:id="296" w:name="_Toc3700329"/>
      <w:bookmarkStart w:id="297" w:name="_Toc3780920"/>
      <w:bookmarkStart w:id="298" w:name="_Toc3783206"/>
      <w:bookmarkStart w:id="299" w:name="_Toc40591324"/>
    </w:p>
    <w:p>
      <w:pPr>
        <w:pStyle w:val="yScheduleHeading"/>
      </w:pPr>
      <w:bookmarkStart w:id="300" w:name="_Toc151800986"/>
      <w:bookmarkStart w:id="301" w:name="_Toc157490074"/>
      <w:bookmarkStart w:id="302" w:name="_Toc157997777"/>
      <w:bookmarkStart w:id="303" w:name="_Toc157997819"/>
      <w:bookmarkStart w:id="304" w:name="_Toc171070640"/>
      <w:r>
        <w:rPr>
          <w:rStyle w:val="CharSchNo"/>
        </w:rPr>
        <w:t>Schedule 1</w:t>
      </w:r>
      <w:r>
        <w:t xml:space="preserve"> — </w:t>
      </w:r>
      <w:r>
        <w:rPr>
          <w:rStyle w:val="CharSchText"/>
        </w:rPr>
        <w:t>Consequential and miscellaneous amendments</w:t>
      </w:r>
      <w:bookmarkEnd w:id="294"/>
      <w:bookmarkEnd w:id="295"/>
      <w:bookmarkEnd w:id="296"/>
      <w:bookmarkEnd w:id="297"/>
      <w:bookmarkEnd w:id="298"/>
      <w:bookmarkEnd w:id="299"/>
      <w:bookmarkEnd w:id="300"/>
      <w:bookmarkEnd w:id="301"/>
      <w:bookmarkEnd w:id="302"/>
      <w:bookmarkEnd w:id="303"/>
      <w:bookmarkEnd w:id="304"/>
    </w:p>
    <w:p>
      <w:pPr>
        <w:pStyle w:val="yShoulderClause"/>
      </w:pPr>
      <w:r>
        <w:t>[s. 28]</w:t>
      </w:r>
    </w:p>
    <w:p>
      <w:pPr>
        <w:pStyle w:val="yHeading5"/>
        <w:spacing w:before="140"/>
        <w:outlineLvl w:val="9"/>
      </w:pPr>
      <w:bookmarkStart w:id="305" w:name="_Toc512656304"/>
      <w:bookmarkStart w:id="306" w:name="_Toc520621794"/>
      <w:bookmarkStart w:id="307" w:name="_Toc520707995"/>
      <w:bookmarkStart w:id="308" w:name="_Toc520764671"/>
      <w:bookmarkStart w:id="309" w:name="_Toc520854298"/>
      <w:bookmarkStart w:id="310" w:name="_Toc520854371"/>
      <w:bookmarkStart w:id="311" w:name="_Toc524224637"/>
      <w:bookmarkStart w:id="312" w:name="_Toc529147923"/>
      <w:bookmarkStart w:id="313" w:name="_Toc529172108"/>
      <w:bookmarkStart w:id="314" w:name="_Toc40591325"/>
      <w:bookmarkStart w:id="315" w:name="_Toc151800987"/>
      <w:bookmarkStart w:id="316" w:name="_Toc171070641"/>
      <w:bookmarkStart w:id="317" w:name="_Toc157997820"/>
      <w:r>
        <w:t>1.</w:t>
      </w:r>
      <w:r>
        <w:tab/>
      </w:r>
      <w:r>
        <w:rPr>
          <w:i/>
        </w:rPr>
        <w:t>Freedom of Information Act 1992</w:t>
      </w:r>
      <w:bookmarkEnd w:id="305"/>
      <w:bookmarkEnd w:id="306"/>
      <w:bookmarkEnd w:id="307"/>
      <w:bookmarkEnd w:id="308"/>
      <w:bookmarkEnd w:id="309"/>
      <w:bookmarkEnd w:id="310"/>
      <w:bookmarkEnd w:id="311"/>
      <w:bookmarkEnd w:id="312"/>
      <w:bookmarkEnd w:id="313"/>
      <w:r>
        <w:t xml:space="preserve"> amended</w:t>
      </w:r>
      <w:bookmarkEnd w:id="314"/>
      <w:bookmarkEnd w:id="315"/>
      <w:bookmarkEnd w:id="316"/>
      <w:bookmarkEnd w:id="317"/>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318" w:name="_Toc529172109"/>
      <w:bookmarkStart w:id="319" w:name="_Toc40591326"/>
      <w:bookmarkStart w:id="320" w:name="_Toc151800988"/>
      <w:bookmarkStart w:id="321" w:name="_Toc171070642"/>
      <w:bookmarkStart w:id="322" w:name="_Toc157997821"/>
      <w:r>
        <w:t>2.</w:t>
      </w:r>
      <w:r>
        <w:tab/>
      </w:r>
      <w:r>
        <w:rPr>
          <w:i/>
        </w:rPr>
        <w:t>Prisons Act 1981</w:t>
      </w:r>
      <w:bookmarkEnd w:id="318"/>
      <w:r>
        <w:t xml:space="preserve"> amended</w:t>
      </w:r>
      <w:bookmarkEnd w:id="319"/>
      <w:bookmarkEnd w:id="320"/>
      <w:bookmarkEnd w:id="321"/>
      <w:bookmarkEnd w:id="322"/>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323" w:name="_Toc512656305"/>
      <w:bookmarkStart w:id="324" w:name="_Toc520621795"/>
      <w:bookmarkStart w:id="325" w:name="_Toc520707996"/>
      <w:bookmarkStart w:id="326" w:name="_Toc520764672"/>
      <w:bookmarkStart w:id="327" w:name="_Toc520854299"/>
      <w:bookmarkStart w:id="328" w:name="_Toc520854372"/>
      <w:bookmarkStart w:id="329" w:name="_Toc524224638"/>
      <w:bookmarkStart w:id="330" w:name="_Toc529147924"/>
      <w:bookmarkStart w:id="331" w:name="_Toc529172110"/>
      <w:bookmarkStart w:id="332" w:name="_Toc40591327"/>
      <w:bookmarkStart w:id="333" w:name="_Toc151800989"/>
      <w:bookmarkStart w:id="334" w:name="_Toc171070643"/>
      <w:bookmarkStart w:id="335" w:name="_Toc157997822"/>
      <w:r>
        <w:t>3.</w:t>
      </w:r>
      <w:r>
        <w:tab/>
      </w:r>
      <w:r>
        <w:rPr>
          <w:i/>
        </w:rPr>
        <w:t>Public Sector Management Act 1994</w:t>
      </w:r>
      <w:bookmarkEnd w:id="323"/>
      <w:bookmarkEnd w:id="324"/>
      <w:bookmarkEnd w:id="325"/>
      <w:bookmarkEnd w:id="326"/>
      <w:bookmarkEnd w:id="327"/>
      <w:bookmarkEnd w:id="328"/>
      <w:bookmarkEnd w:id="329"/>
      <w:bookmarkEnd w:id="330"/>
      <w:bookmarkEnd w:id="331"/>
      <w:r>
        <w:t xml:space="preserve"> amended</w:t>
      </w:r>
      <w:bookmarkEnd w:id="332"/>
      <w:bookmarkEnd w:id="333"/>
      <w:bookmarkEnd w:id="334"/>
      <w:bookmarkEnd w:id="335"/>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6" w:name="_Toc77413726"/>
      <w:bookmarkStart w:id="337" w:name="_Toc151800990"/>
      <w:bookmarkStart w:id="338" w:name="_Toc157490078"/>
      <w:bookmarkStart w:id="339" w:name="_Toc157997781"/>
      <w:bookmarkStart w:id="340" w:name="_Toc157997823"/>
      <w:bookmarkStart w:id="341" w:name="_Toc171070644"/>
      <w:r>
        <w:t>Notes</w:t>
      </w:r>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342" w:author="svcMRProcess" w:date="2018-09-07T22:26:00Z">
        <w:r>
          <w:rPr>
            <w:snapToGrid w:val="0"/>
            <w:vertAlign w:val="superscript"/>
          </w:rPr>
          <w:delText> 1a</w:delText>
        </w:r>
        <w:r>
          <w:rPr>
            <w:snapToGrid w:val="0"/>
          </w:rPr>
          <w:delText xml:space="preserve">.  </w:delText>
        </w:r>
      </w:del>
      <w:ins w:id="343" w:author="svcMRProcess" w:date="2018-09-07T22:26:00Z">
        <w:r>
          <w:rPr>
            <w:snapToGrid w:val="0"/>
          </w:rPr>
          <w:t>.</w:t>
        </w:r>
      </w:ins>
    </w:p>
    <w:p>
      <w:pPr>
        <w:pStyle w:val="nHeading3"/>
        <w:rPr>
          <w:snapToGrid w:val="0"/>
        </w:rPr>
      </w:pPr>
      <w:bookmarkStart w:id="344" w:name="_Toc151800991"/>
      <w:bookmarkStart w:id="345" w:name="_Toc171070645"/>
      <w:bookmarkStart w:id="346" w:name="_Toc157997824"/>
      <w:r>
        <w:rPr>
          <w:snapToGrid w:val="0"/>
        </w:rPr>
        <w:t>Compilation table</w:t>
      </w:r>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9"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ins w:id="347" w:author="svcMRProcess" w:date="2018-09-07T22:26:00Z"/>
        </w:trPr>
        <w:tc>
          <w:tcPr>
            <w:tcW w:w="2269" w:type="dxa"/>
          </w:tcPr>
          <w:p>
            <w:pPr>
              <w:pStyle w:val="nTable"/>
              <w:spacing w:after="40"/>
              <w:rPr>
                <w:ins w:id="348" w:author="svcMRProcess" w:date="2018-09-07T22:26:00Z"/>
                <w:iCs/>
                <w:snapToGrid w:val="0"/>
                <w:sz w:val="19"/>
                <w:lang w:val="en-US"/>
              </w:rPr>
            </w:pPr>
            <w:ins w:id="349" w:author="svcMRProcess" w:date="2018-09-07T22:26: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350" w:author="svcMRProcess" w:date="2018-09-07T22:26:00Z"/>
                <w:snapToGrid w:val="0"/>
                <w:sz w:val="19"/>
                <w:lang w:val="en-US"/>
              </w:rPr>
            </w:pPr>
            <w:ins w:id="351" w:author="svcMRProcess" w:date="2018-09-07T22:26:00Z">
              <w:r>
                <w:rPr>
                  <w:snapToGrid w:val="0"/>
                  <w:sz w:val="19"/>
                  <w:lang w:val="en-US"/>
                </w:rPr>
                <w:t>59 of 2006</w:t>
              </w:r>
            </w:ins>
          </w:p>
        </w:tc>
        <w:tc>
          <w:tcPr>
            <w:tcW w:w="1134" w:type="dxa"/>
          </w:tcPr>
          <w:p>
            <w:pPr>
              <w:pStyle w:val="nTable"/>
              <w:spacing w:after="40"/>
              <w:rPr>
                <w:ins w:id="352" w:author="svcMRProcess" w:date="2018-09-07T22:26:00Z"/>
                <w:sz w:val="19"/>
              </w:rPr>
            </w:pPr>
            <w:ins w:id="353" w:author="svcMRProcess" w:date="2018-09-07T22:26:00Z">
              <w:r>
                <w:rPr>
                  <w:sz w:val="19"/>
                </w:rPr>
                <w:t>16 Nov 2006</w:t>
              </w:r>
            </w:ins>
          </w:p>
        </w:tc>
        <w:tc>
          <w:tcPr>
            <w:tcW w:w="2552" w:type="dxa"/>
          </w:tcPr>
          <w:p>
            <w:pPr>
              <w:pStyle w:val="nTable"/>
              <w:spacing w:after="40"/>
              <w:rPr>
                <w:ins w:id="354" w:author="svcMRProcess" w:date="2018-09-07T22:26:00Z"/>
                <w:snapToGrid w:val="0"/>
                <w:sz w:val="19"/>
                <w:lang w:val="en-US"/>
              </w:rPr>
            </w:pPr>
            <w:ins w:id="355" w:author="svcMRProcess" w:date="2018-09-07T22:26: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9"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356" w:author="svcMRProcess" w:date="2018-09-07T22:26:00Z"/>
          <w:snapToGrid w:val="0"/>
        </w:rPr>
      </w:pPr>
      <w:bookmarkStart w:id="357" w:name="AutoSch"/>
      <w:bookmarkEnd w:id="357"/>
      <w:del w:id="358" w:author="svcMRProcess" w:date="2018-09-07T22: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9" w:author="svcMRProcess" w:date="2018-09-07T22:26:00Z"/>
          <w:snapToGrid w:val="0"/>
        </w:rPr>
      </w:pPr>
      <w:bookmarkStart w:id="360" w:name="_Toc534778309"/>
      <w:bookmarkStart w:id="361" w:name="_Toc7405063"/>
      <w:bookmarkStart w:id="362" w:name="_Toc151800992"/>
      <w:bookmarkStart w:id="363" w:name="_Toc157997825"/>
      <w:del w:id="364" w:author="svcMRProcess" w:date="2018-09-07T22:26:00Z">
        <w:r>
          <w:rPr>
            <w:snapToGrid w:val="0"/>
          </w:rPr>
          <w:delText>Provisions that have not come into operation</w:delText>
        </w:r>
        <w:bookmarkEnd w:id="360"/>
        <w:bookmarkEnd w:id="361"/>
        <w:bookmarkEnd w:id="362"/>
        <w:bookmarkEnd w:id="36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
        <w:gridCol w:w="1123"/>
        <w:gridCol w:w="1195"/>
        <w:gridCol w:w="2552"/>
      </w:tblGrid>
      <w:tr>
        <w:trPr>
          <w:del w:id="365" w:author="svcMRProcess" w:date="2018-09-07T22:26:00Z"/>
        </w:trPr>
        <w:tc>
          <w:tcPr>
            <w:tcW w:w="2223" w:type="dxa"/>
            <w:gridSpan w:val="2"/>
          </w:tcPr>
          <w:p>
            <w:pPr>
              <w:pStyle w:val="nTable"/>
              <w:rPr>
                <w:del w:id="366" w:author="svcMRProcess" w:date="2018-09-07T22:26:00Z"/>
                <w:b/>
                <w:snapToGrid w:val="0"/>
                <w:sz w:val="19"/>
                <w:lang w:val="en-US"/>
              </w:rPr>
            </w:pPr>
            <w:del w:id="367" w:author="svcMRProcess" w:date="2018-09-07T22:26:00Z">
              <w:r>
                <w:rPr>
                  <w:b/>
                  <w:snapToGrid w:val="0"/>
                  <w:sz w:val="19"/>
                  <w:lang w:val="en-US"/>
                </w:rPr>
                <w:delText>Short title</w:delText>
              </w:r>
            </w:del>
          </w:p>
        </w:tc>
        <w:tc>
          <w:tcPr>
            <w:tcW w:w="1118" w:type="dxa"/>
          </w:tcPr>
          <w:p>
            <w:pPr>
              <w:pStyle w:val="nTable"/>
              <w:rPr>
                <w:del w:id="368" w:author="svcMRProcess" w:date="2018-09-07T22:26:00Z"/>
                <w:b/>
                <w:snapToGrid w:val="0"/>
                <w:sz w:val="19"/>
                <w:lang w:val="en-US"/>
              </w:rPr>
            </w:pPr>
            <w:del w:id="369" w:author="svcMRProcess" w:date="2018-09-07T22:26:00Z">
              <w:r>
                <w:rPr>
                  <w:b/>
                  <w:snapToGrid w:val="0"/>
                  <w:sz w:val="19"/>
                  <w:lang w:val="en-US"/>
                </w:rPr>
                <w:delText>Number and Year</w:delText>
              </w:r>
            </w:del>
          </w:p>
        </w:tc>
        <w:tc>
          <w:tcPr>
            <w:tcW w:w="1195" w:type="dxa"/>
          </w:tcPr>
          <w:p>
            <w:pPr>
              <w:pStyle w:val="nTable"/>
              <w:rPr>
                <w:del w:id="370" w:author="svcMRProcess" w:date="2018-09-07T22:26:00Z"/>
                <w:b/>
                <w:snapToGrid w:val="0"/>
                <w:sz w:val="19"/>
                <w:lang w:val="en-US"/>
              </w:rPr>
            </w:pPr>
            <w:del w:id="371" w:author="svcMRProcess" w:date="2018-09-07T22:26:00Z">
              <w:r>
                <w:rPr>
                  <w:b/>
                  <w:snapToGrid w:val="0"/>
                  <w:sz w:val="19"/>
                  <w:lang w:val="en-US"/>
                </w:rPr>
                <w:delText>Assent</w:delText>
              </w:r>
            </w:del>
          </w:p>
        </w:tc>
        <w:tc>
          <w:tcPr>
            <w:tcW w:w="2552" w:type="dxa"/>
          </w:tcPr>
          <w:p>
            <w:pPr>
              <w:pStyle w:val="nTable"/>
              <w:rPr>
                <w:del w:id="372" w:author="svcMRProcess" w:date="2018-09-07T22:26:00Z"/>
                <w:b/>
                <w:snapToGrid w:val="0"/>
                <w:sz w:val="19"/>
                <w:lang w:val="en-US"/>
              </w:rPr>
            </w:pPr>
            <w:del w:id="373" w:author="svcMRProcess" w:date="2018-09-07T22:2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374" w:author="svcMRProcess" w:date="2018-09-07T22:26:00Z"/>
        </w:trPr>
        <w:tc>
          <w:tcPr>
            <w:tcW w:w="2212" w:type="dxa"/>
            <w:tcBorders>
              <w:bottom w:val="single" w:sz="4" w:space="0" w:color="auto"/>
            </w:tcBorders>
          </w:tcPr>
          <w:p>
            <w:pPr>
              <w:pStyle w:val="nTable"/>
              <w:spacing w:after="40"/>
              <w:rPr>
                <w:del w:id="375" w:author="svcMRProcess" w:date="2018-09-07T22:26:00Z"/>
                <w:i/>
                <w:iCs/>
                <w:snapToGrid w:val="0"/>
                <w:sz w:val="19"/>
                <w:lang w:val="en-US"/>
              </w:rPr>
            </w:pPr>
            <w:del w:id="376" w:author="svcMRProcess" w:date="2018-09-07T22:26: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2</w:delText>
              </w:r>
            </w:del>
          </w:p>
        </w:tc>
        <w:tc>
          <w:tcPr>
            <w:tcW w:w="1134" w:type="dxa"/>
            <w:gridSpan w:val="2"/>
            <w:tcBorders>
              <w:bottom w:val="single" w:sz="4" w:space="0" w:color="auto"/>
            </w:tcBorders>
          </w:tcPr>
          <w:p>
            <w:pPr>
              <w:pStyle w:val="nTable"/>
              <w:spacing w:after="40"/>
              <w:rPr>
                <w:del w:id="377" w:author="svcMRProcess" w:date="2018-09-07T22:26:00Z"/>
                <w:snapToGrid w:val="0"/>
                <w:sz w:val="19"/>
                <w:lang w:val="en-US"/>
              </w:rPr>
            </w:pPr>
            <w:del w:id="378" w:author="svcMRProcess" w:date="2018-09-07T22:26:00Z">
              <w:r>
                <w:rPr>
                  <w:snapToGrid w:val="0"/>
                  <w:sz w:val="19"/>
                  <w:lang w:val="en-US"/>
                </w:rPr>
                <w:delText>59 of 2006</w:delText>
              </w:r>
            </w:del>
          </w:p>
        </w:tc>
        <w:tc>
          <w:tcPr>
            <w:tcW w:w="1190" w:type="dxa"/>
            <w:tcBorders>
              <w:bottom w:val="single" w:sz="4" w:space="0" w:color="auto"/>
            </w:tcBorders>
          </w:tcPr>
          <w:p>
            <w:pPr>
              <w:pStyle w:val="nTable"/>
              <w:spacing w:after="40"/>
              <w:rPr>
                <w:del w:id="379" w:author="svcMRProcess" w:date="2018-09-07T22:26:00Z"/>
                <w:snapToGrid w:val="0"/>
                <w:sz w:val="19"/>
                <w:lang w:val="en-US"/>
              </w:rPr>
            </w:pPr>
            <w:del w:id="380" w:author="svcMRProcess" w:date="2018-09-07T22:26:00Z">
              <w:r>
                <w:rPr>
                  <w:snapToGrid w:val="0"/>
                  <w:sz w:val="19"/>
                  <w:lang w:val="en-US"/>
                </w:rPr>
                <w:delText>16 Nov 2006</w:delText>
              </w:r>
            </w:del>
          </w:p>
        </w:tc>
        <w:tc>
          <w:tcPr>
            <w:tcW w:w="2552" w:type="dxa"/>
            <w:tcBorders>
              <w:bottom w:val="single" w:sz="4" w:space="0" w:color="auto"/>
            </w:tcBorders>
          </w:tcPr>
          <w:p>
            <w:pPr>
              <w:pStyle w:val="nTable"/>
              <w:spacing w:after="40"/>
              <w:rPr>
                <w:del w:id="381" w:author="svcMRProcess" w:date="2018-09-07T22:26:00Z"/>
                <w:snapToGrid w:val="0"/>
                <w:sz w:val="19"/>
                <w:lang w:val="en-US"/>
              </w:rPr>
            </w:pPr>
            <w:del w:id="382" w:author="svcMRProcess" w:date="2018-09-07T22:26:00Z">
              <w:r>
                <w:rPr>
                  <w:snapToGrid w:val="0"/>
                  <w:sz w:val="19"/>
                  <w:lang w:val="en-US"/>
                </w:rPr>
                <w:delText>To be proclaimed (see s. 2)</w:delText>
              </w:r>
            </w:del>
          </w:p>
        </w:tc>
      </w:tr>
    </w:tbl>
    <w:p>
      <w:pPr>
        <w:pStyle w:val="nSubsection"/>
        <w:rPr>
          <w:del w:id="383" w:author="svcMRProcess" w:date="2018-09-07T22:26:00Z"/>
          <w:snapToGrid w:val="0"/>
          <w:vertAlign w:val="superscript"/>
        </w:rPr>
      </w:pPr>
    </w:p>
    <w:p>
      <w:pPr>
        <w:pStyle w:val="nSubsection"/>
        <w:rPr>
          <w:del w:id="384" w:author="svcMRProcess" w:date="2018-09-07T22:26:00Z"/>
          <w:snapToGrid w:val="0"/>
        </w:rPr>
      </w:pPr>
      <w:del w:id="385" w:author="svcMRProcess" w:date="2018-09-07T22:26:00Z">
        <w:r>
          <w:rPr>
            <w:snapToGrid w:val="0"/>
            <w:vertAlign w:val="superscript"/>
          </w:rPr>
          <w:delText>2</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12 </w:delText>
        </w:r>
        <w:r>
          <w:rPr>
            <w:snapToGrid w:val="0"/>
          </w:rPr>
          <w:delText>had not come into operation.  They read as follows:</w:delText>
        </w:r>
      </w:del>
    </w:p>
    <w:p>
      <w:pPr>
        <w:pStyle w:val="MiscOpen"/>
        <w:rPr>
          <w:del w:id="386" w:author="svcMRProcess" w:date="2018-09-07T22:26:00Z"/>
          <w:snapToGrid w:val="0"/>
        </w:rPr>
      </w:pPr>
      <w:del w:id="387" w:author="svcMRProcess" w:date="2018-09-07T22:26:00Z">
        <w:r>
          <w:rPr>
            <w:snapToGrid w:val="0"/>
          </w:rPr>
          <w:delText>“</w:delText>
        </w:r>
      </w:del>
    </w:p>
    <w:p>
      <w:pPr>
        <w:pStyle w:val="nzHeading5"/>
        <w:rPr>
          <w:del w:id="388" w:author="svcMRProcess" w:date="2018-09-07T22:26:00Z"/>
        </w:rPr>
      </w:pPr>
      <w:bookmarkStart w:id="389" w:name="_Toc479499719"/>
      <w:bookmarkStart w:id="390" w:name="_Toc69117580"/>
      <w:bookmarkStart w:id="391" w:name="_Toc81374662"/>
      <w:bookmarkStart w:id="392" w:name="_Toc116106850"/>
      <w:bookmarkStart w:id="393" w:name="_Toc150762081"/>
      <w:del w:id="394" w:author="svcMRProcess" w:date="2018-09-07T22:26:00Z">
        <w:r>
          <w:rPr>
            <w:rStyle w:val="CharSectno"/>
          </w:rPr>
          <w:delText>73</w:delText>
        </w:r>
        <w:r>
          <w:delText>.</w:delText>
        </w:r>
        <w:r>
          <w:tab/>
          <w:delText>Various Acts amended</w:delText>
        </w:r>
        <w:bookmarkEnd w:id="389"/>
        <w:bookmarkEnd w:id="390"/>
        <w:r>
          <w:delText xml:space="preserve"> (Sch. 1)</w:delText>
        </w:r>
        <w:bookmarkEnd w:id="391"/>
        <w:bookmarkEnd w:id="392"/>
        <w:bookmarkEnd w:id="393"/>
      </w:del>
    </w:p>
    <w:p>
      <w:pPr>
        <w:pStyle w:val="nzSubsection"/>
        <w:rPr>
          <w:del w:id="395" w:author="svcMRProcess" w:date="2018-09-07T22:26:00Z"/>
        </w:rPr>
      </w:pPr>
      <w:del w:id="396" w:author="svcMRProcess" w:date="2018-09-07T22:26:00Z">
        <w:r>
          <w:tab/>
        </w:r>
        <w:r>
          <w:tab/>
          <w:delText>Each Act listed in Schedule 1 is amended as set out in that Schedule immediately below the short title of the Act.</w:delText>
        </w:r>
      </w:del>
    </w:p>
    <w:p>
      <w:pPr>
        <w:pStyle w:val="MiscClose"/>
        <w:rPr>
          <w:del w:id="397" w:author="svcMRProcess" w:date="2018-09-07T22:26:00Z"/>
        </w:rPr>
      </w:pPr>
      <w:del w:id="398" w:author="svcMRProcess" w:date="2018-09-07T22:26:00Z">
        <w:r>
          <w:delText>”.</w:delText>
        </w:r>
      </w:del>
    </w:p>
    <w:p>
      <w:pPr>
        <w:pStyle w:val="nzSubsection"/>
        <w:rPr>
          <w:del w:id="399" w:author="svcMRProcess" w:date="2018-09-07T22:26:00Z"/>
        </w:rPr>
      </w:pPr>
      <w:del w:id="400" w:author="svcMRProcess" w:date="2018-09-07T22:26:00Z">
        <w:r>
          <w:delText>Schedule 1 item 12 reads as follows:</w:delText>
        </w:r>
      </w:del>
    </w:p>
    <w:p>
      <w:pPr>
        <w:pStyle w:val="MiscOpen"/>
        <w:rPr>
          <w:del w:id="401" w:author="svcMRProcess" w:date="2018-09-07T22:26:00Z"/>
          <w:snapToGrid w:val="0"/>
        </w:rPr>
      </w:pPr>
      <w:del w:id="402" w:author="svcMRProcess" w:date="2018-09-07T22:26:00Z">
        <w:r>
          <w:rPr>
            <w:snapToGrid w:val="0"/>
          </w:rPr>
          <w:delText>“</w:delText>
        </w:r>
      </w:del>
    </w:p>
    <w:p>
      <w:pPr>
        <w:pStyle w:val="nzHeading2"/>
        <w:rPr>
          <w:del w:id="403" w:author="svcMRProcess" w:date="2018-09-07T22:26:00Z"/>
        </w:rPr>
      </w:pPr>
      <w:bookmarkStart w:id="404" w:name="_Toc116126352"/>
      <w:bookmarkStart w:id="405" w:name="_Toc116181883"/>
      <w:bookmarkStart w:id="406" w:name="_Toc116182399"/>
      <w:bookmarkStart w:id="407" w:name="_Toc116186493"/>
      <w:bookmarkStart w:id="408" w:name="_Toc116188388"/>
      <w:bookmarkStart w:id="409" w:name="_Toc116296007"/>
      <w:bookmarkStart w:id="410" w:name="_Toc116358516"/>
      <w:bookmarkStart w:id="411" w:name="_Toc116449709"/>
      <w:bookmarkStart w:id="412" w:name="_Toc116718964"/>
      <w:bookmarkStart w:id="413" w:name="_Toc117677216"/>
      <w:bookmarkStart w:id="414" w:name="_Toc117677351"/>
      <w:bookmarkStart w:id="415" w:name="_Toc117677471"/>
      <w:bookmarkStart w:id="416" w:name="_Toc118266132"/>
      <w:bookmarkStart w:id="417" w:name="_Toc118266252"/>
      <w:bookmarkStart w:id="418" w:name="_Toc118266372"/>
      <w:bookmarkStart w:id="419" w:name="_Toc118271706"/>
      <w:bookmarkStart w:id="420" w:name="_Toc118278468"/>
      <w:bookmarkStart w:id="421" w:name="_Toc118279005"/>
      <w:bookmarkStart w:id="422" w:name="_Toc118279118"/>
      <w:bookmarkStart w:id="423" w:name="_Toc118280789"/>
      <w:bookmarkStart w:id="424" w:name="_Toc118282630"/>
      <w:bookmarkStart w:id="425" w:name="_Toc119125731"/>
      <w:bookmarkStart w:id="426" w:name="_Toc119126774"/>
      <w:bookmarkStart w:id="427" w:name="_Toc119126891"/>
      <w:bookmarkStart w:id="428" w:name="_Toc119127572"/>
      <w:bookmarkStart w:id="429" w:name="_Toc119916293"/>
      <w:bookmarkStart w:id="430" w:name="_Toc120069419"/>
      <w:bookmarkStart w:id="431" w:name="_Toc120069799"/>
      <w:bookmarkStart w:id="432" w:name="_Toc120069953"/>
      <w:bookmarkStart w:id="433" w:name="_Toc120074554"/>
      <w:bookmarkStart w:id="434" w:name="_Toc120075014"/>
      <w:bookmarkStart w:id="435" w:name="_Toc120347185"/>
      <w:bookmarkStart w:id="436" w:name="_Toc120347357"/>
      <w:bookmarkStart w:id="437" w:name="_Toc120348971"/>
      <w:bookmarkStart w:id="438" w:name="_Toc120354514"/>
      <w:bookmarkStart w:id="439" w:name="_Toc120421707"/>
      <w:bookmarkStart w:id="440" w:name="_Toc120443181"/>
      <w:bookmarkStart w:id="441" w:name="_Toc131970206"/>
      <w:bookmarkStart w:id="442" w:name="_Toc149981120"/>
      <w:bookmarkStart w:id="443" w:name="_Toc149981253"/>
      <w:bookmarkStart w:id="444" w:name="_Toc149981386"/>
      <w:bookmarkStart w:id="445" w:name="_Toc149981519"/>
      <w:bookmarkStart w:id="446" w:name="_Toc150762082"/>
      <w:del w:id="447" w:author="svcMRProcess" w:date="2018-09-07T22:26: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del>
    </w:p>
    <w:p>
      <w:pPr>
        <w:pStyle w:val="nzMiscellaneousBody"/>
        <w:jc w:val="right"/>
        <w:rPr>
          <w:del w:id="448" w:author="svcMRProcess" w:date="2018-09-07T22:26:00Z"/>
        </w:rPr>
      </w:pPr>
      <w:del w:id="449" w:author="svcMRProcess" w:date="2018-09-07T22:26:00Z">
        <w:r>
          <w:delText>[s. 73]</w:delText>
        </w:r>
      </w:del>
    </w:p>
    <w:p>
      <w:pPr>
        <w:pStyle w:val="nzHeading5"/>
        <w:rPr>
          <w:del w:id="450" w:author="svcMRProcess" w:date="2018-09-07T22:26:00Z"/>
          <w:rStyle w:val="CharSClsNo"/>
        </w:rPr>
      </w:pPr>
      <w:bookmarkStart w:id="451" w:name="_Toc150762094"/>
      <w:del w:id="452" w:author="svcMRProcess" w:date="2018-09-07T22:26:00Z">
        <w:r>
          <w:rPr>
            <w:rStyle w:val="CharSClsNo"/>
          </w:rPr>
          <w:delText>12</w:delText>
        </w:r>
        <w:r>
          <w:delText>.</w:delText>
        </w:r>
        <w:r>
          <w:tab/>
        </w:r>
        <w:r>
          <w:rPr>
            <w:i/>
          </w:rPr>
          <w:delText>Public Interest Disclosure Act 2003</w:delText>
        </w:r>
        <w:bookmarkEnd w:id="451"/>
      </w:del>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51"/>
        <w:gridCol w:w="4886"/>
      </w:tblGrid>
      <w:tr>
        <w:trPr>
          <w:cantSplit/>
          <w:del w:id="453" w:author="svcMRProcess" w:date="2018-09-07T22:26:00Z"/>
        </w:trPr>
        <w:tc>
          <w:tcPr>
            <w:tcW w:w="1351" w:type="dxa"/>
          </w:tcPr>
          <w:p>
            <w:pPr>
              <w:pStyle w:val="nzTable"/>
              <w:rPr>
                <w:del w:id="454" w:author="svcMRProcess" w:date="2018-09-07T22:26:00Z"/>
              </w:rPr>
            </w:pPr>
            <w:del w:id="455" w:author="svcMRProcess" w:date="2018-09-07T22:26:00Z">
              <w:r>
                <w:delText>s. 3(1)</w:delText>
              </w:r>
            </w:del>
          </w:p>
        </w:tc>
        <w:tc>
          <w:tcPr>
            <w:tcW w:w="4886" w:type="dxa"/>
          </w:tcPr>
          <w:p>
            <w:pPr>
              <w:pStyle w:val="nzTable"/>
              <w:rPr>
                <w:del w:id="456" w:author="svcMRProcess" w:date="2018-09-07T22:26:00Z"/>
              </w:rPr>
            </w:pPr>
            <w:del w:id="457" w:author="svcMRProcess" w:date="2018-09-07T22:26:00Z">
              <w:r>
                <w:delText>Amend the definition of “police officer” as follows —</w:delText>
              </w:r>
            </w:del>
          </w:p>
          <w:p>
            <w:pPr>
              <w:pStyle w:val="nzTable"/>
              <w:rPr>
                <w:del w:id="458" w:author="svcMRProcess" w:date="2018-09-07T22:26:00Z"/>
              </w:rPr>
            </w:pPr>
            <w:del w:id="459" w:author="svcMRProcess" w:date="2018-09-07T22:26:00Z">
              <w:r>
                <w:delText>(a)</w:delText>
              </w:r>
              <w:r>
                <w:tab/>
                <w:delText>insert “or” after paragraph (a);</w:delText>
              </w:r>
            </w:del>
          </w:p>
          <w:p>
            <w:pPr>
              <w:pStyle w:val="nzTable"/>
              <w:rPr>
                <w:del w:id="460" w:author="svcMRProcess" w:date="2018-09-07T22:26:00Z"/>
              </w:rPr>
            </w:pPr>
            <w:del w:id="461" w:author="svcMRProcess" w:date="2018-09-07T22:26:00Z">
              <w:r>
                <w:delText>(b)</w:delText>
              </w:r>
              <w:r>
                <w:tab/>
                <w:delText>delete paragraph (b) and “or” after it.</w:delText>
              </w:r>
            </w:del>
          </w:p>
        </w:tc>
      </w:tr>
    </w:tbl>
    <w:p>
      <w:pPr>
        <w:pStyle w:val="MiscClose"/>
        <w:rPr>
          <w:del w:id="462" w:author="svcMRProcess" w:date="2018-09-07T22:26:00Z"/>
        </w:rPr>
      </w:pPr>
      <w:del w:id="463" w:author="svcMRProcess" w:date="2018-09-07T22:2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15"/>
    <w:docVar w:name="WAFER_20151209084315" w:val="RemoveTrackChanges"/>
    <w:docVar w:name="WAFER_20151209084315_GUID" w:val="900aa527-dec2-42fe-b16e-b0ad6e05a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5477</Words>
  <Characters>26783</Characters>
  <Application>Microsoft Office Word</Application>
  <DocSecurity>0</DocSecurity>
  <Lines>765</Lines>
  <Paragraphs>408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31852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00-d0-04 - 00-e0-03</dc:title>
  <dc:subject/>
  <dc:creator/>
  <cp:keywords/>
  <dc:description/>
  <cp:lastModifiedBy>svcMRProcess</cp:lastModifiedBy>
  <cp:revision>2</cp:revision>
  <cp:lastPrinted>2004-07-07T01:59:00Z</cp:lastPrinted>
  <dcterms:created xsi:type="dcterms:W3CDTF">2018-09-07T14:26:00Z</dcterms:created>
  <dcterms:modified xsi:type="dcterms:W3CDTF">2018-09-07T14:26:00Z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6372</vt:i4>
  </property>
  <property fmtid="{D5CDD505-2E9C-101B-9397-08002B2CF9AE}" pid="6" name="FromSuffix">
    <vt:lpwstr>00-d0-04</vt:lpwstr>
  </property>
  <property fmtid="{D5CDD505-2E9C-101B-9397-08002B2CF9AE}" pid="7" name="FromAsAtDate">
    <vt:lpwstr>01 Feb 2007</vt:lpwstr>
  </property>
  <property fmtid="{D5CDD505-2E9C-101B-9397-08002B2CF9AE}" pid="8" name="ToSuffix">
    <vt:lpwstr>00-e0-03</vt:lpwstr>
  </property>
  <property fmtid="{D5CDD505-2E9C-101B-9397-08002B2CF9AE}" pid="9" name="ToAsAtDate">
    <vt:lpwstr>01 Jul 2007</vt:lpwstr>
  </property>
</Properties>
</file>