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  <w:lang w:eastAsia="en-A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Registration of Deeds Regulations 2004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10 Jul 2005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00-b0-03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02 Jul 2007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00-c0-02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</w:pPr>
      <w:r>
        <w:t>Registration of Deeds Act 1856</w:t>
      </w:r>
    </w:p>
    <w:p>
      <w:pPr>
        <w:pStyle w:val="NameofActReg"/>
      </w:pPr>
      <w:r>
        <w:t>Registration of Deeds Regulations 2004</w:t>
      </w:r>
    </w:p>
    <w:p>
      <w:pPr>
        <w:pStyle w:val="Heading5"/>
      </w:pPr>
      <w:bookmarkStart w:id="0" w:name="_Toc423332722"/>
      <w:bookmarkStart w:id="1" w:name="_Toc425219441"/>
      <w:bookmarkStart w:id="2" w:name="_Toc426249308"/>
      <w:bookmarkStart w:id="3" w:name="_Toc449924704"/>
      <w:bookmarkStart w:id="4" w:name="_Toc449947722"/>
      <w:bookmarkStart w:id="5" w:name="_Toc454185713"/>
      <w:bookmarkStart w:id="6" w:name="_Toc515958686"/>
      <w:bookmarkStart w:id="7" w:name="_Toc108230201"/>
      <w:bookmarkStart w:id="8" w:name="_Toc171075814"/>
      <w:bookmarkStart w:id="9" w:name="_Toc140302063"/>
      <w:r>
        <w:rPr>
          <w:rStyle w:val="CharSectno"/>
        </w:rPr>
        <w:t>1</w:t>
      </w:r>
      <w:bookmarkStart w:id="10" w:name="_GoBack"/>
      <w:bookmarkEnd w:id="10"/>
      <w:r>
        <w:t>.</w:t>
      </w:r>
      <w:r>
        <w:tab/>
        <w:t>Citation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</w:p>
    <w:p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may be cited as the </w:t>
      </w:r>
      <w:r>
        <w:rPr>
          <w:i/>
        </w:rPr>
        <w:t>Registration of Deeds Regulations 2004</w:t>
      </w:r>
      <w:r>
        <w:t>.</w:t>
      </w:r>
    </w:p>
    <w:p>
      <w:pPr>
        <w:pStyle w:val="Heading5"/>
        <w:rPr>
          <w:spacing w:val="-2"/>
        </w:rPr>
      </w:pPr>
      <w:bookmarkStart w:id="11" w:name="_Toc423332723"/>
      <w:bookmarkStart w:id="12" w:name="_Toc425219442"/>
      <w:bookmarkStart w:id="13" w:name="_Toc426249309"/>
      <w:bookmarkStart w:id="14" w:name="_Toc449924705"/>
      <w:bookmarkStart w:id="15" w:name="_Toc449947723"/>
      <w:bookmarkStart w:id="16" w:name="_Toc454185714"/>
      <w:bookmarkStart w:id="17" w:name="_Toc515958687"/>
      <w:bookmarkStart w:id="18" w:name="_Toc108230202"/>
      <w:bookmarkStart w:id="19" w:name="_Toc171075815"/>
      <w:bookmarkStart w:id="20" w:name="_Toc140302064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regulations come into operation on 6 September 2004.</w:t>
      </w:r>
    </w:p>
    <w:p>
      <w:pPr>
        <w:pStyle w:val="Heading5"/>
        <w:rPr>
          <w:snapToGrid w:val="0"/>
        </w:rPr>
      </w:pPr>
      <w:bookmarkStart w:id="21" w:name="_Toc485787279"/>
      <w:bookmarkStart w:id="22" w:name="_Toc519584210"/>
      <w:bookmarkStart w:id="23" w:name="_Toc108230203"/>
      <w:bookmarkStart w:id="24" w:name="_Toc171075816"/>
      <w:bookmarkStart w:id="25" w:name="_Toc140302065"/>
      <w:r>
        <w:rPr>
          <w:rStyle w:val="CharSectno"/>
        </w:rPr>
        <w:t>3</w:t>
      </w:r>
      <w:r>
        <w:t>.</w:t>
      </w:r>
      <w:r>
        <w:tab/>
      </w:r>
      <w:r>
        <w:rPr>
          <w:snapToGrid w:val="0"/>
        </w:rPr>
        <w:t>Interpretation</w:t>
      </w:r>
      <w:bookmarkEnd w:id="21"/>
      <w:bookmarkEnd w:id="22"/>
      <w:bookmarkEnd w:id="23"/>
      <w:bookmarkEnd w:id="24"/>
      <w:bookmarkEnd w:id="25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 these regulations, unless the context requires otherwise — </w:t>
      </w:r>
    </w:p>
    <w:p>
      <w:pPr>
        <w:pStyle w:val="Defstart"/>
      </w:pPr>
      <w:r>
        <w:rPr>
          <w:b/>
        </w:rPr>
        <w:tab/>
        <w:t>“</w:t>
      </w:r>
      <w:r>
        <w:rPr>
          <w:rStyle w:val="CharDefText"/>
        </w:rPr>
        <w:t>memorial</w:t>
      </w:r>
      <w:r>
        <w:rPr>
          <w:b/>
        </w:rPr>
        <w:t>”</w:t>
      </w:r>
      <w:r>
        <w:t xml:space="preserve"> means any judgment, deed, will, conveyance or instrument presented for registration;</w:t>
      </w:r>
    </w:p>
    <w:p>
      <w:pPr>
        <w:pStyle w:val="Defstart"/>
      </w:pPr>
      <w:r>
        <w:rPr>
          <w:b/>
        </w:rPr>
        <w:tab/>
        <w:t>“</w:t>
      </w:r>
      <w:r>
        <w:rPr>
          <w:rStyle w:val="CharDefText"/>
        </w:rPr>
        <w:t>Registrar</w:t>
      </w:r>
      <w:r>
        <w:rPr>
          <w:b/>
        </w:rPr>
        <w:t>”</w:t>
      </w:r>
      <w:r>
        <w:t xml:space="preserve"> means the Registrar of Deeds and Transfers.</w:t>
      </w:r>
    </w:p>
    <w:p>
      <w:pPr>
        <w:pStyle w:val="Heading5"/>
        <w:rPr>
          <w:snapToGrid w:val="0"/>
        </w:rPr>
      </w:pPr>
      <w:bookmarkStart w:id="26" w:name="_Toc485787280"/>
      <w:bookmarkStart w:id="27" w:name="_Toc519584211"/>
      <w:bookmarkStart w:id="28" w:name="_Toc108230204"/>
      <w:bookmarkStart w:id="29" w:name="_Toc171075817"/>
      <w:bookmarkStart w:id="30" w:name="_Toc140302066"/>
      <w:r>
        <w:rPr>
          <w:rStyle w:val="CharSectno"/>
        </w:rPr>
        <w:t>4</w:t>
      </w:r>
      <w:r>
        <w:t>.</w:t>
      </w:r>
      <w:r>
        <w:tab/>
      </w:r>
      <w:r>
        <w:rPr>
          <w:snapToGrid w:val="0"/>
        </w:rPr>
        <w:t>Documents</w:t>
      </w:r>
      <w:bookmarkEnd w:id="26"/>
      <w:bookmarkEnd w:id="27"/>
      <w:bookmarkEnd w:id="28"/>
      <w:bookmarkEnd w:id="29"/>
      <w:bookmarkEnd w:id="30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Every memorial presented for registration is to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 xml:space="preserve">be prepared on good quality paper approved by the Registrar and having the dimensions of </w:t>
      </w:r>
      <w:r>
        <w:t>210 mm by 297 mm;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be clearly and legibly handwritten in ink, printed or typewritten;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have a binding margin on each page of 51 mm free of written, printed or typewritten matter with the binding margin on the left hand side of the face sheet and on a corresponding side for all subsequent sheets;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>have all writing, printing, type or other matter appearing on the memorial of sufficient strength to bear photographic reproduction.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The Registrar may reject for registration a memorial which does not comply with this regulation.</w:t>
      </w:r>
    </w:p>
    <w:p>
      <w:pPr>
        <w:pStyle w:val="Footnotesection"/>
      </w:pPr>
      <w:r>
        <w:tab/>
        <w:t>[Regulation 4 amended in Gazette 7 Jul 2006 p. 2512.]</w:t>
      </w:r>
    </w:p>
    <w:p>
      <w:pPr>
        <w:pStyle w:val="Heading5"/>
        <w:rPr>
          <w:snapToGrid w:val="0"/>
        </w:rPr>
      </w:pPr>
      <w:bookmarkStart w:id="31" w:name="_Toc485787281"/>
      <w:bookmarkStart w:id="32" w:name="_Toc519584212"/>
      <w:bookmarkStart w:id="33" w:name="_Toc108230205"/>
      <w:bookmarkStart w:id="34" w:name="_Toc171075818"/>
      <w:bookmarkStart w:id="35" w:name="_Toc140302067"/>
      <w:r>
        <w:rPr>
          <w:rStyle w:val="CharSectno"/>
        </w:rPr>
        <w:t>5</w:t>
      </w:r>
      <w:r>
        <w:t>.</w:t>
      </w:r>
      <w:r>
        <w:tab/>
      </w:r>
      <w:r>
        <w:rPr>
          <w:snapToGrid w:val="0"/>
        </w:rPr>
        <w:t>Fees</w:t>
      </w:r>
      <w:bookmarkEnd w:id="31"/>
      <w:bookmarkEnd w:id="32"/>
      <w:bookmarkEnd w:id="33"/>
      <w:bookmarkEnd w:id="34"/>
      <w:bookmarkEnd w:id="35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fees to be charged by the Registrar are set out in Schedule 1.</w:t>
      </w:r>
    </w:p>
    <w:p>
      <w:pPr>
        <w:pStyle w:val="Heading5"/>
        <w:rPr>
          <w:snapToGrid w:val="0"/>
        </w:rPr>
      </w:pPr>
      <w:bookmarkStart w:id="36" w:name="_Toc423332724"/>
      <w:bookmarkStart w:id="37" w:name="_Toc425219443"/>
      <w:bookmarkStart w:id="38" w:name="_Toc426249310"/>
      <w:bookmarkStart w:id="39" w:name="_Toc449924706"/>
      <w:bookmarkStart w:id="40" w:name="_Toc449947724"/>
      <w:bookmarkStart w:id="41" w:name="_Toc454185715"/>
      <w:bookmarkStart w:id="42" w:name="_Toc515958688"/>
      <w:bookmarkStart w:id="43" w:name="_Toc108230206"/>
      <w:bookmarkStart w:id="44" w:name="_Toc171075819"/>
      <w:bookmarkStart w:id="45" w:name="_Toc140302068"/>
      <w:r>
        <w:rPr>
          <w:rStyle w:val="CharSectno"/>
        </w:rPr>
        <w:t>6</w:t>
      </w:r>
      <w:r>
        <w:rPr>
          <w:snapToGrid w:val="0"/>
        </w:rPr>
        <w:t>.</w:t>
      </w:r>
      <w:r>
        <w:rPr>
          <w:snapToGrid w:val="0"/>
        </w:rPr>
        <w:tab/>
      </w:r>
      <w:bookmarkEnd w:id="36"/>
      <w:bookmarkEnd w:id="37"/>
      <w:bookmarkEnd w:id="38"/>
      <w:bookmarkEnd w:id="39"/>
      <w:bookmarkEnd w:id="40"/>
      <w:bookmarkEnd w:id="41"/>
      <w:bookmarkEnd w:id="42"/>
      <w:r>
        <w:rPr>
          <w:i/>
          <w:snapToGrid w:val="0"/>
        </w:rPr>
        <w:t xml:space="preserve">Registration of Deeds Regulations 1974 </w:t>
      </w:r>
      <w:r>
        <w:rPr>
          <w:snapToGrid w:val="0"/>
        </w:rPr>
        <w:t>repealed</w:t>
      </w:r>
      <w:bookmarkEnd w:id="43"/>
      <w:bookmarkEnd w:id="44"/>
      <w:bookmarkEnd w:id="45"/>
    </w:p>
    <w:p>
      <w:pPr>
        <w:pStyle w:val="Subsection"/>
      </w:pPr>
      <w:r>
        <w:tab/>
      </w:r>
      <w:r>
        <w:tab/>
        <w:t xml:space="preserve">The </w:t>
      </w:r>
      <w:r>
        <w:rPr>
          <w:i/>
        </w:rPr>
        <w:t>Registration of Deeds Regulations 1974</w:t>
      </w:r>
      <w:r>
        <w:t xml:space="preserve"> are repealed.</w:t>
      </w:r>
    </w:p>
    <w:p>
      <w:pPr>
        <w:rPr>
          <w:rStyle w:val="CharDivText"/>
        </w:r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endnotePr>
            <w:numFmt w:val="decimal"/>
          </w:endnotePr>
          <w:pgSz w:w="11906" w:h="16838" w:code="9"/>
          <w:pgMar w:top="2381" w:right="2409" w:bottom="3543" w:left="2409" w:header="720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46" w:name="_Toc108230207"/>
      <w:bookmarkStart w:id="47" w:name="_Toc140038605"/>
      <w:bookmarkStart w:id="48" w:name="_Toc140302069"/>
      <w:bookmarkStart w:id="49" w:name="_Toc170812769"/>
      <w:bookmarkStart w:id="50" w:name="_Toc171075820"/>
      <w:r>
        <w:rPr>
          <w:rStyle w:val="CharSchNo"/>
        </w:rPr>
        <w:t>Schedule 1</w:t>
      </w:r>
      <w:r>
        <w:t xml:space="preserve"> — </w:t>
      </w:r>
      <w:r>
        <w:rPr>
          <w:rStyle w:val="CharSchText"/>
        </w:rPr>
        <w:t>Fees to be charged by the Registrar</w:t>
      </w:r>
      <w:bookmarkEnd w:id="46"/>
      <w:bookmarkEnd w:id="47"/>
      <w:bookmarkEnd w:id="48"/>
      <w:bookmarkEnd w:id="49"/>
      <w:bookmarkEnd w:id="50"/>
    </w:p>
    <w:p>
      <w:pPr>
        <w:pStyle w:val="yShoulderClause"/>
        <w:spacing w:after="120"/>
        <w:rPr>
          <w:b/>
          <w:i/>
        </w:rPr>
      </w:pPr>
      <w:r>
        <w:t>[r. 5]</w:t>
      </w:r>
      <w:r>
        <w:rPr>
          <w:b/>
          <w:i/>
        </w:rPr>
        <w:t xml:space="preserve"> </w:t>
      </w:r>
    </w:p>
    <w:p>
      <w:pPr>
        <w:pStyle w:val="yHeading3"/>
      </w:pPr>
      <w:bookmarkStart w:id="51" w:name="_Toc108230208"/>
      <w:bookmarkStart w:id="52" w:name="_Toc140038606"/>
      <w:bookmarkStart w:id="53" w:name="_Toc140302070"/>
      <w:bookmarkStart w:id="54" w:name="_Toc170812770"/>
      <w:bookmarkStart w:id="55" w:name="_Toc171075821"/>
      <w:r>
        <w:t>Division 1 — Registrations</w:t>
      </w:r>
      <w:bookmarkEnd w:id="51"/>
      <w:bookmarkEnd w:id="52"/>
      <w:bookmarkEnd w:id="53"/>
      <w:bookmarkEnd w:id="54"/>
      <w:bookmarkEnd w:id="55"/>
    </w:p>
    <w:tbl>
      <w:tblPr>
        <w:tblW w:w="0" w:type="auto"/>
        <w:tblInd w:w="284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25"/>
        <w:gridCol w:w="5245"/>
        <w:gridCol w:w="1276"/>
      </w:tblGrid>
      <w:tr>
        <w:tc>
          <w:tcPr>
            <w:tcW w:w="425" w:type="dxa"/>
          </w:tcPr>
          <w:p>
            <w:pPr>
              <w:pStyle w:val="yTable"/>
              <w:spacing w:before="0"/>
              <w:ind w:left="-142"/>
            </w:pPr>
            <w:r>
              <w:t>1.</w:t>
            </w:r>
          </w:p>
        </w:tc>
        <w:tc>
          <w:tcPr>
            <w:tcW w:w="5245" w:type="dxa"/>
          </w:tcPr>
          <w:p>
            <w:pPr>
              <w:pStyle w:val="yTable"/>
              <w:tabs>
                <w:tab w:val="right" w:leader="dot" w:pos="5245"/>
              </w:tabs>
              <w:spacing w:before="0"/>
            </w:pPr>
            <w:r>
              <w:t>For registering, recording, enrolling or receiving on deposit, any memorial, enrolment or instrument ............</w:t>
            </w:r>
          </w:p>
        </w:tc>
        <w:tc>
          <w:tcPr>
            <w:tcW w:w="1276" w:type="dxa"/>
          </w:tcPr>
          <w:p>
            <w:pPr>
              <w:pStyle w:val="yTable"/>
              <w:spacing w:before="0"/>
              <w:ind w:left="-142" w:right="-284"/>
              <w:jc w:val="center"/>
            </w:pPr>
            <w:r>
              <w:br/>
              <w:t>$</w:t>
            </w:r>
            <w:del w:id="56" w:author="Master Repository Process" w:date="2021-09-12T08:47:00Z">
              <w:r>
                <w:delText>82</w:delText>
              </w:r>
            </w:del>
            <w:ins w:id="57" w:author="Master Repository Process" w:date="2021-09-12T08:47:00Z">
              <w:r>
                <w:t>85</w:t>
              </w:r>
            </w:ins>
          </w:p>
        </w:tc>
      </w:tr>
      <w:tr>
        <w:tc>
          <w:tcPr>
            <w:tcW w:w="425" w:type="dxa"/>
          </w:tcPr>
          <w:p>
            <w:pPr>
              <w:pStyle w:val="yTable"/>
              <w:spacing w:before="0"/>
              <w:ind w:left="-142"/>
            </w:pPr>
            <w:r>
              <w:t>2.</w:t>
            </w:r>
          </w:p>
        </w:tc>
        <w:tc>
          <w:tcPr>
            <w:tcW w:w="5245" w:type="dxa"/>
          </w:tcPr>
          <w:p>
            <w:pPr>
              <w:pStyle w:val="yTable"/>
              <w:tabs>
                <w:tab w:val="right" w:leader="dot" w:pos="5245"/>
              </w:tabs>
              <w:spacing w:before="0"/>
            </w:pPr>
            <w:r>
              <w:t>For cancelling or amending a registration by order of the Court .........................................................................</w:t>
            </w:r>
          </w:p>
        </w:tc>
        <w:tc>
          <w:tcPr>
            <w:tcW w:w="1276" w:type="dxa"/>
          </w:tcPr>
          <w:p>
            <w:pPr>
              <w:pStyle w:val="yTable"/>
              <w:spacing w:before="0"/>
              <w:ind w:left="-142" w:right="-284"/>
              <w:jc w:val="center"/>
            </w:pPr>
            <w:r>
              <w:br/>
              <w:t>$</w:t>
            </w:r>
            <w:del w:id="58" w:author="Master Repository Process" w:date="2021-09-12T08:47:00Z">
              <w:r>
                <w:delText>82</w:delText>
              </w:r>
            </w:del>
            <w:ins w:id="59" w:author="Master Repository Process" w:date="2021-09-12T08:47:00Z">
              <w:r>
                <w:t>85</w:t>
              </w:r>
            </w:ins>
          </w:p>
        </w:tc>
      </w:tr>
    </w:tbl>
    <w:p>
      <w:pPr>
        <w:pStyle w:val="yFootnotesection"/>
      </w:pPr>
      <w:r>
        <w:tab/>
        <w:t>[Division 1 amended in Gazette 24 Jun 2005 p. 2761; 7 Jul 2006 p. 2512</w:t>
      </w:r>
      <w:ins w:id="60" w:author="Master Repository Process" w:date="2021-09-12T08:47:00Z">
        <w:r>
          <w:t>; 25 Jun 2007 p. 2966</w:t>
        </w:r>
        <w:r>
          <w:noBreakHyphen/>
          <w:t>7</w:t>
        </w:r>
      </w:ins>
      <w:r>
        <w:t>.]</w:t>
      </w:r>
    </w:p>
    <w:p>
      <w:pPr>
        <w:pStyle w:val="yHeading3"/>
      </w:pPr>
      <w:bookmarkStart w:id="61" w:name="_Toc108230209"/>
      <w:bookmarkStart w:id="62" w:name="_Toc140038607"/>
      <w:bookmarkStart w:id="63" w:name="_Toc140302071"/>
      <w:bookmarkStart w:id="64" w:name="_Toc170812771"/>
      <w:bookmarkStart w:id="65" w:name="_Toc171075822"/>
      <w:r>
        <w:t>Division 2 — Reproduction of documents</w:t>
      </w:r>
      <w:bookmarkEnd w:id="61"/>
      <w:bookmarkEnd w:id="62"/>
      <w:bookmarkEnd w:id="63"/>
      <w:bookmarkEnd w:id="64"/>
      <w:bookmarkEnd w:id="65"/>
    </w:p>
    <w:tbl>
      <w:tblPr>
        <w:tblW w:w="0" w:type="auto"/>
        <w:tblInd w:w="284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25"/>
        <w:gridCol w:w="5245"/>
        <w:gridCol w:w="1276"/>
      </w:tblGrid>
      <w:tr>
        <w:tc>
          <w:tcPr>
            <w:tcW w:w="425" w:type="dxa"/>
          </w:tcPr>
          <w:p>
            <w:pPr>
              <w:pStyle w:val="yTable"/>
              <w:spacing w:before="0"/>
              <w:ind w:left="-142"/>
            </w:pPr>
            <w:r>
              <w:t>1.</w:t>
            </w:r>
          </w:p>
        </w:tc>
        <w:tc>
          <w:tcPr>
            <w:tcW w:w="5245" w:type="dxa"/>
          </w:tcPr>
          <w:p>
            <w:pPr>
              <w:pStyle w:val="yTable"/>
              <w:tabs>
                <w:tab w:val="right" w:leader="dot" w:pos="5245"/>
              </w:tabs>
              <w:spacing w:before="0"/>
              <w:rPr>
                <w:b/>
                <w:i/>
              </w:rPr>
            </w:pPr>
            <w:r>
              <w:t>For a photocopy supplied of a memorial or other document not specifically provided for ..........................</w:t>
            </w:r>
          </w:p>
        </w:tc>
        <w:tc>
          <w:tcPr>
            <w:tcW w:w="1276" w:type="dxa"/>
          </w:tcPr>
          <w:p>
            <w:pPr>
              <w:pStyle w:val="yTable"/>
              <w:spacing w:before="0"/>
              <w:ind w:left="-142" w:right="-284"/>
              <w:jc w:val="center"/>
            </w:pPr>
            <w:r>
              <w:br/>
              <w:t>$13</w:t>
            </w:r>
            <w:ins w:id="66" w:author="Master Repository Process" w:date="2021-09-12T08:47:00Z">
              <w:r>
                <w:t>.50</w:t>
              </w:r>
            </w:ins>
          </w:p>
        </w:tc>
      </w:tr>
    </w:tbl>
    <w:p>
      <w:pPr>
        <w:pStyle w:val="yFootnotesection"/>
      </w:pPr>
      <w:bookmarkStart w:id="67" w:name="_Toc108230210"/>
      <w:r>
        <w:tab/>
        <w:t>[Division 2 amended in Gazette 7 Jul 2006 p. 2512</w:t>
      </w:r>
      <w:ins w:id="68" w:author="Master Repository Process" w:date="2021-09-12T08:47:00Z">
        <w:r>
          <w:t>; 25 Jun 2007 p. 2967</w:t>
        </w:r>
      </w:ins>
      <w:r>
        <w:t>.]</w:t>
      </w:r>
    </w:p>
    <w:p>
      <w:pPr>
        <w:pStyle w:val="yHeading3"/>
      </w:pPr>
      <w:bookmarkStart w:id="69" w:name="_Toc140038608"/>
      <w:bookmarkStart w:id="70" w:name="_Toc140302072"/>
      <w:bookmarkStart w:id="71" w:name="_Toc170812772"/>
      <w:bookmarkStart w:id="72" w:name="_Toc171075823"/>
      <w:r>
        <w:t>Division 3 — Miscellaneous</w:t>
      </w:r>
      <w:bookmarkEnd w:id="67"/>
      <w:bookmarkEnd w:id="69"/>
      <w:bookmarkEnd w:id="70"/>
      <w:bookmarkEnd w:id="71"/>
      <w:bookmarkEnd w:id="72"/>
    </w:p>
    <w:tbl>
      <w:tblPr>
        <w:tblW w:w="0" w:type="auto"/>
        <w:tblInd w:w="284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25"/>
        <w:gridCol w:w="5245"/>
        <w:gridCol w:w="1276"/>
      </w:tblGrid>
      <w:tr>
        <w:tc>
          <w:tcPr>
            <w:tcW w:w="425" w:type="dxa"/>
          </w:tcPr>
          <w:p>
            <w:pPr>
              <w:pStyle w:val="yTable"/>
              <w:spacing w:before="0"/>
              <w:ind w:left="-142"/>
            </w:pPr>
            <w:r>
              <w:t>1.</w:t>
            </w:r>
          </w:p>
        </w:tc>
        <w:tc>
          <w:tcPr>
            <w:tcW w:w="5245" w:type="dxa"/>
          </w:tcPr>
          <w:p>
            <w:pPr>
              <w:pStyle w:val="yTable"/>
              <w:tabs>
                <w:tab w:val="right" w:leader="dot" w:pos="5245"/>
              </w:tabs>
              <w:spacing w:before="0"/>
            </w:pPr>
            <w:r>
              <w:t>For a certification by the Registrar .................................</w:t>
            </w:r>
          </w:p>
        </w:tc>
        <w:tc>
          <w:tcPr>
            <w:tcW w:w="1276" w:type="dxa"/>
          </w:tcPr>
          <w:p>
            <w:pPr>
              <w:pStyle w:val="yTable"/>
              <w:spacing w:before="0"/>
              <w:ind w:left="-142" w:right="-284"/>
              <w:jc w:val="center"/>
            </w:pPr>
            <w:r>
              <w:t>$60</w:t>
            </w:r>
          </w:p>
        </w:tc>
      </w:tr>
      <w:tr>
        <w:tc>
          <w:tcPr>
            <w:tcW w:w="425" w:type="dxa"/>
          </w:tcPr>
          <w:p>
            <w:pPr>
              <w:pStyle w:val="yTable"/>
              <w:spacing w:before="0"/>
              <w:ind w:left="-142"/>
            </w:pPr>
            <w:r>
              <w:t>2.</w:t>
            </w:r>
          </w:p>
        </w:tc>
        <w:tc>
          <w:tcPr>
            <w:tcW w:w="5245" w:type="dxa"/>
          </w:tcPr>
          <w:p>
            <w:pPr>
              <w:pStyle w:val="yTable"/>
              <w:tabs>
                <w:tab w:val="right" w:leader="dot" w:pos="5245"/>
              </w:tabs>
              <w:spacing w:before="0"/>
            </w:pPr>
            <w:r>
              <w:t xml:space="preserve">Withdrawal of a memorial under the </w:t>
            </w:r>
            <w:r>
              <w:rPr>
                <w:i/>
              </w:rPr>
              <w:t xml:space="preserve">Land Tax Assessment Act 1976 </w:t>
            </w:r>
            <w:r>
              <w:t xml:space="preserve">section 46 or the </w:t>
            </w:r>
            <w:r>
              <w:rPr>
                <w:i/>
              </w:rPr>
              <w:t>Taxation Administration Act 2003</w:t>
            </w:r>
            <w:r>
              <w:t xml:space="preserve"> Part 6 Division 2 .....................</w:t>
            </w:r>
          </w:p>
        </w:tc>
        <w:tc>
          <w:tcPr>
            <w:tcW w:w="1276" w:type="dxa"/>
          </w:tcPr>
          <w:p>
            <w:pPr>
              <w:pStyle w:val="yTable"/>
              <w:spacing w:before="0"/>
              <w:ind w:left="-142" w:right="-284"/>
              <w:jc w:val="center"/>
            </w:pPr>
            <w:r>
              <w:br/>
            </w:r>
            <w:r>
              <w:br/>
              <w:t>$</w:t>
            </w:r>
            <w:del w:id="73" w:author="Master Repository Process" w:date="2021-09-12T08:47:00Z">
              <w:r>
                <w:delText>82</w:delText>
              </w:r>
            </w:del>
            <w:ins w:id="74" w:author="Master Repository Process" w:date="2021-09-12T08:47:00Z">
              <w:r>
                <w:t>85</w:t>
              </w:r>
            </w:ins>
          </w:p>
        </w:tc>
      </w:tr>
      <w:tr>
        <w:tc>
          <w:tcPr>
            <w:tcW w:w="425" w:type="dxa"/>
          </w:tcPr>
          <w:p>
            <w:pPr>
              <w:pStyle w:val="yTable"/>
              <w:spacing w:before="0"/>
              <w:ind w:left="-142"/>
            </w:pPr>
            <w:r>
              <w:t>3.</w:t>
            </w:r>
          </w:p>
        </w:tc>
        <w:tc>
          <w:tcPr>
            <w:tcW w:w="5245" w:type="dxa"/>
          </w:tcPr>
          <w:p>
            <w:pPr>
              <w:pStyle w:val="yTable"/>
              <w:tabs>
                <w:tab w:val="right" w:leader="dot" w:pos="5245"/>
              </w:tabs>
              <w:spacing w:before="0"/>
            </w:pPr>
            <w:r>
              <w:t>For any service not mentioned in this Schedule .............</w:t>
            </w:r>
          </w:p>
        </w:tc>
        <w:tc>
          <w:tcPr>
            <w:tcW w:w="1276" w:type="dxa"/>
          </w:tcPr>
          <w:p>
            <w:pPr>
              <w:pStyle w:val="yTable"/>
              <w:spacing w:before="0"/>
              <w:ind w:left="-142" w:right="-284"/>
              <w:rPr>
                <w:sz w:val="18"/>
              </w:rPr>
            </w:pPr>
            <w:r>
              <w:rPr>
                <w:sz w:val="18"/>
              </w:rPr>
              <w:t>fee, if any, as assessed by the Registrar, not exceeding actual cost</w:t>
            </w:r>
          </w:p>
        </w:tc>
      </w:tr>
    </w:tbl>
    <w:p>
      <w:pPr>
        <w:pStyle w:val="yFootnotesection"/>
      </w:pPr>
      <w:r>
        <w:tab/>
        <w:t>[Division 3 amended in Gazette 24 Jun 2005 p. 2761; 7 Jul 2006 p. 2512</w:t>
      </w:r>
      <w:ins w:id="75" w:author="Master Repository Process" w:date="2021-09-12T08:47:00Z">
        <w:r>
          <w:t>; 25 Jun 2007 p. 2967</w:t>
        </w:r>
      </w:ins>
      <w:r>
        <w:t>.]</w:t>
      </w:r>
    </w:p>
    <w:p>
      <w:pPr>
        <w:pStyle w:val="yHeading3"/>
        <w:spacing w:before="180"/>
      </w:pPr>
      <w:bookmarkStart w:id="76" w:name="_Toc108230211"/>
      <w:bookmarkStart w:id="77" w:name="_Toc140038609"/>
      <w:bookmarkStart w:id="78" w:name="_Toc140302073"/>
      <w:bookmarkStart w:id="79" w:name="_Toc170812773"/>
      <w:bookmarkStart w:id="80" w:name="_Toc171075824"/>
      <w:r>
        <w:t>Division 4 — Posting</w:t>
      </w:r>
      <w:bookmarkEnd w:id="76"/>
      <w:bookmarkEnd w:id="77"/>
      <w:bookmarkEnd w:id="78"/>
      <w:bookmarkEnd w:id="79"/>
      <w:bookmarkEnd w:id="80"/>
    </w:p>
    <w:tbl>
      <w:tblPr>
        <w:tblW w:w="0" w:type="auto"/>
        <w:tblInd w:w="284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25"/>
        <w:gridCol w:w="5245"/>
        <w:gridCol w:w="1276"/>
      </w:tblGrid>
      <w:tr>
        <w:tc>
          <w:tcPr>
            <w:tcW w:w="425" w:type="dxa"/>
          </w:tcPr>
          <w:p>
            <w:pPr>
              <w:pStyle w:val="yTable"/>
              <w:spacing w:before="0"/>
              <w:ind w:left="-142"/>
            </w:pPr>
          </w:p>
        </w:tc>
        <w:tc>
          <w:tcPr>
            <w:tcW w:w="5245" w:type="dxa"/>
          </w:tcPr>
          <w:p>
            <w:pPr>
              <w:pStyle w:val="yTable"/>
              <w:tabs>
                <w:tab w:val="right" w:leader="dot" w:pos="5245"/>
              </w:tabs>
              <w:spacing w:before="0"/>
            </w:pPr>
            <w:r>
              <w:t xml:space="preserve">For arranging the postal delivery of any material for which a fee is payable under this Schedule — </w:t>
            </w:r>
          </w:p>
        </w:tc>
        <w:tc>
          <w:tcPr>
            <w:tcW w:w="1276" w:type="dxa"/>
          </w:tcPr>
          <w:p>
            <w:pPr>
              <w:pStyle w:val="yTable"/>
              <w:spacing w:before="0"/>
              <w:ind w:left="-142" w:right="-284"/>
            </w:pPr>
          </w:p>
        </w:tc>
      </w:tr>
      <w:tr>
        <w:tc>
          <w:tcPr>
            <w:tcW w:w="425" w:type="dxa"/>
          </w:tcPr>
          <w:p>
            <w:pPr>
              <w:pStyle w:val="yTable"/>
              <w:spacing w:before="0"/>
              <w:ind w:left="-142"/>
            </w:pPr>
          </w:p>
        </w:tc>
        <w:tc>
          <w:tcPr>
            <w:tcW w:w="5245" w:type="dxa"/>
          </w:tcPr>
          <w:p>
            <w:pPr>
              <w:pStyle w:val="yTable"/>
              <w:tabs>
                <w:tab w:val="left" w:pos="425"/>
                <w:tab w:val="right" w:leader="dot" w:pos="5245"/>
              </w:tabs>
              <w:spacing w:before="0"/>
              <w:ind w:left="415" w:hanging="415"/>
            </w:pPr>
            <w:r>
              <w:t>(a)</w:t>
            </w:r>
            <w:r>
              <w:tab/>
              <w:t>if the material is sent within Australia and is not greater than 50 gms .................................................</w:t>
            </w:r>
          </w:p>
        </w:tc>
        <w:tc>
          <w:tcPr>
            <w:tcW w:w="1276" w:type="dxa"/>
          </w:tcPr>
          <w:p>
            <w:pPr>
              <w:pStyle w:val="yTable"/>
              <w:spacing w:before="0"/>
              <w:ind w:left="-142" w:right="-284"/>
              <w:jc w:val="center"/>
            </w:pPr>
            <w:r>
              <w:br/>
              <w:t>$9</w:t>
            </w:r>
          </w:p>
        </w:tc>
      </w:tr>
      <w:tr>
        <w:tc>
          <w:tcPr>
            <w:tcW w:w="425" w:type="dxa"/>
          </w:tcPr>
          <w:p>
            <w:pPr>
              <w:pStyle w:val="yTable"/>
              <w:spacing w:before="0"/>
              <w:ind w:left="-142"/>
            </w:pPr>
          </w:p>
        </w:tc>
        <w:tc>
          <w:tcPr>
            <w:tcW w:w="5245" w:type="dxa"/>
          </w:tcPr>
          <w:p>
            <w:pPr>
              <w:pStyle w:val="yTable"/>
              <w:tabs>
                <w:tab w:val="left" w:pos="425"/>
                <w:tab w:val="right" w:leader="dot" w:pos="5245"/>
              </w:tabs>
              <w:spacing w:before="0"/>
              <w:ind w:left="415" w:hanging="415"/>
            </w:pPr>
            <w:r>
              <w:t>(b)</w:t>
            </w:r>
            <w:r>
              <w:tab/>
              <w:t>if the material is sent outside Australia or is greater than 50 gms .............................................................</w:t>
            </w:r>
          </w:p>
        </w:tc>
        <w:tc>
          <w:tcPr>
            <w:tcW w:w="1276" w:type="dxa"/>
          </w:tcPr>
          <w:p>
            <w:pPr>
              <w:pStyle w:val="yTable"/>
              <w:spacing w:before="0"/>
              <w:ind w:left="-142"/>
            </w:pPr>
            <w:r>
              <w:br/>
              <w:t xml:space="preserve">$9 </w:t>
            </w:r>
            <w:r>
              <w:rPr>
                <w:sz w:val="18"/>
              </w:rPr>
              <w:t>plus any additional costs incurred, as assessed by the Registrar</w:t>
            </w:r>
          </w:p>
        </w:tc>
      </w:tr>
    </w:tbl>
    <w:p>
      <w:pPr>
        <w:pStyle w:val="Footnotesection"/>
        <w:rPr>
          <w:i w:val="0"/>
        </w:rPr>
        <w:sectPr>
          <w:headerReference w:type="even" r:id="rId20"/>
          <w:headerReference w:type="default" r:id="rId21"/>
          <w:headerReference w:type="first" r:id="rId22"/>
          <w:endnotePr>
            <w:numFmt w:val="decimal"/>
          </w:endnotePr>
          <w:pgSz w:w="11906" w:h="16838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81" w:name="_Toc82227958"/>
      <w:bookmarkStart w:id="82" w:name="_Toc82228022"/>
      <w:bookmarkStart w:id="83" w:name="_Toc82245389"/>
      <w:bookmarkStart w:id="84" w:name="_Toc108230212"/>
      <w:bookmarkStart w:id="85" w:name="_Toc140038610"/>
      <w:bookmarkStart w:id="86" w:name="_Toc140302074"/>
      <w:bookmarkStart w:id="87" w:name="_Toc170812774"/>
      <w:bookmarkStart w:id="88" w:name="_Toc171075825"/>
      <w:r>
        <w:t>Notes</w:t>
      </w:r>
      <w:bookmarkEnd w:id="81"/>
      <w:bookmarkEnd w:id="82"/>
      <w:bookmarkEnd w:id="83"/>
      <w:bookmarkEnd w:id="84"/>
      <w:bookmarkEnd w:id="85"/>
      <w:bookmarkEnd w:id="86"/>
      <w:bookmarkEnd w:id="87"/>
      <w:bookmarkEnd w:id="88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Registration of Deeds Regulations 2004</w:t>
      </w:r>
      <w:bookmarkStart w:id="89" w:name="_Toc46123027"/>
      <w:r>
        <w:rPr>
          <w:i/>
          <w:noProof/>
          <w:snapToGrid w:val="0"/>
        </w:rPr>
        <w:t xml:space="preserve"> </w:t>
      </w:r>
      <w:r>
        <w:rPr>
          <w:snapToGrid w:val="0"/>
        </w:rPr>
        <w:t>and includes the amendments made by the other written laws referred to in the following table</w:t>
      </w:r>
      <w:r>
        <w:rPr>
          <w:i/>
        </w:rPr>
        <w:t>.</w:t>
      </w:r>
    </w:p>
    <w:p>
      <w:pPr>
        <w:pStyle w:val="nHeading3"/>
        <w:rPr>
          <w:snapToGrid w:val="0"/>
        </w:rPr>
      </w:pPr>
      <w:bookmarkStart w:id="90" w:name="_Toc108230213"/>
      <w:bookmarkStart w:id="91" w:name="_Toc171075826"/>
      <w:bookmarkStart w:id="92" w:name="_Toc140302075"/>
      <w:bookmarkEnd w:id="89"/>
      <w:r>
        <w:rPr>
          <w:snapToGrid w:val="0"/>
        </w:rPr>
        <w:t>Compilation table</w:t>
      </w:r>
      <w:bookmarkEnd w:id="90"/>
      <w:bookmarkEnd w:id="91"/>
      <w:bookmarkEnd w:id="92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Registration of Deeds Regulations 2004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 Sep 2004 p. 3822-3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6 Sep 2004 (see r. 2)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Registration of Deeds Amendment Regulations 2005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24 Jun 2005 p. 2760-1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4 Jul 2005 (see r. 2)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Registration of Deeds Amendment Regulations 2006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7 Jul 2006 p. 2511</w:t>
            </w:r>
            <w:r>
              <w:rPr>
                <w:sz w:val="19"/>
              </w:rPr>
              <w:noBreakHyphen/>
              <w:t>12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10 Jul 2006 (see r. 2)</w:t>
            </w:r>
          </w:p>
        </w:tc>
      </w:tr>
      <w:tr>
        <w:trPr>
          <w:ins w:id="93" w:author="Master Repository Process" w:date="2021-09-12T08:47:00Z"/>
        </w:trPr>
        <w:tc>
          <w:tcPr>
            <w:tcW w:w="3118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ins w:id="94" w:author="Master Repository Process" w:date="2021-09-12T08:47:00Z"/>
                <w:i/>
                <w:sz w:val="19"/>
              </w:rPr>
            </w:pPr>
            <w:ins w:id="95" w:author="Master Repository Process" w:date="2021-09-12T08:47:00Z">
              <w:r>
                <w:rPr>
                  <w:i/>
                  <w:sz w:val="19"/>
                </w:rPr>
                <w:t>Registration of Deeds Amendment Regulations 2007</w:t>
              </w:r>
            </w:ins>
          </w:p>
        </w:tc>
        <w:tc>
          <w:tcPr>
            <w:tcW w:w="1276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ins w:id="96" w:author="Master Repository Process" w:date="2021-09-12T08:47:00Z"/>
                <w:sz w:val="19"/>
              </w:rPr>
            </w:pPr>
            <w:ins w:id="97" w:author="Master Repository Process" w:date="2021-09-12T08:47:00Z">
              <w:r>
                <w:rPr>
                  <w:sz w:val="19"/>
                </w:rPr>
                <w:t>25 Jun 2007 p. 2966</w:t>
              </w:r>
              <w:r>
                <w:rPr>
                  <w:sz w:val="19"/>
                </w:rPr>
                <w:noBreakHyphen/>
                <w:t>7</w:t>
              </w:r>
            </w:ins>
          </w:p>
        </w:tc>
        <w:tc>
          <w:tcPr>
            <w:tcW w:w="2693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ins w:id="98" w:author="Master Repository Process" w:date="2021-09-12T08:47:00Z"/>
                <w:sz w:val="19"/>
              </w:rPr>
            </w:pPr>
            <w:ins w:id="99" w:author="Master Repository Process" w:date="2021-09-12T08:47:00Z">
              <w:r>
                <w:rPr>
                  <w:snapToGrid w:val="0"/>
                  <w:sz w:val="19"/>
                  <w:lang w:val="en-US"/>
                </w:rPr>
                <w:t>r. 1 and 2: 25 Jun 2007 (see r. 2(a));</w:t>
              </w:r>
              <w:r>
                <w:rPr>
                  <w:snapToGrid w:val="0"/>
                  <w:sz w:val="19"/>
                  <w:lang w:val="en-US"/>
                </w:rPr>
                <w:br/>
                <w:t>Regulations other than r. 1 and 2: 2 Jul 2007 (see r. 2(b))</w:t>
              </w:r>
            </w:ins>
          </w:p>
        </w:tc>
        <w:bookmarkStart w:id="100" w:name="UpToHere"/>
        <w:bookmarkEnd w:id="100"/>
      </w:tr>
    </w:tbl>
    <w:p/>
    <w:p>
      <w:pPr>
        <w:sectPr>
          <w:headerReference w:type="even" r:id="rId23"/>
          <w:headerReference w:type="default" r:id="rId24"/>
          <w:headerReference w:type="first" r:id="rId25"/>
          <w:endnotePr>
            <w:numFmt w:val="decimal"/>
          </w:endnotePr>
          <w:pgSz w:w="11906" w:h="16838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26"/>
      <w:headerReference w:type="default" r:id="rId27"/>
      <w:endnotePr>
        <w:numFmt w:val="decimal"/>
      </w:endnotePr>
      <w:type w:val="continuous"/>
      <w:pgSz w:w="11906" w:h="16838" w:code="9"/>
      <w:pgMar w:top="2381" w:right="2409" w:bottom="3543" w:left="2409" w:header="720" w:footer="3380" w:gutter="0"/>
      <w:paperSrc w:first="15" w:other="15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10 Jul 2005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00-b0-03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02 Jul 2007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00-c0-02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10 Jul 2005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00-b0-03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02 Jul 2007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00-c0-02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10 Jul 2005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00-b0-03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02 Jul 2007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00-c0-02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Registration of Deeds Regulations 2004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Registration of Deeds Regulations 2004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Left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36"/>
      <w:gridCol w:w="5760"/>
      <w:gridCol w:w="1516"/>
      <w:gridCol w:w="36"/>
    </w:tblGrid>
    <w:tr>
      <w:trPr>
        <w:gridAfter w:val="1"/>
        <w:wAfter w:w="36" w:type="dxa"/>
        <w:cantSplit/>
      </w:trPr>
      <w:tc>
        <w:tcPr>
          <w:tcW w:w="7312" w:type="dxa"/>
          <w:gridSpan w:val="3"/>
        </w:tcPr>
        <w:p>
          <w:pPr>
            <w:pStyle w:val="HeaderActNameRight"/>
          </w:pPr>
          <w:fldSimple w:instr=" Styleref &quot;Name of Act/Reg&quot; ">
            <w:r>
              <w:rPr>
                <w:noProof/>
              </w:rPr>
              <w:t>Registration of Deeds Regulations 2004</w:t>
            </w:r>
          </w:fldSimple>
        </w:p>
      </w:tc>
    </w:tr>
    <w:tr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>
          <w:pPr>
            <w:pStyle w:val="HeaderTextRight"/>
          </w:pPr>
        </w:p>
      </w:tc>
      <w:tc>
        <w:tcPr>
          <w:tcW w:w="1552" w:type="dxa"/>
          <w:gridSpan w:val="2"/>
        </w:tcPr>
        <w:p>
          <w:pPr>
            <w:pStyle w:val="HeaderNumberRight"/>
          </w:pPr>
        </w:p>
      </w:tc>
    </w:tr>
    <w:tr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>
          <w:pPr>
            <w:pStyle w:val="HeaderTextRight"/>
          </w:pPr>
        </w:p>
      </w:tc>
      <w:tc>
        <w:tcPr>
          <w:tcW w:w="1552" w:type="dxa"/>
          <w:gridSpan w:val="2"/>
        </w:tcPr>
        <w:p>
          <w:pPr>
            <w:pStyle w:val="HeaderNumberRight"/>
          </w:pPr>
        </w:p>
      </w:tc>
    </w:tr>
    <w:tr>
      <w:trPr>
        <w:gridAfter w:val="1"/>
        <w:wAfter w:w="36" w:type="dxa"/>
        <w:cantSplit/>
      </w:trPr>
      <w:tc>
        <w:tcPr>
          <w:tcW w:w="7312" w:type="dxa"/>
          <w:gridSpan w:val="3"/>
        </w:tcPr>
        <w:p>
          <w:pPr>
            <w:pStyle w:val="HeaderSectionRight"/>
          </w:pPr>
          <w:r>
            <w:t xml:space="preserve">Schedule </w:t>
          </w: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Registration of Deeds Regulations 2004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Registration of Deeds Regulations 2004</w:t>
            </w:r>
          </w:fldSimple>
        </w:p>
      </w:tc>
    </w:tr>
    <w:tr>
      <w:tc>
        <w:tcPr>
          <w:tcW w:w="5715" w:type="dxa"/>
          <w:vAlign w:val="bottom"/>
        </w:tcPr>
        <w:p>
          <w:pPr>
            <w:pStyle w:val="HeaderText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  <w:rPr>
              <w:bCs/>
            </w:rPr>
          </w:pPr>
        </w:p>
      </w:tc>
    </w:tr>
  </w:tbl>
  <w:p>
    <w:pPr>
      <w:pStyle w:val="Header"/>
      <w:pBdr>
        <w:top w:val="single" w:sz="4" w:space="1" w:color="auto"/>
      </w:pBdr>
    </w:pPr>
  </w:p>
  <w:p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Registration of Deeds Regulations 2004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Right"/>
            <w:ind w:right="17"/>
            <w:jc w:val="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Registration of Deeds Regulations 2004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Registration of Deeds Regulations 2004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</w:p>
  <w:p>
    <w:pPr>
      <w:pStyle w:val="headerpart"/>
    </w:pP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/>
  <w:p/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Registration of Deeds Regulations 2004</w:t>
    </w:r>
    <w:r>
      <w:rPr>
        <w:i/>
      </w:rPr>
      <w:fldChar w:fldCharType="end"/>
    </w:r>
  </w:p>
  <w:p>
    <w:pPr>
      <w:pStyle w:val="headerpartodd"/>
      <w:ind w:left="0" w:firstLine="0"/>
      <w:jc w:val="right"/>
      <w:rPr>
        <w:b w:val="0"/>
        <w:i/>
      </w:rPr>
    </w:pPr>
  </w:p>
  <w:p>
    <w:pPr>
      <w:pStyle w:val="headerpart"/>
      <w:jc w:val="right"/>
    </w:pPr>
  </w:p>
  <w:p>
    <w:pPr>
      <w:pStyle w:val="headerpart"/>
      <w:jc w:val="right"/>
    </w:pPr>
  </w:p>
  <w:p>
    <w:pPr>
      <w:pBdr>
        <w:bottom w:val="single" w:sz="6" w:space="1" w:color="auto"/>
      </w:pBdr>
      <w:jc w:val="right"/>
      <w:rPr>
        <w:b/>
      </w:rPr>
    </w:pPr>
  </w:p>
  <w:p/>
  <w:p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E9922D72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44AE05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C88DA62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2CE165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3B2D6B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9261550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36C157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E4AFE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EDEB9C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90453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0F3C3412"/>
    <w:multiLevelType w:val="multilevel"/>
    <w:tmpl w:val="D78487F2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FB266D5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2FF52EB"/>
    <w:multiLevelType w:val="multilevel"/>
    <w:tmpl w:val="118210E6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 w15:restartNumberingAfterBreak="0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 w15:restartNumberingAfterBreak="0">
    <w:nsid w:val="3C2808C0"/>
    <w:multiLevelType w:val="singleLevel"/>
    <w:tmpl w:val="DF569D36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4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6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7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8" w15:restartNumberingAfterBreak="0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9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0" w15:restartNumberingAfterBreak="0">
    <w:nsid w:val="6FDE73CC"/>
    <w:multiLevelType w:val="multilevel"/>
    <w:tmpl w:val="04E64ACC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3"/>
  </w:num>
  <w:numIdMacAtCleanup w:val="12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51209114301"/>
    <w:docVar w:name="WAFER_20151209114301" w:val="RemoveTrackChanges"/>
    <w:docVar w:name="WAFER_20151209114301_GUID" w:val="fc82b03e-accd-4189-b50e-c58121536912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EC35DCAD-65B5-418B-9999-7CBEEE055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SClsNo">
    <w:name w:val="CharSClsNo"/>
    <w:basedOn w:val="DefaultParagraphFont"/>
    <w:rPr>
      <w:sz w:val="22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2155"/>
        <w:tab w:val="left" w:pos="2438"/>
      </w:tabs>
      <w:spacing w:before="80" w:line="260" w:lineRule="atLeast"/>
      <w:ind w:left="2438" w:right="284" w:hanging="1106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1446"/>
      </w:tabs>
      <w:spacing w:before="80" w:line="260" w:lineRule="atLeast"/>
      <w:ind w:left="1882" w:right="284" w:hanging="748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835"/>
        <w:tab w:val="left" w:pos="3119"/>
      </w:tabs>
      <w:spacing w:before="80" w:line="260" w:lineRule="atLeast"/>
      <w:ind w:left="3118" w:right="284" w:hanging="1077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SignatureText">
    <w:name w:val="SignatureText"/>
    <w:basedOn w:val="Normal"/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styleId="Revision">
    <w:name w:val="Revision"/>
    <w:hidden/>
    <w:uiPriority w:val="99"/>
    <w:semiHidden/>
    <w:rPr>
      <w:sz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  <w:lang w:eastAsia="en-US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3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2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microsoft.com/office/2011/relationships/people" Target="peop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4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642</Words>
  <Characters>3402</Characters>
  <Application>Microsoft Office Word</Application>
  <DocSecurity>0</DocSecurity>
  <Lines>147</Lines>
  <Paragraphs>94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6</vt:i4>
      </vt:variant>
    </vt:vector>
  </HeadingPairs>
  <TitlesOfParts>
    <vt:vector size="7" baseType="lpstr">
      <vt:lpstr>Drafting Template (Regs)</vt:lpstr>
      <vt:lpstr>    Schedule 1 — Fees to be charged by the Registrar</vt:lpstr>
      <vt:lpstr>        Division 1 — Registrations</vt:lpstr>
      <vt:lpstr>        Division 2 — Reproduction of documents</vt:lpstr>
      <vt:lpstr>        Division 3 — Miscellaneous</vt:lpstr>
      <vt:lpstr>        Division 4 — Posting</vt:lpstr>
      <vt:lpstr>    Notes</vt:lpstr>
    </vt:vector>
  </TitlesOfParts>
  <Manager/>
  <Company/>
  <LinksUpToDate>false</LinksUpToDate>
  <CharactersWithSpaces>3950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Registration of Deeds Regulations 2004 00-b0-03 - 00-c0-02</dc:title>
  <dc:subject/>
  <dc:creator/>
  <cp:keywords/>
  <dc:description/>
  <cp:lastModifiedBy>Master Repository Process</cp:lastModifiedBy>
  <cp:revision>2</cp:revision>
  <cp:lastPrinted>2004-08-19T03:16:00Z</cp:lastPrinted>
  <dcterms:created xsi:type="dcterms:W3CDTF">2021-09-12T00:47:00Z</dcterms:created>
  <dcterms:modified xsi:type="dcterms:W3CDTF">2021-09-12T00:47:00Z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02 Sep 2004 p. 3822-3</vt:lpwstr>
  </property>
  <property fmtid="{D5CDD505-2E9C-101B-9397-08002B2CF9AE}" pid="3" name="CommencementDate">
    <vt:lpwstr>20070702</vt:lpwstr>
  </property>
  <property fmtid="{D5CDD505-2E9C-101B-9397-08002B2CF9AE}" pid="4" name="DocumentType">
    <vt:lpwstr>Reg</vt:lpwstr>
  </property>
  <property fmtid="{D5CDD505-2E9C-101B-9397-08002B2CF9AE}" pid="5" name="OwlsUID">
    <vt:i4>35188</vt:i4>
  </property>
  <property fmtid="{D5CDD505-2E9C-101B-9397-08002B2CF9AE}" pid="6" name="FromSuffix">
    <vt:lpwstr>00-b0-03</vt:lpwstr>
  </property>
  <property fmtid="{D5CDD505-2E9C-101B-9397-08002B2CF9AE}" pid="7" name="FromAsAtDate">
    <vt:lpwstr>10 Jul 2005</vt:lpwstr>
  </property>
  <property fmtid="{D5CDD505-2E9C-101B-9397-08002B2CF9AE}" pid="8" name="ToSuffix">
    <vt:lpwstr>00-c0-02</vt:lpwstr>
  </property>
  <property fmtid="{D5CDD505-2E9C-101B-9397-08002B2CF9AE}" pid="9" name="ToAsAtDate">
    <vt:lpwstr>02 Jul 2007</vt:lpwstr>
  </property>
</Properties>
</file>