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Kwinana-Mundijong-Jarrahdale Railway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06 Jul 2007</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13:34:00Z"/>
        </w:trPr>
        <w:tc>
          <w:tcPr>
            <w:tcW w:w="2434" w:type="dxa"/>
            <w:vMerge w:val="restart"/>
          </w:tcPr>
          <w:p>
            <w:pPr>
              <w:rPr>
                <w:ins w:id="1" w:author="svcMRProcess" w:date="2015-10-30T13:34:00Z"/>
              </w:rPr>
            </w:pPr>
          </w:p>
        </w:tc>
        <w:tc>
          <w:tcPr>
            <w:tcW w:w="2434" w:type="dxa"/>
            <w:vMerge w:val="restart"/>
          </w:tcPr>
          <w:p>
            <w:pPr>
              <w:jc w:val="center"/>
              <w:rPr>
                <w:ins w:id="2" w:author="svcMRProcess" w:date="2015-10-30T13:34:00Z"/>
              </w:rPr>
            </w:pPr>
            <w:ins w:id="3" w:author="svcMRProcess" w:date="2015-10-30T13:34: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5-10-30T13:34:00Z"/>
              </w:rPr>
            </w:pPr>
          </w:p>
        </w:tc>
      </w:tr>
      <w:tr>
        <w:trPr>
          <w:cantSplit/>
          <w:ins w:id="5" w:author="svcMRProcess" w:date="2015-10-30T13:34:00Z"/>
        </w:trPr>
        <w:tc>
          <w:tcPr>
            <w:tcW w:w="2434" w:type="dxa"/>
            <w:vMerge/>
          </w:tcPr>
          <w:p>
            <w:pPr>
              <w:rPr>
                <w:ins w:id="6" w:author="svcMRProcess" w:date="2015-10-30T13:34:00Z"/>
              </w:rPr>
            </w:pPr>
          </w:p>
        </w:tc>
        <w:tc>
          <w:tcPr>
            <w:tcW w:w="2434" w:type="dxa"/>
            <w:vMerge/>
          </w:tcPr>
          <w:p>
            <w:pPr>
              <w:jc w:val="center"/>
              <w:rPr>
                <w:ins w:id="7" w:author="svcMRProcess" w:date="2015-10-30T13:34:00Z"/>
              </w:rPr>
            </w:pPr>
          </w:p>
        </w:tc>
        <w:tc>
          <w:tcPr>
            <w:tcW w:w="2434" w:type="dxa"/>
          </w:tcPr>
          <w:p>
            <w:pPr>
              <w:keepNext/>
              <w:rPr>
                <w:ins w:id="8" w:author="svcMRProcess" w:date="2015-10-30T13:34:00Z"/>
                <w:b/>
                <w:sz w:val="22"/>
              </w:rPr>
            </w:pPr>
            <w:ins w:id="9" w:author="svcMRProcess" w:date="2015-10-30T13:34:00Z">
              <w:r>
                <w:rPr>
                  <w:b/>
                  <w:sz w:val="22"/>
                </w:rPr>
                <w:t xml:space="preserve">Reprinted under the </w:t>
              </w:r>
              <w:r>
                <w:rPr>
                  <w:b/>
                  <w:i/>
                  <w:sz w:val="22"/>
                </w:rPr>
                <w:t>Reprints Act 1984</w:t>
              </w:r>
              <w:r>
                <w:rPr>
                  <w:b/>
                  <w:sz w:val="22"/>
                </w:rPr>
                <w:t xml:space="preserve"> as at 6</w:t>
              </w:r>
              <w:r>
                <w:rPr>
                  <w:b/>
                  <w:snapToGrid w:val="0"/>
                  <w:sz w:val="22"/>
                </w:rPr>
                <w:t xml:space="preserve"> July 2007</w:t>
              </w:r>
            </w:ins>
          </w:p>
        </w:tc>
      </w:tr>
    </w:tbl>
    <w:p>
      <w:pPr>
        <w:pStyle w:val="WA"/>
        <w:spacing w:before="120"/>
      </w:pPr>
      <w:r>
        <w:t>Western Australia</w:t>
      </w:r>
    </w:p>
    <w:p>
      <w:pPr>
        <w:pStyle w:val="NameofActReg"/>
      </w:pPr>
      <w:r>
        <w:t>Kwinana</w:t>
      </w:r>
      <w:r>
        <w:noBreakHyphen/>
        <w:t>Mundijong</w:t>
      </w:r>
      <w:r>
        <w:noBreakHyphen/>
        <w:t>Jarrahdale Railway Act 1961</w:t>
      </w:r>
    </w:p>
    <w:p>
      <w:pPr>
        <w:pStyle w:val="LongTitle"/>
        <w:rPr>
          <w:snapToGrid w:val="0"/>
        </w:rPr>
      </w:pPr>
      <w:r>
        <w:rPr>
          <w:snapToGrid w:val="0"/>
        </w:rPr>
        <w:t>A</w:t>
      </w:r>
      <w:bookmarkStart w:id="10" w:name="_GoBack"/>
      <w:bookmarkEnd w:id="10"/>
      <w:r>
        <w:rPr>
          <w:snapToGrid w:val="0"/>
        </w:rPr>
        <w:t xml:space="preserve">n Act to </w:t>
      </w:r>
      <w:del w:id="11" w:author="svcMRProcess" w:date="2015-10-30T13:34:00Z">
        <w:r>
          <w:rPr>
            <w:snapToGrid w:val="0"/>
          </w:rPr>
          <w:delText>authorize</w:delText>
        </w:r>
      </w:del>
      <w:ins w:id="12" w:author="svcMRProcess" w:date="2015-10-30T13:34:00Z">
        <w:r>
          <w:rPr>
            <w:snapToGrid w:val="0"/>
          </w:rPr>
          <w:t>authorise</w:t>
        </w:r>
      </w:ins>
      <w:r>
        <w:rPr>
          <w:snapToGrid w:val="0"/>
        </w:rPr>
        <w:t xml:space="preserve"> the construction of a railway from Kwinana to Jarrahdale through Mundijong. </w:t>
      </w:r>
    </w:p>
    <w:p>
      <w:pPr>
        <w:pStyle w:val="AssentNote"/>
        <w:rPr>
          <w:del w:id="13" w:author="svcMRProcess" w:date="2015-10-30T13:34:00Z"/>
        </w:rPr>
      </w:pPr>
      <w:bookmarkStart w:id="14" w:name="_Toc411304917"/>
      <w:bookmarkStart w:id="15" w:name="_Toc168463576"/>
      <w:del w:id="16" w:author="svcMRProcess" w:date="2015-10-30T13:34:00Z">
        <w:r>
          <w:delText xml:space="preserve">[Assented to 23rd November, 1961.] </w:delText>
        </w:r>
      </w:del>
    </w:p>
    <w:p>
      <w:pPr>
        <w:pStyle w:val="Enactment"/>
        <w:rPr>
          <w:del w:id="17" w:author="svcMRProcess" w:date="2015-10-30T13:34:00Z"/>
          <w:snapToGrid w:val="0"/>
        </w:rPr>
      </w:pPr>
      <w:del w:id="18" w:author="svcMRProcess" w:date="2015-10-30T13:34:00Z">
        <w:r>
          <w:rPr>
            <w:snapToGrid w:val="0"/>
          </w:rPr>
          <w:delText xml:space="preserve">Be it enacted by the Queen’s Most Excellent Majesty, by and with the advice and consent of the Legislative Council and the Legislative Assembly of Western Australia, in this present Parliament assembled, and by the authority of the same, as follows: —  </w:delText>
        </w:r>
      </w:del>
    </w:p>
    <w:p>
      <w:pPr>
        <w:pStyle w:val="Heading5"/>
        <w:rPr>
          <w:snapToGrid w:val="0"/>
        </w:rPr>
      </w:pPr>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Act 1961</w:t>
      </w:r>
      <w:ins w:id="19" w:author="svcMRProcess" w:date="2015-10-30T13:34:00Z">
        <w:r>
          <w:rPr>
            <w:snapToGrid w:val="0"/>
            <w:vertAlign w:val="superscript"/>
          </w:rPr>
          <w:t> 1</w:t>
        </w:r>
      </w:ins>
      <w:r>
        <w:rPr>
          <w:snapToGrid w:val="0"/>
        </w:rPr>
        <w:t>.</w:t>
      </w:r>
    </w:p>
    <w:p>
      <w:pPr>
        <w:pStyle w:val="Heading5"/>
        <w:rPr>
          <w:snapToGrid w:val="0"/>
        </w:rPr>
      </w:pPr>
      <w:bookmarkStart w:id="20" w:name="_Toc411304918"/>
      <w:bookmarkStart w:id="21" w:name="_Toc168463577"/>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t>(1)</w:t>
      </w:r>
      <w:r>
        <w:rPr>
          <w:snapToGrid w:val="0"/>
        </w:rPr>
        <w:tab/>
        <w:t>This Act shall come into operation on a day to be fixed by proclamation</w:t>
      </w:r>
      <w:ins w:id="22" w:author="svcMRProcess" w:date="2015-10-30T13:34:00Z">
        <w:r>
          <w:rPr>
            <w:snapToGrid w:val="0"/>
            <w:vertAlign w:val="superscript"/>
          </w:rPr>
          <w:t> 1</w:t>
        </w:r>
      </w:ins>
      <w:r>
        <w:rPr>
          <w:snapToGrid w:val="0"/>
        </w:rPr>
        <w:t>.</w:t>
      </w:r>
    </w:p>
    <w:p>
      <w:pPr>
        <w:pStyle w:val="Subsection"/>
        <w:rPr>
          <w:snapToGrid w:val="0"/>
        </w:rPr>
      </w:pPr>
      <w:r>
        <w:rPr>
          <w:snapToGrid w:val="0"/>
        </w:rPr>
        <w:tab/>
        <w:t>(2)</w:t>
      </w:r>
      <w:r>
        <w:rPr>
          <w:snapToGrid w:val="0"/>
        </w:rPr>
        <w:tab/>
        <w:t>The Governor shall not make a proclamation bringing this Act into operation unless and until he is satisfied that the Company has,</w:t>
      </w:r>
    </w:p>
    <w:p>
      <w:pPr>
        <w:pStyle w:val="Indenta"/>
        <w:rPr>
          <w:snapToGrid w:val="0"/>
        </w:rPr>
      </w:pPr>
      <w:ins w:id="23" w:author="svcMRProcess" w:date="2015-10-30T13:34:00Z">
        <w:r>
          <w:rPr>
            <w:snapToGrid w:val="0"/>
          </w:rPr>
          <w:tab/>
        </w:r>
        <w:r>
          <w:rPr>
            <w:snapToGrid w:val="0"/>
          </w:rPr>
          <w:tab/>
        </w:r>
      </w:ins>
      <w:r>
        <w:rPr>
          <w:snapToGrid w:val="0"/>
        </w:rPr>
        <w:t xml:space="preserve">in relation to the construction of that portion of the railway </w:t>
      </w:r>
      <w:del w:id="24" w:author="svcMRProcess" w:date="2015-10-30T13:34:00Z">
        <w:r>
          <w:rPr>
            <w:snapToGrid w:val="0"/>
          </w:rPr>
          <w:delText>authorized</w:delText>
        </w:r>
      </w:del>
      <w:ins w:id="25" w:author="svcMRProcess" w:date="2015-10-30T13:34:00Z">
        <w:r>
          <w:rPr>
            <w:snapToGrid w:val="0"/>
          </w:rPr>
          <w:t>authorised</w:t>
        </w:r>
      </w:ins>
      <w:r>
        <w:rPr>
          <w:snapToGrid w:val="0"/>
        </w:rPr>
        <w:t xml:space="preserve"> to be constructed between Kwinana and Mundijong by this Act,</w:t>
      </w:r>
    </w:p>
    <w:p>
      <w:pPr>
        <w:pStyle w:val="Subsection"/>
        <w:rPr>
          <w:snapToGrid w:val="0"/>
        </w:rPr>
      </w:pPr>
      <w:r>
        <w:rPr>
          <w:snapToGrid w:val="0"/>
        </w:rPr>
        <w:tab/>
      </w:r>
      <w:r>
        <w:rPr>
          <w:snapToGrid w:val="0"/>
        </w:rPr>
        <w:tab/>
        <w:t xml:space="preserve">fulfilled all the obligations that are required to be fulfilled by it under the Agreement prior to such construction being so </w:t>
      </w:r>
      <w:del w:id="26" w:author="svcMRProcess" w:date="2015-10-30T13:34:00Z">
        <w:r>
          <w:rPr>
            <w:snapToGrid w:val="0"/>
          </w:rPr>
          <w:delText>authorized</w:delText>
        </w:r>
      </w:del>
      <w:ins w:id="27" w:author="svcMRProcess" w:date="2015-10-30T13:34:00Z">
        <w:r>
          <w:rPr>
            <w:snapToGrid w:val="0"/>
          </w:rPr>
          <w:t>authorised</w:t>
        </w:r>
      </w:ins>
      <w:r>
        <w:rPr>
          <w:snapToGrid w:val="0"/>
        </w:rPr>
        <w:t>.</w:t>
      </w:r>
    </w:p>
    <w:p>
      <w:pPr>
        <w:pStyle w:val="Heading5"/>
        <w:rPr>
          <w:snapToGrid w:val="0"/>
        </w:rPr>
      </w:pPr>
      <w:bookmarkStart w:id="28" w:name="_Toc411304919"/>
      <w:bookmarkStart w:id="29" w:name="_Toc168463578"/>
      <w:r>
        <w:rPr>
          <w:rStyle w:val="CharSectno"/>
        </w:rPr>
        <w:t>3</w:t>
      </w:r>
      <w:r>
        <w:rPr>
          <w:snapToGrid w:val="0"/>
        </w:rPr>
        <w:t>.</w:t>
      </w:r>
      <w:r>
        <w:rPr>
          <w:snapToGrid w:val="0"/>
        </w:rPr>
        <w:tab/>
      </w:r>
      <w:bookmarkEnd w:id="28"/>
      <w:del w:id="30" w:author="svcMRProcess" w:date="2015-10-30T13:34:00Z">
        <w:r>
          <w:rPr>
            <w:snapToGrid w:val="0"/>
          </w:rPr>
          <w:delText>Interpretation</w:delText>
        </w:r>
      </w:del>
      <w:ins w:id="31" w:author="svcMRProcess" w:date="2015-10-30T13:34:00Z">
        <w:r>
          <w:rPr>
            <w:snapToGrid w:val="0"/>
          </w:rPr>
          <w:t>Terms used in this Act</w:t>
        </w:r>
      </w:ins>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32" w:author="svcMRProcess" w:date="2015-10-30T13:34:00Z">
        <w:r>
          <w:rPr>
            <w:b/>
          </w:rPr>
          <w:delText>“</w:delText>
        </w:r>
      </w:del>
      <w:r>
        <w:rPr>
          <w:rStyle w:val="CharDefText"/>
        </w:rPr>
        <w:t>the Agreement</w:t>
      </w:r>
      <w:del w:id="33" w:author="svcMRProcess" w:date="2015-10-30T13:34:00Z">
        <w:r>
          <w:rPr>
            <w:b/>
          </w:rPr>
          <w:delText>”</w:delText>
        </w:r>
      </w:del>
      <w:r>
        <w:t xml:space="preserve"> means the agreement a copy of which is set forth in the Schedule to the </w:t>
      </w:r>
      <w:r>
        <w:rPr>
          <w:i/>
        </w:rPr>
        <w:t>Alumina Refinery Agreement Act 1961</w:t>
      </w:r>
      <w:r>
        <w:t>;</w:t>
      </w:r>
    </w:p>
    <w:p>
      <w:pPr>
        <w:pStyle w:val="Defstart"/>
      </w:pPr>
      <w:r>
        <w:rPr>
          <w:b/>
        </w:rPr>
        <w:tab/>
      </w:r>
      <w:del w:id="34" w:author="svcMRProcess" w:date="2015-10-30T13:34:00Z">
        <w:r>
          <w:rPr>
            <w:b/>
          </w:rPr>
          <w:delText>“</w:delText>
        </w:r>
      </w:del>
      <w:r>
        <w:rPr>
          <w:rStyle w:val="CharDefText"/>
        </w:rPr>
        <w:t>the Company</w:t>
      </w:r>
      <w:del w:id="35" w:author="svcMRProcess" w:date="2015-10-30T13:34:00Z">
        <w:r>
          <w:rPr>
            <w:b/>
          </w:rPr>
          <w:delText>”</w:delText>
        </w:r>
      </w:del>
      <w:r>
        <w:t xml:space="preserve"> has the same meaning as that expression has in the Agreement.</w:t>
      </w:r>
    </w:p>
    <w:p>
      <w:pPr>
        <w:pStyle w:val="Heading5"/>
        <w:rPr>
          <w:snapToGrid w:val="0"/>
        </w:rPr>
      </w:pPr>
      <w:bookmarkStart w:id="36" w:name="_Toc411304920"/>
      <w:bookmarkStart w:id="37" w:name="_Toc168463579"/>
      <w:r>
        <w:rPr>
          <w:rStyle w:val="CharSectno"/>
        </w:rPr>
        <w:t>4</w:t>
      </w:r>
      <w:r>
        <w:rPr>
          <w:snapToGrid w:val="0"/>
        </w:rPr>
        <w:t>.</w:t>
      </w:r>
      <w:r>
        <w:rPr>
          <w:snapToGrid w:val="0"/>
        </w:rPr>
        <w:tab/>
        <w:t>Authority to construct railway</w:t>
      </w:r>
      <w:bookmarkEnd w:id="36"/>
      <w:bookmarkEnd w:id="37"/>
      <w:r>
        <w:rPr>
          <w:snapToGrid w:val="0"/>
        </w:rPr>
        <w:t xml:space="preserve"> </w:t>
      </w:r>
    </w:p>
    <w:p>
      <w:pPr>
        <w:pStyle w:val="Subsection"/>
        <w:rPr>
          <w:snapToGrid w:val="0"/>
        </w:rPr>
      </w:pPr>
      <w:r>
        <w:rPr>
          <w:snapToGrid w:val="0"/>
        </w:rPr>
        <w:tab/>
      </w:r>
      <w:r>
        <w:rPr>
          <w:snapToGrid w:val="0"/>
        </w:rPr>
        <w:tab/>
        <w:t xml:space="preserve">It shall be lawful to construct and maintain a railway, with all necessary, proper and usual works and conveniences in connection therewith, along the line described in the Schedule to this Act, but that portion of the railway </w:t>
      </w:r>
      <w:del w:id="38" w:author="svcMRProcess" w:date="2015-10-30T13:34:00Z">
        <w:r>
          <w:rPr>
            <w:snapToGrid w:val="0"/>
          </w:rPr>
          <w:delText>authorized</w:delText>
        </w:r>
      </w:del>
      <w:ins w:id="39" w:author="svcMRProcess" w:date="2015-10-30T13:34:00Z">
        <w:r>
          <w:rPr>
            <w:snapToGrid w:val="0"/>
          </w:rPr>
          <w:t>authorised</w:t>
        </w:r>
      </w:ins>
      <w:r>
        <w:rPr>
          <w:snapToGrid w:val="0"/>
        </w:rPr>
        <w:t xml:space="preserve"> to be constructed between Mundijong and Jarrahdale by this Act shall not be so constructed unless and until the parties to the agreement have, pursuant to clause</w:t>
      </w:r>
      <w:del w:id="40" w:author="svcMRProcess" w:date="2015-10-30T13:34:00Z">
        <w:r>
          <w:rPr>
            <w:snapToGrid w:val="0"/>
          </w:rPr>
          <w:delText xml:space="preserve"> twenty</w:delText>
        </w:r>
        <w:r>
          <w:rPr>
            <w:snapToGrid w:val="0"/>
          </w:rPr>
          <w:noBreakHyphen/>
          <w:delText>eight</w:delText>
        </w:r>
      </w:del>
      <w:ins w:id="41" w:author="svcMRProcess" w:date="2015-10-30T13:34:00Z">
        <w:r>
          <w:rPr>
            <w:snapToGrid w:val="0"/>
          </w:rPr>
          <w:t> 28</w:t>
        </w:r>
      </w:ins>
      <w:r>
        <w:rPr>
          <w:snapToGrid w:val="0"/>
        </w:rPr>
        <w:t xml:space="preserve"> thereof, agreed on the terms and conditions upon which that portion is to be so constructed.</w:t>
      </w:r>
    </w:p>
    <w:p>
      <w:pPr>
        <w:pStyle w:val="Heading5"/>
        <w:rPr>
          <w:snapToGrid w:val="0"/>
        </w:rPr>
      </w:pPr>
      <w:bookmarkStart w:id="42" w:name="_Toc411304921"/>
      <w:bookmarkStart w:id="43" w:name="_Toc168463580"/>
      <w:r>
        <w:rPr>
          <w:rStyle w:val="CharSectno"/>
        </w:rPr>
        <w:t>5</w:t>
      </w:r>
      <w:r>
        <w:rPr>
          <w:snapToGrid w:val="0"/>
        </w:rPr>
        <w:t>.</w:t>
      </w:r>
      <w:r>
        <w:rPr>
          <w:snapToGrid w:val="0"/>
        </w:rPr>
        <w:tab/>
        <w:t>Authority for deviation</w:t>
      </w:r>
      <w:bookmarkEnd w:id="42"/>
      <w:bookmarkEnd w:id="43"/>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that portion of the line as described in the Schedule to this Act, which consists of the portion of the line from Mundijong to Jarrahdale to the extent of </w:t>
      </w:r>
      <w:del w:id="44" w:author="svcMRProcess" w:date="2015-10-30T13:34:00Z">
        <w:r>
          <w:rPr>
            <w:snapToGrid w:val="0"/>
          </w:rPr>
          <w:delText xml:space="preserve">five </w:delText>
        </w:r>
      </w:del>
      <w:ins w:id="45" w:author="svcMRProcess" w:date="2015-10-30T13:34:00Z">
        <w:r>
          <w:rPr>
            <w:snapToGrid w:val="0"/>
          </w:rPr>
          <w:t>5 </w:t>
        </w:r>
      </w:ins>
      <w:r>
        <w:rPr>
          <w:snapToGrid w:val="0"/>
        </w:rPr>
        <w:t>miles on either side thereof, and to deviate for the balance of such line at a distance of one mile on either side thereof.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b w:val="0"/>
          <w:snapToGrid/>
          <w:sz w:val="24"/>
        </w:rPr>
      </w:pPr>
      <w:bookmarkStart w:id="46" w:name="_Toc159037088"/>
      <w:bookmarkStart w:id="47" w:name="_Toc168463004"/>
      <w:bookmarkStart w:id="48" w:name="_Toc168463581"/>
      <w:r>
        <w:rPr>
          <w:rStyle w:val="CharSchNo"/>
        </w:rPr>
        <w:t>Schedule</w:t>
      </w:r>
      <w:bookmarkEnd w:id="46"/>
      <w:bookmarkEnd w:id="47"/>
      <w:bookmarkEnd w:id="48"/>
      <w:del w:id="49" w:author="svcMRProcess" w:date="2015-10-30T13:34:00Z">
        <w:r>
          <w:delText xml:space="preserve"> </w:delText>
        </w:r>
      </w:del>
    </w:p>
    <w:p>
      <w:pPr>
        <w:pStyle w:val="yShoulderClause"/>
        <w:rPr>
          <w:snapToGrid w:val="0"/>
        </w:rPr>
      </w:pPr>
      <w:r>
        <w:rPr>
          <w:snapToGrid w:val="0"/>
        </w:rPr>
        <w:t>[Section 4]</w:t>
      </w:r>
    </w:p>
    <w:p>
      <w:pPr>
        <w:pStyle w:val="yMiscellaneousHeading"/>
        <w:rPr>
          <w:ins w:id="50" w:author="svcMRProcess" w:date="2015-10-30T13:34:00Z"/>
        </w:rPr>
      </w:pPr>
      <w:del w:id="51" w:author="svcMRProcess" w:date="2015-10-30T13:34:00Z">
        <w:r>
          <w:rPr>
            <w:b/>
            <w:snapToGrid w:val="0"/>
          </w:rPr>
          <w:delText>RAILWAY FROM KWINANA TO JARRAHDALE THROUGH MUNDIJONG</w:delText>
        </w:r>
      </w:del>
      <w:ins w:id="52" w:author="svcMRProcess" w:date="2015-10-30T13:34:00Z">
        <w:r>
          <w:rPr>
            <w:rStyle w:val="CharSchText"/>
            <w:b/>
            <w:bCs/>
            <w:sz w:val="28"/>
          </w:rPr>
          <w:t>Railway from Kwinana to Jarrahdale through Mundijong</w:t>
        </w:r>
      </w:ins>
    </w:p>
    <w:p>
      <w:pPr>
        <w:pStyle w:val="yTable"/>
        <w:rPr>
          <w:snapToGrid w:val="0"/>
        </w:rPr>
      </w:pPr>
    </w:p>
    <w:p>
      <w:pPr>
        <w:pStyle w:val="yTable"/>
        <w:rPr>
          <w:snapToGrid w:val="0"/>
        </w:rPr>
      </w:pPr>
      <w:r>
        <w:rPr>
          <w:snapToGrid w:val="0"/>
        </w:rPr>
        <w:t>Commencing at a point on the Coogee</w:t>
      </w:r>
      <w:r>
        <w:rPr>
          <w:snapToGrid w:val="0"/>
        </w:rPr>
        <w:noBreakHyphen/>
        <w:t>Kwinana railway 24 miles 30 chains from Perth in the Kwinana station yard and proceeding thence in a southerly direction for about 3 miles and thence in a south</w:t>
      </w:r>
      <w:r>
        <w:rPr>
          <w:snapToGrid w:val="0"/>
        </w:rPr>
        <w:noBreakHyphen/>
        <w:t>easterly direction for about 1 mile 10 chains and thence in an easterly direction for about 1 mile 20 chains and thence in a north</w:t>
      </w:r>
      <w:r>
        <w:rPr>
          <w:snapToGrid w:val="0"/>
        </w:rPr>
        <w:noBreakHyphen/>
        <w:t>easterly direction for about 1 mile 70 chains and thence in an easterly direction for about 7 miles 20 chains and thence in a southerly direction through Mundijong station yard for about 2 miles 30 chains and thence in an easterly direction for about 1 mile and thence in a north</w:t>
      </w:r>
      <w:r>
        <w:rPr>
          <w:snapToGrid w:val="0"/>
        </w:rPr>
        <w:noBreakHyphen/>
        <w:t>easterly direction for about 1 mile 30 chains and thence in a south</w:t>
      </w:r>
      <w:r>
        <w:rPr>
          <w:snapToGrid w:val="0"/>
        </w:rPr>
        <w:noBreakHyphen/>
        <w:t>easterly direction for about 4 miles 40 chains and thence in a north</w:t>
      </w:r>
      <w:r>
        <w:rPr>
          <w:snapToGrid w:val="0"/>
        </w:rPr>
        <w:noBreakHyphen/>
        <w:t>easterly direction for about 3 miles terminating at about the south</w:t>
      </w:r>
      <w:r>
        <w:rPr>
          <w:snapToGrid w:val="0"/>
        </w:rPr>
        <w:noBreakHyphen/>
        <w:t xml:space="preserve">west corner of location 819 as more particularly set out and delineated in red on map marked C.E. Plan No. 51871 deposited pursuant to the </w:t>
      </w:r>
      <w:r>
        <w:rPr>
          <w:i/>
          <w:iCs/>
          <w:snapToGrid w:val="0"/>
        </w:rPr>
        <w:t>Public Works Act 1902</w:t>
      </w:r>
      <w:r>
        <w:rPr>
          <w:snapToGrid w:val="0"/>
        </w:rPr>
        <w:t xml:space="preserve">, </w:t>
      </w:r>
      <w:del w:id="53" w:author="svcMRProcess" w:date="2015-10-30T13:34:00Z">
        <w:r>
          <w:rPr>
            <w:snapToGrid w:val="0"/>
          </w:rPr>
          <w:delText>Section</w:delText>
        </w:r>
      </w:del>
      <w:ins w:id="54" w:author="svcMRProcess" w:date="2015-10-30T13:34:00Z">
        <w:r>
          <w:rPr>
            <w:snapToGrid w:val="0"/>
          </w:rPr>
          <w:t>section</w:t>
        </w:r>
      </w:ins>
      <w:r>
        <w:rPr>
          <w:snapToGrid w:val="0"/>
        </w:rPr>
        <w:t> 96.</w:t>
      </w:r>
    </w:p>
    <w:p>
      <w:pPr>
        <w:pStyle w:val="yTable"/>
        <w:rPr>
          <w:snapToGrid w:val="0"/>
        </w:rPr>
      </w:pPr>
      <w:r>
        <w:rPr>
          <w:snapToGrid w:val="0"/>
        </w:rPr>
        <w:t>Total length about 26 miles 60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5" w:name="_Toc159037089"/>
      <w:bookmarkStart w:id="56" w:name="_Toc168463005"/>
      <w:bookmarkStart w:id="57" w:name="_Toc168463582"/>
      <w:r>
        <w:t>Notes</w:t>
      </w:r>
      <w:bookmarkEnd w:id="55"/>
      <w:bookmarkEnd w:id="56"/>
      <w:bookmarkEnd w:id="57"/>
    </w:p>
    <w:p>
      <w:pPr>
        <w:pStyle w:val="nSubsection"/>
        <w:rPr>
          <w:snapToGrid w:val="0"/>
        </w:rPr>
      </w:pPr>
      <w:r>
        <w:rPr>
          <w:snapToGrid w:val="0"/>
          <w:vertAlign w:val="superscript"/>
        </w:rPr>
        <w:t>1</w:t>
      </w:r>
      <w:del w:id="58" w:author="svcMRProcess" w:date="2015-10-30T13:34:00Z">
        <w:r>
          <w:rPr>
            <w:snapToGrid w:val="0"/>
            <w:vertAlign w:val="superscript"/>
          </w:rPr>
          <w:delText>.</w:delText>
        </w:r>
      </w:del>
      <w:r>
        <w:rPr>
          <w:snapToGrid w:val="0"/>
        </w:rPr>
        <w:tab/>
        <w:t>This</w:t>
      </w:r>
      <w:del w:id="59" w:author="svcMRProcess" w:date="2015-10-30T13:34:00Z">
        <w:r>
          <w:rPr>
            <w:snapToGrid w:val="0"/>
          </w:rPr>
          <w:delText> </w:delText>
        </w:r>
      </w:del>
      <w:ins w:id="60" w:author="svcMRProcess" w:date="2015-10-30T13:34:00Z">
        <w:r>
          <w:rPr>
            <w:snapToGrid w:val="0"/>
          </w:rPr>
          <w:t xml:space="preserve"> </w:t>
        </w:r>
      </w:ins>
      <w:r>
        <w:rPr>
          <w:snapToGrid w:val="0"/>
        </w:rPr>
        <w:t xml:space="preserve">is a </w:t>
      </w:r>
      <w:del w:id="61" w:author="svcMRProcess" w:date="2015-10-30T13:34:00Z">
        <w:r>
          <w:rPr>
            <w:snapToGrid w:val="0"/>
          </w:rPr>
          <w:delText>compilation</w:delText>
        </w:r>
      </w:del>
      <w:ins w:id="62" w:author="svcMRProcess" w:date="2015-10-30T13:34:00Z">
        <w:r>
          <w:rPr>
            <w:snapToGrid w:val="0"/>
          </w:rPr>
          <w:t>reprint as at 6 July 2007</w:t>
        </w:r>
      </w:ins>
      <w:r>
        <w:rPr>
          <w:snapToGrid w:val="0"/>
        </w:rPr>
        <w:t xml:space="preserve"> of the </w:t>
      </w:r>
      <w:bookmarkStart w:id="63" w:name="RuleErr_1"/>
      <w:r>
        <w:rPr>
          <w:i/>
          <w:noProof/>
          <w:snapToGrid w:val="0"/>
        </w:rPr>
        <w:t>Kwinana</w:t>
      </w:r>
      <w:del w:id="64" w:author="svcMRProcess" w:date="2015-10-30T13:34:00Z">
        <w:r>
          <w:rPr>
            <w:i/>
            <w:snapToGrid w:val="0"/>
          </w:rPr>
          <w:noBreakHyphen/>
        </w:r>
      </w:del>
      <w:ins w:id="65" w:author="svcMRProcess" w:date="2015-10-30T13:34:00Z">
        <w:r>
          <w:rPr>
            <w:i/>
            <w:noProof/>
            <w:snapToGrid w:val="0"/>
          </w:rPr>
          <w:t>-</w:t>
        </w:r>
      </w:ins>
      <w:r>
        <w:rPr>
          <w:i/>
          <w:noProof/>
          <w:snapToGrid w:val="0"/>
        </w:rPr>
        <w:t>Mundijong</w:t>
      </w:r>
      <w:del w:id="66" w:author="svcMRProcess" w:date="2015-10-30T13:34:00Z">
        <w:r>
          <w:rPr>
            <w:i/>
            <w:snapToGrid w:val="0"/>
          </w:rPr>
          <w:noBreakHyphen/>
        </w:r>
      </w:del>
      <w:ins w:id="67" w:author="svcMRProcess" w:date="2015-10-30T13:34:00Z">
        <w:r>
          <w:rPr>
            <w:i/>
            <w:noProof/>
            <w:snapToGrid w:val="0"/>
          </w:rPr>
          <w:t>-</w:t>
        </w:r>
      </w:ins>
      <w:r>
        <w:rPr>
          <w:i/>
          <w:noProof/>
          <w:snapToGrid w:val="0"/>
        </w:rPr>
        <w:t>Jarrahdale Railway Act</w:t>
      </w:r>
      <w:del w:id="68" w:author="svcMRProcess" w:date="2015-10-30T13:34:00Z">
        <w:r>
          <w:rPr>
            <w:i/>
            <w:snapToGrid w:val="0"/>
          </w:rPr>
          <w:delText> </w:delText>
        </w:r>
      </w:del>
      <w:ins w:id="69" w:author="svcMRProcess" w:date="2015-10-30T13:34:00Z">
        <w:r>
          <w:rPr>
            <w:i/>
            <w:noProof/>
            <w:snapToGrid w:val="0"/>
          </w:rPr>
          <w:t xml:space="preserve"> </w:t>
        </w:r>
      </w:ins>
      <w:r>
        <w:rPr>
          <w:i/>
          <w:noProof/>
          <w:snapToGrid w:val="0"/>
        </w:rPr>
        <w:t>1961</w:t>
      </w:r>
      <w:bookmarkEnd w:id="63"/>
      <w:del w:id="70" w:author="svcMRProcess" w:date="2015-10-30T13:34:00Z">
        <w:r>
          <w:rPr>
            <w:snapToGrid w:val="0"/>
          </w:rPr>
          <w:delText xml:space="preserve"> and includes all amendments effected by the other Acts referred to in the</w:delText>
        </w:r>
      </w:del>
      <w:ins w:id="71" w:author="svcMRProcess" w:date="2015-10-30T13:34:00Z">
        <w:r>
          <w:rPr>
            <w:snapToGrid w:val="0"/>
          </w:rPr>
          <w:t>.  The</w:t>
        </w:r>
      </w:ins>
      <w:r>
        <w:rPr>
          <w:snapToGrid w:val="0"/>
        </w:rPr>
        <w:t xml:space="preserve"> following </w:t>
      </w:r>
      <w:del w:id="72" w:author="svcMRProcess" w:date="2015-10-30T13:34:00Z">
        <w:r>
          <w:rPr>
            <w:snapToGrid w:val="0"/>
          </w:rPr>
          <w:delText>Table.</w:delText>
        </w:r>
      </w:del>
      <w:ins w:id="73" w:author="svcMRProcess" w:date="2015-10-30T13:34:00Z">
        <w:r>
          <w:rPr>
            <w:snapToGrid w:val="0"/>
          </w:rPr>
          <w:t xml:space="preserve">table contains information about that Act and any reprint. </w:t>
        </w:r>
      </w:ins>
    </w:p>
    <w:p>
      <w:pPr>
        <w:pStyle w:val="MiscellaneousHeading"/>
        <w:spacing w:after="80"/>
        <w:rPr>
          <w:del w:id="74" w:author="svcMRProcess" w:date="2015-10-30T13:34:00Z"/>
          <w:b/>
          <w:snapToGrid w:val="0"/>
        </w:rPr>
      </w:pPr>
      <w:bookmarkStart w:id="75" w:name="_Toc168463583"/>
      <w:del w:id="76" w:author="svcMRProcess" w:date="2015-10-30T13:34:00Z">
        <w:r>
          <w:rPr>
            <w:b/>
            <w:snapToGrid w:val="0"/>
          </w:rPr>
          <w:delText>Table of Acts</w:delText>
        </w:r>
      </w:del>
    </w:p>
    <w:p>
      <w:pPr>
        <w:pStyle w:val="nHeading3"/>
        <w:rPr>
          <w:ins w:id="77" w:author="svcMRProcess" w:date="2015-10-30T13:34:00Z"/>
          <w:snapToGrid w:val="0"/>
        </w:rPr>
      </w:pPr>
      <w:ins w:id="78" w:author="svcMRProcess" w:date="2015-10-30T13:34:00Z">
        <w:r>
          <w:rPr>
            <w:snapToGrid w:val="0"/>
          </w:rPr>
          <w:t>Compilation table</w:t>
        </w:r>
        <w:bookmarkEnd w:id="75"/>
      </w:ins>
    </w:p>
    <w:tbl>
      <w:tblPr>
        <w:tblW w:w="0" w:type="auto"/>
        <w:tblInd w:w="28" w:type="dxa"/>
        <w:tblLayout w:type="fixed"/>
        <w:tblCellMar>
          <w:left w:w="56" w:type="dxa"/>
          <w:right w:w="56" w:type="dxa"/>
        </w:tblCellMar>
        <w:tblLook w:val="0000" w:firstRow="0" w:lastRow="0" w:firstColumn="0" w:lastColumn="0" w:noHBand="0" w:noVBand="0"/>
      </w:tblPr>
      <w:tblGrid>
        <w:gridCol w:w="2668"/>
        <w:gridCol w:w="960"/>
        <w:gridCol w:w="1200"/>
        <w:gridCol w:w="2259"/>
        <w:gridCol w:w="1417"/>
      </w:tblGrid>
      <w:tr>
        <w:trPr>
          <w:tblHeader/>
        </w:trPr>
        <w:tc>
          <w:tcPr>
            <w:tcW w:w="2668" w:type="dxa"/>
            <w:tcBorders>
              <w:top w:val="single" w:sz="8" w:space="0" w:color="auto"/>
              <w:bottom w:val="single" w:sz="8" w:space="0" w:color="auto"/>
            </w:tcBorders>
          </w:tcPr>
          <w:p>
            <w:pPr>
              <w:pStyle w:val="nTable"/>
              <w:spacing w:after="40"/>
              <w:rPr>
                <w:b/>
                <w:sz w:val="19"/>
              </w:rPr>
            </w:pPr>
            <w:del w:id="79" w:author="svcMRProcess" w:date="2015-10-30T13:34:00Z">
              <w:r>
                <w:delText>Act</w:delText>
              </w:r>
            </w:del>
            <w:ins w:id="80" w:author="svcMRProcess" w:date="2015-10-30T13:34:00Z">
              <w:r>
                <w:rPr>
                  <w:b/>
                  <w:sz w:val="19"/>
                </w:rPr>
                <w:t>Short title</w:t>
              </w:r>
            </w:ins>
          </w:p>
        </w:tc>
        <w:tc>
          <w:tcPr>
            <w:tcW w:w="960" w:type="dxa"/>
            <w:tcBorders>
              <w:top w:val="single" w:sz="8" w:space="0" w:color="auto"/>
              <w:bottom w:val="single" w:sz="8" w:space="0" w:color="auto"/>
            </w:tcBorders>
          </w:tcPr>
          <w:p>
            <w:pPr>
              <w:pStyle w:val="nTable"/>
              <w:spacing w:after="40"/>
              <w:rPr>
                <w:b/>
                <w:sz w:val="19"/>
              </w:rPr>
            </w:pPr>
            <w:r>
              <w:rPr>
                <w:b/>
                <w:sz w:val="19"/>
              </w:rPr>
              <w:t xml:space="preserve">Number and </w:t>
            </w:r>
            <w:del w:id="81" w:author="svcMRProcess" w:date="2015-10-30T13:34:00Z">
              <w:r>
                <w:delText>Year</w:delText>
              </w:r>
            </w:del>
            <w:ins w:id="82" w:author="svcMRProcess" w:date="2015-10-30T13:34:00Z">
              <w:r>
                <w:rPr>
                  <w:b/>
                  <w:sz w:val="19"/>
                </w:rPr>
                <w:t>year</w:t>
              </w:r>
            </w:ins>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259"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4" w:space="0" w:color="auto"/>
            </w:tcBorders>
            <w:cellDel w:id="83" w:author="svcMRProcess" w:date="2015-10-30T13:34:00Z"/>
          </w:tcPr>
          <w:p>
            <w:pPr>
              <w:pStyle w:val="nTable"/>
              <w:spacing w:after="60" w:line="240" w:lineRule="atLeast"/>
            </w:pPr>
            <w:del w:id="84" w:author="svcMRProcess" w:date="2015-10-30T13:34:00Z">
              <w:r>
                <w:delText>Miscellaneous</w:delText>
              </w:r>
            </w:del>
          </w:p>
        </w:tc>
      </w:tr>
      <w:tr>
        <w:tc>
          <w:tcPr>
            <w:tcW w:w="2668" w:type="dxa"/>
            <w:tcBorders>
              <w:top w:val="single" w:sz="8" w:space="0" w:color="auto"/>
            </w:tcBorders>
          </w:tcPr>
          <w:p>
            <w:pPr>
              <w:pStyle w:val="nTable"/>
              <w:spacing w:after="40"/>
              <w:rPr>
                <w:sz w:val="19"/>
              </w:rPr>
            </w:pPr>
            <w:r>
              <w:rPr>
                <w:i/>
                <w:sz w:val="19"/>
              </w:rPr>
              <w:t>Kwinana</w:t>
            </w:r>
            <w:r>
              <w:rPr>
                <w:i/>
                <w:sz w:val="19"/>
              </w:rPr>
              <w:noBreakHyphen/>
              <w:t>Mundijong</w:t>
            </w:r>
            <w:r>
              <w:rPr>
                <w:i/>
                <w:sz w:val="19"/>
              </w:rPr>
              <w:noBreakHyphen/>
              <w:t>Jarrahdale Railway Act 1961</w:t>
            </w:r>
          </w:p>
        </w:tc>
        <w:tc>
          <w:tcPr>
            <w:tcW w:w="960" w:type="dxa"/>
            <w:tcBorders>
              <w:top w:val="single" w:sz="8" w:space="0" w:color="auto"/>
            </w:tcBorders>
          </w:tcPr>
          <w:p>
            <w:pPr>
              <w:pStyle w:val="nTable"/>
              <w:spacing w:after="40"/>
              <w:rPr>
                <w:sz w:val="19"/>
              </w:rPr>
            </w:pPr>
            <w:r>
              <w:rPr>
                <w:sz w:val="19"/>
              </w:rPr>
              <w:t>47 of 1961</w:t>
            </w:r>
            <w:ins w:id="85" w:author="svcMRProcess" w:date="2015-10-30T13:34:00Z">
              <w:r>
                <w:rPr>
                  <w:sz w:val="19"/>
                </w:rPr>
                <w:t xml:space="preserve"> </w:t>
              </w:r>
              <w:r>
                <w:rPr>
                  <w:color w:val="000000"/>
                </w:rPr>
                <w:t>(10  Eliz. II No. 47)</w:t>
              </w:r>
            </w:ins>
          </w:p>
        </w:tc>
        <w:tc>
          <w:tcPr>
            <w:tcW w:w="1200" w:type="dxa"/>
            <w:tcBorders>
              <w:top w:val="single" w:sz="8" w:space="0" w:color="auto"/>
            </w:tcBorders>
          </w:tcPr>
          <w:p>
            <w:pPr>
              <w:pStyle w:val="nTable"/>
              <w:spacing w:after="40"/>
              <w:rPr>
                <w:sz w:val="19"/>
              </w:rPr>
            </w:pPr>
            <w:r>
              <w:rPr>
                <w:sz w:val="19"/>
              </w:rPr>
              <w:t>23 </w:t>
            </w:r>
            <w:del w:id="86" w:author="svcMRProcess" w:date="2015-10-30T13:34:00Z">
              <w:r>
                <w:delText xml:space="preserve">November </w:delText>
              </w:r>
            </w:del>
            <w:ins w:id="87" w:author="svcMRProcess" w:date="2015-10-30T13:34:00Z">
              <w:r>
                <w:rPr>
                  <w:sz w:val="19"/>
                </w:rPr>
                <w:t>Nov </w:t>
              </w:r>
            </w:ins>
            <w:r>
              <w:rPr>
                <w:sz w:val="19"/>
              </w:rPr>
              <w:t>1961</w:t>
            </w:r>
          </w:p>
        </w:tc>
        <w:tc>
          <w:tcPr>
            <w:tcW w:w="2259" w:type="dxa"/>
            <w:tcBorders>
              <w:top w:val="single" w:sz="8" w:space="0" w:color="auto"/>
            </w:tcBorders>
          </w:tcPr>
          <w:p>
            <w:pPr>
              <w:pStyle w:val="nTable"/>
              <w:spacing w:after="40"/>
              <w:rPr>
                <w:sz w:val="19"/>
              </w:rPr>
            </w:pPr>
            <w:r>
              <w:rPr>
                <w:sz w:val="19"/>
              </w:rPr>
              <w:t>7 </w:t>
            </w:r>
            <w:del w:id="88" w:author="svcMRProcess" w:date="2015-10-30T13:34:00Z">
              <w:r>
                <w:delText xml:space="preserve">December </w:delText>
              </w:r>
            </w:del>
            <w:ins w:id="89" w:author="svcMRProcess" w:date="2015-10-30T13:34:00Z">
              <w:r>
                <w:rPr>
                  <w:sz w:val="19"/>
                </w:rPr>
                <w:t>Dec </w:t>
              </w:r>
            </w:ins>
            <w:r>
              <w:rPr>
                <w:sz w:val="19"/>
              </w:rPr>
              <w:t xml:space="preserve">1962 </w:t>
            </w:r>
            <w:del w:id="90" w:author="svcMRProcess" w:date="2015-10-30T13:34:00Z">
              <w:r>
                <w:br/>
              </w:r>
            </w:del>
            <w:r>
              <w:rPr>
                <w:sz w:val="19"/>
              </w:rPr>
              <w:t xml:space="preserve">(see </w:t>
            </w:r>
            <w:ins w:id="91" w:author="svcMRProcess" w:date="2015-10-30T13:34:00Z">
              <w:r>
                <w:rPr>
                  <w:sz w:val="19"/>
                </w:rPr>
                <w:t xml:space="preserve">s. 2 and </w:t>
              </w:r>
            </w:ins>
            <w:r>
              <w:rPr>
                <w:i/>
                <w:sz w:val="19"/>
              </w:rPr>
              <w:t>Gazette</w:t>
            </w:r>
            <w:r>
              <w:rPr>
                <w:sz w:val="19"/>
              </w:rPr>
              <w:t xml:space="preserve"> 7 </w:t>
            </w:r>
            <w:del w:id="92" w:author="svcMRProcess" w:date="2015-10-30T13:34:00Z">
              <w:r>
                <w:delText xml:space="preserve">December </w:delText>
              </w:r>
            </w:del>
            <w:ins w:id="93" w:author="svcMRProcess" w:date="2015-10-30T13:34:00Z">
              <w:r>
                <w:rPr>
                  <w:sz w:val="19"/>
                </w:rPr>
                <w:t>Dec </w:t>
              </w:r>
            </w:ins>
            <w:r>
              <w:rPr>
                <w:sz w:val="19"/>
              </w:rPr>
              <w:t>1962 p.</w:t>
            </w:r>
            <w:ins w:id="94" w:author="svcMRProcess" w:date="2015-10-30T13:34:00Z">
              <w:r>
                <w:rPr>
                  <w:sz w:val="19"/>
                </w:rPr>
                <w:t> </w:t>
              </w:r>
            </w:ins>
            <w:r>
              <w:rPr>
                <w:sz w:val="19"/>
              </w:rPr>
              <w:t>3857)</w:t>
            </w:r>
          </w:p>
        </w:tc>
        <w:tc>
          <w:tcPr>
            <w:tcW w:w="1417" w:type="dxa"/>
            <w:tcBorders>
              <w:top w:val="single" w:sz="4" w:space="0" w:color="auto"/>
              <w:bottom w:val="single" w:sz="4" w:space="0" w:color="auto"/>
            </w:tcBorders>
            <w:cellDel w:id="95" w:author="svcMRProcess" w:date="2015-10-30T13:34:00Z"/>
          </w:tcPr>
          <w:p>
            <w:pPr>
              <w:pStyle w:val="nTable"/>
              <w:spacing w:after="60" w:line="240" w:lineRule="atLeast"/>
            </w:pPr>
          </w:p>
        </w:tc>
      </w:tr>
      <w:tr>
        <w:trPr>
          <w:cantSplit/>
          <w:ins w:id="96" w:author="svcMRProcess" w:date="2015-10-30T13:34:00Z"/>
        </w:trPr>
        <w:tc>
          <w:tcPr>
            <w:tcW w:w="7087" w:type="dxa"/>
            <w:gridSpan w:val="5"/>
            <w:tcBorders>
              <w:bottom w:val="single" w:sz="4" w:space="0" w:color="auto"/>
            </w:tcBorders>
          </w:tcPr>
          <w:p>
            <w:pPr>
              <w:pStyle w:val="nTable"/>
              <w:spacing w:after="40"/>
              <w:rPr>
                <w:ins w:id="97" w:author="svcMRProcess" w:date="2015-10-30T13:34:00Z"/>
                <w:sz w:val="19"/>
              </w:rPr>
            </w:pPr>
            <w:ins w:id="98" w:author="svcMRProcess" w:date="2015-10-30T13:34:00Z">
              <w:r>
                <w:rPr>
                  <w:b/>
                  <w:bCs/>
                  <w:sz w:val="19"/>
                </w:rPr>
                <w:t xml:space="preserve">Reprint 1:  The </w:t>
              </w:r>
              <w:r>
                <w:rPr>
                  <w:b/>
                  <w:bCs/>
                  <w:i/>
                  <w:sz w:val="19"/>
                </w:rPr>
                <w:t>Kwinana</w:t>
              </w:r>
              <w:r>
                <w:rPr>
                  <w:b/>
                  <w:bCs/>
                  <w:i/>
                  <w:sz w:val="19"/>
                </w:rPr>
                <w:noBreakHyphen/>
                <w:t>Mundijong</w:t>
              </w:r>
              <w:r>
                <w:rPr>
                  <w:b/>
                  <w:bCs/>
                  <w:i/>
                  <w:sz w:val="19"/>
                </w:rPr>
                <w:noBreakHyphen/>
                <w:t>Jarrahdale Railway Act 1961</w:t>
              </w:r>
              <w:r>
                <w:rPr>
                  <w:b/>
                  <w:bCs/>
                  <w:sz w:val="19"/>
                </w:rPr>
                <w:t xml:space="preserve"> as at 6 Jul 2007</w:t>
              </w:r>
            </w:ins>
          </w:p>
        </w:tc>
      </w:tr>
    </w:tbl>
    <w:p>
      <w:pPr>
        <w:rPr>
          <w:ins w:id="99" w:author="svcMRProcess" w:date="2015-10-30T13:34: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Kwinana-Mundijong-Jarrahdale Railway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Kwinana-Mundijong-Jarrahdale Railway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Kwinana-Mundijong-Jarrahdale Railway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Kwinana-Mundijong-Jarrahdale Railway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Kwinana-Mundijong-Jarrahdale Railway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Kwinana-Mundijong-Jarrahdale Railway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Kwinana-Mundijong-Jarrahdale Railway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Kwinana-Mundijong-Jarrahdale Railway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C88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BA57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666D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DE32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0CEB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56ED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12C9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5416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7898E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66D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D32FD7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3728</Characters>
  <Application>Microsoft Office Word</Application>
  <DocSecurity>0</DocSecurity>
  <Lines>124</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4439</CharactersWithSpaces>
  <SharedDoc>false</SharedDoc>
  <HLinks>
    <vt:vector size="12" baseType="variant">
      <vt:variant>
        <vt:i4>65542</vt:i4>
      </vt:variant>
      <vt:variant>
        <vt:i4>2022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Act 1961 00-a0-06 - 01-a0-03</dc:title>
  <dc:subject/>
  <dc:creator/>
  <cp:keywords/>
  <dc:description/>
  <cp:lastModifiedBy>svcMRProcess</cp:lastModifiedBy>
  <cp:revision>2</cp:revision>
  <cp:lastPrinted>2007-06-15T03:02:00Z</cp:lastPrinted>
  <dcterms:created xsi:type="dcterms:W3CDTF">2015-10-30T05:34:00Z</dcterms:created>
  <dcterms:modified xsi:type="dcterms:W3CDTF">2015-10-30T05:34:00Z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1961</vt:lpwstr>
  </property>
  <property fmtid="{D5CDD505-2E9C-101B-9397-08002B2CF9AE}" pid="3" name="CommencementDate">
    <vt:lpwstr>20070706</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FromSuffix">
    <vt:lpwstr>00-a0-06</vt:lpwstr>
  </property>
  <property fmtid="{D5CDD505-2E9C-101B-9397-08002B2CF9AE}" pid="8" name="FromAsAtDate">
    <vt:lpwstr>06 Jul 1998</vt:lpwstr>
  </property>
  <property fmtid="{D5CDD505-2E9C-101B-9397-08002B2CF9AE}" pid="9" name="ToSuffix">
    <vt:lpwstr>01-a0-03</vt:lpwstr>
  </property>
  <property fmtid="{D5CDD505-2E9C-101B-9397-08002B2CF9AE}" pid="10" name="ToAsAtDate">
    <vt:lpwstr>06 Jul 2007</vt:lpwstr>
  </property>
</Properties>
</file>