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04-g0-02</w:t>
      </w:r>
      <w:r>
        <w:fldChar w:fldCharType="end"/>
      </w:r>
      <w:r>
        <w:t>] and [</w:t>
      </w:r>
      <w:r>
        <w:fldChar w:fldCharType="begin"/>
      </w:r>
      <w:r>
        <w:instrText xml:space="preserve"> DocProperty ToAsAtDate</w:instrText>
      </w:r>
      <w:r>
        <w:fldChar w:fldCharType="separate"/>
      </w:r>
      <w:r>
        <w:t>19 Sep 2007</w:t>
      </w:r>
      <w:r>
        <w:fldChar w:fldCharType="end"/>
      </w:r>
      <w:r>
        <w:t xml:space="preserve">, </w:t>
      </w:r>
      <w:r>
        <w:fldChar w:fldCharType="begin"/>
      </w:r>
      <w:r>
        <w:instrText xml:space="preserve"> DocProperty ToSuffix</w:instrText>
      </w:r>
      <w:r>
        <w:fldChar w:fldCharType="separate"/>
      </w:r>
      <w:r>
        <w:t>04-h0-02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Firearms Act 1973 </w:t>
      </w:r>
    </w:p>
    <w:p>
      <w:pPr>
        <w:pStyle w:val="LongTitle"/>
        <w:rPr>
          <w:snapToGrid w:val="0"/>
        </w:rPr>
      </w:pPr>
      <w:r>
        <w:rPr>
          <w:snapToGrid w:val="0"/>
        </w:rPr>
        <w:t>A</w:t>
      </w:r>
      <w:bookmarkStart w:id="0" w:name="_GoBack"/>
      <w:bookmarkEnd w:id="0"/>
      <w:r>
        <w:rPr>
          <w:snapToGrid w:val="0"/>
        </w:rPr>
        <w:t xml:space="preserve">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xml:space="preserve">, and for incidental and other purposes. </w:t>
      </w:r>
    </w:p>
    <w:p>
      <w:pPr>
        <w:pStyle w:val="Heading5"/>
        <w:spacing w:before="480"/>
        <w:rPr>
          <w:snapToGrid w:val="0"/>
        </w:rPr>
      </w:pPr>
      <w:bookmarkStart w:id="1" w:name="_Toc411064768"/>
      <w:bookmarkStart w:id="2" w:name="_Toc51574230"/>
      <w:bookmarkStart w:id="3" w:name="_Toc108854192"/>
      <w:bookmarkStart w:id="4" w:name="_Toc177813673"/>
      <w:bookmarkStart w:id="5" w:name="_Toc171068056"/>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pPr>
        <w:pStyle w:val="Heading5"/>
        <w:rPr>
          <w:snapToGrid w:val="0"/>
        </w:rPr>
      </w:pPr>
      <w:bookmarkStart w:id="6" w:name="_Toc411064769"/>
      <w:bookmarkStart w:id="7" w:name="_Toc51574231"/>
      <w:bookmarkStart w:id="8" w:name="_Toc108854193"/>
      <w:bookmarkStart w:id="9" w:name="_Toc177813674"/>
      <w:bookmarkStart w:id="10" w:name="_Toc171068057"/>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bookmarkStart w:id="11" w:name="_Toc411064770"/>
      <w:bookmarkStart w:id="12" w:name="_Toc51574232"/>
      <w:r>
        <w:t>[</w:t>
      </w:r>
      <w:r>
        <w:rPr>
          <w:b/>
          <w:bCs/>
        </w:rPr>
        <w:t>3</w:t>
      </w:r>
      <w:r>
        <w:rPr>
          <w:b/>
        </w:rPr>
        <w:t>.</w:t>
      </w:r>
      <w:r>
        <w:tab/>
        <w:t>Omitted under the Reprints Act 1984 s. 7(4)(f).]</w:t>
      </w:r>
      <w:bookmarkEnd w:id="11"/>
      <w:bookmarkEnd w:id="12"/>
    </w:p>
    <w:p>
      <w:pPr>
        <w:pStyle w:val="Heading5"/>
        <w:rPr>
          <w:snapToGrid w:val="0"/>
        </w:rPr>
      </w:pPr>
      <w:bookmarkStart w:id="13" w:name="_Toc411064771"/>
      <w:bookmarkStart w:id="14" w:name="_Toc51574233"/>
      <w:bookmarkStart w:id="15" w:name="_Toc108854194"/>
      <w:bookmarkStart w:id="16" w:name="_Toc177813675"/>
      <w:bookmarkStart w:id="17" w:name="_Toc171068058"/>
      <w:r>
        <w:rPr>
          <w:rStyle w:val="CharSectno"/>
        </w:rPr>
        <w:t>4</w:t>
      </w:r>
      <w:r>
        <w:rPr>
          <w:snapToGrid w:val="0"/>
        </w:rPr>
        <w:t>.</w:t>
      </w:r>
      <w:r>
        <w:rPr>
          <w:snapToGrid w:val="0"/>
        </w:rPr>
        <w:tab/>
        <w:t>Interpretation</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ammunition</w:t>
      </w:r>
      <w:r>
        <w:rPr>
          <w:b/>
        </w:rPr>
        <w:t>”</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carry</w:t>
      </w:r>
      <w:r>
        <w:rPr>
          <w:b/>
        </w:rPr>
        <w:t>”</w:t>
      </w:r>
      <w:r>
        <w:t xml:space="preserve"> includes to have on or about one’s person;</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dealer</w:t>
      </w:r>
      <w:r>
        <w:rPr>
          <w:b/>
        </w:rPr>
        <w:t>”</w:t>
      </w:r>
      <w:r>
        <w:t xml:space="preserve"> means a person who in the ordinary course of business buys, sells or trades in firearms or ammunition; and </w:t>
      </w:r>
      <w:r>
        <w:rPr>
          <w:b/>
        </w:rPr>
        <w:t>“</w:t>
      </w:r>
      <w:r>
        <w:rPr>
          <w:rStyle w:val="CharDefText"/>
        </w:rPr>
        <w:t>deal</w:t>
      </w:r>
      <w:r>
        <w:rPr>
          <w:b/>
        </w:rPr>
        <w:t>”</w:t>
      </w:r>
      <w:r>
        <w:t xml:space="preserve"> has a corresponding meaning;</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Extract of Licence</w:t>
      </w:r>
      <w:r>
        <w:rPr>
          <w:b/>
        </w:rPr>
        <w:t>”</w:t>
      </w:r>
      <w:r>
        <w:t xml:space="preserve"> means a Firearms Act Extract of Licence referred to in, and issued under, section 22A;</w:t>
      </w:r>
    </w:p>
    <w:p>
      <w:pPr>
        <w:pStyle w:val="Defstart"/>
      </w:pPr>
      <w:r>
        <w:rPr>
          <w:b/>
        </w:rPr>
        <w:tab/>
        <w:t>“</w:t>
      </w:r>
      <w:r>
        <w:rPr>
          <w:rStyle w:val="CharDefText"/>
        </w:rPr>
        <w:t>firearm</w:t>
      </w:r>
      <w:r>
        <w:rPr>
          <w:b/>
        </w:rPr>
        <w:t>”</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pPr>
        <w:pStyle w:val="Defstart"/>
      </w:pPr>
      <w:r>
        <w:rPr>
          <w:b/>
        </w:rPr>
        <w:tab/>
        <w:t>“</w:t>
      </w:r>
      <w:r>
        <w:rPr>
          <w:rStyle w:val="CharDefText"/>
        </w:rPr>
        <w:t>handgun</w:t>
      </w:r>
      <w:r>
        <w:rPr>
          <w:b/>
        </w:rPr>
        <w:t>”</w:t>
      </w:r>
      <w:r>
        <w:t xml:space="preserve"> means any lethal firearm and any other weapon of any length of barrel — </w:t>
      </w:r>
    </w:p>
    <w:p>
      <w:pPr>
        <w:pStyle w:val="Defpara"/>
      </w:pPr>
      <w:r>
        <w:tab/>
        <w:t>(a)</w:t>
      </w:r>
      <w:r>
        <w:tab/>
        <w:t>which is reasonably capable of being carried or concealed about the person; and</w:t>
      </w:r>
    </w:p>
    <w:p>
      <w:pPr>
        <w:pStyle w:val="Defpara"/>
      </w:pPr>
      <w:r>
        <w:tab/>
        <w:t>(b)</w:t>
      </w:r>
      <w:r>
        <w:tab/>
        <w:t>which when used can be aimed and fired or discharged from one hand; and</w:t>
      </w:r>
    </w:p>
    <w:p>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pPr>
        <w:pStyle w:val="Defstart"/>
      </w:pPr>
      <w:r>
        <w:rPr>
          <w:b/>
        </w:rPr>
        <w:tab/>
        <w:t>“</w:t>
      </w:r>
      <w:r>
        <w:rPr>
          <w:rStyle w:val="CharDefText"/>
        </w:rPr>
        <w:t>holder</w:t>
      </w:r>
      <w:r>
        <w:rPr>
          <w:b/>
        </w:rPr>
        <w:t>”</w:t>
      </w:r>
      <w:r>
        <w:t>, in the context of an approval given under this Act, means the person to whom the approval relates;</w:t>
      </w:r>
    </w:p>
    <w:p>
      <w:pPr>
        <w:pStyle w:val="Defstart"/>
      </w:pPr>
      <w:r>
        <w:rPr>
          <w:b/>
        </w:rPr>
        <w:tab/>
        <w:t>“</w:t>
      </w:r>
      <w:r>
        <w:rPr>
          <w:rStyle w:val="CharDefText"/>
        </w:rPr>
        <w:t>medical practitioner</w:t>
      </w:r>
      <w:r>
        <w:rPr>
          <w:b/>
        </w:rPr>
        <w:t>”</w:t>
      </w:r>
      <w:r>
        <w:t xml:space="preserve"> means an individual who is registered as a medical practitioner under the </w:t>
      </w:r>
      <w:r>
        <w:rPr>
          <w:i/>
        </w:rPr>
        <w:t>Medical Act 1894</w:t>
      </w:r>
      <w:r>
        <w:t>;</w:t>
      </w:r>
    </w:p>
    <w:p>
      <w:pPr>
        <w:pStyle w:val="Defstart"/>
      </w:pPr>
      <w:r>
        <w:rPr>
          <w:b/>
        </w:rPr>
        <w:tab/>
        <w:t>“</w:t>
      </w:r>
      <w:r>
        <w:rPr>
          <w:rStyle w:val="CharDefText"/>
        </w:rPr>
        <w:t>missile</w:t>
      </w:r>
      <w:r>
        <w:rPr>
          <w:b/>
        </w:rPr>
        <w:t>”</w:t>
      </w:r>
      <w:r>
        <w:t xml:space="preserve"> means any solid substance or liquid chemical which when discharged or propelled from any weapon from any distance is capable of causing physical injury to persons;</w:t>
      </w:r>
    </w:p>
    <w:p>
      <w:pPr>
        <w:pStyle w:val="Defstart"/>
      </w:pPr>
      <w:r>
        <w:tab/>
      </w:r>
      <w:r>
        <w:rPr>
          <w:b/>
        </w:rPr>
        <w:t>“</w:t>
      </w:r>
      <w:r>
        <w:rPr>
          <w:rStyle w:val="CharDefText"/>
        </w:rPr>
        <w:t>paintball</w:t>
      </w:r>
      <w:r>
        <w:rPr>
          <w:b/>
        </w:rPr>
        <w:t>”</w:t>
      </w:r>
      <w:r>
        <w:t xml:space="preserve"> means a game in which players attempt to shoot at one another with prescribed paintball guns using prescribed paintball pellets;</w:t>
      </w:r>
    </w:p>
    <w:p>
      <w:pPr>
        <w:pStyle w:val="Defstart"/>
      </w:pPr>
      <w:r>
        <w:tab/>
      </w:r>
      <w:r>
        <w:rPr>
          <w:b/>
        </w:rPr>
        <w:t>“</w:t>
      </w:r>
      <w:r>
        <w:rPr>
          <w:rStyle w:val="CharDefText"/>
        </w:rPr>
        <w:t>paintball gun</w:t>
      </w:r>
      <w:r>
        <w:rPr>
          <w:b/>
        </w:rPr>
        <w:t>”</w:t>
      </w:r>
      <w:r>
        <w:t xml:space="preserve"> means a firearm designed to discharge or propel paintball pellets;</w:t>
      </w:r>
    </w:p>
    <w:p>
      <w:pPr>
        <w:pStyle w:val="Defstart"/>
      </w:pPr>
      <w:r>
        <w:rPr>
          <w:b/>
        </w:rPr>
        <w:tab/>
        <w:t>“</w:t>
      </w:r>
      <w:r>
        <w:rPr>
          <w:rStyle w:val="CharDefText"/>
        </w:rPr>
        <w:t>paintball pellets</w:t>
      </w:r>
      <w:r>
        <w:rPr>
          <w:b/>
        </w:rPr>
        <w:t>”</w:t>
      </w:r>
      <w:r>
        <w:t xml:space="preserve"> means pellets — </w:t>
      </w:r>
    </w:p>
    <w:p>
      <w:pPr>
        <w:pStyle w:val="Defpara"/>
      </w:pPr>
      <w:r>
        <w:tab/>
        <w:t>(a)</w:t>
      </w:r>
      <w:r>
        <w:tab/>
        <w:t>consisting primarily of a dye or a similar prescribed substance; and</w:t>
      </w:r>
    </w:p>
    <w:p>
      <w:pPr>
        <w:pStyle w:val="Defpara"/>
      </w:pPr>
      <w:r>
        <w:tab/>
        <w:t>(b)</w:t>
      </w:r>
      <w:r>
        <w:tab/>
        <w:t>designed to be discharged or propelled from a firearm;</w:t>
      </w:r>
    </w:p>
    <w:p>
      <w:pPr>
        <w:pStyle w:val="Defstart"/>
        <w:keepNext/>
        <w:keepLines/>
      </w:pPr>
      <w:r>
        <w:rPr>
          <w:b/>
        </w:rPr>
        <w:tab/>
        <w:t>“</w:t>
      </w:r>
      <w:r>
        <w:rPr>
          <w:rStyle w:val="CharDefText"/>
        </w:rPr>
        <w:t>possession</w:t>
      </w:r>
      <w:r>
        <w:rPr>
          <w:b/>
        </w:rPr>
        <w:t>”</w:t>
      </w:r>
      <w:r>
        <w:t>, in addition to actual physical possession of a firearm or ammunition, means the custody or control of it, or having and exercising access to it in any place either alone or in common with others;</w:t>
      </w:r>
    </w:p>
    <w:p>
      <w:pPr>
        <w:pStyle w:val="Defstart"/>
      </w:pPr>
      <w:r>
        <w:rPr>
          <w:b/>
        </w:rPr>
        <w:tab/>
        <w:t>“</w:t>
      </w:r>
      <w:r>
        <w:rPr>
          <w:rStyle w:val="CharDefText"/>
        </w:rPr>
        <w:t>section</w:t>
      </w:r>
      <w:r>
        <w:rPr>
          <w:b/>
        </w:rPr>
        <w:t>”</w:t>
      </w:r>
      <w:r>
        <w:t xml:space="preserve"> means section of this Act.</w:t>
      </w:r>
    </w:p>
    <w:p>
      <w:pPr>
        <w:pStyle w:val="Footnotesection"/>
      </w:pPr>
      <w:r>
        <w:tab/>
        <w:t xml:space="preserve">[Section 4 amended by No. 59 of 1996 s. 4 and 40; No. 18 of 1999 s. 21; No. 69 of 2004 s. 4 and 8(1).] </w:t>
      </w:r>
    </w:p>
    <w:p>
      <w:pPr>
        <w:pStyle w:val="Heading5"/>
        <w:rPr>
          <w:snapToGrid w:val="0"/>
        </w:rPr>
      </w:pPr>
      <w:bookmarkStart w:id="18" w:name="_Toc411064772"/>
      <w:bookmarkStart w:id="19" w:name="_Toc51574234"/>
      <w:bookmarkStart w:id="20" w:name="_Toc108854195"/>
      <w:bookmarkStart w:id="21" w:name="_Toc177813676"/>
      <w:bookmarkStart w:id="22" w:name="_Toc171068059"/>
      <w:r>
        <w:rPr>
          <w:rStyle w:val="CharSectno"/>
        </w:rPr>
        <w:t>5</w:t>
      </w:r>
      <w:r>
        <w:rPr>
          <w:snapToGrid w:val="0"/>
        </w:rPr>
        <w:t>.</w:t>
      </w:r>
      <w:r>
        <w:rPr>
          <w:snapToGrid w:val="0"/>
        </w:rPr>
        <w:tab/>
        <w:t>Administration</w:t>
      </w:r>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 xml:space="preserve">[Section 5 amended by No. 98 of 1985 s. 3; No. 69 of 2004 s. 8(2); No. 77 of 2006 s. 17.] </w:t>
      </w:r>
    </w:p>
    <w:p>
      <w:pPr>
        <w:pStyle w:val="Heading5"/>
        <w:rPr>
          <w:snapToGrid w:val="0"/>
        </w:rPr>
      </w:pPr>
      <w:bookmarkStart w:id="23" w:name="_Toc411064773"/>
      <w:bookmarkStart w:id="24" w:name="_Toc51574235"/>
      <w:bookmarkStart w:id="25" w:name="_Toc108854196"/>
      <w:bookmarkStart w:id="26" w:name="_Toc177813677"/>
      <w:bookmarkStart w:id="27" w:name="_Toc171068060"/>
      <w:r>
        <w:rPr>
          <w:rStyle w:val="CharSectno"/>
        </w:rPr>
        <w:t>5A</w:t>
      </w:r>
      <w:r>
        <w:rPr>
          <w:snapToGrid w:val="0"/>
        </w:rPr>
        <w:t>.</w:t>
      </w:r>
      <w:r>
        <w:rPr>
          <w:snapToGrid w:val="0"/>
        </w:rPr>
        <w:tab/>
        <w:t>Delegation of Commissioner’s power to give licences, permits and approvals</w:t>
      </w:r>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Footnotesection"/>
      </w:pPr>
      <w:r>
        <w:tab/>
        <w:t xml:space="preserve">[Section 5A inserted by No. 59 of 1996 s. 5(1).] </w:t>
      </w:r>
    </w:p>
    <w:p>
      <w:pPr>
        <w:pStyle w:val="Ednotesection"/>
      </w:pPr>
      <w:bookmarkStart w:id="28" w:name="_Toc411064775"/>
      <w:bookmarkStart w:id="29" w:name="_Toc51574237"/>
      <w:r>
        <w:t>[</w:t>
      </w:r>
      <w:r>
        <w:rPr>
          <w:b/>
        </w:rPr>
        <w:t>5B.</w:t>
      </w:r>
      <w:r>
        <w:rPr>
          <w:b/>
        </w:rPr>
        <w:tab/>
      </w:r>
      <w:r>
        <w:t>Repealed by No. 69 of 2004 s. 9.]</w:t>
      </w:r>
    </w:p>
    <w:p>
      <w:pPr>
        <w:pStyle w:val="Heading5"/>
        <w:rPr>
          <w:snapToGrid w:val="0"/>
        </w:rPr>
      </w:pPr>
      <w:bookmarkStart w:id="30" w:name="_Toc108854197"/>
      <w:bookmarkStart w:id="31" w:name="_Toc177813678"/>
      <w:bookmarkStart w:id="32" w:name="_Toc171068061"/>
      <w:r>
        <w:rPr>
          <w:rStyle w:val="CharSectno"/>
        </w:rPr>
        <w:t>6</w:t>
      </w:r>
      <w:r>
        <w:rPr>
          <w:snapToGrid w:val="0"/>
        </w:rPr>
        <w:t>.</w:t>
      </w:r>
      <w:r>
        <w:rPr>
          <w:snapToGrid w:val="0"/>
        </w:rPr>
        <w:tab/>
        <w:t>Prohibition</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 </w:t>
      </w:r>
    </w:p>
    <w:p>
      <w:pPr>
        <w:pStyle w:val="Indenta"/>
        <w:rPr>
          <w:snapToGrid w:val="0"/>
        </w:rPr>
      </w:pPr>
      <w:r>
        <w:rPr>
          <w:snapToGrid w:val="0"/>
        </w:rPr>
        <w:tab/>
        <w:t>(a)</w:t>
      </w:r>
      <w:r>
        <w:rPr>
          <w:snapToGrid w:val="0"/>
        </w:rPr>
        <w:tab/>
        <w:t>directing that no licence, permit or approval relating thereto shall be issued or given;</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 </w:t>
      </w:r>
    </w:p>
    <w:p>
      <w:pPr>
        <w:pStyle w:val="Indenta"/>
      </w:pPr>
      <w:r>
        <w:tab/>
        <w:t>(a)</w:t>
      </w:r>
      <w:r>
        <w:tab/>
        <w:t>for a first offence, to imprisonment for 5 years;</w:t>
      </w:r>
    </w:p>
    <w:p>
      <w:pPr>
        <w:pStyle w:val="Indenta"/>
        <w:rPr>
          <w:snapToGrid w:val="0"/>
        </w:rPr>
      </w:pPr>
      <w:r>
        <w:tab/>
        <w:t>(b)</w:t>
      </w:r>
      <w:r>
        <w:tab/>
        <w:t>for a subsequent offence, to imprisonment for 10 years.</w:t>
      </w:r>
    </w:p>
    <w:p>
      <w:pPr>
        <w:pStyle w:val="Penstart"/>
      </w:pPr>
      <w:r>
        <w:tab/>
        <w:t>Summary conviction penalty for a first offence: Imprisonment for 3 years or a fine of $12 000.</w:t>
      </w:r>
    </w:p>
    <w:p>
      <w:pPr>
        <w:pStyle w:val="Footnotesection"/>
      </w:pPr>
      <w:r>
        <w:tab/>
        <w:t xml:space="preserve">[Section 6 amended by No. 35 of 1980 s. 3; No. 70 of 1987 s. 4; No. 59 of 1996 s. 7 and 45; No. 4 of 2004 s.  58; No. 69 of 2004 s. 10.] </w:t>
      </w:r>
    </w:p>
    <w:p>
      <w:pPr>
        <w:pStyle w:val="Heading5"/>
        <w:rPr>
          <w:snapToGrid w:val="0"/>
        </w:rPr>
      </w:pPr>
      <w:bookmarkStart w:id="33" w:name="_Toc411064776"/>
      <w:bookmarkStart w:id="34" w:name="_Toc51574238"/>
      <w:bookmarkStart w:id="35" w:name="_Toc108854198"/>
      <w:bookmarkStart w:id="36" w:name="_Toc177813679"/>
      <w:bookmarkStart w:id="37" w:name="_Toc171068062"/>
      <w:r>
        <w:rPr>
          <w:rStyle w:val="CharSectno"/>
        </w:rPr>
        <w:t>7</w:t>
      </w:r>
      <w:r>
        <w:rPr>
          <w:snapToGrid w:val="0"/>
        </w:rPr>
        <w:t>.</w:t>
      </w:r>
      <w:r>
        <w:rPr>
          <w:snapToGrid w:val="0"/>
        </w:rPr>
        <w:tab/>
        <w:t>Governor may order delivery of firearms by dealers and manufacturers in cases of emergency</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rPr>
          <w:snapToGrid w:val="0"/>
        </w:rPr>
      </w:pPr>
      <w:r>
        <w:rPr>
          <w:snapToGrid w:val="0"/>
        </w:rPr>
        <w:tab/>
        <w:t>Summary conviction penalty: Imprisonment for 18 months or a fine of $6 000.</w:t>
      </w:r>
    </w:p>
    <w:p>
      <w:pPr>
        <w:pStyle w:val="Footnotesection"/>
      </w:pPr>
      <w:r>
        <w:tab/>
        <w:t xml:space="preserve">[Section 7 amended by No. 70 of 1987 s. 5; No. 59 of 1996 s. 46; No. 4 of 2004 s.  58.] </w:t>
      </w:r>
    </w:p>
    <w:p>
      <w:pPr>
        <w:pStyle w:val="Heading5"/>
        <w:rPr>
          <w:snapToGrid w:val="0"/>
        </w:rPr>
      </w:pPr>
      <w:bookmarkStart w:id="38" w:name="_Toc411064777"/>
      <w:bookmarkStart w:id="39" w:name="_Toc51574239"/>
      <w:bookmarkStart w:id="40" w:name="_Toc108854199"/>
      <w:bookmarkStart w:id="41" w:name="_Toc177813680"/>
      <w:bookmarkStart w:id="42" w:name="_Toc171068063"/>
      <w:r>
        <w:rPr>
          <w:rStyle w:val="CharSectno"/>
        </w:rPr>
        <w:t>8</w:t>
      </w:r>
      <w:r>
        <w:rPr>
          <w:snapToGrid w:val="0"/>
        </w:rPr>
        <w:t>.</w:t>
      </w:r>
      <w:r>
        <w:rPr>
          <w:snapToGrid w:val="0"/>
        </w:rPr>
        <w:tab/>
        <w:t>Exemptions from licensing requirements</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No licence under this Act is required —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by —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 </w:t>
      </w:r>
    </w:p>
    <w:p>
      <w:pPr>
        <w:pStyle w:val="Indenti"/>
        <w:rPr>
          <w:snapToGrid w:val="0"/>
        </w:rPr>
      </w:pPr>
      <w:r>
        <w:rPr>
          <w:snapToGrid w:val="0"/>
        </w:rPr>
        <w:tab/>
        <w:t>(i)</w:t>
      </w:r>
      <w:r>
        <w:rPr>
          <w:snapToGrid w:val="0"/>
        </w:rPr>
        <w:tab/>
        <w:t>carries, and not by means of a bicycle or motor cycle, unless otherwise approved; or</w:t>
      </w:r>
    </w:p>
    <w:p>
      <w:pPr>
        <w:pStyle w:val="Indenti"/>
        <w:rPr>
          <w:snapToGrid w:val="0"/>
        </w:rPr>
      </w:pPr>
      <w:r>
        <w:rPr>
          <w:snapToGrid w:val="0"/>
        </w:rPr>
        <w:tab/>
        <w:t>(ii)</w:t>
      </w:r>
      <w:r>
        <w:rPr>
          <w:snapToGrid w:val="0"/>
        </w:rPr>
        <w:tab/>
        <w:t>stores,</w:t>
      </w:r>
    </w:p>
    <w:p>
      <w:pPr>
        <w:pStyle w:val="Indenta"/>
        <w:rPr>
          <w:snapToGrid w:val="0"/>
        </w:rPr>
      </w:pPr>
      <w:r>
        <w:rPr>
          <w:snapToGrid w:val="0"/>
        </w:rPr>
        <w:tab/>
      </w:r>
      <w:r>
        <w:rPr>
          <w:snapToGrid w:val="0"/>
        </w:rPr>
        <w:tab/>
        <w:t>a firearm or ammunition for another person;</w:t>
      </w:r>
    </w:p>
    <w:p>
      <w:pPr>
        <w:pStyle w:val="Indenta"/>
        <w:rPr>
          <w:snapToGrid w:val="0"/>
          <w:spacing w:val="-4"/>
        </w:rPr>
      </w:pPr>
      <w:r>
        <w:rPr>
          <w:snapToGrid w:val="0"/>
          <w:spacing w:val="-4"/>
        </w:rPr>
        <w:tab/>
        <w:t>(h)</w:t>
      </w:r>
      <w:r>
        <w:rPr>
          <w:snapToGrid w:val="0"/>
          <w:spacing w:val="-4"/>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pPr>
        <w:pStyle w:val="Indenta"/>
        <w:rPr>
          <w:snapToGrid w:val="0"/>
        </w:rPr>
      </w:pPr>
      <w:r>
        <w:rPr>
          <w:snapToGrid w:val="0"/>
        </w:rPr>
        <w:tab/>
        <w:t>(i)</w:t>
      </w:r>
      <w:r>
        <w:rPr>
          <w:snapToGrid w:val="0"/>
        </w:rPr>
        <w:tab/>
        <w:t>by a person who is employed or contracted by, or is a family member (as defined in subsection (2)) of, a primary producer — </w:t>
      </w:r>
    </w:p>
    <w:p>
      <w:pPr>
        <w:pStyle w:val="Indenti"/>
        <w:rPr>
          <w:snapToGrid w:val="0"/>
          <w:spacing w:val="-4"/>
        </w:rPr>
      </w:pPr>
      <w:r>
        <w:rPr>
          <w:snapToGrid w:val="0"/>
          <w:spacing w:val="-4"/>
        </w:rPr>
        <w:tab/>
        <w:t>(i)</w:t>
      </w:r>
      <w:r>
        <w:rPr>
          <w:snapToGrid w:val="0"/>
          <w:spacing w:val="-4"/>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if the use of the firearm and ammunition by that person is expressly authorised by the primary producer;</w:t>
      </w:r>
    </w:p>
    <w:p>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pPr>
      <w:r>
        <w:rPr>
          <w:snapToGrid w:val="0"/>
        </w:rPr>
        <w:tab/>
        <w:t>(mb)</w:t>
      </w:r>
      <w:r>
        <w:rPr>
          <w:snapToGrid w:val="0"/>
        </w:rPr>
        <w:tab/>
        <w:t>by a person who is in possession of prescribed paintball pellets;</w:t>
      </w:r>
    </w:p>
    <w:p>
      <w:pPr>
        <w:pStyle w:val="Indenta"/>
      </w:pPr>
      <w:r>
        <w:tab/>
        <w:t>(mc)</w:t>
      </w:r>
      <w:r>
        <w:tab/>
        <w:t>by a person who is in possession of, or carries, but does not use, an antique mechanism firearm;</w:t>
      </w:r>
    </w:p>
    <w:p>
      <w:pPr>
        <w:pStyle w:val="Indenta"/>
        <w:keepNext/>
        <w:keepLines/>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antique mechanism firearm</w:t>
      </w:r>
      <w:r>
        <w:rPr>
          <w:b/>
        </w:rPr>
        <w:t>”</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pPr>
        <w:pStyle w:val="Defstart"/>
      </w:pPr>
      <w:r>
        <w:rPr>
          <w:b/>
        </w:rPr>
        <w:tab/>
        <w:t>“</w:t>
      </w:r>
      <w:r>
        <w:rPr>
          <w:rStyle w:val="CharDefText"/>
        </w:rPr>
        <w:t>approved</w:t>
      </w:r>
      <w:r>
        <w:rPr>
          <w:b/>
        </w:rPr>
        <w:t>”</w:t>
      </w:r>
      <w:r>
        <w:t xml:space="preserve"> means approved by the Commissioner either generally by notice in the </w:t>
      </w:r>
      <w:r>
        <w:rPr>
          <w:i/>
        </w:rPr>
        <w:t>Gazette</w:t>
      </w:r>
      <w:r>
        <w:t xml:space="preserve"> or specifically by notice in writing;</w:t>
      </w:r>
    </w:p>
    <w:p>
      <w:pPr>
        <w:pStyle w:val="Defstart"/>
      </w:pPr>
      <w:r>
        <w:rPr>
          <w:b/>
        </w:rPr>
        <w:tab/>
        <w:t>“</w:t>
      </w:r>
      <w:r>
        <w:rPr>
          <w:rStyle w:val="CharDefText"/>
        </w:rPr>
        <w:t>family member</w:t>
      </w:r>
      <w:r>
        <w:rPr>
          <w:b/>
        </w:rPr>
        <w:t>”</w:t>
      </w:r>
      <w:r>
        <w:t>, in relation to a person, means — </w:t>
      </w:r>
    </w:p>
    <w:p>
      <w:pPr>
        <w:pStyle w:val="Defpara"/>
      </w:pPr>
      <w:r>
        <w:tab/>
        <w:t>(a)</w:t>
      </w:r>
      <w:r>
        <w:tab/>
        <w:t>the spouse or de facto partner of the person;</w:t>
      </w:r>
    </w:p>
    <w:p>
      <w:pPr>
        <w:pStyle w:val="Defpara"/>
      </w:pPr>
      <w:r>
        <w:tab/>
        <w:t>(b)</w:t>
      </w:r>
      <w:r>
        <w:tab/>
        <w:t>a parent, child, brother, or sister, of the person or of the person’s spouse or de facto partner; or</w:t>
      </w:r>
    </w:p>
    <w:p>
      <w:pPr>
        <w:pStyle w:val="Defpara"/>
      </w:pPr>
      <w:r>
        <w:tab/>
        <w:t>(c)</w:t>
      </w:r>
      <w:r>
        <w:tab/>
        <w:t>the spouse or de facto partner of a person referred to in paragraph (b).</w:t>
      </w:r>
    </w:p>
    <w:p>
      <w:pPr>
        <w:pStyle w:val="Footnotesection"/>
      </w:pPr>
      <w:r>
        <w:tab/>
        <w:t xml:space="preserve">[Section 8 amended by No. 59 of 1996 s. 8; No. 28 of 2003 s. 59; No. 69 of 2004 s. 5, 8(3) and 11.] </w:t>
      </w:r>
    </w:p>
    <w:p>
      <w:pPr>
        <w:pStyle w:val="Heading5"/>
        <w:rPr>
          <w:snapToGrid w:val="0"/>
        </w:rPr>
      </w:pPr>
      <w:bookmarkStart w:id="43" w:name="_Toc411064778"/>
      <w:bookmarkStart w:id="44" w:name="_Toc51574240"/>
      <w:bookmarkStart w:id="45" w:name="_Toc108854200"/>
      <w:bookmarkStart w:id="46" w:name="_Toc177813681"/>
      <w:bookmarkStart w:id="47" w:name="_Toc171068064"/>
      <w:r>
        <w:rPr>
          <w:rStyle w:val="CharSectno"/>
        </w:rPr>
        <w:t>9</w:t>
      </w:r>
      <w:r>
        <w:rPr>
          <w:snapToGrid w:val="0"/>
        </w:rPr>
        <w:t>.</w:t>
      </w:r>
      <w:r>
        <w:rPr>
          <w:snapToGrid w:val="0"/>
        </w:rPr>
        <w:tab/>
        <w:t>Licences etc. not transferable</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48" w:name="_Toc411064779"/>
      <w:bookmarkStart w:id="49" w:name="_Toc51574241"/>
      <w:bookmarkStart w:id="50" w:name="_Toc108854201"/>
      <w:bookmarkStart w:id="51" w:name="_Toc177813682"/>
      <w:bookmarkStart w:id="52" w:name="_Toc171068065"/>
      <w:r>
        <w:rPr>
          <w:rStyle w:val="CharSectno"/>
        </w:rPr>
        <w:t>9A</w:t>
      </w:r>
      <w:r>
        <w:rPr>
          <w:snapToGrid w:val="0"/>
        </w:rPr>
        <w:t>.</w:t>
      </w:r>
      <w:r>
        <w:rPr>
          <w:snapToGrid w:val="0"/>
        </w:rPr>
        <w:tab/>
        <w:t>Duration and renewal of licences</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 period for which this section provides that a licence is valid is subject to —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2003</w:t>
      </w:r>
      <w:r>
        <w:t xml:space="preserve"> section 12 came into operation, in which case it is valid for a period of 5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 xml:space="preserve">[Section 9A inserted by No. 59 of 1996 s. 9; amended by No. 69 of 2004 s. 12.] </w:t>
      </w:r>
    </w:p>
    <w:p>
      <w:pPr>
        <w:pStyle w:val="Heading5"/>
        <w:rPr>
          <w:snapToGrid w:val="0"/>
        </w:rPr>
      </w:pPr>
      <w:bookmarkStart w:id="53" w:name="_Toc411064780"/>
      <w:bookmarkStart w:id="54" w:name="_Toc51574242"/>
      <w:bookmarkStart w:id="55" w:name="_Toc108854202"/>
      <w:bookmarkStart w:id="56" w:name="_Toc177813683"/>
      <w:bookmarkStart w:id="57" w:name="_Toc171068066"/>
      <w:r>
        <w:rPr>
          <w:rStyle w:val="CharSectno"/>
        </w:rPr>
        <w:t>10</w:t>
      </w:r>
      <w:r>
        <w:rPr>
          <w:snapToGrid w:val="0"/>
        </w:rPr>
        <w:t>.</w:t>
      </w:r>
      <w:r>
        <w:rPr>
          <w:snapToGrid w:val="0"/>
        </w:rPr>
        <w:tab/>
        <w:t>Minimum age of licensee or permit holder</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A licence or permit under this Act cannot be issued to a person under the age of 18 years.</w:t>
      </w:r>
    </w:p>
    <w:p>
      <w:pPr>
        <w:pStyle w:val="Footnotesection"/>
      </w:pPr>
      <w:r>
        <w:tab/>
        <w:t xml:space="preserve">[Section 10 inserted by No. 59 of 1996 s. 10.] </w:t>
      </w:r>
    </w:p>
    <w:p>
      <w:pPr>
        <w:pStyle w:val="Heading5"/>
        <w:rPr>
          <w:snapToGrid w:val="0"/>
        </w:rPr>
      </w:pPr>
      <w:bookmarkStart w:id="58" w:name="_Toc411064781"/>
      <w:bookmarkStart w:id="59" w:name="_Toc51574243"/>
      <w:bookmarkStart w:id="60" w:name="_Toc108854203"/>
      <w:bookmarkStart w:id="61" w:name="_Toc177813684"/>
      <w:bookmarkStart w:id="62" w:name="_Toc171068067"/>
      <w:r>
        <w:rPr>
          <w:rStyle w:val="CharSectno"/>
        </w:rPr>
        <w:t>10A</w:t>
      </w:r>
      <w:r>
        <w:rPr>
          <w:snapToGrid w:val="0"/>
        </w:rPr>
        <w:t>.</w:t>
      </w:r>
      <w:r>
        <w:rPr>
          <w:snapToGrid w:val="0"/>
        </w:rPr>
        <w:tab/>
        <w:t>Training courses</w:t>
      </w:r>
      <w:bookmarkEnd w:id="58"/>
      <w:bookmarkEnd w:id="59"/>
      <w:bookmarkEnd w:id="60"/>
      <w:bookmarkEnd w:id="61"/>
      <w:bookmarkEnd w:id="62"/>
      <w:r>
        <w:rPr>
          <w:snapToGrid w:val="0"/>
        </w:rPr>
        <w:t xml:space="preserve"> </w:t>
      </w:r>
    </w:p>
    <w:p>
      <w:pPr>
        <w:pStyle w:val="Subsection"/>
        <w:keepNext/>
        <w:rPr>
          <w:snapToGrid w:val="0"/>
        </w:rPr>
      </w:pPr>
      <w:r>
        <w:rPr>
          <w:snapToGrid w:val="0"/>
        </w:rPr>
        <w:tab/>
      </w:r>
      <w:r>
        <w:rPr>
          <w:snapToGrid w:val="0"/>
        </w:rPr>
        <w:tab/>
        <w:t>Regulations made under section 34 may —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rPr>
          <w:snapToGrid w:val="0"/>
        </w:rPr>
      </w:pPr>
      <w:r>
        <w:rPr>
          <w:snapToGrid w:val="0"/>
        </w:rPr>
        <w:tab/>
        <w:t>(b)</w:t>
      </w:r>
      <w:r>
        <w:rPr>
          <w:snapToGrid w:val="0"/>
        </w:rPr>
        <w:tab/>
        <w:t>make provision as to the accreditation of, and conducting of, courses referred to in paragraph (a).</w:t>
      </w:r>
    </w:p>
    <w:p>
      <w:pPr>
        <w:pStyle w:val="Footnotesection"/>
      </w:pPr>
      <w:r>
        <w:tab/>
        <w:t xml:space="preserve">[Section 10A inserted by No. 59 of 1996 s. 11.] </w:t>
      </w:r>
    </w:p>
    <w:p>
      <w:pPr>
        <w:pStyle w:val="Heading5"/>
        <w:rPr>
          <w:snapToGrid w:val="0"/>
        </w:rPr>
      </w:pPr>
      <w:bookmarkStart w:id="63" w:name="_Toc411064782"/>
      <w:bookmarkStart w:id="64" w:name="_Toc51574244"/>
      <w:bookmarkStart w:id="65" w:name="_Toc108854204"/>
      <w:bookmarkStart w:id="66" w:name="_Toc177813685"/>
      <w:bookmarkStart w:id="67" w:name="_Toc171068068"/>
      <w:r>
        <w:rPr>
          <w:rStyle w:val="CharSectno"/>
        </w:rPr>
        <w:t>11</w:t>
      </w:r>
      <w:r>
        <w:rPr>
          <w:snapToGrid w:val="0"/>
        </w:rPr>
        <w:t>.</w:t>
      </w:r>
      <w:r>
        <w:rPr>
          <w:snapToGrid w:val="0"/>
        </w:rPr>
        <w:tab/>
        <w:t>Exercise of Commissioner’s discretion</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 </w:t>
      </w:r>
    </w:p>
    <w:p>
      <w:pPr>
        <w:pStyle w:val="Indenta"/>
        <w:rPr>
          <w:snapToGrid w:val="0"/>
        </w:rPr>
      </w:pPr>
      <w:r>
        <w:rPr>
          <w:snapToGrid w:val="0"/>
        </w:rPr>
        <w:tab/>
        <w:t>(a)</w:t>
      </w:r>
      <w:r>
        <w:rPr>
          <w:snapToGrid w:val="0"/>
        </w:rPr>
        <w:tab/>
        <w:t>to do so would be contrary to section 11A or regulations under section 11B or 11C;</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 </w:t>
      </w:r>
    </w:p>
    <w:p>
      <w:pPr>
        <w:pStyle w:val="Indenti"/>
        <w:rPr>
          <w:snapToGrid w:val="0"/>
        </w:rPr>
      </w:pPr>
      <w:r>
        <w:rPr>
          <w:snapToGrid w:val="0"/>
        </w:rPr>
        <w:tab/>
        <w:t>(i)</w:t>
      </w:r>
      <w:r>
        <w:rPr>
          <w:snapToGrid w:val="0"/>
        </w:rPr>
        <w:tab/>
        <w:t>the person was convicted of an offence involving assault with a weapon;</w:t>
      </w:r>
    </w:p>
    <w:p>
      <w:pPr>
        <w:pStyle w:val="Indenti"/>
        <w:rPr>
          <w:snapToGrid w:val="0"/>
        </w:rPr>
      </w:pPr>
      <w:r>
        <w:rPr>
          <w:snapToGrid w:val="0"/>
        </w:rPr>
        <w:tab/>
        <w:t>(ii)</w:t>
      </w:r>
      <w:r>
        <w:rPr>
          <w:snapToGrid w:val="0"/>
        </w:rPr>
        <w:tab/>
        <w:t>the person was convicted of an offence involving violence;</w:t>
      </w:r>
    </w:p>
    <w:p>
      <w:pPr>
        <w:pStyle w:val="Indenti"/>
        <w:rPr>
          <w:snapToGrid w:val="0"/>
        </w:rPr>
      </w:pPr>
      <w:r>
        <w:rPr>
          <w:snapToGrid w:val="0"/>
        </w:rPr>
        <w:tab/>
        <w:t>(iii)</w:t>
      </w:r>
      <w:r>
        <w:rPr>
          <w:snapToGrid w:val="0"/>
        </w:rPr>
        <w:tab/>
        <w:t>the person was convicted of any offence against this Act; or</w:t>
      </w:r>
    </w:p>
    <w:p>
      <w:pPr>
        <w:pStyle w:val="Indenti"/>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 </w:t>
      </w:r>
    </w:p>
    <w:p>
      <w:pPr>
        <w:pStyle w:val="Defstart"/>
      </w:pPr>
      <w:r>
        <w:rPr>
          <w:b/>
        </w:rPr>
        <w:tab/>
        <w:t>“</w:t>
      </w:r>
      <w:r>
        <w:rPr>
          <w:rStyle w:val="CharDefText"/>
        </w:rPr>
        <w:t>violence restraining order</w:t>
      </w:r>
      <w:r>
        <w:rPr>
          <w:b/>
        </w:rPr>
        <w:t>”</w:t>
      </w:r>
      <w:r>
        <w:t xml:space="preserve"> means a judicial order imposing on the person against whom the order is made restraints on the person’s lawful activities and behaviour to prevent the person — </w:t>
      </w:r>
    </w:p>
    <w:p>
      <w:pPr>
        <w:pStyle w:val="Defpara"/>
      </w:pPr>
      <w:r>
        <w:tab/>
        <w:t>(a)</w:t>
      </w:r>
      <w:r>
        <w:tab/>
        <w:t xml:space="preserve">committing an offence against the person under Part V of </w:t>
      </w:r>
      <w:r>
        <w:rPr>
          <w:i/>
        </w:rPr>
        <w:t>The Criminal Code</w:t>
      </w:r>
      <w:r>
        <w:t>, other than Chapters XXXIV and XXXV; or</w:t>
      </w:r>
    </w:p>
    <w:p>
      <w:pPr>
        <w:pStyle w:val="Defpara"/>
      </w:pPr>
      <w:r>
        <w:tab/>
        <w:t>(b)</w:t>
      </w:r>
      <w:r>
        <w:tab/>
        <w:t>behaving in a manner that could reasonably be expected to cause fear that the person will commit such an offence,</w:t>
      </w:r>
    </w:p>
    <w:p>
      <w:pPr>
        <w:pStyle w:val="Defstart"/>
      </w:pPr>
      <w:r>
        <w:tab/>
      </w: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spacing w:before="120"/>
        <w:rPr>
          <w:snapToGrid w:val="0"/>
        </w:rPr>
      </w:pPr>
      <w:r>
        <w:rPr>
          <w:snapToGrid w:val="0"/>
        </w:rPr>
        <w:tab/>
        <w:t>(7)</w:t>
      </w:r>
      <w:r>
        <w:rPr>
          <w:snapToGrid w:val="0"/>
        </w:rPr>
        <w:tab/>
        <w:t>Without limiting the other grounds on which an application may be refused, the Commissioner may refuse an application if satisfied that the applicant has —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pPr>
        <w:pStyle w:val="Subsection"/>
        <w:spacing w:before="120"/>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 </w:t>
      </w:r>
    </w:p>
    <w:p>
      <w:pPr>
        <w:pStyle w:val="Indenta"/>
        <w:rPr>
          <w:snapToGrid w:val="0"/>
        </w:rPr>
      </w:pPr>
      <w:r>
        <w:rPr>
          <w:snapToGrid w:val="0"/>
        </w:rPr>
        <w:tab/>
        <w:t>(a)</w:t>
      </w:r>
      <w:r>
        <w:rPr>
          <w:snapToGrid w:val="0"/>
        </w:rPr>
        <w:tab/>
        <w:t>within 28 days, or such further period as the Commissioner may approve; and</w:t>
      </w:r>
    </w:p>
    <w:p>
      <w:pPr>
        <w:pStyle w:val="Indenta"/>
        <w:rPr>
          <w:snapToGrid w:val="0"/>
        </w:rPr>
      </w:pPr>
      <w:r>
        <w:rPr>
          <w:snapToGrid w:val="0"/>
        </w:rPr>
        <w:tab/>
        <w:t>(b)</w:t>
      </w:r>
      <w:r>
        <w:rPr>
          <w:snapToGrid w:val="0"/>
        </w:rPr>
        <w:tab/>
        <w:t>in the manner and form requested by the Commissioner,</w:t>
      </w:r>
    </w:p>
    <w:p>
      <w:pPr>
        <w:pStyle w:val="Subsection"/>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 xml:space="preserve">[Section 11 inserted by No. 59 of 1996 s. 12; amended by No. 69 of 2004 s. 13.] </w:t>
      </w:r>
    </w:p>
    <w:p>
      <w:pPr>
        <w:pStyle w:val="Heading5"/>
        <w:rPr>
          <w:snapToGrid w:val="0"/>
        </w:rPr>
      </w:pPr>
      <w:bookmarkStart w:id="68" w:name="_Toc411064783"/>
      <w:bookmarkStart w:id="69" w:name="_Toc51574245"/>
      <w:bookmarkStart w:id="70" w:name="_Toc108854205"/>
      <w:bookmarkStart w:id="71" w:name="_Toc177813686"/>
      <w:bookmarkStart w:id="72" w:name="_Toc171068069"/>
      <w:r>
        <w:rPr>
          <w:rStyle w:val="CharSectno"/>
        </w:rPr>
        <w:t>11A</w:t>
      </w:r>
      <w:r>
        <w:rPr>
          <w:snapToGrid w:val="0"/>
        </w:rPr>
        <w:t>.</w:t>
      </w:r>
      <w:r>
        <w:rPr>
          <w:snapToGrid w:val="0"/>
        </w:rPr>
        <w:tab/>
        <w:t>Genuine reason required in all cases</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pPr>
        <w:pStyle w:val="Subsection"/>
        <w:spacing w:before="120"/>
        <w:rPr>
          <w:snapToGrid w:val="0"/>
        </w:rPr>
      </w:pPr>
      <w:r>
        <w:rPr>
          <w:snapToGrid w:val="0"/>
        </w:rPr>
        <w:tab/>
        <w:t>(2)</w:t>
      </w:r>
      <w:r>
        <w:rPr>
          <w:snapToGrid w:val="0"/>
        </w:rPr>
        <w:tab/>
        <w:t>A person has a genuine reason for acquiring or possessing a firearm or ammunition if and only if —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w:t>
      </w:r>
    </w:p>
    <w:p>
      <w:pPr>
        <w:pStyle w:val="Indenta"/>
        <w:spacing w:before="60"/>
        <w:rPr>
          <w:snapToGrid w:val="0"/>
        </w:rPr>
      </w:pPr>
      <w:r>
        <w:rPr>
          <w:snapToGrid w:val="0"/>
        </w:rPr>
        <w:tab/>
        <w:t>(b)</w:t>
      </w:r>
      <w:r>
        <w:rPr>
          <w:snapToGrid w:val="0"/>
        </w:rPr>
        <w:tab/>
        <w:t>it is for use by the person as a member of an organisation approved under this paragraph;</w:t>
      </w:r>
    </w:p>
    <w:p>
      <w:pPr>
        <w:pStyle w:val="Indenta"/>
        <w:spacing w:before="60"/>
        <w:rPr>
          <w:snapToGrid w:val="0"/>
        </w:rPr>
      </w:pPr>
      <w:r>
        <w:rPr>
          <w:snapToGrid w:val="0"/>
        </w:rPr>
        <w:tab/>
        <w:t>(c)</w:t>
      </w:r>
      <w:r>
        <w:rPr>
          <w:snapToGrid w:val="0"/>
        </w:rPr>
        <w:tab/>
        <w:t>it is for use in hunting or shooting of a recreational nature on land the owner of which has given written permission for that hunting or shooting;</w:t>
      </w:r>
    </w:p>
    <w:p>
      <w:pPr>
        <w:pStyle w:val="Indenta"/>
        <w:spacing w:before="60"/>
        <w:rPr>
          <w:snapToGrid w:val="0"/>
        </w:rPr>
      </w:pPr>
      <w:r>
        <w:rPr>
          <w:snapToGrid w:val="0"/>
        </w:rPr>
        <w:tab/>
        <w:t>(d)</w:t>
      </w:r>
      <w:r>
        <w:rPr>
          <w:snapToGrid w:val="0"/>
        </w:rPr>
        <w:tab/>
        <w:t>it is required by the person in the course of the person’s occupation;</w:t>
      </w:r>
    </w:p>
    <w:p>
      <w:pPr>
        <w:pStyle w:val="Indenta"/>
      </w:pPr>
      <w:r>
        <w:tab/>
        <w:t>(da)</w:t>
      </w:r>
      <w:r>
        <w:tab/>
        <w:t>in the case of a prescribed paintball gun, it is required by the person to conduct or engage in paintball in accordance with this Act;</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spacing w:before="120"/>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pPr>
        <w:pStyle w:val="Subsection"/>
        <w:spacing w:before="120"/>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pPr>
        <w:pStyle w:val="Subsection"/>
        <w:spacing w:before="120"/>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spacing w:before="120"/>
        <w:rPr>
          <w:snapToGrid w:val="0"/>
        </w:rPr>
      </w:pPr>
      <w:r>
        <w:rPr>
          <w:snapToGrid w:val="0"/>
        </w:rPr>
        <w:tab/>
        <w:t>(6)</w:t>
      </w:r>
      <w:r>
        <w:rPr>
          <w:snapToGrid w:val="0"/>
        </w:rPr>
        <w:tab/>
        <w:t>Regulations made under section 34 may limit the purposes that may be approved under subsection (2)(f).</w:t>
      </w:r>
    </w:p>
    <w:p>
      <w:pPr>
        <w:pStyle w:val="Footnotesection"/>
      </w:pPr>
      <w:r>
        <w:tab/>
        <w:t xml:space="preserve">[Section 11A inserted by No. 59 of 1996 s. 12; amended by No. 69 of 2004 s. 6 and 14.] </w:t>
      </w:r>
    </w:p>
    <w:p>
      <w:pPr>
        <w:pStyle w:val="Heading5"/>
        <w:rPr>
          <w:snapToGrid w:val="0"/>
        </w:rPr>
      </w:pPr>
      <w:bookmarkStart w:id="73" w:name="_Toc411064784"/>
      <w:bookmarkStart w:id="74" w:name="_Toc51574246"/>
      <w:bookmarkStart w:id="75" w:name="_Toc108854206"/>
      <w:bookmarkStart w:id="76" w:name="_Toc177813687"/>
      <w:bookmarkStart w:id="77" w:name="_Toc171068070"/>
      <w:r>
        <w:rPr>
          <w:rStyle w:val="CharSectno"/>
        </w:rPr>
        <w:t>11B</w:t>
      </w:r>
      <w:r>
        <w:rPr>
          <w:snapToGrid w:val="0"/>
        </w:rPr>
        <w:t>.</w:t>
      </w:r>
      <w:r>
        <w:rPr>
          <w:snapToGrid w:val="0"/>
        </w:rPr>
        <w:tab/>
        <w:t>Genuine need required in some cases</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 xml:space="preserve">[Section 11B inserted by No. 59 of 1996 s. 12.] </w:t>
      </w:r>
    </w:p>
    <w:p>
      <w:pPr>
        <w:pStyle w:val="Heading5"/>
        <w:rPr>
          <w:snapToGrid w:val="0"/>
        </w:rPr>
      </w:pPr>
      <w:bookmarkStart w:id="78" w:name="_Toc411064785"/>
      <w:bookmarkStart w:id="79" w:name="_Toc51574247"/>
      <w:bookmarkStart w:id="80" w:name="_Toc108854207"/>
      <w:bookmarkStart w:id="81" w:name="_Toc177813688"/>
      <w:bookmarkStart w:id="82" w:name="_Toc171068071"/>
      <w:r>
        <w:rPr>
          <w:rStyle w:val="CharSectno"/>
        </w:rPr>
        <w:t>11C</w:t>
      </w:r>
      <w:r>
        <w:rPr>
          <w:snapToGrid w:val="0"/>
        </w:rPr>
        <w:t>.</w:t>
      </w:r>
      <w:r>
        <w:rPr>
          <w:snapToGrid w:val="0"/>
        </w:rPr>
        <w:tab/>
        <w:t>Other restrictions</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The regulations may restrict the grant, issue, or renewal of licences, permits, or approvals under this Act.</w:t>
      </w:r>
    </w:p>
    <w:p>
      <w:pPr>
        <w:pStyle w:val="Footnotesection"/>
      </w:pPr>
      <w:r>
        <w:tab/>
        <w:t xml:space="preserve">[Section 11C inserted by No. 59 of 1996 s. 12.] </w:t>
      </w:r>
    </w:p>
    <w:p>
      <w:pPr>
        <w:pStyle w:val="Heading5"/>
        <w:rPr>
          <w:snapToGrid w:val="0"/>
        </w:rPr>
      </w:pPr>
      <w:bookmarkStart w:id="83" w:name="_Toc411064786"/>
      <w:bookmarkStart w:id="84" w:name="_Toc51574248"/>
      <w:bookmarkStart w:id="85" w:name="_Toc108854208"/>
      <w:bookmarkStart w:id="86" w:name="_Toc177813689"/>
      <w:bookmarkStart w:id="87" w:name="_Toc171068072"/>
      <w:r>
        <w:rPr>
          <w:rStyle w:val="CharSectno"/>
        </w:rPr>
        <w:t>12</w:t>
      </w:r>
      <w:r>
        <w:rPr>
          <w:snapToGrid w:val="0"/>
        </w:rPr>
        <w:t>.</w:t>
      </w:r>
      <w:r>
        <w:rPr>
          <w:snapToGrid w:val="0"/>
        </w:rPr>
        <w:tab/>
        <w:t>Unsafe or unserviceable firearms</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rPr>
          <w:snapToGrid w:val="0"/>
        </w:rPr>
      </w:pPr>
      <w:r>
        <w:rPr>
          <w:snapToGrid w:val="0"/>
        </w:rPr>
        <w:tab/>
        <w:t>(3)</w:t>
      </w:r>
      <w:r>
        <w:rPr>
          <w:snapToGrid w:val="0"/>
        </w:rPr>
        <w:tab/>
        <w:t>Subsection (1) does not prevent the issue of a permit in respect of a firearm for the purpose of enabling it to be conveyed —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rPr>
          <w:snapToGrid w:val="0"/>
        </w:rPr>
      </w:pPr>
      <w:r>
        <w:rPr>
          <w:snapToGrid w:val="0"/>
        </w:rPr>
        <w:tab/>
        <w:t>(4)</w:t>
      </w:r>
      <w:r>
        <w:rPr>
          <w:snapToGrid w:val="0"/>
        </w:rPr>
        <w:tab/>
        <w:t>Subsection (1)(b) does not prevent the issue to a person of — </w:t>
      </w:r>
    </w:p>
    <w:p>
      <w:pPr>
        <w:pStyle w:val="Indenta"/>
        <w:rPr>
          <w:snapToGrid w:val="0"/>
        </w:rPr>
      </w:pPr>
      <w:r>
        <w:rPr>
          <w:snapToGrid w:val="0"/>
        </w:rPr>
        <w:tab/>
        <w:t>(a)</w:t>
      </w:r>
      <w:r>
        <w:rPr>
          <w:snapToGrid w:val="0"/>
        </w:rPr>
        <w:tab/>
        <w:t>a Firearm Collector’s Licence; or</w:t>
      </w:r>
    </w:p>
    <w:p>
      <w:pPr>
        <w:pStyle w:val="Indenta"/>
        <w:rPr>
          <w:snapToGrid w:val="0"/>
        </w:rPr>
      </w:pPr>
      <w:r>
        <w:rPr>
          <w:snapToGrid w:val="0"/>
        </w:rPr>
        <w:tab/>
        <w:t>(b)</w:t>
      </w:r>
      <w:r>
        <w:rPr>
          <w:snapToGrid w:val="0"/>
        </w:rPr>
        <w:tab/>
        <w:t>a permit in respect of a firearm that forms or is to form part of a genuine firearm collection.</w:t>
      </w:r>
    </w:p>
    <w:p>
      <w:pPr>
        <w:pStyle w:val="Footnotesection"/>
      </w:pPr>
      <w:r>
        <w:tab/>
        <w:t xml:space="preserve">[Section 12 inserted by No. 59 of 1996 s. 13.] </w:t>
      </w:r>
    </w:p>
    <w:p>
      <w:pPr>
        <w:pStyle w:val="Ednotesection"/>
      </w:pPr>
      <w:r>
        <w:t>[</w:t>
      </w:r>
      <w:r>
        <w:rPr>
          <w:b/>
        </w:rPr>
        <w:t>13, 14.</w:t>
      </w:r>
      <w:r>
        <w:tab/>
        <w:t xml:space="preserve">Repealed by No. 59 of 1996 s. 5(2).] </w:t>
      </w:r>
    </w:p>
    <w:p>
      <w:pPr>
        <w:pStyle w:val="Heading5"/>
        <w:rPr>
          <w:snapToGrid w:val="0"/>
        </w:rPr>
      </w:pPr>
      <w:bookmarkStart w:id="88" w:name="_Toc411064787"/>
      <w:bookmarkStart w:id="89" w:name="_Toc51574249"/>
      <w:bookmarkStart w:id="90" w:name="_Toc108854209"/>
      <w:bookmarkStart w:id="91" w:name="_Toc177813690"/>
      <w:bookmarkStart w:id="92" w:name="_Toc171068073"/>
      <w:r>
        <w:rPr>
          <w:rStyle w:val="CharSectno"/>
        </w:rPr>
        <w:t>15</w:t>
      </w:r>
      <w:r>
        <w:rPr>
          <w:snapToGrid w:val="0"/>
        </w:rPr>
        <w:t>.</w:t>
      </w:r>
      <w:r>
        <w:rPr>
          <w:snapToGrid w:val="0"/>
        </w:rPr>
        <w:tab/>
        <w:t>Firearm collections</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 xml:space="preserve">For the purposes of this Act, a handgun manufactured after 1946 can form part of a genuine firearm collection only if —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rPr>
          <w:snapToGrid w:val="0"/>
        </w:rPr>
      </w:pPr>
      <w:r>
        <w:rPr>
          <w:snapToGrid w:val="0"/>
        </w:rPr>
        <w:tab/>
        <w:t>(4)</w:t>
      </w:r>
      <w:r>
        <w:rPr>
          <w:snapToGrid w:val="0"/>
        </w:rPr>
        <w:tab/>
        <w:t xml:space="preserve">In subsection (3) — </w:t>
      </w:r>
    </w:p>
    <w:p>
      <w:pPr>
        <w:pStyle w:val="Defstart"/>
      </w:pPr>
      <w:r>
        <w:rPr>
          <w:b/>
        </w:rPr>
        <w:tab/>
        <w:t>“</w:t>
      </w:r>
      <w:r>
        <w:rPr>
          <w:rStyle w:val="CharDefText"/>
        </w:rPr>
        <w:t>student of arms</w:t>
      </w:r>
      <w:r>
        <w:rPr>
          <w:b/>
        </w:rPr>
        <w:t>”</w:t>
      </w:r>
      <w:r>
        <w:t xml:space="preserve"> means a person who can be shown to have a prolonged and genuine interest in the study, preservation, or collection of firearms.</w:t>
      </w:r>
    </w:p>
    <w:p>
      <w:pPr>
        <w:pStyle w:val="Subsection"/>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pPr>
      <w:r>
        <w:tab/>
        <w:t xml:space="preserve">[Section 15 inserted by No. 59 of 1996 s. 14; amended by No. 69 of 2004 s. 15(1) and (2).] </w:t>
      </w:r>
    </w:p>
    <w:p>
      <w:pPr>
        <w:pStyle w:val="Heading5"/>
      </w:pPr>
      <w:bookmarkStart w:id="93" w:name="_Toc108854210"/>
      <w:bookmarkStart w:id="94" w:name="_Toc177813691"/>
      <w:bookmarkStart w:id="95" w:name="_Toc171068074"/>
      <w:bookmarkStart w:id="96" w:name="_Toc411064788"/>
      <w:bookmarkStart w:id="97" w:name="_Toc51574250"/>
      <w:r>
        <w:rPr>
          <w:rStyle w:val="CharSectno"/>
        </w:rPr>
        <w:t>15A</w:t>
      </w:r>
      <w:r>
        <w:t>.</w:t>
      </w:r>
      <w:r>
        <w:tab/>
        <w:t>Accredited societies of collectors</w:t>
      </w:r>
      <w:bookmarkEnd w:id="93"/>
      <w:bookmarkEnd w:id="94"/>
      <w:bookmarkEnd w:id="95"/>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rPr>
          <w:snapToGrid w:val="0"/>
        </w:rPr>
      </w:pPr>
      <w:r>
        <w:rPr>
          <w:snapToGrid w:val="0"/>
        </w:rPr>
        <w:tab/>
        <w:t>(2)</w:t>
      </w:r>
      <w:r>
        <w:rPr>
          <w:snapToGrid w:val="0"/>
        </w:rPr>
        <w:tab/>
        <w:t xml:space="preserve">For a person or body to be an accredited society of collectors one of its purposes has to be to facilitate the study, preservation, or collection of — </w:t>
      </w:r>
    </w:p>
    <w:p>
      <w:pPr>
        <w:pStyle w:val="Indenta"/>
        <w:rPr>
          <w:snapToGrid w:val="0"/>
        </w:rPr>
      </w:pPr>
      <w:r>
        <w:rPr>
          <w:snapToGrid w:val="0"/>
        </w:rPr>
        <w:tab/>
        <w:t>(a)</w:t>
      </w:r>
      <w:r>
        <w:rPr>
          <w:snapToGrid w:val="0"/>
        </w:rPr>
        <w:tab/>
        <w:t>handguns in particular; or</w:t>
      </w:r>
    </w:p>
    <w:p>
      <w:pPr>
        <w:pStyle w:val="Indenta"/>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pPr>
      <w:r>
        <w:tab/>
        <w:t>[Section 15A inserted by No. 69 of 2004 s. 16.]</w:t>
      </w:r>
    </w:p>
    <w:p>
      <w:pPr>
        <w:pStyle w:val="Heading5"/>
        <w:rPr>
          <w:snapToGrid w:val="0"/>
        </w:rPr>
      </w:pPr>
      <w:bookmarkStart w:id="98" w:name="_Toc108854211"/>
      <w:bookmarkStart w:id="99" w:name="_Toc177813692"/>
      <w:bookmarkStart w:id="100" w:name="_Toc171068075"/>
      <w:r>
        <w:rPr>
          <w:rStyle w:val="CharSectno"/>
        </w:rPr>
        <w:t>15B</w:t>
      </w:r>
      <w:r>
        <w:t>.</w:t>
      </w:r>
      <w:r>
        <w:tab/>
        <w:t>Information from accredited society of collectors</w:t>
      </w:r>
      <w:bookmarkEnd w:id="98"/>
      <w:bookmarkEnd w:id="99"/>
      <w:bookmarkEnd w:id="100"/>
    </w:p>
    <w:p>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pPr>
        <w:pStyle w:val="Penstart"/>
      </w:pPr>
      <w:r>
        <w:tab/>
        <w:t>Penalty: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rPr>
          <w:snapToGrid w:val="0"/>
        </w:rPr>
      </w:pPr>
      <w:r>
        <w:rPr>
          <w:snapToGrid w:val="0"/>
        </w:rPr>
        <w:tab/>
        <w:t>(3)</w:t>
      </w:r>
      <w:r>
        <w:rPr>
          <w:snapToGrid w:val="0"/>
        </w:rPr>
        <w:tab/>
        <w:t xml:space="preserve">An accredited society of collectors that is requested at any time to do so may provide to the Commissioner any information that the Commissioner might consider relevant to —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by No. 69 of 2004 s. 16.]</w:t>
      </w:r>
    </w:p>
    <w:p>
      <w:pPr>
        <w:pStyle w:val="Heading5"/>
        <w:rPr>
          <w:snapToGrid w:val="0"/>
        </w:rPr>
      </w:pPr>
      <w:bookmarkStart w:id="101" w:name="_Toc108854212"/>
      <w:bookmarkStart w:id="102" w:name="_Toc177813693"/>
      <w:bookmarkStart w:id="103" w:name="_Toc171068076"/>
      <w:r>
        <w:rPr>
          <w:rStyle w:val="CharSectno"/>
        </w:rPr>
        <w:t>16</w:t>
      </w:r>
      <w:r>
        <w:rPr>
          <w:snapToGrid w:val="0"/>
        </w:rPr>
        <w:t>.</w:t>
      </w:r>
      <w:r>
        <w:rPr>
          <w:snapToGrid w:val="0"/>
        </w:rPr>
        <w:tab/>
        <w:t>Licences</w:t>
      </w:r>
      <w:bookmarkEnd w:id="96"/>
      <w:bookmarkEnd w:id="97"/>
      <w:bookmarkEnd w:id="101"/>
      <w:bookmarkEnd w:id="102"/>
      <w:bookmarkEnd w:id="103"/>
      <w:r>
        <w:rPr>
          <w:snapToGrid w:val="0"/>
        </w:rPr>
        <w:t xml:space="preserve"> </w:t>
      </w:r>
    </w:p>
    <w:p>
      <w:pPr>
        <w:pStyle w:val="Subsection"/>
        <w:rPr>
          <w:snapToGrid w:val="0"/>
        </w:rPr>
      </w:pPr>
      <w:r>
        <w:rPr>
          <w:snapToGrid w:val="0"/>
        </w:rPr>
        <w:tab/>
        <w:t>(1)</w:t>
      </w:r>
      <w:r>
        <w:rPr>
          <w:snapToGrid w:val="0"/>
        </w:rPr>
        <w:tab/>
        <w:t>The licences which may be issued under this Act are — </w:t>
      </w:r>
    </w:p>
    <w:p>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w:t>
      </w:r>
    </w:p>
    <w:p>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w:t>
      </w:r>
    </w:p>
    <w:p>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pPr>
        <w:pStyle w:val="Indenti"/>
        <w:rPr>
          <w:snapToGrid w:val="0"/>
        </w:rPr>
      </w:pPr>
      <w:r>
        <w:rPr>
          <w:snapToGrid w:val="0"/>
        </w:rPr>
        <w:tab/>
        <w:t>(i)</w:t>
      </w:r>
      <w:r>
        <w:rPr>
          <w:snapToGrid w:val="0"/>
        </w:rPr>
        <w:tab/>
        <w:t>on the premises of the organisation; or</w:t>
      </w:r>
    </w:p>
    <w:p>
      <w:pPr>
        <w:pStyle w:val="Indenti"/>
        <w:rPr>
          <w:snapToGrid w:val="0"/>
        </w:rPr>
      </w:pPr>
      <w:r>
        <w:rPr>
          <w:snapToGrid w:val="0"/>
        </w:rPr>
        <w:tab/>
        <w:t>(ii)</w:t>
      </w:r>
      <w:r>
        <w:rPr>
          <w:snapToGrid w:val="0"/>
        </w:rPr>
        <w:tab/>
        <w:t>in the course of carrying out a function approved by the Commissioner and authorised by that organisation,</w:t>
      </w:r>
    </w:p>
    <w:p>
      <w:pPr>
        <w:pStyle w:val="Indenta"/>
        <w:rPr>
          <w:snapToGrid w:val="0"/>
        </w:rPr>
      </w:pPr>
      <w:r>
        <w:rPr>
          <w:snapToGrid w:val="0"/>
        </w:rPr>
        <w:tab/>
      </w:r>
      <w:r>
        <w:rPr>
          <w:snapToGrid w:val="0"/>
        </w:rPr>
        <w:tab/>
        <w:t>in accordance with the terms, restrictions, limitations and conditions applicable to that licence;</w:t>
      </w:r>
    </w:p>
    <w:p>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w:t>
      </w:r>
    </w:p>
    <w:p>
      <w:pPr>
        <w:pStyle w:val="Indenta"/>
        <w:rPr>
          <w:snapToGrid w:val="0"/>
        </w:rPr>
      </w:pPr>
      <w:r>
        <w:rPr>
          <w:snapToGrid w:val="0"/>
        </w:rPr>
        <w:tab/>
        <w:t>(e)</w:t>
      </w:r>
      <w:r>
        <w:rPr>
          <w:snapToGrid w:val="0"/>
        </w:rPr>
        <w:tab/>
        <w:t>a Repairer’s Licence, which entitles the holder to — </w:t>
      </w:r>
    </w:p>
    <w:p>
      <w:pPr>
        <w:pStyle w:val="Indenti"/>
        <w:rPr>
          <w:snapToGrid w:val="0"/>
        </w:rPr>
      </w:pPr>
      <w:r>
        <w:rPr>
          <w:snapToGrid w:val="0"/>
        </w:rPr>
        <w:tab/>
        <w:t>(i)</w:t>
      </w:r>
      <w:r>
        <w:rPr>
          <w:snapToGrid w:val="0"/>
        </w:rPr>
        <w:tab/>
        <w:t>repair firearms belonging to persons who are authorised by this Act or any other law to possess them; and</w:t>
      </w:r>
    </w:p>
    <w:p>
      <w:pPr>
        <w:pStyle w:val="Indenti"/>
        <w:rPr>
          <w:snapToGrid w:val="0"/>
        </w:rPr>
      </w:pPr>
      <w:r>
        <w:rPr>
          <w:snapToGrid w:val="0"/>
        </w:rPr>
        <w:tab/>
        <w:t>(ii)</w:t>
      </w:r>
      <w:r>
        <w:rPr>
          <w:snapToGrid w:val="0"/>
        </w:rPr>
        <w:tab/>
        <w:t>possess ammunition for those firearms,</w:t>
      </w:r>
    </w:p>
    <w:p>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w:t>
      </w:r>
    </w:p>
    <w:p>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w:t>
      </w:r>
    </w:p>
    <w:p>
      <w:pPr>
        <w:pStyle w:val="Indenta"/>
        <w:spacing w:before="60"/>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pPr>
        <w:pStyle w:val="Indenta"/>
        <w:spacing w:before="60"/>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snapToGrid w:val="0"/>
        </w:rPr>
      </w:pPr>
      <w:r>
        <w:rPr>
          <w:snapToGrid w:val="0"/>
        </w:rPr>
        <w:tab/>
        <w:t>(2)</w:t>
      </w:r>
      <w:r>
        <w:rPr>
          <w:snapToGrid w:val="0"/>
        </w:rPr>
        <w:tab/>
        <w:t>An organisation which holds a Corporate Licence may permit a person who is — </w:t>
      </w:r>
    </w:p>
    <w:p>
      <w:pPr>
        <w:pStyle w:val="Indenta"/>
        <w:spacing w:before="60"/>
        <w:rPr>
          <w:snapToGrid w:val="0"/>
        </w:rPr>
      </w:pPr>
      <w:r>
        <w:rPr>
          <w:snapToGrid w:val="0"/>
        </w:rPr>
        <w:tab/>
        <w:t>(a)</w:t>
      </w:r>
      <w:r>
        <w:rPr>
          <w:snapToGrid w:val="0"/>
        </w:rPr>
        <w:tab/>
        <w:t>an employee of that organisation;</w:t>
      </w:r>
    </w:p>
    <w:p>
      <w:pPr>
        <w:pStyle w:val="Indenta"/>
        <w:spacing w:before="60"/>
        <w:rPr>
          <w:snapToGrid w:val="0"/>
        </w:rPr>
      </w:pPr>
      <w:r>
        <w:rPr>
          <w:snapToGrid w:val="0"/>
        </w:rPr>
        <w:tab/>
        <w:t>(b)</w:t>
      </w:r>
      <w:r>
        <w:rPr>
          <w:snapToGrid w:val="0"/>
        </w:rPr>
        <w:tab/>
        <w:t>in respect to any particular act or omission authorised by the organisation — </w:t>
      </w:r>
    </w:p>
    <w:p>
      <w:pPr>
        <w:pStyle w:val="Indenti"/>
        <w:rPr>
          <w:snapToGrid w:val="0"/>
        </w:rPr>
      </w:pPr>
      <w:r>
        <w:rPr>
          <w:snapToGrid w:val="0"/>
        </w:rPr>
        <w:tab/>
        <w:t>(i)</w:t>
      </w:r>
      <w:r>
        <w:rPr>
          <w:snapToGrid w:val="0"/>
        </w:rPr>
        <w:tab/>
        <w:t>an agent of the organisation; or</w:t>
      </w:r>
    </w:p>
    <w:p>
      <w:pPr>
        <w:pStyle w:val="Indenti"/>
        <w:rPr>
          <w:snapToGrid w:val="0"/>
        </w:rPr>
      </w:pPr>
      <w:r>
        <w:rPr>
          <w:snapToGrid w:val="0"/>
        </w:rPr>
        <w:tab/>
        <w:t>(ii)</w:t>
      </w:r>
      <w:r>
        <w:rPr>
          <w:snapToGrid w:val="0"/>
        </w:rPr>
        <w:tab/>
        <w:t>a person acting at the request of and on behalf of the organisation;</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pPr>
        <w:pStyle w:val="Subsection"/>
        <w:spacing w:before="80"/>
        <w:rPr>
          <w:snapToGrid w:val="0"/>
        </w:rPr>
      </w:pPr>
      <w:r>
        <w:rPr>
          <w:snapToGrid w:val="0"/>
        </w:rPr>
        <w:tab/>
      </w:r>
      <w:r>
        <w:rPr>
          <w:snapToGrid w:val="0"/>
        </w:rPr>
        <w:tab/>
        <w:t>to possess, carry or use a firearm or ammunition in accordance with that licence.</w:t>
      </w:r>
    </w:p>
    <w:p>
      <w:pPr>
        <w:pStyle w:val="Footnotesection"/>
        <w:spacing w:before="80"/>
        <w:ind w:left="890" w:hanging="890"/>
      </w:pPr>
      <w:r>
        <w:tab/>
        <w:t xml:space="preserve">[Section 16 amended by No. 59 of 1996 s. 15; No. 27 of 1996 s. 96.] </w:t>
      </w:r>
    </w:p>
    <w:p>
      <w:pPr>
        <w:pStyle w:val="Heading5"/>
        <w:rPr>
          <w:snapToGrid w:val="0"/>
        </w:rPr>
      </w:pPr>
      <w:bookmarkStart w:id="104" w:name="_Toc411064789"/>
      <w:bookmarkStart w:id="105" w:name="_Toc51574251"/>
      <w:bookmarkStart w:id="106" w:name="_Toc108854213"/>
      <w:bookmarkStart w:id="107" w:name="_Toc177813694"/>
      <w:bookmarkStart w:id="108" w:name="_Toc171068077"/>
      <w:r>
        <w:rPr>
          <w:rStyle w:val="CharSectno"/>
        </w:rPr>
        <w:t>16A</w:t>
      </w:r>
      <w:r>
        <w:rPr>
          <w:snapToGrid w:val="0"/>
        </w:rPr>
        <w:t>.</w:t>
      </w:r>
      <w:r>
        <w:rPr>
          <w:snapToGrid w:val="0"/>
        </w:rPr>
        <w:tab/>
        <w:t>Possession of firearms by security officers</w:t>
      </w:r>
      <w:bookmarkEnd w:id="104"/>
      <w:bookmarkEnd w:id="105"/>
      <w:bookmarkEnd w:id="106"/>
      <w:bookmarkEnd w:id="107"/>
      <w:bookmarkEnd w:id="108"/>
      <w:r>
        <w:rPr>
          <w:snapToGrid w:val="0"/>
        </w:rPr>
        <w:t xml:space="preserve"> </w:t>
      </w:r>
    </w:p>
    <w:p>
      <w:pPr>
        <w:pStyle w:val="Subsection"/>
        <w:spacing w:before="120"/>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 of that Act.</w:t>
      </w:r>
    </w:p>
    <w:p>
      <w:pPr>
        <w:pStyle w:val="Footnotesection"/>
      </w:pPr>
      <w:r>
        <w:tab/>
        <w:t>[Section 16A inserted by No. 27 of 1996 s. 96; amended by No. 59 of 1996 s. 16.]</w:t>
      </w:r>
    </w:p>
    <w:p>
      <w:pPr>
        <w:pStyle w:val="Heading5"/>
        <w:rPr>
          <w:snapToGrid w:val="0"/>
        </w:rPr>
      </w:pPr>
      <w:bookmarkStart w:id="109" w:name="_Toc411064790"/>
      <w:bookmarkStart w:id="110" w:name="_Toc51574252"/>
      <w:bookmarkStart w:id="111" w:name="_Toc108854214"/>
      <w:bookmarkStart w:id="112" w:name="_Toc177813695"/>
      <w:bookmarkStart w:id="113" w:name="_Toc171068078"/>
      <w:r>
        <w:rPr>
          <w:rStyle w:val="CharSectno"/>
        </w:rPr>
        <w:t>17</w:t>
      </w:r>
      <w:r>
        <w:rPr>
          <w:snapToGrid w:val="0"/>
        </w:rPr>
        <w:t>.</w:t>
      </w:r>
      <w:r>
        <w:rPr>
          <w:snapToGrid w:val="0"/>
        </w:rPr>
        <w:tab/>
        <w:t>Temporary permits</w:t>
      </w:r>
      <w:bookmarkEnd w:id="109"/>
      <w:bookmarkEnd w:id="110"/>
      <w:bookmarkEnd w:id="111"/>
      <w:bookmarkEnd w:id="112"/>
      <w:bookmarkEnd w:id="113"/>
      <w:r>
        <w:rPr>
          <w:snapToGrid w:val="0"/>
        </w:rPr>
        <w:t xml:space="preserve"> </w:t>
      </w:r>
    </w:p>
    <w:p>
      <w:pPr>
        <w:pStyle w:val="Subsection"/>
        <w:spacing w:before="120"/>
        <w:rPr>
          <w:snapToGrid w:val="0"/>
        </w:rPr>
      </w:pPr>
      <w:r>
        <w:rPr>
          <w:snapToGrid w:val="0"/>
        </w:rPr>
        <w:tab/>
        <w:t>(1)</w:t>
      </w:r>
      <w:r>
        <w:rPr>
          <w:snapToGrid w:val="0"/>
        </w:rPr>
        <w:tab/>
        <w:t>Subject to subsection (3), a permit to possess a firearm or ammunition temporarily may be granted by the Commissioner to a person — </w:t>
      </w:r>
    </w:p>
    <w:p>
      <w:pPr>
        <w:pStyle w:val="Indenta"/>
        <w:rPr>
          <w:snapToGrid w:val="0"/>
        </w:rPr>
      </w:pPr>
      <w:r>
        <w:rPr>
          <w:snapToGrid w:val="0"/>
        </w:rPr>
        <w:tab/>
        <w:t>(a)</w:t>
      </w:r>
      <w:r>
        <w:rPr>
          <w:snapToGrid w:val="0"/>
        </w:rPr>
        <w:tab/>
        <w:t>for the purpose of any test or demonstration of it;</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w:t>
      </w:r>
    </w:p>
    <w:p>
      <w:pPr>
        <w:pStyle w:val="Indenta"/>
        <w:rPr>
          <w:snapToGrid w:val="0"/>
        </w:rPr>
      </w:pPr>
      <w:r>
        <w:rPr>
          <w:snapToGrid w:val="0"/>
        </w:rPr>
        <w:tab/>
        <w:t>(c)</w:t>
      </w:r>
      <w:r>
        <w:rPr>
          <w:snapToGrid w:val="0"/>
        </w:rPr>
        <w:tab/>
        <w:t>for the purposes of transit;</w:t>
      </w:r>
    </w:p>
    <w:p>
      <w:pPr>
        <w:pStyle w:val="Indenta"/>
        <w:rPr>
          <w:snapToGrid w:val="0"/>
        </w:rPr>
      </w:pPr>
      <w:r>
        <w:rPr>
          <w:snapToGrid w:val="0"/>
        </w:rPr>
        <w:tab/>
        <w:t>(d)</w:t>
      </w:r>
      <w:r>
        <w:rPr>
          <w:snapToGrid w:val="0"/>
        </w:rPr>
        <w:tab/>
        <w:t>for the purposes of a guided hunting tour; or</w:t>
      </w:r>
    </w:p>
    <w:p>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spacing w:before="120"/>
        <w:rPr>
          <w:snapToGrid w:val="0"/>
        </w:rPr>
      </w:pPr>
      <w:r>
        <w:rPr>
          <w:snapToGrid w:val="0"/>
        </w:rPr>
        <w:tab/>
      </w:r>
      <w:r>
        <w:rPr>
          <w:snapToGrid w:val="0"/>
        </w:rPr>
        <w:tab/>
        <w:t>if the Commissioner is satisfied that the firearm or ammunition came, or will come, into the possession of the applicant in a lawful manner.</w:t>
      </w:r>
    </w:p>
    <w:p>
      <w:pPr>
        <w:pStyle w:val="Subsection"/>
        <w:spacing w:before="120"/>
        <w:rPr>
          <w:snapToGrid w:val="0"/>
        </w:rPr>
      </w:pPr>
      <w:r>
        <w:rPr>
          <w:snapToGrid w:val="0"/>
        </w:rPr>
        <w:tab/>
        <w:t>(2)</w:t>
      </w:r>
      <w:r>
        <w:rPr>
          <w:snapToGrid w:val="0"/>
        </w:rPr>
        <w:tab/>
        <w:t>A permit granted under subsection (1) may authorise the use of the firearm or ammunition in the circumstances specified therein.</w:t>
      </w:r>
    </w:p>
    <w:p>
      <w:pPr>
        <w:pStyle w:val="Subsection"/>
        <w:spacing w:before="120"/>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 xml:space="preserve">[Section 17 amended by No. 59 of 2004 s. 141.] </w:t>
      </w:r>
    </w:p>
    <w:p>
      <w:pPr>
        <w:pStyle w:val="Heading5"/>
        <w:rPr>
          <w:snapToGrid w:val="0"/>
        </w:rPr>
      </w:pPr>
      <w:bookmarkStart w:id="114" w:name="_Toc411064791"/>
      <w:bookmarkStart w:id="115" w:name="_Toc51574253"/>
      <w:bookmarkStart w:id="116" w:name="_Toc108854215"/>
      <w:bookmarkStart w:id="117" w:name="_Toc177813696"/>
      <w:bookmarkStart w:id="118" w:name="_Toc171068079"/>
      <w:r>
        <w:rPr>
          <w:rStyle w:val="CharSectno"/>
        </w:rPr>
        <w:t>17A</w:t>
      </w:r>
      <w:r>
        <w:rPr>
          <w:snapToGrid w:val="0"/>
        </w:rPr>
        <w:t>.</w:t>
      </w:r>
      <w:r>
        <w:rPr>
          <w:snapToGrid w:val="0"/>
        </w:rPr>
        <w:tab/>
        <w:t>Interstate group permits</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rPr>
          <w:snapToGrid w:val="0"/>
        </w:rPr>
      </w:pPr>
      <w:r>
        <w:rPr>
          <w:snapToGrid w:val="0"/>
        </w:rPr>
        <w:tab/>
        <w:t>(b)</w:t>
      </w:r>
      <w:r>
        <w:rPr>
          <w:snapToGrid w:val="0"/>
        </w:rPr>
        <w:tab/>
        <w:t>the members of the club, body or organisation are of good repute,</w:t>
      </w:r>
    </w:p>
    <w:p>
      <w:pPr>
        <w:pStyle w:val="Subsection"/>
        <w:spacing w:before="100"/>
        <w:rPr>
          <w:snapToGrid w:val="0"/>
        </w:rPr>
      </w:pPr>
      <w:r>
        <w:rPr>
          <w:snapToGrid w:val="0"/>
        </w:rPr>
        <w:tab/>
      </w:r>
      <w:r>
        <w:rPr>
          <w:snapToGrid w:val="0"/>
        </w:rPr>
        <w:tab/>
        <w:t>grant to the club, body or organisation an interstate group permit.</w:t>
      </w:r>
    </w:p>
    <w:p>
      <w:pPr>
        <w:pStyle w:val="Subsection"/>
        <w:spacing w:before="100"/>
        <w:rPr>
          <w:snapToGrid w:val="0"/>
        </w:rPr>
      </w:pPr>
      <w:r>
        <w:rPr>
          <w:snapToGrid w:val="0"/>
        </w:rPr>
        <w:tab/>
        <w:t>(2)</w:t>
      </w:r>
      <w:r>
        <w:rPr>
          <w:snapToGrid w:val="0"/>
        </w:rPr>
        <w:tab/>
        <w:t>An interstate group permit under this section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issued to the club, body or organisation on whose behalf the application for the permit has been made;</w:t>
      </w:r>
    </w:p>
    <w:p>
      <w:pPr>
        <w:pStyle w:val="Indenta"/>
        <w:rPr>
          <w:snapToGrid w:val="0"/>
        </w:rPr>
      </w:pPr>
      <w:r>
        <w:rPr>
          <w:snapToGrid w:val="0"/>
        </w:rPr>
        <w:tab/>
        <w:t>(c)</w:t>
      </w:r>
      <w:r>
        <w:rPr>
          <w:snapToGrid w:val="0"/>
        </w:rPr>
        <w:tab/>
        <w:t>shall set forth — </w:t>
      </w:r>
    </w:p>
    <w:p>
      <w:pPr>
        <w:pStyle w:val="Indenti"/>
        <w:rPr>
          <w:snapToGrid w:val="0"/>
        </w:rPr>
      </w:pPr>
      <w:r>
        <w:rPr>
          <w:snapToGrid w:val="0"/>
        </w:rPr>
        <w:tab/>
        <w:t>(i)</w:t>
      </w:r>
      <w:r>
        <w:rPr>
          <w:snapToGrid w:val="0"/>
        </w:rPr>
        <w:tab/>
        <w:t>the names and addresses of the persons of the group in respect of whom it is issued; and</w:t>
      </w:r>
    </w:p>
    <w:p>
      <w:pPr>
        <w:pStyle w:val="Indenti"/>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 xml:space="preserve">[Section 17A inserted by No. 61 of 1976 s. 2.] </w:t>
      </w:r>
    </w:p>
    <w:p>
      <w:pPr>
        <w:pStyle w:val="Heading5"/>
        <w:rPr>
          <w:snapToGrid w:val="0"/>
        </w:rPr>
      </w:pPr>
      <w:bookmarkStart w:id="119" w:name="_Toc411064792"/>
      <w:bookmarkStart w:id="120" w:name="_Toc51574254"/>
      <w:bookmarkStart w:id="121" w:name="_Toc108854216"/>
      <w:bookmarkStart w:id="122" w:name="_Toc177813697"/>
      <w:bookmarkStart w:id="123" w:name="_Toc171068080"/>
      <w:r>
        <w:rPr>
          <w:rStyle w:val="CharSectno"/>
        </w:rPr>
        <w:t>17B</w:t>
      </w:r>
      <w:r>
        <w:rPr>
          <w:snapToGrid w:val="0"/>
        </w:rPr>
        <w:t>.</w:t>
      </w:r>
      <w:r>
        <w:rPr>
          <w:snapToGrid w:val="0"/>
        </w:rPr>
        <w:tab/>
        <w:t>Minister may authorise officers or employees of Agriculture Protection Board to possess, carry and use silencers</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Subject to this section, the Minister may grant authority in writing to an approved officer or employee of the Board to possess and carry a silencer 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rPr>
          <w:snapToGrid w:val="0"/>
        </w:rPr>
      </w:pPr>
      <w:r>
        <w:rPr>
          <w:snapToGrid w:val="0"/>
        </w:rPr>
        <w:tab/>
        <w:t>(3)</w:t>
      </w:r>
      <w:r>
        <w:rPr>
          <w:snapToGrid w:val="0"/>
        </w:rPr>
        <w:tab/>
        <w:t>An officer or employee to whom an authority has been granted — </w:t>
      </w:r>
    </w:p>
    <w:p>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w:t>
      </w:r>
    </w:p>
    <w:p>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w:t>
      </w:r>
    </w:p>
    <w:p>
      <w:pPr>
        <w:pStyle w:val="Indenta"/>
        <w:rPr>
          <w:snapToGrid w:val="0"/>
        </w:rPr>
      </w:pPr>
      <w:r>
        <w:rPr>
          <w:snapToGrid w:val="0"/>
        </w:rPr>
        <w:tab/>
        <w:t>(c)</w:t>
      </w:r>
      <w:r>
        <w:rPr>
          <w:snapToGrid w:val="0"/>
        </w:rPr>
        <w:tab/>
        <w:t xml:space="preserve">shall not use a silencer otherwise than in conjunction with a .22 calibre rifle named and identified in the Corporate Licence referred to in subsection (7) for the purpose of shooting common starlings </w:t>
      </w:r>
      <w:r>
        <w:rPr>
          <w:i/>
          <w:snapToGrid w:val="0"/>
        </w:rPr>
        <w:t>Sturnus vulgaris</w:t>
      </w:r>
      <w:r>
        <w:rPr>
          <w:snapToGrid w:val="0"/>
        </w:rPr>
        <w:t xml:space="preserve"> in the performance of his duties;</w:t>
      </w:r>
    </w:p>
    <w:p>
      <w:pPr>
        <w:pStyle w:val="Indenta"/>
        <w:rPr>
          <w:snapToGrid w:val="0"/>
        </w:rPr>
      </w:pPr>
      <w:r>
        <w:rPr>
          <w:snapToGrid w:val="0"/>
        </w:rPr>
        <w:tab/>
        <w:t>(d)</w:t>
      </w:r>
      <w:r>
        <w:rPr>
          <w:snapToGrid w:val="0"/>
        </w:rPr>
        <w:tab/>
        <w:t>shall take all reasonable precautions to ensure the safekeeping of a silencer possessed, carried or used by him;</w:t>
      </w:r>
    </w:p>
    <w:p>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pPr>
        <w:pStyle w:val="Indenta"/>
        <w:rPr>
          <w:snapToGrid w:val="0"/>
        </w:rPr>
      </w:pPr>
      <w:r>
        <w:rPr>
          <w:snapToGrid w:val="0"/>
        </w:rPr>
        <w:tab/>
        <w:t>(f)</w:t>
      </w:r>
      <w:r>
        <w:rPr>
          <w:snapToGrid w:val="0"/>
        </w:rPr>
        <w:tab/>
        <w:t>shall, when he — </w:t>
      </w:r>
    </w:p>
    <w:p>
      <w:pPr>
        <w:pStyle w:val="Indenti"/>
        <w:rPr>
          <w:snapToGrid w:val="0"/>
        </w:rPr>
      </w:pPr>
      <w:r>
        <w:rPr>
          <w:snapToGrid w:val="0"/>
        </w:rPr>
        <w:tab/>
        <w:t>(i)</w:t>
      </w:r>
      <w:r>
        <w:rPr>
          <w:snapToGrid w:val="0"/>
        </w:rPr>
        <w:tab/>
        <w:t>is directed under this subsection to surrender; or</w:t>
      </w:r>
    </w:p>
    <w:p>
      <w:pPr>
        <w:pStyle w:val="Indenti"/>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pPr>
        <w:pStyle w:val="Subsection"/>
        <w:rPr>
          <w:snapToGrid w:val="0"/>
        </w:rPr>
      </w:pPr>
      <w:r>
        <w:rPr>
          <w:snapToGrid w:val="0"/>
        </w:rPr>
        <w:tab/>
        <w:t>(4)</w:t>
      </w:r>
      <w:r>
        <w:rPr>
          <w:snapToGrid w:val="0"/>
        </w:rPr>
        <w:tab/>
        <w:t>If an officer or employee to whom an authority has been granted fails to perform any of the duties imposed on him by subsection (3) or ceases to be permitted by the Board to possess, carry or use a .22 calibre rifle under the Corporate Licence referred to in subsection (7), his authority is rendered void.</w:t>
      </w:r>
    </w:p>
    <w:p>
      <w:pPr>
        <w:pStyle w:val="Subsection"/>
        <w:rPr>
          <w:snapToGrid w:val="0"/>
        </w:rPr>
      </w:pPr>
      <w:r>
        <w:rPr>
          <w:snapToGrid w:val="0"/>
        </w:rPr>
        <w:tab/>
        <w:t>(5)</w:t>
      </w:r>
      <w:r>
        <w:rPr>
          <w:snapToGrid w:val="0"/>
        </w:rPr>
        <w:tab/>
        <w:t>An authority ceases to be in force on — </w:t>
      </w:r>
    </w:p>
    <w:p>
      <w:pPr>
        <w:pStyle w:val="Indenta"/>
        <w:rPr>
          <w:snapToGrid w:val="0"/>
        </w:rPr>
      </w:pPr>
      <w:r>
        <w:rPr>
          <w:snapToGrid w:val="0"/>
        </w:rPr>
        <w:tab/>
        <w:t>(a)</w:t>
      </w:r>
      <w:r>
        <w:rPr>
          <w:snapToGrid w:val="0"/>
        </w:rPr>
        <w:tab/>
        <w:t>the expiry of the period specified in the authority;</w:t>
      </w:r>
    </w:p>
    <w:p>
      <w:pPr>
        <w:pStyle w:val="Indenta"/>
        <w:rPr>
          <w:snapToGrid w:val="0"/>
        </w:rPr>
      </w:pPr>
      <w:r>
        <w:rPr>
          <w:snapToGrid w:val="0"/>
        </w:rPr>
        <w:tab/>
        <w:t>(b)</w:t>
      </w:r>
      <w:r>
        <w:rPr>
          <w:snapToGrid w:val="0"/>
        </w:rPr>
        <w:tab/>
        <w:t>its revocation under subsection (2);</w:t>
      </w:r>
    </w:p>
    <w:p>
      <w:pPr>
        <w:pStyle w:val="Indenta"/>
        <w:rPr>
          <w:snapToGrid w:val="0"/>
        </w:rPr>
      </w:pPr>
      <w:r>
        <w:rPr>
          <w:snapToGrid w:val="0"/>
        </w:rPr>
        <w:tab/>
        <w:t>(c)</w:t>
      </w:r>
      <w:r>
        <w:rPr>
          <w:snapToGrid w:val="0"/>
        </w:rPr>
        <w:tab/>
        <w:t>its being rendered void by virtue of subsection (4); or</w:t>
      </w:r>
    </w:p>
    <w:p>
      <w:pPr>
        <w:pStyle w:val="Indenta"/>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For the purposes of section 22, neither the approval of an officer or employee of the Board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This section has effect only while the Board is the holder of a valid Corporate Licence entitling the Board to possess .22 calibre rifles, together with ammunition therefor.</w:t>
      </w:r>
    </w:p>
    <w:p>
      <w:pPr>
        <w:pStyle w:val="Subsection"/>
        <w:rPr>
          <w:snapToGrid w:val="0"/>
        </w:rPr>
      </w:pPr>
      <w:r>
        <w:rPr>
          <w:snapToGrid w:val="0"/>
        </w:rPr>
        <w:tab/>
        <w:t>(8)</w:t>
      </w:r>
      <w:r>
        <w:rPr>
          <w:snapToGrid w:val="0"/>
        </w:rPr>
        <w:tab/>
        <w:t>In this section — </w:t>
      </w:r>
    </w:p>
    <w:p>
      <w:pPr>
        <w:pStyle w:val="Defstart"/>
      </w:pPr>
      <w:r>
        <w:rPr>
          <w:b/>
        </w:rPr>
        <w:tab/>
        <w:t>“</w:t>
      </w:r>
      <w:r>
        <w:rPr>
          <w:rStyle w:val="CharDefText"/>
        </w:rPr>
        <w:t>authority</w:t>
      </w:r>
      <w:r>
        <w:rPr>
          <w:b/>
        </w:rPr>
        <w:t>”</w:t>
      </w:r>
      <w:r>
        <w:t xml:space="preserve"> means authority granted under subsection (1);</w:t>
      </w:r>
    </w:p>
    <w:p>
      <w:pPr>
        <w:pStyle w:val="Defstart"/>
      </w:pPr>
      <w:r>
        <w:rPr>
          <w:b/>
        </w:rPr>
        <w:tab/>
        <w:t>“</w:t>
      </w:r>
      <w:r>
        <w:rPr>
          <w:rStyle w:val="CharDefText"/>
        </w:rPr>
        <w:t>Corporate Licence</w:t>
      </w:r>
      <w:r>
        <w:rPr>
          <w:b/>
        </w:rPr>
        <w:t>”</w:t>
      </w:r>
      <w:r>
        <w:t xml:space="preserve"> means Corporate Licence referred to in section 16(1)(c);</w:t>
      </w:r>
    </w:p>
    <w:p>
      <w:pPr>
        <w:pStyle w:val="Defstart"/>
      </w:pPr>
      <w:r>
        <w:rPr>
          <w:b/>
        </w:rPr>
        <w:tab/>
        <w:t>“</w:t>
      </w:r>
      <w:r>
        <w:rPr>
          <w:rStyle w:val="CharDefText"/>
        </w:rPr>
        <w:t>silencer</w:t>
      </w:r>
      <w:r>
        <w:rPr>
          <w:b/>
        </w:rPr>
        <w:t>”</w:t>
      </w:r>
      <w:r>
        <w:t xml:space="preserve"> means contrivance commonly known as a silencer, or contrivance of a similar nature;</w:t>
      </w:r>
    </w:p>
    <w:p>
      <w:pPr>
        <w:pStyle w:val="Defstart"/>
      </w:pPr>
      <w:r>
        <w:rPr>
          <w:b/>
        </w:rPr>
        <w:tab/>
        <w:t>“</w:t>
      </w:r>
      <w:r>
        <w:rPr>
          <w:rStyle w:val="CharDefText"/>
        </w:rPr>
        <w:t>subsection</w:t>
      </w:r>
      <w:r>
        <w:rPr>
          <w:b/>
        </w:rPr>
        <w:t>”</w:t>
      </w:r>
      <w:r>
        <w:t xml:space="preserve"> means subsection of this section;</w:t>
      </w:r>
    </w:p>
    <w:p>
      <w:pPr>
        <w:pStyle w:val="Defstart"/>
      </w:pPr>
      <w:r>
        <w:rPr>
          <w:b/>
        </w:rPr>
        <w:tab/>
        <w:t>“</w:t>
      </w:r>
      <w:r>
        <w:rPr>
          <w:rStyle w:val="CharDefText"/>
        </w:rPr>
        <w:t>the Board</w:t>
      </w:r>
      <w:r>
        <w:rPr>
          <w:b/>
        </w:rPr>
        <w:t>”</w:t>
      </w:r>
      <w:r>
        <w:t xml:space="preserve"> means The Agriculture Protection Board of Western Australia constituted under the </w:t>
      </w:r>
      <w:r>
        <w:rPr>
          <w:i/>
        </w:rPr>
        <w:t>Agriculture Protection Board Act 1950</w:t>
      </w:r>
      <w:r>
        <w:t>.</w:t>
      </w:r>
    </w:p>
    <w:p>
      <w:pPr>
        <w:pStyle w:val="Footnotesection"/>
      </w:pPr>
      <w:r>
        <w:tab/>
        <w:t xml:space="preserve">[Section 17B inserted by No. 3 of 1983 s. 2; amended by No. 59 of 1996 s. 17.] </w:t>
      </w:r>
    </w:p>
    <w:p>
      <w:pPr>
        <w:pStyle w:val="Heading5"/>
        <w:rPr>
          <w:snapToGrid w:val="0"/>
        </w:rPr>
      </w:pPr>
      <w:bookmarkStart w:id="124" w:name="_Toc411064793"/>
      <w:bookmarkStart w:id="125" w:name="_Toc51574255"/>
      <w:bookmarkStart w:id="126" w:name="_Toc108854217"/>
      <w:bookmarkStart w:id="127" w:name="_Toc177813698"/>
      <w:bookmarkStart w:id="128" w:name="_Toc171068081"/>
      <w:r>
        <w:rPr>
          <w:rStyle w:val="CharSectno"/>
        </w:rPr>
        <w:t>18</w:t>
      </w:r>
      <w:r>
        <w:rPr>
          <w:snapToGrid w:val="0"/>
        </w:rPr>
        <w:t>.</w:t>
      </w:r>
      <w:r>
        <w:rPr>
          <w:snapToGrid w:val="0"/>
        </w:rPr>
        <w:tab/>
        <w:t>Licensing procedure</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s>
        <w:ind w:left="0" w:firstLine="0"/>
      </w:pPr>
      <w:r>
        <w:tab/>
        <w:t>[(2), (3), (3a)</w:t>
      </w:r>
      <w:r>
        <w:tab/>
        <w:t>repealed]</w:t>
      </w:r>
    </w:p>
    <w:p>
      <w:pPr>
        <w:pStyle w:val="Subsection"/>
        <w:rPr>
          <w:snapToGrid w:val="0"/>
        </w:rPr>
      </w:pPr>
      <w:r>
        <w:rPr>
          <w:snapToGrid w:val="0"/>
        </w:rPr>
        <w:tab/>
        <w:t>(4)</w:t>
      </w:r>
      <w:r>
        <w:rPr>
          <w:snapToGrid w:val="0"/>
        </w:rPr>
        <w:tab/>
        <w:t>The fee payable on the issue of —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 </w:t>
      </w:r>
    </w:p>
    <w:p>
      <w:pPr>
        <w:pStyle w:val="Indenta"/>
        <w:rPr>
          <w:snapToGrid w:val="0"/>
        </w:rPr>
      </w:pPr>
      <w:r>
        <w:rPr>
          <w:snapToGrid w:val="0"/>
        </w:rPr>
        <w:tab/>
        <w:t>(a)</w:t>
      </w:r>
      <w:r>
        <w:rPr>
          <w:snapToGrid w:val="0"/>
        </w:rPr>
        <w:tab/>
        <w:t>reference has been made where practicable to relevant criminal records held by the police forces in this State and elsewhere in Australia;</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spacing w:before="120"/>
        <w:rPr>
          <w:snapToGrid w:val="0"/>
        </w:rPr>
      </w:pPr>
      <w:r>
        <w:rPr>
          <w:snapToGrid w:val="0"/>
        </w:rPr>
        <w:tab/>
        <w:t>(6)</w:t>
      </w:r>
      <w:r>
        <w:rPr>
          <w:snapToGrid w:val="0"/>
        </w:rPr>
        <w:tab/>
        <w:t>If the Commissioner is satisfied that — </w:t>
      </w:r>
    </w:p>
    <w:p>
      <w:pPr>
        <w:pStyle w:val="Indenta"/>
        <w:rPr>
          <w:snapToGrid w:val="0"/>
        </w:rPr>
      </w:pPr>
      <w:r>
        <w:rPr>
          <w:snapToGrid w:val="0"/>
        </w:rPr>
        <w:tab/>
        <w:t>(a)</w:t>
      </w:r>
      <w:r>
        <w:rPr>
          <w:snapToGrid w:val="0"/>
        </w:rPr>
        <w:tab/>
        <w:t>the requirements of this section have been satisfied;</w:t>
      </w:r>
    </w:p>
    <w:p>
      <w:pPr>
        <w:pStyle w:val="Indenta"/>
        <w:rPr>
          <w:snapToGrid w:val="0"/>
        </w:rPr>
      </w:pPr>
      <w:r>
        <w:rPr>
          <w:snapToGrid w:val="0"/>
        </w:rPr>
        <w:tab/>
        <w:t>(b)</w:t>
      </w:r>
      <w:r>
        <w:rPr>
          <w:snapToGrid w:val="0"/>
        </w:rPr>
        <w:tab/>
        <w:t>there are no grounds upon which the application ought to be refused; and</w:t>
      </w:r>
    </w:p>
    <w:p>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pPr>
        <w:pStyle w:val="Subsection"/>
        <w:spacing w:before="120"/>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rPr>
          <w:snapToGrid w:val="0"/>
        </w:rPr>
      </w:pPr>
      <w:r>
        <w:rPr>
          <w:snapToGrid w:val="0"/>
        </w:rPr>
        <w:tab/>
        <w:t>(b)</w:t>
      </w:r>
      <w:r>
        <w:rPr>
          <w:snapToGrid w:val="0"/>
        </w:rPr>
        <w:tab/>
        <w:t>any employee or agent of the applicant or any person concerned in, or responsible for, management,</w:t>
      </w:r>
    </w:p>
    <w:p>
      <w:pPr>
        <w:pStyle w:val="Subsection"/>
        <w:spacing w:before="120"/>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spacing w:before="120"/>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rPr>
          <w:snapToGrid w:val="0"/>
        </w:rPr>
      </w:pPr>
      <w:r>
        <w:rPr>
          <w:snapToGrid w:val="0"/>
        </w:rPr>
        <w:tab/>
        <w:t>(b)</w:t>
      </w:r>
      <w:r>
        <w:rPr>
          <w:snapToGrid w:val="0"/>
        </w:rPr>
        <w:tab/>
        <w:t>any employee or agent of the holder or any person concerned in, or responsible for, management,</w:t>
      </w:r>
    </w:p>
    <w:p>
      <w:pPr>
        <w:pStyle w:val="Subsection"/>
        <w:spacing w:before="120"/>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 xml:space="preserve">[Section 18 amended by No. 61 of 1976 s. 3; No. 59 of 1996 s. 18; No. 69 of 2004 s. 17.] </w:t>
      </w:r>
    </w:p>
    <w:p>
      <w:pPr>
        <w:pStyle w:val="Heading5"/>
        <w:rPr>
          <w:snapToGrid w:val="0"/>
        </w:rPr>
      </w:pPr>
      <w:bookmarkStart w:id="129" w:name="_Toc411064794"/>
      <w:bookmarkStart w:id="130" w:name="_Toc51574256"/>
      <w:bookmarkStart w:id="131" w:name="_Toc108854218"/>
      <w:bookmarkStart w:id="132" w:name="_Toc177813699"/>
      <w:bookmarkStart w:id="133" w:name="_Toc171068082"/>
      <w:r>
        <w:rPr>
          <w:rStyle w:val="CharSectno"/>
        </w:rPr>
        <w:t>19</w:t>
      </w:r>
      <w:r>
        <w:rPr>
          <w:snapToGrid w:val="0"/>
        </w:rPr>
        <w:t>.</w:t>
      </w:r>
      <w:r>
        <w:rPr>
          <w:snapToGrid w:val="0"/>
        </w:rPr>
        <w:tab/>
        <w:t>Licensing offences</w:t>
      </w:r>
      <w:bookmarkEnd w:id="129"/>
      <w:bookmarkEnd w:id="130"/>
      <w:bookmarkEnd w:id="131"/>
      <w:bookmarkEnd w:id="132"/>
      <w:bookmarkEnd w:id="133"/>
      <w:r>
        <w:rPr>
          <w:snapToGrid w:val="0"/>
        </w:rPr>
        <w:t xml:space="preserve"> </w:t>
      </w:r>
    </w:p>
    <w:p>
      <w:pPr>
        <w:pStyle w:val="Subsection"/>
        <w:spacing w:before="12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sells, delivers or disposes of;</w:t>
      </w:r>
    </w:p>
    <w:p>
      <w:pPr>
        <w:pStyle w:val="Indenta"/>
        <w:rPr>
          <w:snapToGrid w:val="0"/>
        </w:rPr>
      </w:pPr>
      <w:r>
        <w:rPr>
          <w:snapToGrid w:val="0"/>
        </w:rPr>
        <w:tab/>
        <w:t>(b)</w:t>
      </w:r>
      <w:r>
        <w:rPr>
          <w:snapToGrid w:val="0"/>
        </w:rPr>
        <w:tab/>
        <w:t>purchases or otherwise comes into possession of; or</w:t>
      </w:r>
    </w:p>
    <w:p>
      <w:pPr>
        <w:pStyle w:val="Indenta"/>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pPr>
        <w:pStyle w:val="Subsection"/>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pPr>
        <w:pStyle w:val="Subsection"/>
        <w:keepNext/>
      </w:pPr>
      <w:r>
        <w:tab/>
        <w:t>(1ab)</w:t>
      </w:r>
      <w:r>
        <w:tab/>
        <w:t xml:space="preserve">A person who is guilty of a crime under subsection (1) — </w:t>
      </w:r>
    </w:p>
    <w:p>
      <w:pPr>
        <w:pStyle w:val="Indenta"/>
      </w:pPr>
      <w:r>
        <w:tab/>
        <w:t>(a)</w:t>
      </w:r>
      <w:r>
        <w:tab/>
        <w:t>committed in circumstances where the person was carrying both a firearm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pPr>
        <w:pStyle w:val="Subsection"/>
      </w:pPr>
      <w:r>
        <w:tab/>
        <w:t>(1ac)</w:t>
      </w:r>
      <w:r>
        <w:tab/>
        <w:t>Unless subsection (1aa) or (1ab) applies, a person who is guilty of a crime under subsection (1) committed in relation to a firearm is liable, on conviction, to imprisonment for 7 years if —</w:t>
      </w:r>
    </w:p>
    <w:p>
      <w:pPr>
        <w:pStyle w:val="Indenta"/>
      </w:pPr>
      <w:r>
        <w:tab/>
        <w:t>(a)</w:t>
      </w:r>
      <w:r>
        <w:tab/>
        <w:t xml:space="preserve">at the time of the offence the offender — </w:t>
      </w:r>
    </w:p>
    <w:p>
      <w:pPr>
        <w:pStyle w:val="Indenti"/>
      </w:pPr>
      <w:r>
        <w:tab/>
        <w:t>(i)</w:t>
      </w:r>
      <w:r>
        <w:tab/>
        <w:t>had been refused, or was disqualified from holding, a licence or permit referred to in subsection (1); or</w:t>
      </w:r>
    </w:p>
    <w:p>
      <w:pPr>
        <w:pStyle w:val="Indenti"/>
      </w:pPr>
      <w:r>
        <w:tab/>
        <w:t>(ii)</w:t>
      </w:r>
      <w:r>
        <w:tab/>
        <w:t>had had a licence or permit referred to in subsection (1) revoked,</w:t>
      </w:r>
    </w:p>
    <w:p>
      <w:pPr>
        <w:pStyle w:val="Indenta"/>
      </w:pPr>
      <w:r>
        <w:tab/>
      </w:r>
      <w:r>
        <w:tab/>
        <w:t>in relation to the firearm or a firearm of the same kind;</w:t>
      </w:r>
    </w:p>
    <w:p>
      <w:pPr>
        <w:pStyle w:val="Indenta"/>
      </w:pPr>
      <w:r>
        <w:tab/>
        <w:t>(b)</w:t>
      </w:r>
      <w:r>
        <w:tab/>
        <w:t>the firearm was a handgun or a prescribed firearm;</w:t>
      </w:r>
    </w:p>
    <w:p>
      <w:pPr>
        <w:pStyle w:val="Indenta"/>
      </w:pPr>
      <w:r>
        <w:tab/>
        <w:t>(c)</w:t>
      </w:r>
      <w:r>
        <w:tab/>
        <w:t>at the time of the offence, any number or identification mark which was on the firearm had been defaced or removed; or</w:t>
      </w:r>
    </w:p>
    <w:p>
      <w:pPr>
        <w:pStyle w:val="Indenta"/>
        <w:keepNext/>
      </w:pPr>
      <w:r>
        <w:tab/>
        <w:t>(d)</w:t>
      </w:r>
      <w:r>
        <w:tab/>
        <w:t>the firearm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spacing w:before="120"/>
      </w:pPr>
      <w:r>
        <w:tab/>
        <w:t>(1ad)</w:t>
      </w:r>
      <w:r>
        <w:tab/>
        <w:t>Unless subsection (1aa), (1ab) or (1ac) applies, a person who commits a crime under subsection (1) is liable, on conviction, to imprisonment for 5 years.</w:t>
      </w:r>
    </w:p>
    <w:p>
      <w:pPr>
        <w:pStyle w:val="Penstart"/>
      </w:pPr>
      <w:r>
        <w:tab/>
        <w:t>Summary conviction penalty: Imprisonment for 3 years or a fine of $12 000.</w:t>
      </w:r>
    </w:p>
    <w:p>
      <w:pPr>
        <w:pStyle w:val="Subsection"/>
        <w:spacing w:before="120"/>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spacing w:before="120"/>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w:t>
      </w:r>
    </w:p>
    <w:p>
      <w:pPr>
        <w:pStyle w:val="Indenta"/>
        <w:rPr>
          <w:snapToGrid w:val="0"/>
        </w:rPr>
      </w:pPr>
      <w:r>
        <w:rPr>
          <w:snapToGrid w:val="0"/>
        </w:rPr>
        <w:tab/>
        <w:t>(b)</w:t>
      </w:r>
      <w:r>
        <w:rPr>
          <w:snapToGrid w:val="0"/>
        </w:rPr>
        <w:tab/>
        <w:t>purchases, or otherwise comes into, possession of a firearm or ammunition from another person; or</w:t>
      </w:r>
    </w:p>
    <w:p>
      <w:pPr>
        <w:pStyle w:val="Indenta"/>
        <w:rPr>
          <w:snapToGrid w:val="0"/>
        </w:rPr>
      </w:pPr>
      <w:r>
        <w:rPr>
          <w:snapToGrid w:val="0"/>
        </w:rPr>
        <w:tab/>
        <w:t>(c)</w:t>
      </w:r>
      <w:r>
        <w:rPr>
          <w:snapToGrid w:val="0"/>
        </w:rPr>
        <w:tab/>
        <w:t>permits another person to be in possession of a firearm or ammunition,</w:t>
      </w:r>
    </w:p>
    <w:p>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pPr>
        <w:pStyle w:val="Penstart"/>
      </w:pPr>
      <w:r>
        <w:tab/>
        <w:t>Penalty:</w:t>
      </w:r>
    </w:p>
    <w:p>
      <w:pPr>
        <w:pStyle w:val="Penpara"/>
      </w:pPr>
      <w:r>
        <w:tab/>
        <w:t>(a)</w:t>
      </w:r>
      <w:r>
        <w:tab/>
        <w:t>if the firearm concerned was a handgun or a prescribed firearm, imprisonment for 5 years;</w:t>
      </w:r>
    </w:p>
    <w:p>
      <w:pPr>
        <w:pStyle w:val="Penpara"/>
      </w:pPr>
      <w:r>
        <w:tab/>
        <w:t>(b)</w:t>
      </w:r>
      <w:r>
        <w:tab/>
        <w:t>in any other case, imprisonment for 3 years or a fine of $12 000.</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A person who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repairs on behalf of another;</w:t>
      </w:r>
    </w:p>
    <w:p>
      <w:pPr>
        <w:pStyle w:val="Indenta"/>
        <w:rPr>
          <w:snapToGrid w:val="0"/>
        </w:rPr>
      </w:pPr>
      <w:r>
        <w:rPr>
          <w:snapToGrid w:val="0"/>
        </w:rPr>
        <w:tab/>
        <w:t>(c)</w:t>
      </w:r>
      <w:r>
        <w:rPr>
          <w:snapToGrid w:val="0"/>
        </w:rPr>
        <w:tab/>
        <w:t>manufactures,</w:t>
      </w:r>
    </w:p>
    <w:p>
      <w:pPr>
        <w:pStyle w:val="Subsection"/>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 </w:t>
      </w:r>
    </w:p>
    <w:p>
      <w:pPr>
        <w:pStyle w:val="Indenta"/>
      </w:pPr>
      <w:r>
        <w:tab/>
        <w:t>(a)</w:t>
      </w:r>
      <w:r>
        <w:tab/>
        <w:t>in the case of the manufacture of a handgun, to imprisonment for 14 years;</w:t>
      </w:r>
    </w:p>
    <w:p>
      <w:pPr>
        <w:pStyle w:val="Indenta"/>
        <w:rPr>
          <w:snapToGrid w:val="0"/>
        </w:rPr>
      </w:pPr>
      <w:r>
        <w:tab/>
        <w:t>(b)</w:t>
      </w:r>
      <w:r>
        <w:tab/>
        <w:t>in any other case, to imprisonment for 5 years.</w:t>
      </w:r>
    </w:p>
    <w:p>
      <w:pPr>
        <w:pStyle w:val="Penstart"/>
      </w:pPr>
      <w:r>
        <w:tab/>
        <w:t>Summary conviction penalty except in the case of the manufacture of a handgun: Imprisonment for 2 years or a fine of $8 000.</w:t>
      </w:r>
    </w:p>
    <w:p>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pPr>
        <w:pStyle w:val="Penstart"/>
        <w:rPr>
          <w:snapToGrid w:val="0"/>
        </w:rPr>
      </w:pPr>
      <w:r>
        <w:rPr>
          <w:snapToGrid w:val="0"/>
        </w:rPr>
        <w:tab/>
        <w:t>Penalty: $2 000.</w:t>
      </w:r>
    </w:p>
    <w:p>
      <w:pPr>
        <w:pStyle w:val="Footnotesection"/>
      </w:pPr>
      <w:r>
        <w:tab/>
        <w:t xml:space="preserve">[Section 19 amended by No. 54 of 1978 s. 2; No. 70 of 1987 s. 6; No. 59 of 1996 s. 19, 47 and 50(1); No. 50 of 2003 s. 62(2); No. 4 of 2004 s.  58; No. 69 of 2004 s. 18 and 31.] </w:t>
      </w:r>
    </w:p>
    <w:p>
      <w:pPr>
        <w:pStyle w:val="Heading5"/>
      </w:pPr>
      <w:bookmarkStart w:id="134" w:name="_Toc108854219"/>
      <w:bookmarkStart w:id="135" w:name="_Toc177813700"/>
      <w:bookmarkStart w:id="136" w:name="_Toc171068083"/>
      <w:bookmarkStart w:id="137" w:name="_Toc411064795"/>
      <w:bookmarkStart w:id="138" w:name="_Toc51574257"/>
      <w:r>
        <w:rPr>
          <w:rStyle w:val="CharSectno"/>
        </w:rPr>
        <w:t>19AA</w:t>
      </w:r>
      <w:r>
        <w:t>.</w:t>
      </w:r>
      <w:r>
        <w:tab/>
        <w:t>Certain offences of lesser severity</w:t>
      </w:r>
      <w:bookmarkEnd w:id="134"/>
      <w:bookmarkEnd w:id="135"/>
      <w:bookmarkEnd w:id="136"/>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an indictable offence but is triable summarily and is punishable by a fine of $2 000 instead of the penalty that would otherwise apply for the offence.</w:t>
      </w:r>
    </w:p>
    <w:p>
      <w:pPr>
        <w:pStyle w:val="Subsection"/>
      </w:pPr>
      <w:r>
        <w:tab/>
        <w:t>(2)</w:t>
      </w:r>
      <w:r>
        <w:tab/>
        <w:t>If a person commits an offence under section 19(1) and the only firearm or ammunition concerned is, or is for, a prescribed paintball gun, that offence is not an indictable offence but is triable summarily and is punishable by a fine of $2 000 instead of the penalty that would otherwise apply for the offence.</w:t>
      </w:r>
    </w:p>
    <w:p>
      <w:pPr>
        <w:pStyle w:val="Footnotesection"/>
      </w:pPr>
      <w:r>
        <w:tab/>
        <w:t>[Section 19AA inserted by No. 69 of 2004 s. 19.]</w:t>
      </w:r>
    </w:p>
    <w:p>
      <w:pPr>
        <w:pStyle w:val="Heading5"/>
        <w:rPr>
          <w:snapToGrid w:val="0"/>
        </w:rPr>
      </w:pPr>
      <w:bookmarkStart w:id="139" w:name="_Toc108854220"/>
      <w:bookmarkStart w:id="140" w:name="_Toc177813701"/>
      <w:bookmarkStart w:id="141" w:name="_Toc171068084"/>
      <w:r>
        <w:rPr>
          <w:rStyle w:val="CharSectno"/>
        </w:rPr>
        <w:t>19A</w:t>
      </w:r>
      <w:r>
        <w:rPr>
          <w:snapToGrid w:val="0"/>
        </w:rPr>
        <w:t>.</w:t>
      </w:r>
      <w:r>
        <w:rPr>
          <w:snapToGrid w:val="0"/>
        </w:rPr>
        <w:tab/>
        <w:t>Infringement notice</w:t>
      </w:r>
      <w:bookmarkEnd w:id="137"/>
      <w:bookmarkEnd w:id="138"/>
      <w:bookmarkEnd w:id="139"/>
      <w:bookmarkEnd w:id="140"/>
      <w:bookmarkEnd w:id="141"/>
      <w:r>
        <w:rPr>
          <w:snapToGrid w:val="0"/>
        </w:rPr>
        <w:t xml:space="preserve"> </w:t>
      </w:r>
    </w:p>
    <w:p>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w:t>
      </w:r>
    </w:p>
    <w:p>
      <w:pPr>
        <w:pStyle w:val="Indenta"/>
        <w:rPr>
          <w:snapToGrid w:val="0"/>
        </w:rPr>
      </w:pPr>
      <w:r>
        <w:rPr>
          <w:snapToGrid w:val="0"/>
        </w:rPr>
        <w:tab/>
        <w:t>(b)</w:t>
      </w:r>
      <w:r>
        <w:rPr>
          <w:snapToGrid w:val="0"/>
        </w:rPr>
        <w:tab/>
        <w:t>has been served with a notice referred to in subsection (2); and</w:t>
      </w:r>
    </w:p>
    <w:p>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pPr>
      <w:r>
        <w:tab/>
        <w:t xml:space="preserve">[Section 19A inserted by No. 61 of 1976 s. 4; amended by No. 35 of 1980 s. 4; No. 59 of 1996 s. 20; No. 84 of 2004 s. 80.] </w:t>
      </w:r>
    </w:p>
    <w:p>
      <w:pPr>
        <w:pStyle w:val="Heading5"/>
        <w:rPr>
          <w:snapToGrid w:val="0"/>
        </w:rPr>
      </w:pPr>
      <w:bookmarkStart w:id="142" w:name="_Toc411064796"/>
      <w:bookmarkStart w:id="143" w:name="_Toc51574258"/>
      <w:bookmarkStart w:id="144" w:name="_Toc108854221"/>
      <w:bookmarkStart w:id="145" w:name="_Toc177813702"/>
      <w:bookmarkStart w:id="146" w:name="_Toc171068085"/>
      <w:r>
        <w:rPr>
          <w:rStyle w:val="CharSectno"/>
        </w:rPr>
        <w:t>20</w:t>
      </w:r>
      <w:r>
        <w:rPr>
          <w:snapToGrid w:val="0"/>
        </w:rPr>
        <w:t>.</w:t>
      </w:r>
      <w:r>
        <w:rPr>
          <w:snapToGrid w:val="0"/>
        </w:rPr>
        <w:tab/>
        <w:t>Revocation, etc.</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Where the Commissioner is satisfied — </w:t>
      </w:r>
    </w:p>
    <w:p>
      <w:pPr>
        <w:pStyle w:val="Indenta"/>
        <w:rPr>
          <w:snapToGrid w:val="0"/>
        </w:rPr>
      </w:pPr>
      <w:r>
        <w:rPr>
          <w:snapToGrid w:val="0"/>
        </w:rPr>
        <w:tab/>
        <w:t>(a)</w:t>
      </w:r>
      <w:r>
        <w:rPr>
          <w:snapToGrid w:val="0"/>
        </w:rPr>
        <w:tab/>
        <w:t>that a person who is the holder of a licence, permit or approval under this Act — </w:t>
      </w:r>
    </w:p>
    <w:p>
      <w:pPr>
        <w:pStyle w:val="Indenti"/>
        <w:rPr>
          <w:snapToGrid w:val="0"/>
        </w:rPr>
      </w:pPr>
      <w:r>
        <w:rPr>
          <w:snapToGrid w:val="0"/>
        </w:rPr>
        <w:tab/>
        <w:t>(i)</w:t>
      </w:r>
      <w:r>
        <w:rPr>
          <w:snapToGrid w:val="0"/>
        </w:rPr>
        <w:tab/>
        <w:t>obtained it by fraud or deception;</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t>(aa)</w:t>
      </w:r>
      <w:r>
        <w:rPr>
          <w:snapToGrid w:val="0"/>
        </w:rPr>
        <w:tab/>
        <w:t>that harm may be suffered by any person as a result of a person retaining or regaining possession of a firearm or ammunition;</w:t>
      </w:r>
    </w:p>
    <w:p>
      <w:pPr>
        <w:pStyle w:val="Indenta"/>
        <w:rPr>
          <w:snapToGrid w:val="0"/>
        </w:rPr>
      </w:pPr>
      <w:r>
        <w:rPr>
          <w:snapToGrid w:val="0"/>
        </w:rPr>
        <w:tab/>
        <w:t>(ab)</w:t>
      </w:r>
      <w:r>
        <w:rPr>
          <w:snapToGrid w:val="0"/>
        </w:rPr>
        <w:tab/>
        <w:t>that a licence or permit was issued, or an approval was given, incorrectly because of an administrative or procedural error;</w:t>
      </w:r>
    </w:p>
    <w:p>
      <w:pPr>
        <w:pStyle w:val="Indenta"/>
        <w:rPr>
          <w:snapToGrid w:val="0"/>
        </w:rPr>
      </w:pPr>
      <w:r>
        <w:rPr>
          <w:snapToGrid w:val="0"/>
        </w:rPr>
        <w:tab/>
        <w:t>(ac)</w:t>
      </w:r>
      <w:r>
        <w:rPr>
          <w:snapToGrid w:val="0"/>
        </w:rPr>
        <w:tab/>
        <w:t>that to do so is in the public interest;</w:t>
      </w:r>
    </w:p>
    <w:p>
      <w:pPr>
        <w:pStyle w:val="Indenta"/>
        <w:rPr>
          <w:snapToGrid w:val="0"/>
        </w:rPr>
      </w:pPr>
      <w:r>
        <w:rPr>
          <w:snapToGrid w:val="0"/>
        </w:rPr>
        <w:tab/>
        <w:t>(ad)</w:t>
      </w:r>
      <w:r>
        <w:rPr>
          <w:snapToGrid w:val="0"/>
        </w:rPr>
        <w:tab/>
        <w:t>that a person holding or applying for the renewal of a licence, permit or approval has —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t>(b)</w:t>
      </w:r>
      <w:r>
        <w:rPr>
          <w:snapToGrid w:val="0"/>
        </w:rPr>
        <w:tab/>
        <w:t>that a particular firearm is unsafe or unfit for use;</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rPr>
          <w:snapToGrid w:val="0"/>
        </w:rPr>
      </w:pPr>
      <w:r>
        <w:rPr>
          <w:snapToGrid w:val="0"/>
        </w:rPr>
        <w:tab/>
        <w:t>(d)</w:t>
      </w:r>
      <w:r>
        <w:rPr>
          <w:snapToGrid w:val="0"/>
        </w:rPr>
        <w:tab/>
        <w:t>that the circumstances in which his approval under this Act was given in relation to any person or matter no longer prevail,</w:t>
      </w:r>
    </w:p>
    <w:p>
      <w:pPr>
        <w:pStyle w:val="Subsection"/>
        <w:spacing w:before="120"/>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pPr>
        <w:pStyle w:val="Subsection"/>
        <w:spacing w:before="120"/>
        <w:rPr>
          <w:snapToGrid w:val="0"/>
        </w:rPr>
      </w:pPr>
      <w:r>
        <w:rPr>
          <w:snapToGrid w:val="0"/>
        </w:rPr>
        <w:tab/>
        <w:t>(1a)</w:t>
      </w:r>
      <w:r>
        <w:rPr>
          <w:snapToGrid w:val="0"/>
        </w:rPr>
        <w:tab/>
        <w:t>Where the Commissioner, in writing, requests a person who is the holder of any licence, permit, or approval to —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spacing w:before="120"/>
        <w:rPr>
          <w:snapToGrid w:val="0"/>
        </w:rPr>
      </w:pPr>
      <w:r>
        <w:rPr>
          <w:snapToGrid w:val="0"/>
        </w:rPr>
        <w:tab/>
        <w:t>(2)</w:t>
      </w:r>
      <w:r>
        <w:rPr>
          <w:snapToGrid w:val="0"/>
        </w:rPr>
        <w:tab/>
        <w:t>A restriction, limitation or condition imposed under this Act may be varied from time to time.</w:t>
      </w:r>
    </w:p>
    <w:p>
      <w:pPr>
        <w:pStyle w:val="Subsection"/>
        <w:spacing w:before="120"/>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spacing w:before="120"/>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 xml:space="preserve">[Section 20 amended by No. 90 of 1994 s. 4; No. 59 of 1996 s. 21.] </w:t>
      </w:r>
    </w:p>
    <w:p>
      <w:pPr>
        <w:pStyle w:val="Heading5"/>
        <w:spacing w:before="180"/>
        <w:rPr>
          <w:snapToGrid w:val="0"/>
        </w:rPr>
      </w:pPr>
      <w:bookmarkStart w:id="147" w:name="_Toc411064797"/>
      <w:bookmarkStart w:id="148" w:name="_Toc51574259"/>
      <w:bookmarkStart w:id="149" w:name="_Toc108854222"/>
      <w:bookmarkStart w:id="150" w:name="_Toc177813703"/>
      <w:bookmarkStart w:id="151" w:name="_Toc171068086"/>
      <w:r>
        <w:rPr>
          <w:rStyle w:val="CharSectno"/>
        </w:rPr>
        <w:t>21</w:t>
      </w:r>
      <w:r>
        <w:rPr>
          <w:snapToGrid w:val="0"/>
        </w:rPr>
        <w:t>.</w:t>
      </w:r>
      <w:r>
        <w:rPr>
          <w:snapToGrid w:val="0"/>
        </w:rPr>
        <w:tab/>
        <w:t>Restrictions, limitations and conditions</w:t>
      </w:r>
      <w:bookmarkEnd w:id="147"/>
      <w:bookmarkEnd w:id="148"/>
      <w:bookmarkEnd w:id="149"/>
      <w:bookmarkEnd w:id="150"/>
      <w:bookmarkEnd w:id="151"/>
      <w:r>
        <w:rPr>
          <w:snapToGrid w:val="0"/>
        </w:rPr>
        <w:t xml:space="preserve"> </w:t>
      </w:r>
    </w:p>
    <w:p>
      <w:pPr>
        <w:pStyle w:val="Subsection"/>
        <w:spacing w:before="120"/>
        <w:rPr>
          <w:snapToGrid w:val="0"/>
        </w:rPr>
      </w:pPr>
      <w:r>
        <w:rPr>
          <w:snapToGrid w:val="0"/>
        </w:rPr>
        <w:tab/>
        <w:t>(1)</w:t>
      </w:r>
      <w:r>
        <w:rPr>
          <w:snapToGrid w:val="0"/>
        </w:rPr>
        <w:tab/>
        <w:t>A licence, permit or approval issued or granted under this Act may be made subject to restrictions, limitations or conditions which shall be —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rPr>
          <w:snapToGrid w:val="0"/>
        </w:rPr>
      </w:pPr>
      <w:r>
        <w:rPr>
          <w:snapToGrid w:val="0"/>
        </w:rPr>
        <w:tab/>
        <w:t>Penalty: Imprisonment for</w:t>
      </w:r>
      <w:r>
        <w:t xml:space="preserve"> 18 months or a fine of $6 000.</w:t>
      </w:r>
    </w:p>
    <w:p>
      <w:pPr>
        <w:pStyle w:val="Footnotesection"/>
      </w:pPr>
      <w:r>
        <w:tab/>
        <w:t xml:space="preserve">[Section 21 amended by No. 70 of 1987 s. 7; No. 59 of 1996 s. 22 and 50(3); No. 69 of 2004 s. 20.] </w:t>
      </w:r>
    </w:p>
    <w:p>
      <w:pPr>
        <w:pStyle w:val="Heading5"/>
        <w:spacing w:before="180"/>
        <w:rPr>
          <w:snapToGrid w:val="0"/>
        </w:rPr>
      </w:pPr>
      <w:bookmarkStart w:id="152" w:name="_Toc411064798"/>
      <w:bookmarkStart w:id="153" w:name="_Toc51574260"/>
      <w:bookmarkStart w:id="154" w:name="_Toc108854223"/>
      <w:bookmarkStart w:id="155" w:name="_Toc177813704"/>
      <w:bookmarkStart w:id="156" w:name="_Toc171068087"/>
      <w:r>
        <w:rPr>
          <w:rStyle w:val="CharSectno"/>
        </w:rPr>
        <w:t>21A</w:t>
      </w:r>
      <w:r>
        <w:rPr>
          <w:snapToGrid w:val="0"/>
        </w:rPr>
        <w:t>.</w:t>
      </w:r>
      <w:r>
        <w:rPr>
          <w:snapToGrid w:val="0"/>
        </w:rPr>
        <w:tab/>
        <w:t>Supervision and management</w:t>
      </w:r>
      <w:bookmarkEnd w:id="152"/>
      <w:bookmarkEnd w:id="153"/>
      <w:bookmarkEnd w:id="154"/>
      <w:bookmarkEnd w:id="155"/>
      <w:bookmarkEnd w:id="156"/>
      <w:r>
        <w:rPr>
          <w:snapToGrid w:val="0"/>
        </w:rPr>
        <w:t xml:space="preserve"> </w:t>
      </w:r>
    </w:p>
    <w:p>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rPr>
          <w:snapToGrid w:val="0"/>
        </w:rPr>
      </w:pPr>
      <w:r>
        <w:rPr>
          <w:snapToGrid w:val="0"/>
        </w:rPr>
        <w:tab/>
        <w:t>(2)</w:t>
      </w:r>
      <w:r>
        <w:rPr>
          <w:snapToGrid w:val="0"/>
        </w:rPr>
        <w:tab/>
        <w:t>Where in respect of a business of a kind to which subsection (1) applies — </w:t>
      </w:r>
    </w:p>
    <w:p>
      <w:pPr>
        <w:pStyle w:val="Indenta"/>
        <w:rPr>
          <w:snapToGrid w:val="0"/>
        </w:rPr>
      </w:pPr>
      <w:r>
        <w:rPr>
          <w:snapToGrid w:val="0"/>
        </w:rPr>
        <w:tab/>
        <w:t>(a)</w:t>
      </w:r>
      <w:r>
        <w:rPr>
          <w:snapToGrid w:val="0"/>
        </w:rPr>
        <w:tab/>
        <w:t>a requirement is made of the holder of the licence under which that business is conducted;</w:t>
      </w:r>
    </w:p>
    <w:p>
      <w:pPr>
        <w:pStyle w:val="Indenta"/>
        <w:rPr>
          <w:snapToGrid w:val="0"/>
        </w:rPr>
      </w:pPr>
      <w:r>
        <w:rPr>
          <w:snapToGrid w:val="0"/>
        </w:rPr>
        <w:tab/>
        <w:t>(b)</w:t>
      </w:r>
      <w:r>
        <w:rPr>
          <w:snapToGrid w:val="0"/>
        </w:rPr>
        <w:tab/>
        <w:t>a restriction, limitation or condition applies to that licence; or</w:t>
      </w:r>
    </w:p>
    <w:p>
      <w:pPr>
        <w:pStyle w:val="Indenta"/>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 </w:t>
      </w:r>
    </w:p>
    <w:p>
      <w:pPr>
        <w:pStyle w:val="Indenta"/>
        <w:rPr>
          <w:snapToGrid w:val="0"/>
        </w:rPr>
      </w:pPr>
      <w:r>
        <w:rPr>
          <w:snapToGrid w:val="0"/>
        </w:rPr>
        <w:tab/>
        <w:t>(a)</w:t>
      </w:r>
      <w:r>
        <w:rPr>
          <w:snapToGrid w:val="0"/>
        </w:rPr>
        <w:tab/>
        <w:t>any agent or employee of the holder; or</w:t>
      </w:r>
    </w:p>
    <w:p>
      <w:pPr>
        <w:pStyle w:val="Indenta"/>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 xml:space="preserve">[Section 21A inserted by No. 59 of 1996 s. 23; amended by No. 84 of 2004 s. 80.] </w:t>
      </w:r>
    </w:p>
    <w:p>
      <w:pPr>
        <w:pStyle w:val="Heading5"/>
        <w:rPr>
          <w:snapToGrid w:val="0"/>
        </w:rPr>
      </w:pPr>
      <w:bookmarkStart w:id="157" w:name="_Toc411064799"/>
      <w:bookmarkStart w:id="158" w:name="_Toc51574261"/>
      <w:bookmarkStart w:id="159" w:name="_Toc108854224"/>
      <w:bookmarkStart w:id="160" w:name="_Toc177813705"/>
      <w:bookmarkStart w:id="161" w:name="_Toc171068088"/>
      <w:r>
        <w:rPr>
          <w:rStyle w:val="CharSectno"/>
        </w:rPr>
        <w:t>21B</w:t>
      </w:r>
      <w:r>
        <w:rPr>
          <w:snapToGrid w:val="0"/>
        </w:rPr>
        <w:t>.</w:t>
      </w:r>
      <w:r>
        <w:rPr>
          <w:snapToGrid w:val="0"/>
        </w:rPr>
        <w:tab/>
        <w:t>Offences by bodies corporate and partnerships</w:t>
      </w:r>
      <w:bookmarkEnd w:id="157"/>
      <w:bookmarkEnd w:id="158"/>
      <w:bookmarkEnd w:id="159"/>
      <w:bookmarkEnd w:id="160"/>
      <w:bookmarkEnd w:id="161"/>
      <w:r>
        <w:rPr>
          <w:snapToGrid w:val="0"/>
        </w:rPr>
        <w:t xml:space="preserve"> </w:t>
      </w:r>
    </w:p>
    <w:p>
      <w:pPr>
        <w:pStyle w:val="Subsection"/>
        <w:spacing w:before="120"/>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rPr>
          <w:snapToGrid w:val="0"/>
        </w:rPr>
      </w:pPr>
      <w:r>
        <w:rPr>
          <w:snapToGrid w:val="0"/>
        </w:rPr>
        <w:tab/>
        <w:t>(b)</w:t>
      </w:r>
      <w:r>
        <w:rPr>
          <w:snapToGrid w:val="0"/>
        </w:rPr>
        <w:tab/>
        <w:t>where the offence was committed by an agent or employee of the body corporate, 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spacing w:before="120"/>
        <w:rPr>
          <w:snapToGrid w:val="0"/>
        </w:rPr>
      </w:pPr>
      <w:r>
        <w:rPr>
          <w:snapToGrid w:val="0"/>
        </w:rPr>
        <w:tab/>
      </w:r>
      <w:r>
        <w:rPr>
          <w:snapToGrid w:val="0"/>
        </w:rPr>
        <w:tab/>
        <w:t>and each is liable to the same penalty as is prescribed for the principal offence.</w:t>
      </w:r>
    </w:p>
    <w:p>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spacing w:before="120"/>
        <w:rPr>
          <w:snapToGrid w:val="0"/>
        </w:rPr>
      </w:pPr>
      <w:r>
        <w:rPr>
          <w:snapToGrid w:val="0"/>
        </w:rPr>
        <w:tab/>
        <w:t>(3)</w:t>
      </w:r>
      <w:r>
        <w:rPr>
          <w:snapToGrid w:val="0"/>
        </w:rPr>
        <w:tab/>
        <w:t>In this section — </w:t>
      </w:r>
    </w:p>
    <w:p>
      <w:pPr>
        <w:pStyle w:val="Defstart"/>
      </w:pPr>
      <w:r>
        <w:rPr>
          <w:b/>
        </w:rPr>
        <w:tab/>
        <w:t>“</w:t>
      </w:r>
      <w:r>
        <w:rPr>
          <w:rStyle w:val="CharDefText"/>
        </w:rPr>
        <w:t>officer</w:t>
      </w:r>
      <w:r>
        <w:rPr>
          <w:b/>
        </w:rPr>
        <w:t>”</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spacing w:before="120"/>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spacing w:before="120"/>
        <w:rPr>
          <w:snapToGrid w:val="0"/>
        </w:rPr>
      </w:pPr>
      <w:r>
        <w:rPr>
          <w:snapToGrid w:val="0"/>
        </w:rPr>
        <w:tab/>
        <w:t>(5)</w:t>
      </w:r>
      <w:r>
        <w:rPr>
          <w:snapToGrid w:val="0"/>
        </w:rPr>
        <w:tab/>
        <w:t>Where this Act provides that the holder of a licence, permit or approval commits an offence in specified circumstances —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 xml:space="preserve">[Section 21B inserted by No. 59 of 1996 s. 23; amended by No. 10 of 2001 s. 220; No. 84 of 2004 s. 80.] </w:t>
      </w:r>
    </w:p>
    <w:p>
      <w:pPr>
        <w:pStyle w:val="Heading5"/>
        <w:spacing w:before="180"/>
        <w:rPr>
          <w:snapToGrid w:val="0"/>
        </w:rPr>
      </w:pPr>
      <w:bookmarkStart w:id="162" w:name="_Toc108854225"/>
      <w:bookmarkStart w:id="163" w:name="_Toc177813706"/>
      <w:bookmarkStart w:id="164" w:name="_Toc171068089"/>
      <w:r>
        <w:rPr>
          <w:rStyle w:val="CharSectno"/>
        </w:rPr>
        <w:t>22</w:t>
      </w:r>
      <w:r>
        <w:rPr>
          <w:snapToGrid w:val="0"/>
        </w:rPr>
        <w:t>.</w:t>
      </w:r>
      <w:r>
        <w:rPr>
          <w:snapToGrid w:val="0"/>
        </w:rPr>
        <w:tab/>
        <w:t>Reviews</w:t>
      </w:r>
      <w:bookmarkEnd w:id="162"/>
      <w:bookmarkEnd w:id="163"/>
      <w:bookmarkEnd w:id="164"/>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decision</w:t>
      </w:r>
      <w:r>
        <w:rPr>
          <w:b/>
        </w:rPr>
        <w:t>”</w:t>
      </w:r>
      <w:r>
        <w:t xml:space="preserve"> includes a restriction, limitation or condition imposed under this Act.</w:t>
      </w:r>
    </w:p>
    <w:p>
      <w:pPr>
        <w:pStyle w:val="Subsection"/>
        <w:spacing w:before="120"/>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Footnotesection"/>
      </w:pPr>
      <w:r>
        <w:tab/>
        <w:t xml:space="preserve">[Section 22 inserted by No. 59 of 1996 s. 24; amended by No. 55 of 2004 s. 369.] </w:t>
      </w:r>
    </w:p>
    <w:p>
      <w:pPr>
        <w:pStyle w:val="Ednotesection"/>
      </w:pPr>
      <w:bookmarkStart w:id="165" w:name="_Toc411064801"/>
      <w:bookmarkStart w:id="166" w:name="_Toc51574263"/>
      <w:r>
        <w:t>[</w:t>
      </w:r>
      <w:r>
        <w:rPr>
          <w:b/>
        </w:rPr>
        <w:t>22AA.</w:t>
      </w:r>
      <w:r>
        <w:tab/>
        <w:t xml:space="preserve">Repealed by No. 69 of 2004 s. 21(2).] </w:t>
      </w:r>
    </w:p>
    <w:p>
      <w:pPr>
        <w:pStyle w:val="Heading5"/>
        <w:rPr>
          <w:snapToGrid w:val="0"/>
        </w:rPr>
      </w:pPr>
      <w:bookmarkStart w:id="167" w:name="_Toc108854226"/>
      <w:bookmarkStart w:id="168" w:name="_Toc177813707"/>
      <w:bookmarkStart w:id="169" w:name="_Toc171068090"/>
      <w:r>
        <w:rPr>
          <w:rStyle w:val="CharSectno"/>
        </w:rPr>
        <w:t>22A</w:t>
      </w:r>
      <w:r>
        <w:rPr>
          <w:snapToGrid w:val="0"/>
        </w:rPr>
        <w:t>.</w:t>
      </w:r>
      <w:r>
        <w:rPr>
          <w:snapToGrid w:val="0"/>
        </w:rPr>
        <w:tab/>
        <w:t>Firearms Act Extract of Licence</w:t>
      </w:r>
      <w:bookmarkEnd w:id="165"/>
      <w:bookmarkEnd w:id="166"/>
      <w:bookmarkEnd w:id="167"/>
      <w:bookmarkEnd w:id="168"/>
      <w:bookmarkEnd w:id="169"/>
      <w:r>
        <w:rPr>
          <w:snapToGrid w:val="0"/>
        </w:rPr>
        <w:t xml:space="preserve"> </w:t>
      </w:r>
    </w:p>
    <w:p>
      <w:pPr>
        <w:pStyle w:val="Subsection"/>
        <w:spacing w:before="120"/>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 </w:t>
      </w:r>
    </w:p>
    <w:p>
      <w:pPr>
        <w:pStyle w:val="Indenta"/>
        <w:rPr>
          <w:snapToGrid w:val="0"/>
        </w:rPr>
      </w:pPr>
      <w:r>
        <w:rPr>
          <w:snapToGrid w:val="0"/>
        </w:rPr>
        <w:tab/>
        <w:t>(a)</w:t>
      </w:r>
      <w:r>
        <w:rPr>
          <w:snapToGrid w:val="0"/>
        </w:rPr>
        <w:tab/>
        <w:t>is exempted by section 8 from the requirement to hold a licence under this Act;</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pPr>
        <w:pStyle w:val="Subsection"/>
        <w:spacing w:before="120"/>
        <w:rPr>
          <w:snapToGrid w:val="0"/>
        </w:rPr>
      </w:pPr>
      <w:r>
        <w:rPr>
          <w:snapToGrid w:val="0"/>
        </w:rPr>
        <w:tab/>
      </w:r>
      <w:r>
        <w:rPr>
          <w:snapToGrid w:val="0"/>
        </w:rPr>
        <w:tab/>
        <w:t>setting out particulars of the exemption or of the licence, permit, approval or authorisation held by that person.</w:t>
      </w:r>
    </w:p>
    <w:p>
      <w:pPr>
        <w:pStyle w:val="Subsection"/>
        <w:spacing w:before="120"/>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spacing w:before="120"/>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spacing w:before="120"/>
        <w:rPr>
          <w:snapToGrid w:val="0"/>
        </w:rPr>
      </w:pPr>
      <w:r>
        <w:rPr>
          <w:snapToGrid w:val="0"/>
        </w:rPr>
        <w:tab/>
        <w:t>(6)</w:t>
      </w:r>
      <w:r>
        <w:rPr>
          <w:snapToGrid w:val="0"/>
        </w:rPr>
        <w:tab/>
        <w:t>Regulations made under section 34 may — </w:t>
      </w:r>
    </w:p>
    <w:p>
      <w:pPr>
        <w:pStyle w:val="Indenta"/>
        <w:spacing w:before="60"/>
        <w:rPr>
          <w:snapToGrid w:val="0"/>
        </w:rPr>
      </w:pPr>
      <w:r>
        <w:rPr>
          <w:snapToGrid w:val="0"/>
        </w:rPr>
        <w:tab/>
        <w:t>(a)</w:t>
      </w:r>
      <w:r>
        <w:rPr>
          <w:snapToGrid w:val="0"/>
        </w:rPr>
        <w:tab/>
        <w:t xml:space="preserve">require that a photograph of the face of the holder be included on the Extract of Licence, and provide for the manner in which that photograph is to be supplied; </w:t>
      </w:r>
    </w:p>
    <w:p>
      <w:pPr>
        <w:pStyle w:val="Indenta"/>
        <w:spacing w:before="60"/>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w:t>
      </w:r>
    </w:p>
    <w:p>
      <w:pPr>
        <w:pStyle w:val="Indenta"/>
        <w:spacing w:before="60"/>
        <w:rPr>
          <w:snapToGrid w:val="0"/>
        </w:rPr>
      </w:pPr>
      <w:r>
        <w:rPr>
          <w:snapToGrid w:val="0"/>
        </w:rPr>
        <w:tab/>
        <w:t>(c)</w:t>
      </w:r>
      <w:r>
        <w:rPr>
          <w:snapToGrid w:val="0"/>
        </w:rPr>
        <w:tab/>
        <w:t>provide for the use, and for the issue, expiry, renewal, return and cancellation, of Extracts of Licence; and</w:t>
      </w:r>
    </w:p>
    <w:p>
      <w:pPr>
        <w:pStyle w:val="Indenta"/>
        <w:spacing w:before="60"/>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 xml:space="preserve">[Section 22A inserted by No. 59 of 1996 s. 41.] </w:t>
      </w:r>
    </w:p>
    <w:p>
      <w:pPr>
        <w:pStyle w:val="Heading5"/>
        <w:rPr>
          <w:snapToGrid w:val="0"/>
        </w:rPr>
      </w:pPr>
      <w:bookmarkStart w:id="170" w:name="_Toc411064802"/>
      <w:bookmarkStart w:id="171" w:name="_Toc51574264"/>
      <w:bookmarkStart w:id="172" w:name="_Toc108854227"/>
      <w:bookmarkStart w:id="173" w:name="_Toc177813708"/>
      <w:bookmarkStart w:id="174" w:name="_Toc171068091"/>
      <w:r>
        <w:rPr>
          <w:rStyle w:val="CharSectno"/>
        </w:rPr>
        <w:t>22B</w:t>
      </w:r>
      <w:r>
        <w:rPr>
          <w:snapToGrid w:val="0"/>
        </w:rPr>
        <w:t>.</w:t>
      </w:r>
      <w:r>
        <w:rPr>
          <w:snapToGrid w:val="0"/>
        </w:rPr>
        <w:tab/>
        <w:t>Return of Extract of Licence</w:t>
      </w:r>
      <w:bookmarkEnd w:id="170"/>
      <w:bookmarkEnd w:id="171"/>
      <w:bookmarkEnd w:id="172"/>
      <w:bookmarkEnd w:id="173"/>
      <w:bookmarkEnd w:id="174"/>
      <w:r>
        <w:rPr>
          <w:snapToGrid w:val="0"/>
        </w:rPr>
        <w:t xml:space="preserve"> </w:t>
      </w:r>
    </w:p>
    <w:p>
      <w:pPr>
        <w:pStyle w:val="Subsection"/>
        <w:spacing w:before="120"/>
        <w:rPr>
          <w:snapToGrid w:val="0"/>
        </w:rPr>
      </w:pPr>
      <w:r>
        <w:rPr>
          <w:snapToGrid w:val="0"/>
        </w:rPr>
        <w:tab/>
      </w:r>
      <w:r>
        <w:rPr>
          <w:snapToGrid w:val="0"/>
        </w:rPr>
        <w:tab/>
        <w:t>A person who was — </w:t>
      </w:r>
    </w:p>
    <w:p>
      <w:pPr>
        <w:pStyle w:val="Indenta"/>
        <w:spacing w:before="60"/>
        <w:rPr>
          <w:snapToGrid w:val="0"/>
        </w:rPr>
      </w:pPr>
      <w:r>
        <w:rPr>
          <w:snapToGrid w:val="0"/>
        </w:rPr>
        <w:tab/>
        <w:t>(a)</w:t>
      </w:r>
      <w:r>
        <w:rPr>
          <w:snapToGrid w:val="0"/>
        </w:rPr>
        <w:tab/>
        <w:t>the subject of an exemption under section 8 that has ceased to apply;</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pPr>
        <w:pStyle w:val="Subsection"/>
        <w:spacing w:before="120"/>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$1 000.</w:t>
      </w:r>
    </w:p>
    <w:p>
      <w:pPr>
        <w:pStyle w:val="Footnotesection"/>
        <w:ind w:left="890" w:hanging="890"/>
      </w:pPr>
      <w:r>
        <w:tab/>
        <w:t xml:space="preserve">[Section 22B inserted by No. 59 of 1996 s. 41.] </w:t>
      </w:r>
    </w:p>
    <w:p>
      <w:pPr>
        <w:pStyle w:val="Heading5"/>
        <w:rPr>
          <w:snapToGrid w:val="0"/>
        </w:rPr>
      </w:pPr>
      <w:bookmarkStart w:id="175" w:name="_Toc411064803"/>
      <w:bookmarkStart w:id="176" w:name="_Toc51574265"/>
      <w:bookmarkStart w:id="177" w:name="_Toc108854228"/>
      <w:bookmarkStart w:id="178" w:name="_Toc177813709"/>
      <w:bookmarkStart w:id="179" w:name="_Toc171068092"/>
      <w:r>
        <w:rPr>
          <w:rStyle w:val="CharSectno"/>
        </w:rPr>
        <w:t>22C</w:t>
      </w:r>
      <w:r>
        <w:rPr>
          <w:snapToGrid w:val="0"/>
        </w:rPr>
        <w:t>.</w:t>
      </w:r>
      <w:r>
        <w:rPr>
          <w:snapToGrid w:val="0"/>
        </w:rPr>
        <w:tab/>
        <w:t>Offences relating to the Extract of Licence, licences, permits, etc.</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Any person who, without lawful authority — </w:t>
      </w:r>
    </w:p>
    <w:p>
      <w:pPr>
        <w:pStyle w:val="Indenta"/>
        <w:rPr>
          <w:snapToGrid w:val="0"/>
        </w:rPr>
      </w:pPr>
      <w:r>
        <w:rPr>
          <w:snapToGrid w:val="0"/>
        </w:rPr>
        <w:tab/>
        <w:t>(a)</w:t>
      </w:r>
      <w:r>
        <w:rPr>
          <w:snapToGrid w:val="0"/>
        </w:rPr>
        <w:tab/>
        <w:t>alters an Extract of Licence, licence, permit, approval or authorisation to which this Act applies;</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w:t>
      </w:r>
    </w:p>
    <w:p>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w:t>
      </w:r>
    </w:p>
    <w:p>
      <w:pPr>
        <w:pStyle w:val="Indenta"/>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 xml:space="preserve">[Section 22C inserted by No. 59 of 1996 s. 41.] </w:t>
      </w:r>
    </w:p>
    <w:p>
      <w:pPr>
        <w:pStyle w:val="Heading5"/>
        <w:rPr>
          <w:snapToGrid w:val="0"/>
        </w:rPr>
      </w:pPr>
      <w:bookmarkStart w:id="180" w:name="_Toc411064804"/>
      <w:bookmarkStart w:id="181" w:name="_Toc51574266"/>
      <w:bookmarkStart w:id="182" w:name="_Toc108854229"/>
      <w:bookmarkStart w:id="183" w:name="_Toc177813710"/>
      <w:bookmarkStart w:id="184" w:name="_Toc171068093"/>
      <w:r>
        <w:rPr>
          <w:rStyle w:val="CharSectno"/>
        </w:rPr>
        <w:t>23</w:t>
      </w:r>
      <w:r>
        <w:rPr>
          <w:snapToGrid w:val="0"/>
        </w:rPr>
        <w:t>.</w:t>
      </w:r>
      <w:r>
        <w:rPr>
          <w:snapToGrid w:val="0"/>
        </w:rPr>
        <w:tab/>
        <w:t>General offences</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pPr>
        <w:pStyle w:val="Penstart"/>
        <w:rPr>
          <w:snapToGrid w:val="0"/>
        </w:rPr>
      </w:pPr>
      <w:r>
        <w:rPr>
          <w:snapToGrid w:val="0"/>
        </w:rPr>
        <w:tab/>
        <w:t>Penalty: Imprisonment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pPr>
        <w:pStyle w:val="Penpara"/>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 </w:t>
      </w:r>
    </w:p>
    <w:p>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pPr>
        <w:pStyle w:val="Indenta"/>
        <w:rPr>
          <w:snapToGrid w:val="0"/>
        </w:rPr>
      </w:pPr>
      <w:r>
        <w:rPr>
          <w:snapToGrid w:val="0"/>
        </w:rPr>
        <w:tab/>
        <w:t>(b)</w:t>
      </w:r>
      <w:r>
        <w:rPr>
          <w:snapToGrid w:val="0"/>
        </w:rPr>
        <w:tab/>
        <w:t>otherwise, to imprisonment for</w:t>
      </w:r>
      <w:r>
        <w:t xml:space="preserve"> 4 years or a fine of $16 000.</w:t>
      </w:r>
    </w:p>
    <w:p>
      <w:pPr>
        <w:pStyle w:val="Penstart"/>
      </w:pPr>
      <w:r>
        <w:tab/>
        <w:t xml:space="preserve">Summary conviction penalty: </w:t>
      </w:r>
    </w:p>
    <w:p>
      <w:pPr>
        <w:pStyle w:val="Penpara"/>
      </w:pPr>
      <w:r>
        <w:tab/>
        <w:t>(a)</w:t>
      </w:r>
      <w:r>
        <w:tab/>
        <w:t>in a case to which paragraph (a)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repealed]</w:t>
      </w:r>
    </w:p>
    <w:p>
      <w:pPr>
        <w:pStyle w:val="Subsection"/>
        <w:keepNext/>
        <w:rPr>
          <w:snapToGrid w:val="0"/>
        </w:rPr>
      </w:pPr>
      <w:r>
        <w:rPr>
          <w:snapToGrid w:val="0"/>
        </w:rPr>
        <w:tab/>
        <w:t>(5)</w:t>
      </w:r>
      <w:r>
        <w:rPr>
          <w:snapToGrid w:val="0"/>
        </w:rPr>
        <w:tab/>
        <w:t>A person who, without lawful excuse, — </w:t>
      </w:r>
    </w:p>
    <w:p>
      <w:pPr>
        <w:pStyle w:val="Indenta"/>
        <w:rPr>
          <w:snapToGrid w:val="0"/>
        </w:rPr>
      </w:pPr>
      <w:r>
        <w:rPr>
          <w:snapToGrid w:val="0"/>
        </w:rPr>
        <w:tab/>
        <w:t>(a)</w:t>
      </w:r>
      <w:r>
        <w:rPr>
          <w:snapToGrid w:val="0"/>
        </w:rPr>
        <w:tab/>
        <w:t>defaces or alters any number or identification mark on a firearm;</w:t>
      </w:r>
    </w:p>
    <w:p>
      <w:pPr>
        <w:pStyle w:val="Indenta"/>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pPr>
        <w:pStyle w:val="Indenta"/>
        <w:rPr>
          <w:snapToGrid w:val="0"/>
        </w:rPr>
      </w:pPr>
      <w:r>
        <w:rPr>
          <w:snapToGrid w:val="0"/>
        </w:rPr>
        <w:tab/>
        <w:t>(c)</w:t>
      </w:r>
      <w:r>
        <w:rPr>
          <w:snapToGrid w:val="0"/>
        </w:rPr>
        <w:tab/>
        <w:t>alters a firearm — </w:t>
      </w:r>
    </w:p>
    <w:p>
      <w:pPr>
        <w:pStyle w:val="Indenti"/>
        <w:rPr>
          <w:snapToGrid w:val="0"/>
        </w:rPr>
      </w:pPr>
      <w:r>
        <w:rPr>
          <w:snapToGrid w:val="0"/>
        </w:rPr>
        <w:tab/>
        <w:t>(i)</w:t>
      </w:r>
      <w:r>
        <w:rPr>
          <w:snapToGrid w:val="0"/>
        </w:rPr>
        <w:tab/>
        <w:t>from the design or characteristics of its original manufacture; or</w:t>
      </w:r>
    </w:p>
    <w:p>
      <w:pPr>
        <w:pStyle w:val="Indenti"/>
        <w:rPr>
          <w:snapToGrid w:val="0"/>
        </w:rPr>
      </w:pPr>
      <w:r>
        <w:rPr>
          <w:snapToGrid w:val="0"/>
        </w:rPr>
        <w:tab/>
        <w:t>(ii)</w:t>
      </w:r>
      <w:r>
        <w:rPr>
          <w:snapToGrid w:val="0"/>
        </w:rPr>
        <w:tab/>
        <w:t>so that its calibre, character or kind differs from what it was when any current licence or permit relating to it was issued,</w:t>
      </w:r>
    </w:p>
    <w:p>
      <w:pPr>
        <w:pStyle w:val="Indenta"/>
        <w:rPr>
          <w:snapToGrid w:val="0"/>
        </w:rPr>
      </w:pPr>
      <w:r>
        <w:rPr>
          <w:snapToGrid w:val="0"/>
        </w:rPr>
        <w:tab/>
      </w:r>
      <w:r>
        <w:rPr>
          <w:snapToGrid w:val="0"/>
        </w:rPr>
        <w:tab/>
        <w:t>or is in possession of a firearm that has been so altered,</w:t>
      </w:r>
    </w:p>
    <w:p>
      <w:pPr>
        <w:pStyle w:val="Subsection"/>
        <w:rPr>
          <w:snapToGrid w:val="0"/>
        </w:rPr>
      </w:pPr>
      <w:r>
        <w:rPr>
          <w:snapToGrid w:val="0"/>
        </w:rPr>
        <w:tab/>
      </w:r>
      <w:r>
        <w:rPr>
          <w:snapToGrid w:val="0"/>
        </w:rPr>
        <w:tab/>
        <w:t>commits a crime and is liable —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(e)</w:t>
      </w:r>
      <w:r>
        <w:tab/>
        <w:t>otherwise, on conviction to imprisonment for 4 years or a fine of $16 000.</w:t>
      </w:r>
    </w:p>
    <w:p>
      <w:pPr>
        <w:pStyle w:val="Penstart"/>
      </w:pPr>
      <w:r>
        <w:tab/>
        <w:t xml:space="preserve">Summary conviction penalty: </w:t>
      </w:r>
    </w:p>
    <w:p>
      <w:pPr>
        <w:pStyle w:val="Penpara"/>
      </w:pPr>
      <w:r>
        <w:tab/>
        <w:t>(a)</w:t>
      </w:r>
      <w:r>
        <w:tab/>
        <w:t>in a case to which paragraph (d) applies: Imprisonment for 3 years or a fine of $12 000;</w:t>
      </w:r>
    </w:p>
    <w:p>
      <w:pPr>
        <w:pStyle w:val="Penpara"/>
      </w:pPr>
      <w:r>
        <w:tab/>
        <w:t>(b)</w:t>
      </w:r>
      <w:r>
        <w:tab/>
        <w:t>in a case to which paragraph (e) applies: Imprisonment for 2 years or a fine of $8 000.</w:t>
      </w:r>
    </w:p>
    <w:p>
      <w:pPr>
        <w:pStyle w:val="Subsection"/>
        <w:spacing w:before="120"/>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spacing w:before="120"/>
        <w:rPr>
          <w:snapToGrid w:val="0"/>
        </w:rPr>
      </w:pPr>
      <w:r>
        <w:rPr>
          <w:snapToGrid w:val="0"/>
        </w:rPr>
        <w:tab/>
        <w:t>(6)</w:t>
      </w:r>
      <w:r>
        <w:rPr>
          <w:snapToGrid w:val="0"/>
        </w:rPr>
        <w:tab/>
        <w:t>Subject to subsection (7a), a person who uses a contrivance commonly known as a silencer, or any contrivance of a similar nature, commits an offence.</w:t>
      </w:r>
    </w:p>
    <w:p>
      <w:pPr>
        <w:pStyle w:val="Penstart"/>
        <w:rPr>
          <w:snapToGrid w:val="0"/>
        </w:rPr>
      </w:pPr>
      <w:r>
        <w:rPr>
          <w:snapToGrid w:val="0"/>
        </w:rPr>
        <w:tab/>
        <w:t>Penalty: Imprisonment for</w:t>
      </w:r>
      <w:r>
        <w:t xml:space="preserve"> 7 years.</w:t>
      </w:r>
    </w:p>
    <w:p>
      <w:pPr>
        <w:pStyle w:val="Subsection"/>
        <w:spacing w:before="120"/>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pPr>
        <w:pStyle w:val="Penstart"/>
        <w:rPr>
          <w:snapToGrid w:val="0"/>
        </w:rPr>
      </w:pPr>
      <w:r>
        <w:rPr>
          <w:snapToGrid w:val="0"/>
        </w:rPr>
        <w:tab/>
        <w:t>Penalty: Imprisonment for</w:t>
      </w:r>
      <w:r>
        <w:t xml:space="preserve"> 3 years or a fine of $12 000.</w:t>
      </w:r>
    </w:p>
    <w:p>
      <w:pPr>
        <w:pStyle w:val="Subsection"/>
        <w:spacing w:before="120"/>
        <w:rPr>
          <w:snapToGrid w:val="0"/>
        </w:rPr>
      </w:pPr>
      <w:r>
        <w:rPr>
          <w:snapToGrid w:val="0"/>
        </w:rPr>
        <w:tab/>
        <w:t>(7a)</w:t>
      </w:r>
      <w:r>
        <w:rPr>
          <w:snapToGrid w:val="0"/>
        </w:rPr>
        <w:tab/>
        <w:t>A person who, being — </w:t>
      </w:r>
    </w:p>
    <w:p>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pPr>
        <w:pStyle w:val="Indenta"/>
        <w:rPr>
          <w:snapToGrid w:val="0"/>
        </w:rPr>
      </w:pPr>
      <w:r>
        <w:rPr>
          <w:snapToGrid w:val="0"/>
        </w:rPr>
        <w:tab/>
        <w:t>(b)</w:t>
      </w:r>
      <w:r>
        <w:rPr>
          <w:snapToGrid w:val="0"/>
        </w:rPr>
        <w:tab/>
        <w:t>the holder of an authority which is in force under section 17B,</w:t>
      </w:r>
    </w:p>
    <w:p>
      <w:pPr>
        <w:pStyle w:val="Subsection"/>
        <w:spacing w:before="120"/>
        <w:rPr>
          <w:snapToGrid w:val="0"/>
        </w:rPr>
      </w:pPr>
      <w:r>
        <w:rPr>
          <w:snapToGrid w:val="0"/>
        </w:rPr>
        <w:tab/>
      </w:r>
      <w:r>
        <w:rPr>
          <w:snapToGrid w:val="0"/>
        </w:rPr>
        <w:tab/>
        <w:t>uses or is in possession of, as the case requires, a contrivance referred to in subsection (6) or (7) does not commit an offence under that subsection.</w:t>
      </w:r>
    </w:p>
    <w:p>
      <w:pPr>
        <w:pStyle w:val="Subsection"/>
        <w:spacing w:before="120"/>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t>Penalty: Imprisonment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A person who, — </w:t>
      </w:r>
    </w:p>
    <w:p>
      <w:pPr>
        <w:pStyle w:val="Indenta"/>
        <w:spacing w:before="120"/>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w:t>
      </w:r>
    </w:p>
    <w:p>
      <w:pPr>
        <w:pStyle w:val="Indenta"/>
        <w:spacing w:before="120"/>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w:t>
      </w:r>
    </w:p>
    <w:p>
      <w:pPr>
        <w:pStyle w:val="Indenta"/>
        <w:spacing w:before="120"/>
        <w:rPr>
          <w:snapToGrid w:val="0"/>
        </w:rPr>
      </w:pPr>
      <w:r>
        <w:rPr>
          <w:snapToGrid w:val="0"/>
        </w:rPr>
        <w:tab/>
        <w:t>(c)</w:t>
      </w:r>
      <w:r>
        <w:rPr>
          <w:snapToGrid w:val="0"/>
        </w:rPr>
        <w:tab/>
        <w:t>without lawful excuse, discharges any firearm or any shot, bullet or other missile from a firearm, onto, from or across any road;</w:t>
      </w:r>
    </w:p>
    <w:p>
      <w:pPr>
        <w:pStyle w:val="Indenta"/>
        <w:spacing w:before="120"/>
        <w:rPr>
          <w:snapToGrid w:val="0"/>
        </w:rPr>
      </w:pPr>
      <w:r>
        <w:rPr>
          <w:snapToGrid w:val="0"/>
        </w:rPr>
        <w:tab/>
        <w:t>(d)</w:t>
      </w:r>
      <w:r>
        <w:rPr>
          <w:snapToGrid w:val="0"/>
        </w:rPr>
        <w:tab/>
        <w:t>being responsible for the storage of any firearm or ammunition, fails — </w:t>
      </w:r>
    </w:p>
    <w:p>
      <w:pPr>
        <w:pStyle w:val="Indenti"/>
        <w:rPr>
          <w:snapToGrid w:val="0"/>
        </w:rPr>
      </w:pPr>
      <w:r>
        <w:rPr>
          <w:snapToGrid w:val="0"/>
        </w:rPr>
        <w:tab/>
        <w:t>(i)</w:t>
      </w:r>
      <w:r>
        <w:rPr>
          <w:snapToGrid w:val="0"/>
        </w:rPr>
        <w:tab/>
        <w:t>to provide and use adequate storage facilities to ensure its safety;</w:t>
      </w:r>
    </w:p>
    <w:p>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pPr>
        <w:pStyle w:val="Indenti"/>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pPr>
        <w:pStyle w:val="Penstart"/>
        <w:rPr>
          <w:snapToGrid w:val="0"/>
        </w:rPr>
      </w:pPr>
      <w:r>
        <w:rPr>
          <w:snapToGrid w:val="0"/>
        </w:rPr>
        <w:tab/>
        <w:t>Penalty: Imprisonment for</w:t>
      </w:r>
      <w:r>
        <w:t xml:space="preserve"> 3 years or a fine of $12 000.</w:t>
      </w:r>
    </w:p>
    <w:p>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$2 000.</w:t>
      </w:r>
    </w:p>
    <w:p>
      <w:pPr>
        <w:pStyle w:val="Subsection"/>
      </w:pPr>
      <w:r>
        <w:tab/>
        <w:t>(12)</w:t>
      </w:r>
      <w:r>
        <w:tab/>
        <w:t>A person must not admit a minor under the age of 16 years to attend a venue where paintball is played unless the minor is accompanied by his or her parent or guardian.</w:t>
      </w:r>
    </w:p>
    <w:p>
      <w:pPr>
        <w:pStyle w:val="Penstart"/>
      </w:pPr>
      <w:r>
        <w:tab/>
        <w:t>Penalty: $1 000.</w:t>
      </w:r>
    </w:p>
    <w:p>
      <w:pPr>
        <w:pStyle w:val="Subsection"/>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w:t>
      </w:r>
    </w:p>
    <w:p>
      <w:pPr>
        <w:pStyle w:val="Indenta"/>
      </w:pPr>
      <w:r>
        <w:tab/>
        <w:t>(b)</w:t>
      </w:r>
      <w:r>
        <w:tab/>
        <w:t>the person charged or that person’s employee or agent believed on reasonable grounds that the minor was 16 years of age or older; or</w:t>
      </w:r>
    </w:p>
    <w:p>
      <w:pPr>
        <w:pStyle w:val="Indenta"/>
      </w:pPr>
      <w:r>
        <w:tab/>
        <w:t>(c)</w:t>
      </w:r>
      <w:r>
        <w:tab/>
        <w:t>the person charged or that person’s employee or agent believed on reasonable grounds that the person accompanying the minor was the minor’s parent or guardian.</w:t>
      </w:r>
    </w:p>
    <w:p>
      <w:pPr>
        <w:pStyle w:val="Footnotesection"/>
      </w:pPr>
      <w:r>
        <w:tab/>
        <w:t xml:space="preserve">[Section 23 amended by No. 54 of 1978 s. 3; No. 3 of 1983 s. 3; No. 70 of 1987 s. 8; No. 59 of 1996 s. 25, 48 and 50(1), (3), (4) and (5); No. 50 of 2003 s. 62(3); No. 4 of 2004 s. 58; No. 69 of 2004 s. 7, 8(3), 22 and 31.] </w:t>
      </w:r>
    </w:p>
    <w:p>
      <w:pPr>
        <w:pStyle w:val="Heading5"/>
        <w:rPr>
          <w:snapToGrid w:val="0"/>
        </w:rPr>
      </w:pPr>
      <w:bookmarkStart w:id="185" w:name="_Toc411064805"/>
      <w:bookmarkStart w:id="186" w:name="_Toc51574267"/>
      <w:bookmarkStart w:id="187" w:name="_Toc108854230"/>
      <w:bookmarkStart w:id="188" w:name="_Toc177813711"/>
      <w:bookmarkStart w:id="189" w:name="_Toc171068094"/>
      <w:r>
        <w:rPr>
          <w:rStyle w:val="CharSectno"/>
        </w:rPr>
        <w:t>23A</w:t>
      </w:r>
      <w:r>
        <w:rPr>
          <w:snapToGrid w:val="0"/>
        </w:rPr>
        <w:t>.</w:t>
      </w:r>
      <w:r>
        <w:rPr>
          <w:snapToGrid w:val="0"/>
        </w:rPr>
        <w:tab/>
        <w:t>Limitation periods</w:t>
      </w:r>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 xml:space="preserve">[Section 23A inserted by No. 59 of 1996 s. 26; amended by No. 69 of 2004 s. 23; No. 84 of 2004 s. 80.] </w:t>
      </w:r>
    </w:p>
    <w:p>
      <w:pPr>
        <w:pStyle w:val="Heading5"/>
        <w:rPr>
          <w:snapToGrid w:val="0"/>
        </w:rPr>
      </w:pPr>
      <w:bookmarkStart w:id="190" w:name="_Toc411064806"/>
      <w:bookmarkStart w:id="191" w:name="_Toc51574268"/>
      <w:bookmarkStart w:id="192" w:name="_Toc108854231"/>
      <w:bookmarkStart w:id="193" w:name="_Toc177813712"/>
      <w:bookmarkStart w:id="194" w:name="_Toc171068095"/>
      <w:r>
        <w:rPr>
          <w:rStyle w:val="CharSectno"/>
        </w:rPr>
        <w:t>23B</w:t>
      </w:r>
      <w:r>
        <w:rPr>
          <w:snapToGrid w:val="0"/>
        </w:rPr>
        <w:t>.</w:t>
      </w:r>
      <w:r>
        <w:rPr>
          <w:snapToGrid w:val="0"/>
        </w:rPr>
        <w:tab/>
        <w:t>Disclosure by doctors of certain information</w:t>
      </w:r>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 </w:t>
      </w:r>
    </w:p>
    <w:p>
      <w:pPr>
        <w:pStyle w:val="Indenta"/>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keepNext/>
        <w:keepLines/>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pPr>
      <w:r>
        <w:tab/>
        <w:t>(3)</w:t>
      </w:r>
      <w:r>
        <w:tab/>
        <w:t xml:space="preserve">In this section — </w:t>
      </w:r>
    </w:p>
    <w:p>
      <w:pPr>
        <w:pStyle w:val="Defstart"/>
      </w:pPr>
      <w:r>
        <w:rPr>
          <w:b/>
        </w:rPr>
        <w:tab/>
        <w:t>“</w:t>
      </w:r>
      <w:r>
        <w:rPr>
          <w:rStyle w:val="CharDefText"/>
        </w:rPr>
        <w:t>health professional</w:t>
      </w:r>
      <w:r>
        <w:rPr>
          <w:b/>
        </w:rPr>
        <w:t>”</w:t>
      </w:r>
      <w:r>
        <w:t xml:space="preserve"> means — </w:t>
      </w:r>
    </w:p>
    <w:p>
      <w:pPr>
        <w:pStyle w:val="Defpara"/>
      </w:pPr>
      <w:r>
        <w:tab/>
        <w:t>(a)</w:t>
      </w:r>
      <w:r>
        <w:tab/>
        <w:t>a medical practitioner;</w:t>
      </w:r>
    </w:p>
    <w:p>
      <w:pPr>
        <w:pStyle w:val="Defpara"/>
      </w:pPr>
      <w:r>
        <w:tab/>
        <w:t>(b)</w:t>
      </w:r>
      <w:r>
        <w:tab/>
        <w:t xml:space="preserve">a psychologist as defined in the </w:t>
      </w:r>
      <w:r>
        <w:rPr>
          <w:i/>
        </w:rPr>
        <w:t>Psychologists Act 2005</w:t>
      </w:r>
      <w:r>
        <w:t xml:space="preserve"> section 3;</w:t>
      </w:r>
    </w:p>
    <w:p>
      <w:pPr>
        <w:pStyle w:val="Defpara"/>
      </w:pPr>
      <w:r>
        <w:tab/>
        <w:t>(c)</w:t>
      </w:r>
      <w:r>
        <w:tab/>
        <w:t>a registered nurse;</w:t>
      </w:r>
    </w:p>
    <w:p>
      <w:pPr>
        <w:pStyle w:val="Defpara"/>
      </w:pPr>
      <w:r>
        <w:tab/>
        <w:t>(d)</w:t>
      </w:r>
      <w:r>
        <w:tab/>
        <w:t>a prescribed class of social worker; or</w:t>
      </w:r>
    </w:p>
    <w:p>
      <w:pPr>
        <w:pStyle w:val="Defpara"/>
      </w:pPr>
      <w:r>
        <w:tab/>
        <w:t>(e)</w:t>
      </w:r>
      <w:r>
        <w:tab/>
        <w:t>a prescribed class of professional counsellor;</w:t>
      </w:r>
    </w:p>
    <w:p>
      <w:pPr>
        <w:pStyle w:val="Defstart"/>
      </w:pPr>
      <w:r>
        <w:rPr>
          <w:b/>
        </w:rPr>
        <w:tab/>
        <w:t>“</w:t>
      </w:r>
      <w:r>
        <w:rPr>
          <w:rStyle w:val="CharDefText"/>
        </w:rPr>
        <w:t>registered nurse</w:t>
      </w:r>
      <w:r>
        <w:rPr>
          <w:b/>
        </w:rPr>
        <w:t>”</w:t>
      </w:r>
      <w:r>
        <w:t xml:space="preserve"> means a person registered under Part </w:t>
      </w:r>
      <w:del w:id="195" w:author="svcMRProcess" w:date="2015-12-13T18:23:00Z">
        <w:r>
          <w:delText>3</w:delText>
        </w:r>
      </w:del>
      <w:ins w:id="196" w:author="svcMRProcess" w:date="2015-12-13T18:23:00Z">
        <w:r>
          <w:t>4</w:t>
        </w:r>
      </w:ins>
      <w:r>
        <w:t xml:space="preserve"> of the </w:t>
      </w:r>
      <w:r>
        <w:rPr>
          <w:i/>
        </w:rPr>
        <w:t xml:space="preserve">Nurses </w:t>
      </w:r>
      <w:ins w:id="197" w:author="svcMRProcess" w:date="2015-12-13T18:23:00Z">
        <w:r>
          <w:rPr>
            <w:i/>
          </w:rPr>
          <w:t xml:space="preserve">and Midwives </w:t>
        </w:r>
      </w:ins>
      <w:r>
        <w:rPr>
          <w:i/>
        </w:rPr>
        <w:t>Act </w:t>
      </w:r>
      <w:del w:id="198" w:author="svcMRProcess" w:date="2015-12-13T18:23:00Z">
        <w:r>
          <w:rPr>
            <w:i/>
          </w:rPr>
          <w:delText>1992</w:delText>
        </w:r>
      </w:del>
      <w:ins w:id="199" w:author="svcMRProcess" w:date="2015-12-13T18:23:00Z">
        <w:r>
          <w:rPr>
            <w:i/>
          </w:rPr>
          <w:t>2006</w:t>
        </w:r>
      </w:ins>
      <w:r>
        <w:rPr>
          <w:iCs/>
        </w:rPr>
        <w:t>.</w:t>
      </w:r>
    </w:p>
    <w:p>
      <w:pPr>
        <w:pStyle w:val="Footnotesection"/>
      </w:pPr>
      <w:r>
        <w:tab/>
        <w:t>[Section 23B inserted by No. 59 of 1996 s. 26; amended by No. 69 of 2004 s. 24; No. 28 of 2005 s. 108</w:t>
      </w:r>
      <w:ins w:id="200" w:author="svcMRProcess" w:date="2015-12-13T18:23:00Z">
        <w:r>
          <w:t>; No. 50 of 2006 s. 114</w:t>
        </w:r>
      </w:ins>
      <w:r>
        <w:t xml:space="preserve">.] </w:t>
      </w:r>
    </w:p>
    <w:p>
      <w:pPr>
        <w:pStyle w:val="Heading5"/>
      </w:pPr>
      <w:bookmarkStart w:id="201" w:name="_Toc108854232"/>
      <w:bookmarkStart w:id="202" w:name="_Toc177813713"/>
      <w:bookmarkStart w:id="203" w:name="_Toc171068096"/>
      <w:bookmarkStart w:id="204" w:name="_Toc411064807"/>
      <w:bookmarkStart w:id="205" w:name="_Toc51574269"/>
      <w:r>
        <w:rPr>
          <w:rStyle w:val="CharSectno"/>
        </w:rPr>
        <w:t>23BA</w:t>
      </w:r>
      <w:r>
        <w:t>.</w:t>
      </w:r>
      <w:r>
        <w:tab/>
        <w:t>Disclosure of certain information by approved club and organisation members</w:t>
      </w:r>
      <w:bookmarkEnd w:id="201"/>
      <w:bookmarkEnd w:id="202"/>
      <w:bookmarkEnd w:id="203"/>
    </w:p>
    <w:p>
      <w:pPr>
        <w:pStyle w:val="Subsection"/>
      </w:pPr>
      <w:r>
        <w:tab/>
        <w:t>(1)</w:t>
      </w:r>
      <w:r>
        <w:tab/>
        <w:t xml:space="preserve">If an officer of an approved shooting club or approved organisation is of the opinion that — </w:t>
      </w:r>
    </w:p>
    <w:p>
      <w:pPr>
        <w:pStyle w:val="Indenta"/>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 xml:space="preserve">In this section — </w:t>
      </w:r>
    </w:p>
    <w:p>
      <w:pPr>
        <w:pStyle w:val="Defstart"/>
      </w:pPr>
      <w:r>
        <w:rPr>
          <w:b/>
        </w:rPr>
        <w:tab/>
        <w:t>“</w:t>
      </w:r>
      <w:r>
        <w:rPr>
          <w:rStyle w:val="CharDefText"/>
        </w:rPr>
        <w:t>approved organisation</w:t>
      </w:r>
      <w:r>
        <w:rPr>
          <w:b/>
        </w:rPr>
        <w:t>”</w:t>
      </w:r>
      <w:r>
        <w:t xml:space="preserve"> means an organisation approved under section 11A(2)(b);</w:t>
      </w:r>
    </w:p>
    <w:p>
      <w:pPr>
        <w:pStyle w:val="Defstart"/>
      </w:pPr>
      <w:r>
        <w:rPr>
          <w:b/>
        </w:rPr>
        <w:tab/>
        <w:t>“</w:t>
      </w:r>
      <w:r>
        <w:rPr>
          <w:rStyle w:val="CharDefText"/>
        </w:rPr>
        <w:t>approved shooting club</w:t>
      </w:r>
      <w:r>
        <w:rPr>
          <w:b/>
        </w:rPr>
        <w:t>”</w:t>
      </w:r>
      <w:r>
        <w:t xml:space="preserve"> means a shooting club approved under section 11A(2)(a);</w:t>
      </w:r>
    </w:p>
    <w:p>
      <w:pPr>
        <w:pStyle w:val="Defstart"/>
      </w:pPr>
      <w:r>
        <w:rPr>
          <w:b/>
        </w:rPr>
        <w:tab/>
        <w:t>“</w:t>
      </w:r>
      <w:r>
        <w:rPr>
          <w:rStyle w:val="CharDefText"/>
        </w:rPr>
        <w:t>officer</w:t>
      </w:r>
      <w:r>
        <w:rPr>
          <w:b/>
        </w:rPr>
        <w:t>”</w:t>
      </w:r>
      <w:r>
        <w:t xml:space="preserve">, in relation to an approved shooting club or approved organisation —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r>
      <w:r>
        <w:tab/>
        <w:t>but does not include an employee of the club or organisation unless the employee is involved in its management.</w:t>
      </w:r>
    </w:p>
    <w:p>
      <w:pPr>
        <w:pStyle w:val="Footnotesection"/>
      </w:pPr>
      <w:r>
        <w:tab/>
        <w:t>[Section 23BA inserted by No. 69 of 2004 s. 25.]</w:t>
      </w:r>
    </w:p>
    <w:p>
      <w:pPr>
        <w:pStyle w:val="Heading5"/>
        <w:rPr>
          <w:snapToGrid w:val="0"/>
        </w:rPr>
      </w:pPr>
      <w:bookmarkStart w:id="206" w:name="_Toc108854233"/>
      <w:bookmarkStart w:id="207" w:name="_Toc177813714"/>
      <w:bookmarkStart w:id="208" w:name="_Toc171068097"/>
      <w:r>
        <w:rPr>
          <w:rStyle w:val="CharSectno"/>
        </w:rPr>
        <w:t>23C</w:t>
      </w:r>
      <w:r>
        <w:rPr>
          <w:snapToGrid w:val="0"/>
        </w:rPr>
        <w:t>.</w:t>
      </w:r>
      <w:r>
        <w:rPr>
          <w:snapToGrid w:val="0"/>
        </w:rPr>
        <w:tab/>
        <w:t>Persons concerned in commission of offences</w:t>
      </w:r>
      <w:bookmarkEnd w:id="204"/>
      <w:bookmarkEnd w:id="205"/>
      <w:bookmarkEnd w:id="206"/>
      <w:bookmarkEnd w:id="207"/>
      <w:bookmarkEnd w:id="208"/>
      <w:r>
        <w:rPr>
          <w:snapToGrid w:val="0"/>
        </w:rPr>
        <w:t xml:space="preserve"> </w:t>
      </w:r>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 xml:space="preserve">[Section 23C inserted by No. 59 of 1996 s. 49.] </w:t>
      </w:r>
    </w:p>
    <w:p>
      <w:pPr>
        <w:pStyle w:val="Ednotesection"/>
      </w:pPr>
      <w:r>
        <w:t>[</w:t>
      </w:r>
      <w:r>
        <w:rPr>
          <w:b/>
        </w:rPr>
        <w:t>23D.</w:t>
      </w:r>
      <w:r>
        <w:tab/>
        <w:t>Repealed by No. 4 of 2004 s. 58.]</w:t>
      </w:r>
    </w:p>
    <w:p>
      <w:pPr>
        <w:pStyle w:val="Heading5"/>
        <w:rPr>
          <w:snapToGrid w:val="0"/>
        </w:rPr>
      </w:pPr>
      <w:bookmarkStart w:id="209" w:name="_Toc411064809"/>
      <w:bookmarkStart w:id="210" w:name="_Toc51574271"/>
      <w:bookmarkStart w:id="211" w:name="_Toc108854234"/>
      <w:bookmarkStart w:id="212" w:name="_Toc177813715"/>
      <w:bookmarkStart w:id="213" w:name="_Toc171068098"/>
      <w:r>
        <w:rPr>
          <w:rStyle w:val="CharSectno"/>
        </w:rPr>
        <w:t>24</w:t>
      </w:r>
      <w:r>
        <w:rPr>
          <w:snapToGrid w:val="0"/>
        </w:rPr>
        <w:t>.</w:t>
      </w:r>
      <w:r>
        <w:rPr>
          <w:snapToGrid w:val="0"/>
        </w:rPr>
        <w:tab/>
        <w:t>Powers of police</w:t>
      </w:r>
      <w:bookmarkEnd w:id="209"/>
      <w:bookmarkEnd w:id="210"/>
      <w:bookmarkEnd w:id="211"/>
      <w:bookmarkEnd w:id="212"/>
      <w:bookmarkEnd w:id="213"/>
      <w:r>
        <w:rPr>
          <w:snapToGrid w:val="0"/>
        </w:rPr>
        <w:t xml:space="preserve"> </w:t>
      </w:r>
    </w:p>
    <w:p>
      <w:pPr>
        <w:pStyle w:val="Subsection"/>
        <w:spacing w:before="120"/>
        <w:rPr>
          <w:snapToGrid w:val="0"/>
        </w:rPr>
      </w:pPr>
      <w:r>
        <w:rPr>
          <w:snapToGrid w:val="0"/>
        </w:rPr>
        <w:tab/>
        <w:t>(1)</w:t>
      </w:r>
      <w:r>
        <w:rPr>
          <w:snapToGrid w:val="0"/>
        </w:rPr>
        <w:tab/>
        <w:t>A member of the Police Force may demand from any person in possession of a firearm or ammunition — </w:t>
      </w:r>
    </w:p>
    <w:p>
      <w:pPr>
        <w:pStyle w:val="Indenta"/>
        <w:rPr>
          <w:snapToGrid w:val="0"/>
        </w:rPr>
      </w:pPr>
      <w:r>
        <w:rPr>
          <w:snapToGrid w:val="0"/>
        </w:rPr>
        <w:tab/>
        <w:t>(a)</w:t>
      </w:r>
      <w:r>
        <w:rPr>
          <w:snapToGrid w:val="0"/>
        </w:rPr>
        <w:tab/>
        <w:t>the licence or permit under which he is authorised to have such possession; or</w:t>
      </w:r>
    </w:p>
    <w:p>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pPr>
        <w:pStyle w:val="Subsection"/>
        <w:spacing w:before="120"/>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pPr>
        <w:pStyle w:val="Subsection"/>
        <w:spacing w:before="120"/>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spacing w:before="120"/>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pPr>
        <w:pStyle w:val="Subsection"/>
        <w:spacing w:before="120"/>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pPr>
        <w:pStyle w:val="Subsection"/>
        <w:spacing w:before="120"/>
        <w:rPr>
          <w:snapToGrid w:val="0"/>
        </w:rPr>
      </w:pPr>
      <w:r>
        <w:rPr>
          <w:snapToGrid w:val="0"/>
        </w:rPr>
        <w:tab/>
        <w:t>(4)</w:t>
      </w:r>
      <w:r>
        <w:rPr>
          <w:snapToGrid w:val="0"/>
        </w:rPr>
        <w:tab/>
        <w:t>A member of the Police Force may —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rPr>
          <w:snapToGrid w:val="0"/>
        </w:rPr>
      </w:pPr>
      <w:r>
        <w:rPr>
          <w:snapToGrid w:val="0"/>
        </w:rPr>
        <w:tab/>
        <w:t>(b)</w:t>
      </w:r>
      <w:r>
        <w:rPr>
          <w:snapToGrid w:val="0"/>
        </w:rPr>
        <w:tab/>
        <w:t>stop, search, and detain — </w:t>
      </w:r>
    </w:p>
    <w:p>
      <w:pPr>
        <w:pStyle w:val="Indenti"/>
        <w:rPr>
          <w:snapToGrid w:val="0"/>
        </w:rPr>
      </w:pPr>
      <w:r>
        <w:rPr>
          <w:snapToGrid w:val="0"/>
        </w:rPr>
        <w:tab/>
        <w:t>(i)</w:t>
      </w:r>
      <w:r>
        <w:rPr>
          <w:snapToGrid w:val="0"/>
        </w:rPr>
        <w:tab/>
        <w:t>any person who is suspected on reasonable grounds of having a firearm or ammunition in his possession without lawful excuse;</w:t>
      </w:r>
    </w:p>
    <w:p>
      <w:pPr>
        <w:pStyle w:val="Indenti"/>
        <w:rPr>
          <w:snapToGrid w:val="0"/>
        </w:rPr>
      </w:pPr>
      <w:r>
        <w:rPr>
          <w:snapToGrid w:val="0"/>
        </w:rPr>
        <w:tab/>
        <w:t>(ii)</w:t>
      </w:r>
      <w:r>
        <w:rPr>
          <w:snapToGrid w:val="0"/>
        </w:rPr>
        <w:tab/>
        <w:t>any vehicle or conveyance where there are reasonable grounds to suspect that a firearm 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pPr>
        <w:pStyle w:val="Subsection"/>
        <w:rPr>
          <w:snapToGrid w:val="0"/>
        </w:rPr>
      </w:pPr>
      <w:r>
        <w:rPr>
          <w:snapToGrid w:val="0"/>
        </w:rPr>
        <w:tab/>
      </w:r>
      <w:r>
        <w:rPr>
          <w:snapToGrid w:val="0"/>
        </w:rPr>
        <w:tab/>
        <w:t>commits an offence and is liable on summary conviction to a fine of $4 000.</w:t>
      </w:r>
    </w:p>
    <w:p>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 </w:t>
      </w:r>
    </w:p>
    <w:p>
      <w:pPr>
        <w:pStyle w:val="Indenta"/>
        <w:rPr>
          <w:snapToGrid w:val="0"/>
        </w:rPr>
      </w:pPr>
      <w:r>
        <w:rPr>
          <w:snapToGrid w:val="0"/>
        </w:rPr>
        <w:tab/>
        <w:t>(a)</w:t>
      </w:r>
      <w:r>
        <w:rPr>
          <w:snapToGrid w:val="0"/>
        </w:rPr>
        <w:tab/>
        <w:t>is reasonably of the opinion that — </w:t>
      </w:r>
    </w:p>
    <w:p>
      <w:pPr>
        <w:pStyle w:val="Indenti"/>
        <w:rPr>
          <w:snapToGrid w:val="0"/>
        </w:rPr>
      </w:pPr>
      <w:r>
        <w:rPr>
          <w:snapToGrid w:val="0"/>
        </w:rPr>
        <w:tab/>
        <w:t>(i)</w:t>
      </w:r>
      <w:r>
        <w:rPr>
          <w:snapToGrid w:val="0"/>
        </w:rPr>
        <w:tab/>
        <w:t>there is an immediate threat of harm being suffered by a person; and</w:t>
      </w:r>
    </w:p>
    <w:p>
      <w:pPr>
        <w:pStyle w:val="Indenti"/>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rPr>
          <w:snapToGrid w:val="0"/>
        </w:rPr>
      </w:pPr>
      <w:r>
        <w:rPr>
          <w:snapToGrid w:val="0"/>
        </w:rPr>
        <w:tab/>
        <w:t>(8)</w:t>
      </w:r>
      <w:r>
        <w:rPr>
          <w:snapToGrid w:val="0"/>
        </w:rPr>
        <w:tab/>
        <w:t>The regulations may make provision as to — </w:t>
      </w:r>
    </w:p>
    <w:p>
      <w:pPr>
        <w:pStyle w:val="Indenta"/>
        <w:rPr>
          <w:snapToGrid w:val="0"/>
        </w:rPr>
      </w:pPr>
      <w:r>
        <w:rPr>
          <w:snapToGrid w:val="0"/>
        </w:rPr>
        <w:tab/>
        <w:t>(a)</w:t>
      </w:r>
      <w:r>
        <w:rPr>
          <w:snapToGrid w:val="0"/>
        </w:rPr>
        <w:tab/>
        <w:t>the giving of the report required by subsection (7)(b);</w:t>
      </w:r>
    </w:p>
    <w:p>
      <w:pPr>
        <w:pStyle w:val="Indenta"/>
        <w:rPr>
          <w:snapToGrid w:val="0"/>
        </w:rPr>
      </w:pPr>
      <w:r>
        <w:rPr>
          <w:snapToGrid w:val="0"/>
        </w:rPr>
        <w:tab/>
        <w:t>(b)</w:t>
      </w:r>
      <w:r>
        <w:rPr>
          <w:snapToGrid w:val="0"/>
        </w:rPr>
        <w:tab/>
        <w:t>the steps that are required to be taken after any firearm or ammunition has been seized and taken under subsection (2).</w:t>
      </w:r>
    </w:p>
    <w:p>
      <w:pPr>
        <w:pStyle w:val="Subsection"/>
        <w:rPr>
          <w:snapToGrid w:val="0"/>
        </w:rPr>
      </w:pPr>
      <w:r>
        <w:rPr>
          <w:snapToGrid w:val="0"/>
        </w:rPr>
        <w:tab/>
        <w:t>(9)</w:t>
      </w:r>
      <w:r>
        <w:rPr>
          <w:snapToGrid w:val="0"/>
        </w:rPr>
        <w:tab/>
        <w:t xml:space="preserve">For the purposes of this section the term </w:t>
      </w:r>
      <w:r>
        <w:rPr>
          <w:b/>
          <w:snapToGrid w:val="0"/>
        </w:rPr>
        <w:t>“</w:t>
      </w:r>
      <w:r>
        <w:rPr>
          <w:rStyle w:val="CharDefText"/>
        </w:rPr>
        <w:t>firearm</w:t>
      </w:r>
      <w:r>
        <w:rPr>
          <w:b/>
          <w:snapToGrid w:val="0"/>
        </w:rPr>
        <w:t>”</w:t>
      </w:r>
      <w:r>
        <w:rPr>
          <w:snapToGrid w:val="0"/>
        </w:rPr>
        <w:t xml:space="preserve"> is deemed to include any silencer, within the meaning of section 17B(8), and any part of a firearm.</w:t>
      </w:r>
    </w:p>
    <w:p>
      <w:pPr>
        <w:pStyle w:val="Footnotesection"/>
      </w:pPr>
      <w:r>
        <w:tab/>
        <w:t xml:space="preserve">[Section 24 amended by No. 61 of 1976 s. 5; No. 54 of 1978 s. 4; No. 70 of 1987 s. 9; No. 90 of 1994 s. 5; No. 59 of 1996 s. 27, 42 and 50(2); No. 69 of 2004 s. 31; No. 59 of 2006 s. 73.] </w:t>
      </w:r>
    </w:p>
    <w:p>
      <w:pPr>
        <w:pStyle w:val="Heading5"/>
        <w:rPr>
          <w:snapToGrid w:val="0"/>
        </w:rPr>
      </w:pPr>
      <w:bookmarkStart w:id="214" w:name="_Toc411064810"/>
      <w:bookmarkStart w:id="215" w:name="_Toc51574272"/>
      <w:bookmarkStart w:id="216" w:name="_Toc108854235"/>
      <w:bookmarkStart w:id="217" w:name="_Toc177813716"/>
      <w:bookmarkStart w:id="218" w:name="_Toc171068099"/>
      <w:r>
        <w:rPr>
          <w:rStyle w:val="CharSectno"/>
        </w:rPr>
        <w:t>25</w:t>
      </w:r>
      <w:r>
        <w:rPr>
          <w:snapToGrid w:val="0"/>
        </w:rPr>
        <w:t>.</w:t>
      </w:r>
      <w:r>
        <w:rPr>
          <w:snapToGrid w:val="0"/>
        </w:rPr>
        <w:tab/>
        <w:t>Constructive possession</w:t>
      </w:r>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 xml:space="preserve">For the purposes of this section the term </w:t>
      </w:r>
      <w:r>
        <w:rPr>
          <w:b/>
          <w:snapToGrid w:val="0"/>
        </w:rPr>
        <w:t>“</w:t>
      </w:r>
      <w:r>
        <w:rPr>
          <w:rStyle w:val="CharDefText"/>
        </w:rPr>
        <w:t>firearm</w:t>
      </w:r>
      <w:r>
        <w:rPr>
          <w:b/>
          <w:snapToGrid w:val="0"/>
        </w:rPr>
        <w:t>”</w:t>
      </w:r>
      <w:r>
        <w:rPr>
          <w:snapToGrid w:val="0"/>
        </w:rPr>
        <w:t xml:space="preserve"> is deemed to include a reference to ammunition therefor.</w:t>
      </w:r>
    </w:p>
    <w:p>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pPr>
        <w:pStyle w:val="Heading5"/>
        <w:rPr>
          <w:snapToGrid w:val="0"/>
        </w:rPr>
      </w:pPr>
      <w:bookmarkStart w:id="219" w:name="_Toc411064811"/>
      <w:bookmarkStart w:id="220" w:name="_Toc51574273"/>
      <w:bookmarkStart w:id="221" w:name="_Toc108854236"/>
      <w:bookmarkStart w:id="222" w:name="_Toc177813717"/>
      <w:bookmarkStart w:id="223" w:name="_Toc171068100"/>
      <w:r>
        <w:rPr>
          <w:rStyle w:val="CharSectno"/>
        </w:rPr>
        <w:t>26</w:t>
      </w:r>
      <w:r>
        <w:rPr>
          <w:snapToGrid w:val="0"/>
        </w:rPr>
        <w:t>.</w:t>
      </w:r>
      <w:r>
        <w:rPr>
          <w:snapToGrid w:val="0"/>
        </w:rPr>
        <w:tab/>
        <w:t>Search warrant</w:t>
      </w:r>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 </w:t>
      </w:r>
    </w:p>
    <w:p>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pPr>
        <w:pStyle w:val="Indenta"/>
        <w:rPr>
          <w:snapToGrid w:val="0"/>
        </w:rPr>
      </w:pPr>
      <w:r>
        <w:rPr>
          <w:snapToGrid w:val="0"/>
        </w:rPr>
        <w:tab/>
        <w:t>(b)</w:t>
      </w:r>
      <w:r>
        <w:rPr>
          <w:snapToGrid w:val="0"/>
        </w:rPr>
        <w:tab/>
        <w:t>that, there are reasonable grounds for believing — </w:t>
      </w:r>
    </w:p>
    <w:p>
      <w:pPr>
        <w:pStyle w:val="Indenti"/>
        <w:rPr>
          <w:snapToGrid w:val="0"/>
        </w:rPr>
      </w:pPr>
      <w:r>
        <w:rPr>
          <w:snapToGrid w:val="0"/>
        </w:rPr>
        <w:tab/>
        <w:t>(i)</w:t>
      </w:r>
      <w:r>
        <w:rPr>
          <w:snapToGrid w:val="0"/>
        </w:rPr>
        <w:tab/>
        <w:t>will afford evidence as to the commission of any such offence; or</w:t>
      </w:r>
    </w:p>
    <w:p>
      <w:pPr>
        <w:pStyle w:val="Indenti"/>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 xml:space="preserve">[Section 26 inserted by No. 59 of 1996 s. 28; amended by No. 59 of 2006 s. 73.] </w:t>
      </w:r>
    </w:p>
    <w:p>
      <w:pPr>
        <w:pStyle w:val="Ednotesection"/>
      </w:pPr>
      <w:r>
        <w:t>[</w:t>
      </w:r>
      <w:r>
        <w:rPr>
          <w:b/>
        </w:rPr>
        <w:t>27.</w:t>
      </w:r>
      <w:r>
        <w:tab/>
        <w:t xml:space="preserve">Repealed by No. 78 of 1995 s. 46.] </w:t>
      </w:r>
    </w:p>
    <w:p>
      <w:pPr>
        <w:pStyle w:val="Heading5"/>
        <w:rPr>
          <w:snapToGrid w:val="0"/>
        </w:rPr>
      </w:pPr>
      <w:bookmarkStart w:id="224" w:name="_Toc411064812"/>
      <w:bookmarkStart w:id="225" w:name="_Toc51574274"/>
      <w:bookmarkStart w:id="226" w:name="_Toc108854237"/>
      <w:bookmarkStart w:id="227" w:name="_Toc177813718"/>
      <w:bookmarkStart w:id="228" w:name="_Toc171068101"/>
      <w:r>
        <w:rPr>
          <w:rStyle w:val="CharSectno"/>
        </w:rPr>
        <w:t>27A</w:t>
      </w:r>
      <w:r>
        <w:rPr>
          <w:snapToGrid w:val="0"/>
        </w:rPr>
        <w:t>.</w:t>
      </w:r>
      <w:r>
        <w:rPr>
          <w:snapToGrid w:val="0"/>
        </w:rPr>
        <w:tab/>
        <w:t>Disqualification by court imposing restraining order</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violence restraining order</w:t>
      </w:r>
      <w:r>
        <w:rPr>
          <w:b/>
        </w:rPr>
        <w:t>”</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 xml:space="preserve">[Section 27A inserted by No. 59 of 1996 s. 29; amended by No. 19 of 1997 s. 84.] </w:t>
      </w:r>
    </w:p>
    <w:p>
      <w:pPr>
        <w:pStyle w:val="Heading5"/>
        <w:rPr>
          <w:snapToGrid w:val="0"/>
        </w:rPr>
      </w:pPr>
      <w:bookmarkStart w:id="229" w:name="_Toc411064813"/>
      <w:bookmarkStart w:id="230" w:name="_Toc51574275"/>
      <w:bookmarkStart w:id="231" w:name="_Toc108854238"/>
      <w:bookmarkStart w:id="232" w:name="_Toc177813719"/>
      <w:bookmarkStart w:id="233" w:name="_Toc171068102"/>
      <w:r>
        <w:rPr>
          <w:rStyle w:val="CharSectno"/>
        </w:rPr>
        <w:t>28</w:t>
      </w:r>
      <w:r>
        <w:rPr>
          <w:snapToGrid w:val="0"/>
        </w:rPr>
        <w:t>.</w:t>
      </w:r>
      <w:r>
        <w:rPr>
          <w:snapToGrid w:val="0"/>
        </w:rPr>
        <w:tab/>
        <w:t>Court may order forfeiture on conviction of offender</w:t>
      </w:r>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pPr>
        <w:pStyle w:val="Footnotesection"/>
      </w:pPr>
      <w:r>
        <w:tab/>
        <w:t xml:space="preserve">[Section 28 amended by No. 59 of 1996 s. 30.] </w:t>
      </w:r>
    </w:p>
    <w:p>
      <w:pPr>
        <w:pStyle w:val="Heading5"/>
        <w:rPr>
          <w:snapToGrid w:val="0"/>
        </w:rPr>
      </w:pPr>
      <w:bookmarkStart w:id="234" w:name="_Toc411064814"/>
      <w:bookmarkStart w:id="235" w:name="_Toc51574276"/>
      <w:bookmarkStart w:id="236" w:name="_Toc108854239"/>
      <w:bookmarkStart w:id="237" w:name="_Toc177813720"/>
      <w:bookmarkStart w:id="238" w:name="_Toc171068103"/>
      <w:r>
        <w:rPr>
          <w:rStyle w:val="CharSectno"/>
        </w:rPr>
        <w:t>29</w:t>
      </w:r>
      <w:r>
        <w:rPr>
          <w:snapToGrid w:val="0"/>
        </w:rPr>
        <w:t>.</w:t>
      </w:r>
      <w:r>
        <w:rPr>
          <w:snapToGrid w:val="0"/>
        </w:rPr>
        <w:tab/>
        <w:t>Evidence</w:t>
      </w:r>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In a prosecution for an offence against this Act an averment in the prosecution notice —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w:t>
      </w:r>
    </w:p>
    <w:p>
      <w:pPr>
        <w:pStyle w:val="Indenta"/>
        <w:rPr>
          <w:snapToGrid w:val="0"/>
        </w:rPr>
      </w:pPr>
      <w:r>
        <w:rPr>
          <w:snapToGrid w:val="0"/>
        </w:rPr>
        <w:tab/>
        <w:t>(c)</w:t>
      </w:r>
      <w:r>
        <w:rPr>
          <w:snapToGrid w:val="0"/>
        </w:rPr>
        <w:tab/>
        <w:t>that a particular firearm or ammunition is of a particular calibre or kind;</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w:t>
      </w:r>
    </w:p>
    <w:p>
      <w:pPr>
        <w:pStyle w:val="Indenta"/>
        <w:rPr>
          <w:snapToGrid w:val="0"/>
        </w:rPr>
      </w:pPr>
      <w:r>
        <w:rPr>
          <w:snapToGrid w:val="0"/>
        </w:rPr>
        <w:tab/>
        <w:t>(e)</w:t>
      </w:r>
      <w:r>
        <w:rPr>
          <w:snapToGrid w:val="0"/>
        </w:rPr>
        <w:tab/>
        <w:t>that a person named in the prosecution notice is, or at a particular time was — </w:t>
      </w:r>
    </w:p>
    <w:p>
      <w:pPr>
        <w:pStyle w:val="Indenti"/>
        <w:rPr>
          <w:snapToGrid w:val="0"/>
        </w:rPr>
      </w:pPr>
      <w:r>
        <w:rPr>
          <w:snapToGrid w:val="0"/>
        </w:rPr>
        <w:tab/>
        <w:t>(i)</w:t>
      </w:r>
      <w:r>
        <w:rPr>
          <w:snapToGrid w:val="0"/>
        </w:rPr>
        <w:tab/>
        <w:t>a member of the Police Force acting with the authority of the Commissioner; or</w:t>
      </w:r>
    </w:p>
    <w:p>
      <w:pPr>
        <w:pStyle w:val="Indenti"/>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20"/>
        <w:rPr>
          <w:snapToGrid w:val="0"/>
        </w:rPr>
      </w:pPr>
      <w:r>
        <w:rPr>
          <w:snapToGrid w:val="0"/>
        </w:rPr>
        <w:tab/>
      </w:r>
      <w:r>
        <w:rPr>
          <w:snapToGrid w:val="0"/>
        </w:rPr>
        <w:tab/>
        <w:t>is evidence of the matter averred.</w:t>
      </w:r>
    </w:p>
    <w:p>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pPr>
      <w:r>
        <w:tab/>
        <w:t xml:space="preserve">[Section 29 amended by No. 59 of 1996 s. 31 and 43; No. 84 of 2004 s. 80.] </w:t>
      </w:r>
    </w:p>
    <w:p>
      <w:pPr>
        <w:pStyle w:val="Heading5"/>
        <w:spacing w:before="180"/>
        <w:rPr>
          <w:snapToGrid w:val="0"/>
        </w:rPr>
      </w:pPr>
      <w:bookmarkStart w:id="239" w:name="_Toc411064815"/>
      <w:bookmarkStart w:id="240" w:name="_Toc51574277"/>
      <w:bookmarkStart w:id="241" w:name="_Toc108854240"/>
      <w:bookmarkStart w:id="242" w:name="_Toc177813721"/>
      <w:bookmarkStart w:id="243" w:name="_Toc171068104"/>
      <w:r>
        <w:rPr>
          <w:rStyle w:val="CharSectno"/>
        </w:rPr>
        <w:t>30</w:t>
      </w:r>
      <w:r>
        <w:rPr>
          <w:snapToGrid w:val="0"/>
        </w:rPr>
        <w:t>.</w:t>
      </w:r>
      <w:r>
        <w:rPr>
          <w:snapToGrid w:val="0"/>
        </w:rPr>
        <w:tab/>
        <w:t>Ammunition sales</w:t>
      </w:r>
      <w:bookmarkEnd w:id="239"/>
      <w:bookmarkEnd w:id="240"/>
      <w:bookmarkEnd w:id="241"/>
      <w:bookmarkEnd w:id="242"/>
      <w:bookmarkEnd w:id="243"/>
      <w:r>
        <w:rPr>
          <w:snapToGrid w:val="0"/>
        </w:rPr>
        <w:t xml:space="preserve"> </w:t>
      </w:r>
    </w:p>
    <w:p>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pPr>
        <w:pStyle w:val="Subsection"/>
        <w:rPr>
          <w:snapToGrid w:val="0"/>
          <w:spacing w:val="-4"/>
        </w:rPr>
      </w:pPr>
      <w:r>
        <w:rPr>
          <w:snapToGrid w:val="0"/>
          <w:spacing w:val="-4"/>
        </w:rPr>
        <w:tab/>
        <w:t>(3)</w:t>
      </w:r>
      <w:r>
        <w:rPr>
          <w:snapToGrid w:val="0"/>
          <w:spacing w:val="-4"/>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 signature thereto of the person to whom the ammunition is supplied.</w:t>
      </w:r>
    </w:p>
    <w:p>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rPr>
          <w:b/>
          <w:snapToGrid w:val="0"/>
        </w:rPr>
        <w:t>“</w:t>
      </w:r>
      <w:r>
        <w:rPr>
          <w:rStyle w:val="CharDefText"/>
        </w:rPr>
        <w:t>the provider</w:t>
      </w:r>
      <w:r>
        <w:rPr>
          <w:b/>
          <w:snapToGrid w:val="0"/>
        </w:rPr>
        <w:t>”</w:t>
      </w:r>
      <w:r>
        <w:rPr>
          <w:snapToGrid w:val="0"/>
        </w:rPr>
        <w:t xml:space="preserve">) does not request the person receiving the ammunition (in this subsection called </w:t>
      </w:r>
      <w:r>
        <w:rPr>
          <w:b/>
          <w:snapToGrid w:val="0"/>
        </w:rPr>
        <w:t>“</w:t>
      </w:r>
      <w:r>
        <w:rPr>
          <w:rStyle w:val="CharDefText"/>
        </w:rPr>
        <w:t>the receiver</w:t>
      </w:r>
      <w:r>
        <w:rPr>
          <w:b/>
          <w:snapToGrid w:val="0"/>
        </w:rPr>
        <w:t>”</w:t>
      </w:r>
      <w:r>
        <w:rPr>
          <w:snapToGrid w:val="0"/>
        </w:rPr>
        <w:t>) to produce — </w:t>
      </w:r>
    </w:p>
    <w:p>
      <w:pPr>
        <w:pStyle w:val="Indenta"/>
        <w:rPr>
          <w:snapToGrid w:val="0"/>
        </w:rPr>
      </w:pPr>
      <w:r>
        <w:rPr>
          <w:snapToGrid w:val="0"/>
        </w:rPr>
        <w:tab/>
        <w:t>(a)</w:t>
      </w:r>
      <w:r>
        <w:rPr>
          <w:snapToGrid w:val="0"/>
        </w:rPr>
        <w:tab/>
        <w:t>a relevant licence or permit, or evidence of —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 xml:space="preserve">a relevant authorisation; </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 xml:space="preserve">[Section 30 amended by No. 54 of 1978 s. 5; No. 70 of 1987 s. 10; No. 59 of 1996 s. 32, 44 and 50(1); No. 69 of 2004 s. 31.] </w:t>
      </w:r>
    </w:p>
    <w:p>
      <w:pPr>
        <w:pStyle w:val="Heading5"/>
        <w:rPr>
          <w:snapToGrid w:val="0"/>
        </w:rPr>
      </w:pPr>
      <w:bookmarkStart w:id="244" w:name="_Toc411064816"/>
      <w:bookmarkStart w:id="245" w:name="_Toc51574278"/>
      <w:bookmarkStart w:id="246" w:name="_Toc108854241"/>
      <w:bookmarkStart w:id="247" w:name="_Toc177813722"/>
      <w:bookmarkStart w:id="248" w:name="_Toc171068105"/>
      <w:r>
        <w:rPr>
          <w:rStyle w:val="CharSectno"/>
        </w:rPr>
        <w:t>30A</w:t>
      </w:r>
      <w:r>
        <w:rPr>
          <w:snapToGrid w:val="0"/>
        </w:rPr>
        <w:t>.</w:t>
      </w:r>
      <w:r>
        <w:rPr>
          <w:snapToGrid w:val="0"/>
        </w:rPr>
        <w:tab/>
        <w:t>Sale and disposal of firearms</w:t>
      </w:r>
      <w:bookmarkEnd w:id="244"/>
      <w:bookmarkEnd w:id="245"/>
      <w:bookmarkEnd w:id="246"/>
      <w:bookmarkEnd w:id="247"/>
      <w:bookmarkEnd w:id="248"/>
      <w:r>
        <w:rPr>
          <w:snapToGrid w:val="0"/>
        </w:rPr>
        <w:t xml:space="preserve"> </w:t>
      </w:r>
    </w:p>
    <w:p>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 </w:t>
      </w:r>
    </w:p>
    <w:p>
      <w:pPr>
        <w:pStyle w:val="Indenta"/>
        <w:rPr>
          <w:snapToGrid w:val="0"/>
        </w:rPr>
      </w:pPr>
      <w:r>
        <w:rPr>
          <w:snapToGrid w:val="0"/>
        </w:rPr>
        <w:tab/>
        <w:t>(a)</w:t>
      </w:r>
      <w:r>
        <w:rPr>
          <w:snapToGrid w:val="0"/>
        </w:rPr>
        <w:tab/>
        <w:t>the licence number; and</w:t>
      </w:r>
    </w:p>
    <w:p>
      <w:pPr>
        <w:pStyle w:val="Indenta"/>
        <w:rPr>
          <w:snapToGrid w:val="0"/>
        </w:rPr>
      </w:pPr>
      <w:r>
        <w:rPr>
          <w:snapToGrid w:val="0"/>
        </w:rPr>
        <w:tab/>
        <w:t>(b)</w:t>
      </w:r>
      <w:r>
        <w:rPr>
          <w:snapToGrid w:val="0"/>
        </w:rPr>
        <w:tab/>
        <w:t>either the business name or such other details as are sufficient to identify the holder of the licence.</w:t>
      </w:r>
    </w:p>
    <w:p>
      <w:pPr>
        <w:pStyle w:val="Subsection"/>
        <w:spacing w:before="120"/>
        <w:rPr>
          <w:snapToGrid w:val="0"/>
        </w:rPr>
      </w:pPr>
      <w:r>
        <w:rPr>
          <w:snapToGrid w:val="0"/>
        </w:rPr>
        <w:tab/>
        <w:t>(3)</w:t>
      </w:r>
      <w:r>
        <w:rPr>
          <w:snapToGrid w:val="0"/>
        </w:rPr>
        <w:tab/>
        <w:t>A person who sends a firearm by post to a destination that is outside the State — </w:t>
      </w:r>
    </w:p>
    <w:p>
      <w:pPr>
        <w:pStyle w:val="Indenta"/>
        <w:rPr>
          <w:snapToGrid w:val="0"/>
        </w:rPr>
      </w:pPr>
      <w:r>
        <w:rPr>
          <w:snapToGrid w:val="0"/>
        </w:rPr>
        <w:tab/>
        <w:t>(a)</w:t>
      </w:r>
      <w:r>
        <w:rPr>
          <w:snapToGrid w:val="0"/>
        </w:rPr>
        <w:tab/>
        <w:t>is required to address the firearm to premises at which the business of a dealer may lawfully be carried on; and</w:t>
      </w:r>
    </w:p>
    <w:p>
      <w:pPr>
        <w:pStyle w:val="Indenta"/>
        <w:rPr>
          <w:snapToGrid w:val="0"/>
        </w:rPr>
      </w:pPr>
      <w:r>
        <w:rPr>
          <w:snapToGrid w:val="0"/>
        </w:rPr>
        <w:tab/>
        <w:t>(b)</w:t>
      </w:r>
      <w:r>
        <w:rPr>
          <w:snapToGrid w:val="0"/>
        </w:rPr>
        <w:tab/>
        <w:t>is not to send ammunition in the package containing the firearm.</w:t>
      </w:r>
    </w:p>
    <w:p>
      <w:pPr>
        <w:pStyle w:val="Penstart"/>
        <w:rPr>
          <w:snapToGrid w:val="0"/>
        </w:rPr>
      </w:pPr>
      <w:r>
        <w:rPr>
          <w:snapToGrid w:val="0"/>
        </w:rPr>
        <w:tab/>
        <w:t>Penalty: $2 000.</w:t>
      </w:r>
    </w:p>
    <w:p>
      <w:pPr>
        <w:pStyle w:val="Footnotesection"/>
      </w:pPr>
      <w:r>
        <w:tab/>
        <w:t xml:space="preserve">[Section 30A inserted by No. 59 of 1996 s. 33; amended by No. 69 of 2004 s. 31.] </w:t>
      </w:r>
    </w:p>
    <w:p>
      <w:pPr>
        <w:pStyle w:val="Heading5"/>
        <w:keepNext w:val="0"/>
        <w:keepLines w:val="0"/>
        <w:rPr>
          <w:snapToGrid w:val="0"/>
        </w:rPr>
      </w:pPr>
      <w:bookmarkStart w:id="249" w:name="_Toc411064817"/>
      <w:bookmarkStart w:id="250" w:name="_Toc51574279"/>
      <w:bookmarkStart w:id="251" w:name="_Toc108854242"/>
      <w:bookmarkStart w:id="252" w:name="_Toc177813723"/>
      <w:bookmarkStart w:id="253" w:name="_Toc171068106"/>
      <w:r>
        <w:rPr>
          <w:rStyle w:val="CharSectno"/>
        </w:rPr>
        <w:t>30B</w:t>
      </w:r>
      <w:r>
        <w:rPr>
          <w:snapToGrid w:val="0"/>
        </w:rPr>
        <w:t>.</w:t>
      </w:r>
      <w:r>
        <w:rPr>
          <w:snapToGrid w:val="0"/>
        </w:rPr>
        <w:tab/>
        <w:t>Loss, theft, destruction, or disposal out of the State, to be reported</w:t>
      </w:r>
      <w:bookmarkEnd w:id="249"/>
      <w:bookmarkEnd w:id="250"/>
      <w:bookmarkEnd w:id="251"/>
      <w:bookmarkEnd w:id="252"/>
      <w:bookmarkEnd w:id="253"/>
      <w:r>
        <w:rPr>
          <w:snapToGrid w:val="0"/>
        </w:rPr>
        <w:t xml:space="preserve"> </w:t>
      </w:r>
    </w:p>
    <w:p>
      <w:pPr>
        <w:pStyle w:val="Subsection"/>
        <w:spacing w:before="120"/>
        <w:rPr>
          <w:snapToGrid w:val="0"/>
        </w:rPr>
      </w:pPr>
      <w:r>
        <w:rPr>
          <w:snapToGrid w:val="0"/>
        </w:rPr>
        <w:tab/>
        <w:t>(1)</w:t>
      </w:r>
      <w:r>
        <w:rPr>
          <w:snapToGrid w:val="0"/>
        </w:rPr>
        <w:tab/>
        <w:t>Where any person entitled under an Act of the State or the Commonwealth to possess a firearm or any ammunition — </w:t>
      </w:r>
    </w:p>
    <w:p>
      <w:pPr>
        <w:pStyle w:val="Indenta"/>
        <w:rPr>
          <w:snapToGrid w:val="0"/>
        </w:rPr>
      </w:pPr>
      <w:r>
        <w:rPr>
          <w:snapToGrid w:val="0"/>
        </w:rPr>
        <w:tab/>
        <w:t>(a)</w:t>
      </w:r>
      <w:r>
        <w:rPr>
          <w:snapToGrid w:val="0"/>
        </w:rPr>
        <w:tab/>
        <w:t>loses the firearm or ammunition, whether or not by theft; or</w:t>
      </w:r>
    </w:p>
    <w:p>
      <w:pPr>
        <w:pStyle w:val="Indenta"/>
        <w:rPr>
          <w:snapToGrid w:val="0"/>
        </w:rPr>
      </w:pPr>
      <w:r>
        <w:rPr>
          <w:snapToGrid w:val="0"/>
        </w:rPr>
        <w:tab/>
        <w:t>(b)</w:t>
      </w:r>
      <w:r>
        <w:rPr>
          <w:snapToGrid w:val="0"/>
        </w:rPr>
        <w:tab/>
        <w:t>becomes aware that the firearm has been destroyed, otherwise than by the authority of the Commissioner under this Act,</w:t>
      </w:r>
    </w:p>
    <w:p>
      <w:pPr>
        <w:pStyle w:val="Subsection"/>
        <w:rPr>
          <w:snapToGrid w:val="0"/>
        </w:rPr>
      </w:pPr>
      <w:r>
        <w:rPr>
          <w:snapToGrid w:val="0"/>
        </w:rPr>
        <w:tab/>
      </w:r>
      <w:r>
        <w:rPr>
          <w:snapToGrid w:val="0"/>
        </w:rPr>
        <w:tab/>
        <w:t>that person is required, as soon as is practicable, to report the loss or destruction to the Commissioner.</w:t>
      </w:r>
    </w:p>
    <w:p>
      <w:pPr>
        <w:pStyle w:val="Subsection"/>
        <w:ind w:left="890" w:hanging="890"/>
        <w:rPr>
          <w:snapToGrid w:val="0"/>
        </w:rPr>
      </w:pPr>
      <w:r>
        <w:rPr>
          <w:snapToGrid w:val="0"/>
        </w:rPr>
        <w:tab/>
        <w:t>(2)</w:t>
      </w:r>
      <w:r>
        <w:rPr>
          <w:snapToGrid w:val="0"/>
        </w:rPr>
        <w:tab/>
        <w:t>Where any person entitled under this Act to possess a firearm disposes of that firearm — </w:t>
      </w:r>
    </w:p>
    <w:p>
      <w:pPr>
        <w:pStyle w:val="Indenta"/>
        <w:rPr>
          <w:snapToGrid w:val="0"/>
        </w:rPr>
      </w:pPr>
      <w:r>
        <w:rPr>
          <w:snapToGrid w:val="0"/>
        </w:rPr>
        <w:tab/>
        <w:t>(a)</w:t>
      </w:r>
      <w:r>
        <w:rPr>
          <w:snapToGrid w:val="0"/>
        </w:rPr>
        <w:tab/>
        <w:t>in a place outside the State; or</w:t>
      </w:r>
    </w:p>
    <w:p>
      <w:pPr>
        <w:pStyle w:val="Indenta"/>
        <w:rPr>
          <w:snapToGrid w:val="0"/>
        </w:rPr>
      </w:pPr>
      <w:r>
        <w:rPr>
          <w:snapToGrid w:val="0"/>
        </w:rPr>
        <w:tab/>
        <w:t>(b)</w:t>
      </w:r>
      <w:r>
        <w:rPr>
          <w:snapToGrid w:val="0"/>
        </w:rPr>
        <w:tab/>
        <w:t>to a destination outside the State,</w:t>
      </w:r>
    </w:p>
    <w:p>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pPr>
        <w:pStyle w:val="Penstart"/>
        <w:rPr>
          <w:snapToGrid w:val="0"/>
        </w:rPr>
      </w:pPr>
      <w:r>
        <w:rPr>
          <w:snapToGrid w:val="0"/>
        </w:rPr>
        <w:tab/>
        <w:t>Penalty: $2 000.</w:t>
      </w:r>
    </w:p>
    <w:p>
      <w:pPr>
        <w:pStyle w:val="Footnotesection"/>
      </w:pPr>
      <w:r>
        <w:tab/>
        <w:t xml:space="preserve">[Section 30B inserted by No. 59 of 1996 s. 33; amended by No. 69 of 2004 s. 31.] </w:t>
      </w:r>
    </w:p>
    <w:p>
      <w:pPr>
        <w:pStyle w:val="Heading5"/>
        <w:rPr>
          <w:snapToGrid w:val="0"/>
        </w:rPr>
      </w:pPr>
      <w:bookmarkStart w:id="254" w:name="_Toc411064818"/>
      <w:bookmarkStart w:id="255" w:name="_Toc51574280"/>
      <w:bookmarkStart w:id="256" w:name="_Toc108854243"/>
      <w:bookmarkStart w:id="257" w:name="_Toc177813724"/>
      <w:bookmarkStart w:id="258" w:name="_Toc171068107"/>
      <w:r>
        <w:rPr>
          <w:rStyle w:val="CharSectno"/>
        </w:rPr>
        <w:t>31</w:t>
      </w:r>
      <w:r>
        <w:rPr>
          <w:snapToGrid w:val="0"/>
        </w:rPr>
        <w:t>.</w:t>
      </w:r>
      <w:r>
        <w:rPr>
          <w:snapToGrid w:val="0"/>
        </w:rPr>
        <w:tab/>
        <w:t>Records</w:t>
      </w:r>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pPr>
        <w:pStyle w:val="Subsection"/>
        <w:rPr>
          <w:snapToGrid w:val="0"/>
        </w:rPr>
      </w:pPr>
      <w:r>
        <w:rPr>
          <w:snapToGrid w:val="0"/>
        </w:rPr>
        <w:tab/>
        <w:t>(4)</w:t>
      </w:r>
      <w:r>
        <w:rPr>
          <w:snapToGrid w:val="0"/>
        </w:rPr>
        <w:tab/>
        <w:t>A person who contravenes subsection (2), (2a), or (3) commits an offence.</w:t>
      </w:r>
    </w:p>
    <w:p>
      <w:pPr>
        <w:pStyle w:val="Penstart"/>
        <w:rPr>
          <w:snapToGrid w:val="0"/>
        </w:rPr>
      </w:pPr>
      <w:r>
        <w:rPr>
          <w:snapToGrid w:val="0"/>
        </w:rPr>
        <w:tab/>
        <w:t>Penalty: $4 000.</w:t>
      </w:r>
    </w:p>
    <w:p>
      <w:pPr>
        <w:pStyle w:val="Footnotesection"/>
      </w:pPr>
      <w:r>
        <w:tab/>
        <w:t xml:space="preserve">[Section 31 amended by No. 59 of 1996 s. 34; No. 69 of 2004 s. 27 and 31.] </w:t>
      </w:r>
    </w:p>
    <w:p>
      <w:pPr>
        <w:pStyle w:val="Heading5"/>
        <w:rPr>
          <w:snapToGrid w:val="0"/>
        </w:rPr>
      </w:pPr>
      <w:bookmarkStart w:id="259" w:name="_Toc411064819"/>
      <w:bookmarkStart w:id="260" w:name="_Toc51574281"/>
      <w:bookmarkStart w:id="261" w:name="_Toc108854244"/>
      <w:bookmarkStart w:id="262" w:name="_Toc177813725"/>
      <w:bookmarkStart w:id="263" w:name="_Toc171068108"/>
      <w:r>
        <w:rPr>
          <w:rStyle w:val="CharSectno"/>
        </w:rPr>
        <w:t>32</w:t>
      </w:r>
      <w:r>
        <w:rPr>
          <w:snapToGrid w:val="0"/>
        </w:rPr>
        <w:t>.</w:t>
      </w:r>
      <w:r>
        <w:rPr>
          <w:snapToGrid w:val="0"/>
        </w:rPr>
        <w:tab/>
        <w:t>Safe keeping by traders</w:t>
      </w:r>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pPr>
        <w:pStyle w:val="Penstart"/>
      </w:pPr>
      <w:r>
        <w:tab/>
        <w:t xml:space="preserve">Penalty: </w:t>
      </w:r>
    </w:p>
    <w:p>
      <w:pPr>
        <w:pStyle w:val="Penpara"/>
      </w:pPr>
      <w:r>
        <w:tab/>
        <w:t>(a)</w:t>
      </w:r>
      <w:r>
        <w:tab/>
        <w:t>for a first offence, a fine of $4 000;</w:t>
      </w:r>
    </w:p>
    <w:p>
      <w:pPr>
        <w:pStyle w:val="Penpara"/>
      </w:pPr>
      <w:r>
        <w:tab/>
        <w:t>(b)</w:t>
      </w:r>
      <w:r>
        <w:tab/>
        <w:t>for a subsequent offence, imprisonment for 2 years or a fine of $8 000.</w:t>
      </w:r>
    </w:p>
    <w:p>
      <w:pPr>
        <w:pStyle w:val="Footnotesection"/>
      </w:pPr>
      <w:r>
        <w:tab/>
        <w:t xml:space="preserve">[Section 32 amended by No. 59 of 1996 s. 35; No. 69 of 2004 s. 28.] </w:t>
      </w:r>
    </w:p>
    <w:p>
      <w:pPr>
        <w:pStyle w:val="Heading5"/>
        <w:rPr>
          <w:snapToGrid w:val="0"/>
        </w:rPr>
      </w:pPr>
      <w:bookmarkStart w:id="264" w:name="_Toc411064820"/>
      <w:bookmarkStart w:id="265" w:name="_Toc51574282"/>
      <w:bookmarkStart w:id="266" w:name="_Toc108854245"/>
      <w:bookmarkStart w:id="267" w:name="_Toc177813726"/>
      <w:bookmarkStart w:id="268" w:name="_Toc171068109"/>
      <w:r>
        <w:rPr>
          <w:rStyle w:val="CharSectno"/>
        </w:rPr>
        <w:t>33</w:t>
      </w:r>
      <w:r>
        <w:rPr>
          <w:snapToGrid w:val="0"/>
        </w:rPr>
        <w:t>.</w:t>
      </w:r>
      <w:r>
        <w:rPr>
          <w:snapToGrid w:val="0"/>
        </w:rPr>
        <w:tab/>
        <w:t>Disposal of firearms</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Where any firearm or ammunition is in the possession of a member of the Police Force if —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pPr>
        <w:pStyle w:val="Subsection"/>
        <w:rPr>
          <w:snapToGrid w:val="0"/>
        </w:rPr>
      </w:pPr>
      <w:r>
        <w:rPr>
          <w:snapToGrid w:val="0"/>
        </w:rPr>
        <w:tab/>
      </w:r>
      <w:r>
        <w:rPr>
          <w:snapToGrid w:val="0"/>
        </w:rPr>
        <w:tab/>
        <w:t>the Commissioner may dispose of that firearm or ammunition in accordance with the regulations by destruction, sale or otherwise.</w:t>
      </w:r>
    </w:p>
    <w:p>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pPr>
        <w:pStyle w:val="Indenta"/>
        <w:rPr>
          <w:snapToGrid w:val="0"/>
        </w:rPr>
      </w:pPr>
      <w:r>
        <w:rPr>
          <w:snapToGrid w:val="0"/>
        </w:rPr>
        <w:tab/>
        <w:t>(a)</w:t>
      </w:r>
      <w:r>
        <w:rPr>
          <w:snapToGrid w:val="0"/>
        </w:rPr>
        <w:tab/>
        <w:t>may sue for and recover in any court of competent jurisdiction; or</w:t>
      </w:r>
    </w:p>
    <w:p>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Footnotesection"/>
      </w:pPr>
      <w:r>
        <w:tab/>
        <w:t xml:space="preserve">[Section 33 amended by No. 6 of 1993 s. 11; No. 73 of 1994 s. 4; No. 49 of 1996 s. 64; No. 59 of 1996 s. 36; No. 77 of 2006 s. 4.] </w:t>
      </w:r>
    </w:p>
    <w:p>
      <w:pPr>
        <w:pStyle w:val="Heading5"/>
        <w:rPr>
          <w:snapToGrid w:val="0"/>
        </w:rPr>
      </w:pPr>
      <w:bookmarkStart w:id="269" w:name="_Toc411064821"/>
      <w:bookmarkStart w:id="270" w:name="_Toc51574283"/>
      <w:bookmarkStart w:id="271" w:name="_Toc108854246"/>
      <w:bookmarkStart w:id="272" w:name="_Toc177813727"/>
      <w:bookmarkStart w:id="273" w:name="_Toc171068110"/>
      <w:r>
        <w:rPr>
          <w:rStyle w:val="CharSectno"/>
        </w:rPr>
        <w:t>34</w:t>
      </w:r>
      <w:r>
        <w:rPr>
          <w:snapToGrid w:val="0"/>
        </w:rPr>
        <w:t>.</w:t>
      </w:r>
      <w:r>
        <w:rPr>
          <w:snapToGrid w:val="0"/>
        </w:rPr>
        <w:tab/>
        <w:t>Regulations</w:t>
      </w:r>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 </w:t>
      </w:r>
    </w:p>
    <w:p>
      <w:pPr>
        <w:pStyle w:val="Indenta"/>
        <w:rPr>
          <w:snapToGrid w:val="0"/>
        </w:rPr>
      </w:pPr>
      <w:r>
        <w:rPr>
          <w:snapToGrid w:val="0"/>
        </w:rPr>
        <w:tab/>
        <w:t>(a)</w:t>
      </w:r>
      <w:r>
        <w:rPr>
          <w:snapToGrid w:val="0"/>
        </w:rPr>
        <w:tab/>
        <w:t>the application for and the issue, grant, renewal, cancellation or revocation of licences, permits and approvals under this Act;</w:t>
      </w:r>
    </w:p>
    <w:p>
      <w:pPr>
        <w:pStyle w:val="Indenta"/>
        <w:rPr>
          <w:snapToGrid w:val="0"/>
        </w:rPr>
      </w:pPr>
      <w:r>
        <w:rPr>
          <w:snapToGrid w:val="0"/>
        </w:rPr>
        <w:tab/>
        <w:t>(b)</w:t>
      </w:r>
      <w:r>
        <w:rPr>
          <w:snapToGrid w:val="0"/>
        </w:rPr>
        <w:tab/>
        <w:t>the restrictions, limitations and conditions that may be imposed on any licence, permit or approval;</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w:t>
      </w:r>
    </w:p>
    <w:p>
      <w:pPr>
        <w:pStyle w:val="Indenta"/>
        <w:rPr>
          <w:snapToGrid w:val="0"/>
        </w:rPr>
      </w:pPr>
      <w:r>
        <w:rPr>
          <w:snapToGrid w:val="0"/>
        </w:rPr>
        <w:tab/>
        <w:t>(f)</w:t>
      </w:r>
      <w:r>
        <w:rPr>
          <w:snapToGrid w:val="0"/>
        </w:rPr>
        <w:tab/>
        <w:t>the classification of firearms and ammunition for the purposes of this Act;</w:t>
      </w:r>
    </w:p>
    <w:p>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w:t>
      </w:r>
    </w:p>
    <w:p>
      <w:pPr>
        <w:pStyle w:val="Indenta"/>
        <w:rPr>
          <w:snapToGrid w:val="0"/>
        </w:rPr>
      </w:pPr>
      <w:r>
        <w:rPr>
          <w:snapToGrid w:val="0"/>
        </w:rPr>
        <w:tab/>
        <w:t>(ga)</w:t>
      </w:r>
      <w:r>
        <w:rPr>
          <w:snapToGrid w:val="0"/>
        </w:rPr>
        <w:tab/>
        <w:t>the sending or conveyance of firearms or ammunition;</w:t>
      </w:r>
    </w:p>
    <w:p>
      <w:pPr>
        <w:pStyle w:val="Indenta"/>
        <w:rPr>
          <w:snapToGrid w:val="0"/>
        </w:rPr>
      </w:pPr>
      <w:r>
        <w:rPr>
          <w:snapToGrid w:val="0"/>
        </w:rPr>
        <w:tab/>
        <w:t>(h)</w:t>
      </w:r>
      <w:r>
        <w:rPr>
          <w:snapToGrid w:val="0"/>
        </w:rPr>
        <w:tab/>
        <w:t>the construction and conduct of shooting galleries and ranges;</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pPr>
        <w:pStyle w:val="Subsection"/>
        <w:rPr>
          <w:snapToGrid w:val="0"/>
        </w:rPr>
      </w:pPr>
      <w:r>
        <w:rPr>
          <w:snapToGrid w:val="0"/>
        </w:rPr>
        <w:tab/>
        <w:t>(3)</w:t>
      </w:r>
      <w:r>
        <w:rPr>
          <w:snapToGrid w:val="0"/>
        </w:rPr>
        <w:tab/>
        <w:t>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provide penalties, not exceeding $2 000, for the contravention of any regulation.</w:t>
      </w:r>
    </w:p>
    <w:p>
      <w:pPr>
        <w:pStyle w:val="Footnotesection"/>
      </w:pPr>
      <w:r>
        <w:tab/>
        <w:t xml:space="preserve">[Section 34 amended by No. 54 of 1978 s. 6; No. 70 of 1987 s. 11; No. 59 of 1996 s. 37 and 50(1); No. 55 of 2004 s. 370; No. 69 of 2004 s. 29 and 31.] </w:t>
      </w:r>
    </w:p>
    <w:p>
      <w:pPr>
        <w:pStyle w:val="yEdnoteschedule"/>
        <w:keepNext/>
        <w:rPr>
          <w:sz w:val="24"/>
        </w:rPr>
      </w:pPr>
      <w:bookmarkStart w:id="274" w:name="_Toc72634770"/>
      <w:bookmarkStart w:id="275" w:name="_Toc72898964"/>
      <w:bookmarkStart w:id="276" w:name="_Toc89519543"/>
      <w:bookmarkStart w:id="277" w:name="_Toc90434421"/>
      <w:bookmarkStart w:id="278" w:name="_Toc90436375"/>
      <w:bookmarkStart w:id="279" w:name="_Toc91392013"/>
      <w:bookmarkStart w:id="280" w:name="_Toc92522866"/>
      <w:bookmarkStart w:id="281" w:name="_Toc94589501"/>
      <w:bookmarkStart w:id="282" w:name="_Toc94590486"/>
      <w:r>
        <w:rPr>
          <w:sz w:val="24"/>
        </w:rPr>
        <w:t>[Schedule 1 omitted under the Reprints Act 1984 s. 7(4)(f).]</w:t>
      </w:r>
    </w:p>
    <w:p>
      <w:pPr>
        <w:pStyle w:val="yEdnoteschedule"/>
        <w:rPr>
          <w:sz w:val="24"/>
        </w:rPr>
      </w:pPr>
      <w:r>
        <w:rPr>
          <w:sz w:val="24"/>
        </w:rPr>
        <w:t>[Schedule 2 repealed by No. 69 of 2004 s. 30.]</w:t>
      </w:r>
    </w:p>
    <w:p>
      <w:pPr>
        <w:pStyle w:val="yEdnoteschedule"/>
      </w:pPr>
      <w:r>
        <w:rPr>
          <w:sz w:val="24"/>
        </w:rPr>
        <w:t>[Schedule 3 repealed by No. 55 of 2004 s. 371.]</w:t>
      </w:r>
    </w:p>
    <w:p>
      <w:pPr>
        <w:pStyle w:val="yEdnoteschedule"/>
        <w:keepNext/>
        <w:rPr>
          <w:sz w:val="24"/>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outlineLvl w:val="2"/>
      </w:pPr>
      <w:bookmarkStart w:id="283" w:name="UpToHere"/>
      <w:bookmarkStart w:id="284" w:name="_Toc72634793"/>
      <w:bookmarkStart w:id="285" w:name="_Toc72898987"/>
      <w:bookmarkStart w:id="286" w:name="_Toc89519566"/>
      <w:bookmarkStart w:id="287" w:name="_Toc90434444"/>
      <w:bookmarkStart w:id="288" w:name="_Toc90436398"/>
      <w:bookmarkStart w:id="289" w:name="_Toc91392036"/>
      <w:bookmarkStart w:id="290" w:name="_Toc92522873"/>
      <w:bookmarkStart w:id="291" w:name="_Toc94589502"/>
      <w:bookmarkStart w:id="292" w:name="_Toc94590487"/>
      <w:bookmarkStart w:id="293" w:name="_Toc97110734"/>
      <w:bookmarkStart w:id="294" w:name="_Toc102295883"/>
      <w:bookmarkStart w:id="295" w:name="_Toc103065865"/>
      <w:bookmarkStart w:id="296" w:name="_Toc103420291"/>
      <w:bookmarkStart w:id="297" w:name="_Toc103422013"/>
      <w:bookmarkStart w:id="298" w:name="_Toc103479951"/>
      <w:bookmarkStart w:id="299" w:name="_Toc103500195"/>
      <w:bookmarkStart w:id="300" w:name="_Toc103501501"/>
      <w:bookmarkStart w:id="301" w:name="_Toc106682647"/>
      <w:bookmarkStart w:id="302" w:name="_Toc107053721"/>
      <w:bookmarkStart w:id="303" w:name="_Toc107053780"/>
      <w:bookmarkStart w:id="304" w:name="_Toc108240657"/>
      <w:bookmarkStart w:id="305" w:name="_Toc108240971"/>
      <w:bookmarkStart w:id="306" w:name="_Toc108241030"/>
      <w:bookmarkStart w:id="307" w:name="_Toc108854247"/>
      <w:bookmarkStart w:id="308" w:name="_Toc148180492"/>
      <w:bookmarkStart w:id="309" w:name="_Toc151797080"/>
      <w:bookmarkStart w:id="310" w:name="_Toc157854283"/>
      <w:bookmarkStart w:id="311" w:name="_Toc165959723"/>
      <w:bookmarkStart w:id="312" w:name="_Toc165969509"/>
      <w:bookmarkStart w:id="313" w:name="_Toc170711305"/>
      <w:bookmarkStart w:id="314" w:name="_Toc171068111"/>
      <w:bookmarkStart w:id="315" w:name="_Toc177813728"/>
      <w:bookmarkEnd w:id="274"/>
      <w:bookmarkEnd w:id="275"/>
      <w:bookmarkEnd w:id="276"/>
      <w:bookmarkEnd w:id="277"/>
      <w:bookmarkEnd w:id="278"/>
      <w:bookmarkEnd w:id="279"/>
      <w:bookmarkEnd w:id="280"/>
      <w:bookmarkEnd w:id="281"/>
      <w:bookmarkEnd w:id="282"/>
      <w:bookmarkEnd w:id="283"/>
      <w:r>
        <w:t>Notes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nSubsection"/>
        <w:rPr>
          <w:snapToGrid w:val="0"/>
        </w:rPr>
      </w:pPr>
      <w:r>
        <w:rPr>
          <w:snapToGrid w:val="0"/>
          <w:vertAlign w:val="superscript"/>
        </w:rPr>
        <w:t>1</w:t>
      </w:r>
      <w:r>
        <w:rPr>
          <w:snapToGrid w:val="0"/>
        </w:rPr>
        <w:tab/>
        <w:t xml:space="preserve">This is a compilation of the </w:t>
      </w:r>
      <w:r>
        <w:rPr>
          <w:i/>
          <w:noProof/>
          <w:snapToGrid w:val="0"/>
        </w:rPr>
        <w:t>Firearms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16" w:name="_Toc108854248"/>
      <w:bookmarkStart w:id="317" w:name="_Toc177813729"/>
      <w:bookmarkStart w:id="318" w:name="_Toc171068112"/>
      <w:r>
        <w:rPr>
          <w:snapToGrid w:val="0"/>
        </w:rPr>
        <w:t>Compilation table</w:t>
      </w:r>
      <w:bookmarkEnd w:id="316"/>
      <w:bookmarkEnd w:id="317"/>
      <w:bookmarkEnd w:id="318"/>
    </w:p>
    <w:tbl>
      <w:tblPr>
        <w:tblW w:w="7087" w:type="dxa"/>
        <w:tblInd w:w="56" w:type="dxa"/>
        <w:tblLayout w:type="fixed"/>
        <w:tblCellMar>
          <w:left w:w="56" w:type="dxa"/>
          <w:right w:w="56" w:type="dxa"/>
        </w:tblCellMar>
        <w:tblLook w:val="0000" w:firstRow="0" w:lastRow="0" w:firstColumn="0" w:lastColumn="0" w:noHBand="0" w:noVBand="0"/>
      </w:tblPr>
      <w:tblGrid>
        <w:gridCol w:w="2259"/>
        <w:gridCol w:w="11"/>
        <w:gridCol w:w="1077"/>
        <w:gridCol w:w="42"/>
        <w:gridCol w:w="1130"/>
        <w:gridCol w:w="24"/>
        <w:gridCol w:w="2544"/>
      </w:tblGrid>
      <w:tr>
        <w:trPr>
          <w:cantSplit/>
          <w:tblHeader/>
        </w:trPr>
        <w:tc>
          <w:tcPr>
            <w:tcW w:w="225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0"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6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9" w:type="dxa"/>
          </w:tcPr>
          <w:p>
            <w:pPr>
              <w:pStyle w:val="nTable"/>
              <w:spacing w:after="40"/>
              <w:ind w:right="113"/>
              <w:rPr>
                <w:sz w:val="19"/>
              </w:rPr>
            </w:pPr>
            <w:r>
              <w:rPr>
                <w:i/>
                <w:sz w:val="19"/>
              </w:rPr>
              <w:t>Firearms Act 1973</w:t>
            </w:r>
          </w:p>
        </w:tc>
        <w:tc>
          <w:tcPr>
            <w:tcW w:w="1130" w:type="dxa"/>
            <w:gridSpan w:val="3"/>
          </w:tcPr>
          <w:p>
            <w:pPr>
              <w:pStyle w:val="nTable"/>
              <w:spacing w:after="40"/>
              <w:rPr>
                <w:sz w:val="19"/>
              </w:rPr>
            </w:pPr>
            <w:r>
              <w:rPr>
                <w:sz w:val="19"/>
              </w:rPr>
              <w:t>36 of 1973</w:t>
            </w:r>
          </w:p>
        </w:tc>
        <w:tc>
          <w:tcPr>
            <w:tcW w:w="1130" w:type="dxa"/>
          </w:tcPr>
          <w:p>
            <w:pPr>
              <w:pStyle w:val="nTable"/>
              <w:spacing w:after="40"/>
              <w:rPr>
                <w:sz w:val="19"/>
              </w:rPr>
            </w:pPr>
            <w:r>
              <w:rPr>
                <w:sz w:val="19"/>
              </w:rPr>
              <w:t>18 Oct 1973</w:t>
            </w:r>
          </w:p>
        </w:tc>
        <w:tc>
          <w:tcPr>
            <w:tcW w:w="2568" w:type="dxa"/>
            <w:gridSpan w:val="2"/>
          </w:tcPr>
          <w:p>
            <w:pPr>
              <w:pStyle w:val="nTable"/>
              <w:spacing w:after="40"/>
              <w:rPr>
                <w:sz w:val="19"/>
              </w:rPr>
            </w:pPr>
            <w:r>
              <w:rPr>
                <w:sz w:val="19"/>
              </w:rPr>
              <w:t>1 Jul 1974 (see s. 2 and </w:t>
            </w:r>
            <w:r>
              <w:rPr>
                <w:i/>
                <w:sz w:val="19"/>
              </w:rPr>
              <w:t>Gazette</w:t>
            </w:r>
            <w:r>
              <w:rPr>
                <w:sz w:val="19"/>
              </w:rPr>
              <w:t xml:space="preserve"> 29 Mar 1974 p. 1027)</w:t>
            </w:r>
          </w:p>
        </w:tc>
      </w:tr>
      <w:tr>
        <w:trPr>
          <w:cantSplit/>
        </w:trPr>
        <w:tc>
          <w:tcPr>
            <w:tcW w:w="2259" w:type="dxa"/>
          </w:tcPr>
          <w:p>
            <w:pPr>
              <w:pStyle w:val="nTable"/>
              <w:spacing w:after="40"/>
              <w:ind w:right="113"/>
              <w:rPr>
                <w:sz w:val="19"/>
              </w:rPr>
            </w:pPr>
            <w:r>
              <w:rPr>
                <w:i/>
                <w:sz w:val="19"/>
              </w:rPr>
              <w:t>Firearms Act Amendment Act 1976</w:t>
            </w:r>
          </w:p>
        </w:tc>
        <w:tc>
          <w:tcPr>
            <w:tcW w:w="1130" w:type="dxa"/>
            <w:gridSpan w:val="3"/>
          </w:tcPr>
          <w:p>
            <w:pPr>
              <w:pStyle w:val="nTable"/>
              <w:spacing w:after="40"/>
              <w:rPr>
                <w:sz w:val="19"/>
              </w:rPr>
            </w:pPr>
            <w:r>
              <w:rPr>
                <w:sz w:val="19"/>
              </w:rPr>
              <w:t>61 of 1976</w:t>
            </w:r>
          </w:p>
        </w:tc>
        <w:tc>
          <w:tcPr>
            <w:tcW w:w="1130" w:type="dxa"/>
          </w:tcPr>
          <w:p>
            <w:pPr>
              <w:pStyle w:val="nTable"/>
              <w:spacing w:after="40"/>
              <w:rPr>
                <w:sz w:val="19"/>
              </w:rPr>
            </w:pPr>
            <w:r>
              <w:rPr>
                <w:sz w:val="19"/>
              </w:rPr>
              <w:t>16 Sep 1976</w:t>
            </w:r>
          </w:p>
        </w:tc>
        <w:tc>
          <w:tcPr>
            <w:tcW w:w="2568" w:type="dxa"/>
            <w:gridSpan w:val="2"/>
          </w:tcPr>
          <w:p>
            <w:pPr>
              <w:pStyle w:val="nTable"/>
              <w:spacing w:after="40"/>
              <w:rPr>
                <w:sz w:val="19"/>
              </w:rPr>
            </w:pPr>
            <w:r>
              <w:rPr>
                <w:sz w:val="19"/>
              </w:rPr>
              <w:t>16 Sep 1976</w:t>
            </w:r>
          </w:p>
        </w:tc>
      </w:tr>
      <w:tr>
        <w:trPr>
          <w:cantSplit/>
        </w:trPr>
        <w:tc>
          <w:tcPr>
            <w:tcW w:w="2259" w:type="dxa"/>
          </w:tcPr>
          <w:p>
            <w:pPr>
              <w:pStyle w:val="nTable"/>
              <w:spacing w:after="40"/>
              <w:ind w:right="113"/>
              <w:rPr>
                <w:sz w:val="19"/>
              </w:rPr>
            </w:pPr>
            <w:r>
              <w:rPr>
                <w:i/>
                <w:sz w:val="19"/>
              </w:rPr>
              <w:t>Firearms Act Amendment Act 1978</w:t>
            </w:r>
          </w:p>
        </w:tc>
        <w:tc>
          <w:tcPr>
            <w:tcW w:w="1130" w:type="dxa"/>
            <w:gridSpan w:val="3"/>
          </w:tcPr>
          <w:p>
            <w:pPr>
              <w:pStyle w:val="nTable"/>
              <w:spacing w:after="40"/>
              <w:rPr>
                <w:sz w:val="19"/>
              </w:rPr>
            </w:pPr>
            <w:r>
              <w:rPr>
                <w:sz w:val="19"/>
              </w:rPr>
              <w:t>54 of 1978</w:t>
            </w:r>
          </w:p>
        </w:tc>
        <w:tc>
          <w:tcPr>
            <w:tcW w:w="1130" w:type="dxa"/>
          </w:tcPr>
          <w:p>
            <w:pPr>
              <w:pStyle w:val="nTable"/>
              <w:spacing w:after="40"/>
              <w:rPr>
                <w:sz w:val="19"/>
              </w:rPr>
            </w:pPr>
            <w:r>
              <w:rPr>
                <w:sz w:val="19"/>
              </w:rPr>
              <w:t>6 Sep 1978</w:t>
            </w:r>
          </w:p>
        </w:tc>
        <w:tc>
          <w:tcPr>
            <w:tcW w:w="2568" w:type="dxa"/>
            <w:gridSpan w:val="2"/>
          </w:tcPr>
          <w:p>
            <w:pPr>
              <w:pStyle w:val="nTable"/>
              <w:spacing w:after="40"/>
              <w:rPr>
                <w:sz w:val="19"/>
              </w:rPr>
            </w:pPr>
            <w:r>
              <w:rPr>
                <w:sz w:val="19"/>
              </w:rPr>
              <w:t>6 Sep 1978</w:t>
            </w:r>
          </w:p>
        </w:tc>
      </w:tr>
      <w:tr>
        <w:trPr>
          <w:cantSplit/>
        </w:trPr>
        <w:tc>
          <w:tcPr>
            <w:tcW w:w="2259" w:type="dxa"/>
          </w:tcPr>
          <w:p>
            <w:pPr>
              <w:pStyle w:val="nTable"/>
              <w:spacing w:after="40"/>
              <w:ind w:right="113"/>
              <w:rPr>
                <w:sz w:val="19"/>
              </w:rPr>
            </w:pPr>
            <w:r>
              <w:rPr>
                <w:i/>
                <w:sz w:val="19"/>
              </w:rPr>
              <w:t>Firearms Amendment Act 1980</w:t>
            </w:r>
          </w:p>
        </w:tc>
        <w:tc>
          <w:tcPr>
            <w:tcW w:w="1130" w:type="dxa"/>
            <w:gridSpan w:val="3"/>
          </w:tcPr>
          <w:p>
            <w:pPr>
              <w:pStyle w:val="nTable"/>
              <w:spacing w:after="40"/>
              <w:rPr>
                <w:sz w:val="19"/>
              </w:rPr>
            </w:pPr>
            <w:r>
              <w:rPr>
                <w:sz w:val="19"/>
              </w:rPr>
              <w:t>35 of 1980</w:t>
            </w:r>
          </w:p>
        </w:tc>
        <w:tc>
          <w:tcPr>
            <w:tcW w:w="1130" w:type="dxa"/>
          </w:tcPr>
          <w:p>
            <w:pPr>
              <w:pStyle w:val="nTable"/>
              <w:spacing w:after="40"/>
              <w:rPr>
                <w:sz w:val="19"/>
              </w:rPr>
            </w:pPr>
            <w:r>
              <w:rPr>
                <w:sz w:val="19"/>
              </w:rPr>
              <w:t>5 Nov 1980</w:t>
            </w:r>
          </w:p>
        </w:tc>
        <w:tc>
          <w:tcPr>
            <w:tcW w:w="2568" w:type="dxa"/>
            <w:gridSpan w:val="2"/>
          </w:tcPr>
          <w:p>
            <w:pPr>
              <w:pStyle w:val="nTable"/>
              <w:spacing w:after="40"/>
              <w:rPr>
                <w:sz w:val="19"/>
              </w:rPr>
            </w:pPr>
            <w:r>
              <w:rPr>
                <w:sz w:val="19"/>
              </w:rPr>
              <w:t xml:space="preserve">24 Jul 1981 (see s. 2 and </w:t>
            </w:r>
            <w:r>
              <w:rPr>
                <w:i/>
                <w:sz w:val="19"/>
              </w:rPr>
              <w:t>Gazette</w:t>
            </w:r>
            <w:r>
              <w:rPr>
                <w:sz w:val="19"/>
              </w:rPr>
              <w:t xml:space="preserve"> 24 Jul 1981 p. 3060)</w:t>
            </w:r>
          </w:p>
        </w:tc>
      </w:tr>
      <w:tr>
        <w:trPr>
          <w:cantSplit/>
        </w:trPr>
        <w:tc>
          <w:tcPr>
            <w:tcW w:w="7087" w:type="dxa"/>
            <w:gridSpan w:val="7"/>
          </w:tcPr>
          <w:p>
            <w:pPr>
              <w:pStyle w:val="nTable"/>
              <w:spacing w:after="40"/>
              <w:rPr>
                <w:sz w:val="19"/>
              </w:rPr>
            </w:pPr>
            <w:r>
              <w:rPr>
                <w:b/>
                <w:bCs/>
                <w:sz w:val="19"/>
              </w:rPr>
              <w:t xml:space="preserve">Reprint of the </w:t>
            </w:r>
            <w:r>
              <w:rPr>
                <w:b/>
                <w:bCs/>
                <w:i/>
                <w:sz w:val="19"/>
              </w:rPr>
              <w:t xml:space="preserve">Firearms Act 1973 </w:t>
            </w:r>
            <w:r>
              <w:rPr>
                <w:b/>
                <w:bCs/>
                <w:iCs/>
                <w:sz w:val="19"/>
              </w:rPr>
              <w:t>approved 22 Apr 1983</w:t>
            </w:r>
            <w:r>
              <w:rPr>
                <w:iCs/>
                <w:sz w:val="19"/>
              </w:rPr>
              <w:t xml:space="preserve"> (includes amendments listed above)</w:t>
            </w:r>
          </w:p>
        </w:tc>
      </w:tr>
      <w:tr>
        <w:trPr>
          <w:cantSplit/>
        </w:trPr>
        <w:tc>
          <w:tcPr>
            <w:tcW w:w="2259" w:type="dxa"/>
          </w:tcPr>
          <w:p>
            <w:pPr>
              <w:pStyle w:val="nTable"/>
              <w:spacing w:after="40"/>
              <w:ind w:right="113"/>
              <w:rPr>
                <w:sz w:val="19"/>
              </w:rPr>
            </w:pPr>
            <w:r>
              <w:rPr>
                <w:i/>
                <w:sz w:val="19"/>
              </w:rPr>
              <w:t>Firearms Amendment Act 1983</w:t>
            </w:r>
          </w:p>
        </w:tc>
        <w:tc>
          <w:tcPr>
            <w:tcW w:w="1130" w:type="dxa"/>
            <w:gridSpan w:val="3"/>
          </w:tcPr>
          <w:p>
            <w:pPr>
              <w:pStyle w:val="nTable"/>
              <w:spacing w:after="40"/>
              <w:rPr>
                <w:sz w:val="19"/>
              </w:rPr>
            </w:pPr>
            <w:r>
              <w:rPr>
                <w:sz w:val="19"/>
              </w:rPr>
              <w:t>3 of 1983</w:t>
            </w:r>
          </w:p>
        </w:tc>
        <w:tc>
          <w:tcPr>
            <w:tcW w:w="1130" w:type="dxa"/>
          </w:tcPr>
          <w:p>
            <w:pPr>
              <w:pStyle w:val="nTable"/>
              <w:spacing w:after="40"/>
              <w:rPr>
                <w:sz w:val="19"/>
              </w:rPr>
            </w:pPr>
            <w:r>
              <w:rPr>
                <w:sz w:val="19"/>
              </w:rPr>
              <w:t>1 Aug 1983</w:t>
            </w:r>
          </w:p>
        </w:tc>
        <w:tc>
          <w:tcPr>
            <w:tcW w:w="2568" w:type="dxa"/>
            <w:gridSpan w:val="2"/>
          </w:tcPr>
          <w:p>
            <w:pPr>
              <w:pStyle w:val="nTable"/>
              <w:spacing w:after="40"/>
              <w:rPr>
                <w:sz w:val="19"/>
              </w:rPr>
            </w:pPr>
            <w:r>
              <w:rPr>
                <w:sz w:val="19"/>
              </w:rPr>
              <w:t>1 Aug 1983</w:t>
            </w:r>
          </w:p>
        </w:tc>
      </w:tr>
      <w:tr>
        <w:trPr>
          <w:cantSplit/>
        </w:trPr>
        <w:tc>
          <w:tcPr>
            <w:tcW w:w="2259" w:type="dxa"/>
          </w:tcPr>
          <w:p>
            <w:pPr>
              <w:pStyle w:val="nTable"/>
              <w:spacing w:after="40"/>
              <w:ind w:right="113"/>
              <w:rPr>
                <w:sz w:val="19"/>
                <w:vertAlign w:val="superscript"/>
              </w:rPr>
            </w:pPr>
            <w:r>
              <w:rPr>
                <w:i/>
                <w:sz w:val="19"/>
              </w:rPr>
              <w:t>Acts Amendment (Financial Administration and Audit) Act 1985</w:t>
            </w:r>
            <w:r>
              <w:rPr>
                <w:sz w:val="19"/>
              </w:rPr>
              <w:t xml:space="preserve"> s. 3</w:t>
            </w:r>
            <w:r>
              <w:rPr>
                <w:sz w:val="19"/>
                <w:vertAlign w:val="superscript"/>
              </w:rPr>
              <w:t> 3</w:t>
            </w:r>
          </w:p>
        </w:tc>
        <w:tc>
          <w:tcPr>
            <w:tcW w:w="1130" w:type="dxa"/>
            <w:gridSpan w:val="3"/>
          </w:tcPr>
          <w:p>
            <w:pPr>
              <w:pStyle w:val="nTable"/>
              <w:spacing w:after="40"/>
              <w:rPr>
                <w:sz w:val="19"/>
              </w:rPr>
            </w:pPr>
            <w:r>
              <w:rPr>
                <w:sz w:val="19"/>
              </w:rPr>
              <w:t>98 of 1985</w:t>
            </w:r>
          </w:p>
        </w:tc>
        <w:tc>
          <w:tcPr>
            <w:tcW w:w="1130" w:type="dxa"/>
          </w:tcPr>
          <w:p>
            <w:pPr>
              <w:pStyle w:val="nTable"/>
              <w:spacing w:after="40"/>
              <w:rPr>
                <w:sz w:val="19"/>
              </w:rPr>
            </w:pPr>
            <w:r>
              <w:rPr>
                <w:sz w:val="19"/>
              </w:rPr>
              <w:t>4 Dec 1985</w:t>
            </w:r>
          </w:p>
        </w:tc>
        <w:tc>
          <w:tcPr>
            <w:tcW w:w="2568"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59" w:type="dxa"/>
          </w:tcPr>
          <w:p>
            <w:pPr>
              <w:pStyle w:val="nTable"/>
              <w:spacing w:after="40"/>
              <w:ind w:right="113"/>
              <w:rPr>
                <w:sz w:val="19"/>
              </w:rPr>
            </w:pPr>
            <w:r>
              <w:rPr>
                <w:i/>
                <w:sz w:val="19"/>
              </w:rPr>
              <w:t>Firearms Amendment Act 1987</w:t>
            </w:r>
          </w:p>
        </w:tc>
        <w:tc>
          <w:tcPr>
            <w:tcW w:w="1130" w:type="dxa"/>
            <w:gridSpan w:val="3"/>
          </w:tcPr>
          <w:p>
            <w:pPr>
              <w:pStyle w:val="nTable"/>
              <w:spacing w:after="40"/>
              <w:rPr>
                <w:sz w:val="19"/>
              </w:rPr>
            </w:pPr>
            <w:r>
              <w:rPr>
                <w:sz w:val="19"/>
              </w:rPr>
              <w:t>70 of 1987</w:t>
            </w:r>
          </w:p>
        </w:tc>
        <w:tc>
          <w:tcPr>
            <w:tcW w:w="1130" w:type="dxa"/>
          </w:tcPr>
          <w:p>
            <w:pPr>
              <w:pStyle w:val="nTable"/>
              <w:spacing w:after="40"/>
              <w:rPr>
                <w:sz w:val="19"/>
              </w:rPr>
            </w:pPr>
            <w:r>
              <w:rPr>
                <w:sz w:val="19"/>
              </w:rPr>
              <w:t>22 Nov 1987</w:t>
            </w:r>
          </w:p>
        </w:tc>
        <w:tc>
          <w:tcPr>
            <w:tcW w:w="2568" w:type="dxa"/>
            <w:gridSpan w:val="2"/>
          </w:tcPr>
          <w:p>
            <w:pPr>
              <w:pStyle w:val="nTable"/>
              <w:spacing w:after="40"/>
              <w:rPr>
                <w:sz w:val="19"/>
              </w:rPr>
            </w:pPr>
            <w:r>
              <w:rPr>
                <w:sz w:val="19"/>
              </w:rPr>
              <w:t xml:space="preserve">1 Oct 1989 (see s. 2 and </w:t>
            </w:r>
            <w:r>
              <w:rPr>
                <w:i/>
                <w:sz w:val="19"/>
              </w:rPr>
              <w:t>Gazette</w:t>
            </w:r>
            <w:r>
              <w:rPr>
                <w:sz w:val="19"/>
              </w:rPr>
              <w:t xml:space="preserve"> 29 Sep 1989 p. 3665)</w:t>
            </w:r>
          </w:p>
        </w:tc>
      </w:tr>
      <w:tr>
        <w:trPr>
          <w:cantSplit/>
        </w:trPr>
        <w:tc>
          <w:tcPr>
            <w:tcW w:w="2259" w:type="dxa"/>
          </w:tcPr>
          <w:p>
            <w:pPr>
              <w:pStyle w:val="nTable"/>
              <w:spacing w:after="40"/>
              <w:ind w:right="113"/>
              <w:rPr>
                <w:sz w:val="19"/>
              </w:rPr>
            </w:pPr>
            <w:r>
              <w:rPr>
                <w:i/>
                <w:sz w:val="19"/>
              </w:rPr>
              <w:t xml:space="preserve">Financial Administration Legislation Amendment Act 1993 </w:t>
            </w:r>
            <w:r>
              <w:rPr>
                <w:sz w:val="19"/>
              </w:rPr>
              <w:t>s. 11</w:t>
            </w:r>
          </w:p>
        </w:tc>
        <w:tc>
          <w:tcPr>
            <w:tcW w:w="1130" w:type="dxa"/>
            <w:gridSpan w:val="3"/>
          </w:tcPr>
          <w:p>
            <w:pPr>
              <w:pStyle w:val="nTable"/>
              <w:spacing w:after="40"/>
              <w:rPr>
                <w:sz w:val="19"/>
              </w:rPr>
            </w:pPr>
            <w:r>
              <w:rPr>
                <w:sz w:val="19"/>
              </w:rPr>
              <w:t>6 of 1993</w:t>
            </w:r>
          </w:p>
        </w:tc>
        <w:tc>
          <w:tcPr>
            <w:tcW w:w="1130" w:type="dxa"/>
          </w:tcPr>
          <w:p>
            <w:pPr>
              <w:pStyle w:val="nTable"/>
              <w:spacing w:after="40"/>
              <w:rPr>
                <w:sz w:val="19"/>
              </w:rPr>
            </w:pPr>
            <w:r>
              <w:rPr>
                <w:sz w:val="19"/>
              </w:rPr>
              <w:t>27 Aug 1993</w:t>
            </w:r>
          </w:p>
        </w:tc>
        <w:tc>
          <w:tcPr>
            <w:tcW w:w="2568" w:type="dxa"/>
            <w:gridSpan w:val="2"/>
          </w:tcPr>
          <w:p>
            <w:pPr>
              <w:pStyle w:val="nTable"/>
              <w:spacing w:after="40"/>
              <w:rPr>
                <w:sz w:val="19"/>
              </w:rPr>
            </w:pPr>
            <w:r>
              <w:rPr>
                <w:sz w:val="19"/>
              </w:rPr>
              <w:t>1 Jul 1993 (see s. 2(1))</w:t>
            </w:r>
          </w:p>
        </w:tc>
      </w:tr>
      <w:tr>
        <w:trPr>
          <w:cantSplit/>
        </w:trPr>
        <w:tc>
          <w:tcPr>
            <w:tcW w:w="2259" w:type="dxa"/>
          </w:tcPr>
          <w:p>
            <w:pPr>
              <w:pStyle w:val="nTable"/>
              <w:spacing w:after="40"/>
              <w:ind w:right="113"/>
              <w:rPr>
                <w:sz w:val="19"/>
              </w:rPr>
            </w:pPr>
            <w:r>
              <w:rPr>
                <w:i/>
                <w:sz w:val="19"/>
              </w:rPr>
              <w:t xml:space="preserve">Statutes (Repeals and Minor Amendments) Act 1994 </w:t>
            </w:r>
            <w:r>
              <w:rPr>
                <w:sz w:val="19"/>
              </w:rPr>
              <w:t>s. 4</w:t>
            </w:r>
          </w:p>
        </w:tc>
        <w:tc>
          <w:tcPr>
            <w:tcW w:w="1130" w:type="dxa"/>
            <w:gridSpan w:val="3"/>
          </w:tcPr>
          <w:p>
            <w:pPr>
              <w:pStyle w:val="nTable"/>
              <w:keepNext/>
              <w:spacing w:after="40"/>
              <w:rPr>
                <w:sz w:val="19"/>
              </w:rPr>
            </w:pPr>
            <w:r>
              <w:rPr>
                <w:sz w:val="19"/>
              </w:rPr>
              <w:t>73 of 1994</w:t>
            </w:r>
          </w:p>
        </w:tc>
        <w:tc>
          <w:tcPr>
            <w:tcW w:w="1130" w:type="dxa"/>
          </w:tcPr>
          <w:p>
            <w:pPr>
              <w:pStyle w:val="nTable"/>
              <w:keepNext/>
              <w:spacing w:after="40"/>
              <w:rPr>
                <w:sz w:val="19"/>
              </w:rPr>
            </w:pPr>
            <w:r>
              <w:rPr>
                <w:sz w:val="19"/>
              </w:rPr>
              <w:t>9 Dec 1994</w:t>
            </w:r>
          </w:p>
        </w:tc>
        <w:tc>
          <w:tcPr>
            <w:tcW w:w="2568" w:type="dxa"/>
            <w:gridSpan w:val="2"/>
          </w:tcPr>
          <w:p>
            <w:pPr>
              <w:pStyle w:val="nTable"/>
              <w:keepNext/>
              <w:spacing w:after="40"/>
              <w:rPr>
                <w:sz w:val="19"/>
              </w:rPr>
            </w:pPr>
            <w:r>
              <w:rPr>
                <w:sz w:val="19"/>
              </w:rPr>
              <w:t>9 Dec 1994 (see s. 2)</w:t>
            </w:r>
          </w:p>
        </w:tc>
      </w:tr>
      <w:tr>
        <w:trPr>
          <w:cantSplit/>
        </w:trPr>
        <w:tc>
          <w:tcPr>
            <w:tcW w:w="2259" w:type="dxa"/>
          </w:tcPr>
          <w:p>
            <w:pPr>
              <w:pStyle w:val="nTable"/>
              <w:spacing w:after="40"/>
              <w:ind w:right="113"/>
              <w:rPr>
                <w:sz w:val="19"/>
              </w:rPr>
            </w:pPr>
            <w:r>
              <w:rPr>
                <w:i/>
                <w:sz w:val="19"/>
              </w:rPr>
              <w:t>Firearms Amendment Act 1994</w:t>
            </w:r>
          </w:p>
        </w:tc>
        <w:tc>
          <w:tcPr>
            <w:tcW w:w="1130" w:type="dxa"/>
            <w:gridSpan w:val="3"/>
          </w:tcPr>
          <w:p>
            <w:pPr>
              <w:pStyle w:val="nTable"/>
              <w:spacing w:after="40"/>
              <w:rPr>
                <w:sz w:val="19"/>
              </w:rPr>
            </w:pPr>
            <w:r>
              <w:rPr>
                <w:sz w:val="19"/>
              </w:rPr>
              <w:t>90 of 1994</w:t>
            </w:r>
          </w:p>
        </w:tc>
        <w:tc>
          <w:tcPr>
            <w:tcW w:w="1130" w:type="dxa"/>
          </w:tcPr>
          <w:p>
            <w:pPr>
              <w:pStyle w:val="nTable"/>
              <w:spacing w:after="40"/>
              <w:rPr>
                <w:sz w:val="19"/>
              </w:rPr>
            </w:pPr>
            <w:r>
              <w:rPr>
                <w:sz w:val="19"/>
              </w:rPr>
              <w:t>5 Jan 1995</w:t>
            </w:r>
          </w:p>
        </w:tc>
        <w:tc>
          <w:tcPr>
            <w:tcW w:w="2568" w:type="dxa"/>
            <w:gridSpan w:val="2"/>
          </w:tcPr>
          <w:p>
            <w:pPr>
              <w:pStyle w:val="nTable"/>
              <w:spacing w:after="40"/>
              <w:rPr>
                <w:sz w:val="19"/>
              </w:rPr>
            </w:pPr>
            <w:r>
              <w:rPr>
                <w:sz w:val="19"/>
              </w:rPr>
              <w:t>5 Jan 1995 (see s. 2)</w:t>
            </w:r>
          </w:p>
        </w:tc>
      </w:tr>
      <w:tr>
        <w:trPr>
          <w:cantSplit/>
        </w:trPr>
        <w:tc>
          <w:tcPr>
            <w:tcW w:w="2259" w:type="dxa"/>
          </w:tcPr>
          <w:p>
            <w:pPr>
              <w:pStyle w:val="nTable"/>
              <w:spacing w:after="40"/>
              <w:ind w:right="113"/>
              <w:rPr>
                <w:sz w:val="19"/>
              </w:rPr>
            </w:pPr>
            <w:r>
              <w:rPr>
                <w:i/>
                <w:sz w:val="19"/>
              </w:rPr>
              <w:t xml:space="preserve">Sentencing (Consequential Provisions) Act 1995 </w:t>
            </w:r>
            <w:r>
              <w:rPr>
                <w:sz w:val="19"/>
              </w:rPr>
              <w:t>Pt. 33</w:t>
            </w:r>
          </w:p>
        </w:tc>
        <w:tc>
          <w:tcPr>
            <w:tcW w:w="1130" w:type="dxa"/>
            <w:gridSpan w:val="3"/>
          </w:tcPr>
          <w:p>
            <w:pPr>
              <w:pStyle w:val="nTable"/>
              <w:spacing w:after="40"/>
              <w:rPr>
                <w:sz w:val="19"/>
              </w:rPr>
            </w:pPr>
            <w:r>
              <w:rPr>
                <w:sz w:val="19"/>
              </w:rPr>
              <w:t>78 of 1995</w:t>
            </w:r>
          </w:p>
        </w:tc>
        <w:tc>
          <w:tcPr>
            <w:tcW w:w="1130" w:type="dxa"/>
          </w:tcPr>
          <w:p>
            <w:pPr>
              <w:pStyle w:val="nTable"/>
              <w:spacing w:after="40"/>
              <w:rPr>
                <w:sz w:val="19"/>
              </w:rPr>
            </w:pPr>
            <w:r>
              <w:rPr>
                <w:sz w:val="19"/>
              </w:rPr>
              <w:t>16 Jan 1996</w:t>
            </w:r>
          </w:p>
        </w:tc>
        <w:tc>
          <w:tcPr>
            <w:tcW w:w="256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59" w:type="dxa"/>
          </w:tcPr>
          <w:p>
            <w:pPr>
              <w:pStyle w:val="nTable"/>
              <w:spacing w:after="40"/>
              <w:ind w:right="113"/>
              <w:rPr>
                <w:sz w:val="19"/>
              </w:rPr>
            </w:pPr>
            <w:r>
              <w:rPr>
                <w:i/>
                <w:sz w:val="19"/>
              </w:rPr>
              <w:t xml:space="preserve">Security and Related Activities (Control) Act 1996 </w:t>
            </w:r>
            <w:r>
              <w:rPr>
                <w:sz w:val="19"/>
              </w:rPr>
              <w:t>s. 96</w:t>
            </w:r>
          </w:p>
        </w:tc>
        <w:tc>
          <w:tcPr>
            <w:tcW w:w="1130" w:type="dxa"/>
            <w:gridSpan w:val="3"/>
          </w:tcPr>
          <w:p>
            <w:pPr>
              <w:pStyle w:val="nTable"/>
              <w:spacing w:after="40"/>
              <w:rPr>
                <w:sz w:val="19"/>
              </w:rPr>
            </w:pPr>
            <w:r>
              <w:rPr>
                <w:sz w:val="19"/>
              </w:rPr>
              <w:t>27 of 1996</w:t>
            </w:r>
          </w:p>
        </w:tc>
        <w:tc>
          <w:tcPr>
            <w:tcW w:w="1130" w:type="dxa"/>
          </w:tcPr>
          <w:p>
            <w:pPr>
              <w:pStyle w:val="nTable"/>
              <w:spacing w:after="40"/>
              <w:rPr>
                <w:sz w:val="19"/>
              </w:rPr>
            </w:pPr>
            <w:r>
              <w:rPr>
                <w:sz w:val="19"/>
              </w:rPr>
              <w:t>22 Jul 1996</w:t>
            </w:r>
          </w:p>
        </w:tc>
        <w:tc>
          <w:tcPr>
            <w:tcW w:w="2568" w:type="dxa"/>
            <w:gridSpan w:val="2"/>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2259" w:type="dxa"/>
          </w:tcPr>
          <w:p>
            <w:pPr>
              <w:pStyle w:val="nTable"/>
              <w:spacing w:after="40"/>
              <w:ind w:right="113"/>
              <w:rPr>
                <w:sz w:val="19"/>
              </w:rPr>
            </w:pPr>
            <w:r>
              <w:rPr>
                <w:i/>
                <w:sz w:val="19"/>
              </w:rPr>
              <w:t xml:space="preserve">Financial Legislation Amendment Act 1996 </w:t>
            </w:r>
            <w:r>
              <w:rPr>
                <w:sz w:val="19"/>
              </w:rPr>
              <w:t>s. 64</w:t>
            </w:r>
          </w:p>
        </w:tc>
        <w:tc>
          <w:tcPr>
            <w:tcW w:w="1130" w:type="dxa"/>
            <w:gridSpan w:val="3"/>
          </w:tcPr>
          <w:p>
            <w:pPr>
              <w:pStyle w:val="nTable"/>
              <w:spacing w:after="40"/>
              <w:rPr>
                <w:sz w:val="19"/>
              </w:rPr>
            </w:pPr>
            <w:r>
              <w:rPr>
                <w:sz w:val="19"/>
              </w:rPr>
              <w:t>49 of 1996</w:t>
            </w:r>
          </w:p>
        </w:tc>
        <w:tc>
          <w:tcPr>
            <w:tcW w:w="1130" w:type="dxa"/>
          </w:tcPr>
          <w:p>
            <w:pPr>
              <w:pStyle w:val="nTable"/>
              <w:spacing w:after="40"/>
              <w:rPr>
                <w:sz w:val="19"/>
              </w:rPr>
            </w:pPr>
            <w:r>
              <w:rPr>
                <w:sz w:val="19"/>
              </w:rPr>
              <w:t>25 Oct 1996</w:t>
            </w:r>
          </w:p>
        </w:tc>
        <w:tc>
          <w:tcPr>
            <w:tcW w:w="2568" w:type="dxa"/>
            <w:gridSpan w:val="2"/>
          </w:tcPr>
          <w:p>
            <w:pPr>
              <w:pStyle w:val="nTable"/>
              <w:spacing w:after="40"/>
              <w:rPr>
                <w:sz w:val="19"/>
              </w:rPr>
            </w:pPr>
            <w:r>
              <w:rPr>
                <w:sz w:val="19"/>
              </w:rPr>
              <w:t>25 Oct 1996 (see s. 2(1))</w:t>
            </w:r>
          </w:p>
        </w:tc>
      </w:tr>
      <w:tr>
        <w:trPr>
          <w:cantSplit/>
        </w:trPr>
        <w:tc>
          <w:tcPr>
            <w:tcW w:w="2259" w:type="dxa"/>
          </w:tcPr>
          <w:p>
            <w:pPr>
              <w:pStyle w:val="nTable"/>
              <w:spacing w:after="40"/>
              <w:ind w:right="113"/>
              <w:rPr>
                <w:sz w:val="19"/>
                <w:vertAlign w:val="superscript"/>
              </w:rPr>
            </w:pPr>
            <w:r>
              <w:rPr>
                <w:i/>
                <w:sz w:val="19"/>
              </w:rPr>
              <w:t>Firearms Amendment Act 1996</w:t>
            </w:r>
            <w:r>
              <w:rPr>
                <w:i/>
                <w:sz w:val="19"/>
                <w:vertAlign w:val="superscript"/>
              </w:rPr>
              <w:t> </w:t>
            </w:r>
            <w:r>
              <w:rPr>
                <w:iCs/>
                <w:sz w:val="19"/>
                <w:vertAlign w:val="superscript"/>
              </w:rPr>
              <w:t>4</w:t>
            </w:r>
          </w:p>
        </w:tc>
        <w:tc>
          <w:tcPr>
            <w:tcW w:w="1130" w:type="dxa"/>
            <w:gridSpan w:val="3"/>
          </w:tcPr>
          <w:p>
            <w:pPr>
              <w:pStyle w:val="nTable"/>
              <w:spacing w:after="40"/>
              <w:rPr>
                <w:sz w:val="19"/>
              </w:rPr>
            </w:pPr>
            <w:r>
              <w:rPr>
                <w:sz w:val="19"/>
              </w:rPr>
              <w:t>59 of 1996</w:t>
            </w:r>
          </w:p>
        </w:tc>
        <w:tc>
          <w:tcPr>
            <w:tcW w:w="1130" w:type="dxa"/>
          </w:tcPr>
          <w:p>
            <w:pPr>
              <w:pStyle w:val="nTable"/>
              <w:spacing w:after="40"/>
              <w:rPr>
                <w:sz w:val="19"/>
              </w:rPr>
            </w:pPr>
            <w:r>
              <w:rPr>
                <w:sz w:val="19"/>
              </w:rPr>
              <w:t>11 Nov 1996</w:t>
            </w:r>
          </w:p>
        </w:tc>
        <w:tc>
          <w:tcPr>
            <w:tcW w:w="2568" w:type="dxa"/>
            <w:gridSpan w:val="2"/>
          </w:tcPr>
          <w:p>
            <w:pPr>
              <w:pStyle w:val="nTable"/>
              <w:spacing w:after="40"/>
              <w:rPr>
                <w:sz w:val="19"/>
              </w:rPr>
            </w:pPr>
            <w:r>
              <w:rPr>
                <w:sz w:val="19"/>
              </w:rPr>
              <w:t xml:space="preserve">Act other than s. 16: 6 Dec 1996 (see s. 3(1) and </w:t>
            </w:r>
            <w:r>
              <w:rPr>
                <w:i/>
                <w:sz w:val="19"/>
              </w:rPr>
              <w:t>Gazette</w:t>
            </w:r>
            <w:r>
              <w:rPr>
                <w:sz w:val="19"/>
              </w:rPr>
              <w:t xml:space="preserve"> 6 Dec 1996 p. 6699); s. 16: 1 Apr 1997 (see s. 3(2) and </w:t>
            </w:r>
            <w:r>
              <w:rPr>
                <w:i/>
                <w:sz w:val="19"/>
              </w:rPr>
              <w:t>Gazette</w:t>
            </w:r>
            <w:r>
              <w:rPr>
                <w:sz w:val="19"/>
              </w:rPr>
              <w:t xml:space="preserve"> 27 Mar 1997 p. 1693)</w:t>
            </w:r>
          </w:p>
        </w:tc>
      </w:tr>
      <w:tr>
        <w:trPr>
          <w:cantSplit/>
        </w:trPr>
        <w:tc>
          <w:tcPr>
            <w:tcW w:w="7087" w:type="dxa"/>
            <w:gridSpan w:val="7"/>
          </w:tcPr>
          <w:p>
            <w:pPr>
              <w:pStyle w:val="nTable"/>
              <w:spacing w:after="40"/>
              <w:rPr>
                <w:sz w:val="19"/>
              </w:rPr>
            </w:pPr>
            <w:r>
              <w:rPr>
                <w:b/>
                <w:bCs/>
                <w:sz w:val="19"/>
              </w:rPr>
              <w:t xml:space="preserve">Reprint of the </w:t>
            </w:r>
            <w:r>
              <w:rPr>
                <w:b/>
                <w:bCs/>
                <w:i/>
                <w:sz w:val="19"/>
              </w:rPr>
              <w:t xml:space="preserve">Firearms Act 1973 </w:t>
            </w:r>
            <w:r>
              <w:rPr>
                <w:b/>
                <w:bCs/>
                <w:iCs/>
                <w:sz w:val="19"/>
              </w:rPr>
              <w:t>as at 22 Jan 1997</w:t>
            </w:r>
            <w:r>
              <w:rPr>
                <w:iCs/>
                <w:sz w:val="19"/>
              </w:rPr>
              <w:t xml:space="preserve"> (includes amendments listed above except those in the </w:t>
            </w:r>
            <w:r>
              <w:rPr>
                <w:i/>
                <w:sz w:val="19"/>
              </w:rPr>
              <w:t xml:space="preserve">Security and Related Activities (Control) Act 1996 </w:t>
            </w:r>
            <w:r>
              <w:rPr>
                <w:iCs/>
                <w:sz w:val="19"/>
              </w:rPr>
              <w:t>and the</w:t>
            </w:r>
            <w:r>
              <w:rPr>
                <w:i/>
                <w:sz w:val="19"/>
              </w:rPr>
              <w:t xml:space="preserve"> Firearms Amendment Act 1996 </w:t>
            </w:r>
            <w:r>
              <w:rPr>
                <w:iCs/>
                <w:sz w:val="19"/>
              </w:rPr>
              <w:t>s. 16)</w:t>
            </w:r>
          </w:p>
        </w:tc>
      </w:tr>
      <w:tr>
        <w:trPr>
          <w:cantSplit/>
        </w:trPr>
        <w:tc>
          <w:tcPr>
            <w:tcW w:w="2259" w:type="dxa"/>
          </w:tcPr>
          <w:p>
            <w:pPr>
              <w:pStyle w:val="nTable"/>
              <w:spacing w:after="40"/>
              <w:ind w:right="113"/>
              <w:rPr>
                <w:sz w:val="19"/>
              </w:rPr>
            </w:pPr>
            <w:r>
              <w:rPr>
                <w:i/>
                <w:sz w:val="19"/>
              </w:rPr>
              <w:t xml:space="preserve">Restraining Orders Act 1997 </w:t>
            </w:r>
            <w:r>
              <w:rPr>
                <w:sz w:val="19"/>
              </w:rPr>
              <w:t>s. 84</w:t>
            </w:r>
          </w:p>
        </w:tc>
        <w:tc>
          <w:tcPr>
            <w:tcW w:w="1130" w:type="dxa"/>
            <w:gridSpan w:val="3"/>
          </w:tcPr>
          <w:p>
            <w:pPr>
              <w:pStyle w:val="nTable"/>
              <w:spacing w:after="40"/>
              <w:rPr>
                <w:sz w:val="19"/>
              </w:rPr>
            </w:pPr>
            <w:r>
              <w:rPr>
                <w:sz w:val="19"/>
              </w:rPr>
              <w:t>19 of 1997</w:t>
            </w:r>
          </w:p>
        </w:tc>
        <w:tc>
          <w:tcPr>
            <w:tcW w:w="1130" w:type="dxa"/>
          </w:tcPr>
          <w:p>
            <w:pPr>
              <w:pStyle w:val="nTable"/>
              <w:spacing w:after="40"/>
              <w:rPr>
                <w:sz w:val="19"/>
              </w:rPr>
            </w:pPr>
            <w:r>
              <w:rPr>
                <w:sz w:val="19"/>
              </w:rPr>
              <w:t>28 Aug 1997</w:t>
            </w:r>
          </w:p>
        </w:tc>
        <w:tc>
          <w:tcPr>
            <w:tcW w:w="2568" w:type="dxa"/>
            <w:gridSpan w:val="2"/>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59" w:type="dxa"/>
          </w:tcPr>
          <w:p>
            <w:pPr>
              <w:pStyle w:val="nTable"/>
              <w:spacing w:after="40"/>
              <w:ind w:right="113"/>
              <w:rPr>
                <w:sz w:val="19"/>
              </w:rPr>
            </w:pPr>
            <w:r>
              <w:rPr>
                <w:i/>
                <w:sz w:val="19"/>
              </w:rPr>
              <w:t xml:space="preserve">Weapons Act 1999 </w:t>
            </w:r>
            <w:r>
              <w:rPr>
                <w:sz w:val="19"/>
              </w:rPr>
              <w:t>s. 21</w:t>
            </w:r>
          </w:p>
        </w:tc>
        <w:tc>
          <w:tcPr>
            <w:tcW w:w="1130" w:type="dxa"/>
            <w:gridSpan w:val="3"/>
          </w:tcPr>
          <w:p>
            <w:pPr>
              <w:pStyle w:val="nTable"/>
              <w:spacing w:after="40"/>
              <w:rPr>
                <w:sz w:val="19"/>
              </w:rPr>
            </w:pPr>
            <w:r>
              <w:rPr>
                <w:sz w:val="19"/>
              </w:rPr>
              <w:t>18 of 1999</w:t>
            </w:r>
          </w:p>
        </w:tc>
        <w:tc>
          <w:tcPr>
            <w:tcW w:w="1130" w:type="dxa"/>
          </w:tcPr>
          <w:p>
            <w:pPr>
              <w:pStyle w:val="nTable"/>
              <w:spacing w:after="40"/>
              <w:rPr>
                <w:sz w:val="19"/>
              </w:rPr>
            </w:pPr>
            <w:r>
              <w:rPr>
                <w:sz w:val="19"/>
              </w:rPr>
              <w:t>16 Jun 1999</w:t>
            </w:r>
          </w:p>
        </w:tc>
        <w:tc>
          <w:tcPr>
            <w:tcW w:w="2568" w:type="dxa"/>
            <w:gridSpan w:val="2"/>
          </w:tcPr>
          <w:p>
            <w:pPr>
              <w:pStyle w:val="nTable"/>
              <w:spacing w:after="40"/>
              <w:rPr>
                <w:sz w:val="19"/>
              </w:rPr>
            </w:pPr>
            <w:r>
              <w:rPr>
                <w:sz w:val="19"/>
              </w:rPr>
              <w:t xml:space="preserve">1 Sep 1999 (see s. 2(1) and </w:t>
            </w:r>
            <w:r>
              <w:rPr>
                <w:i/>
                <w:sz w:val="19"/>
              </w:rPr>
              <w:t>Gazette</w:t>
            </w:r>
            <w:r>
              <w:rPr>
                <w:sz w:val="19"/>
              </w:rPr>
              <w:t xml:space="preserve"> 31 Aug 1999 p. 4235)</w:t>
            </w:r>
          </w:p>
        </w:tc>
      </w:tr>
      <w:tr>
        <w:trPr>
          <w:cantSplit/>
        </w:trPr>
        <w:tc>
          <w:tcPr>
            <w:tcW w:w="7087" w:type="dxa"/>
            <w:gridSpan w:val="7"/>
          </w:tcPr>
          <w:p>
            <w:pPr>
              <w:pStyle w:val="nTable"/>
              <w:spacing w:after="40"/>
              <w:rPr>
                <w:sz w:val="19"/>
              </w:rPr>
            </w:pPr>
            <w:r>
              <w:rPr>
                <w:b/>
                <w:bCs/>
                <w:sz w:val="19"/>
              </w:rPr>
              <w:t xml:space="preserve">Reprint of the </w:t>
            </w:r>
            <w:r>
              <w:rPr>
                <w:b/>
                <w:bCs/>
                <w:i/>
                <w:sz w:val="19"/>
              </w:rPr>
              <w:t xml:space="preserve">Firearms Act 1973 </w:t>
            </w:r>
            <w:r>
              <w:rPr>
                <w:b/>
                <w:bCs/>
                <w:iCs/>
                <w:sz w:val="19"/>
              </w:rPr>
              <w:t>as at 11 Aug 2000</w:t>
            </w:r>
            <w:r>
              <w:rPr>
                <w:iCs/>
                <w:sz w:val="19"/>
              </w:rPr>
              <w:t xml:space="preserve"> (includes amendments listed above)</w:t>
            </w:r>
          </w:p>
        </w:tc>
      </w:tr>
      <w:tr>
        <w:trPr>
          <w:cantSplit/>
        </w:trPr>
        <w:tc>
          <w:tcPr>
            <w:tcW w:w="2259" w:type="dxa"/>
          </w:tcPr>
          <w:p>
            <w:pPr>
              <w:pStyle w:val="nTable"/>
              <w:spacing w:after="40"/>
              <w:ind w:right="113"/>
              <w:rPr>
                <w:i/>
                <w:sz w:val="19"/>
              </w:rPr>
            </w:pPr>
            <w:r>
              <w:rPr>
                <w:i/>
                <w:sz w:val="19"/>
              </w:rPr>
              <w:t>Corporations (Consequential Amendments) Act 2001</w:t>
            </w:r>
            <w:r>
              <w:rPr>
                <w:sz w:val="19"/>
              </w:rPr>
              <w:t xml:space="preserve"> s. 220</w:t>
            </w:r>
          </w:p>
        </w:tc>
        <w:tc>
          <w:tcPr>
            <w:tcW w:w="1088" w:type="dxa"/>
            <w:gridSpan w:val="2"/>
          </w:tcPr>
          <w:p>
            <w:pPr>
              <w:pStyle w:val="nTable"/>
              <w:spacing w:after="40"/>
              <w:rPr>
                <w:sz w:val="19"/>
              </w:rPr>
            </w:pPr>
            <w:r>
              <w:rPr>
                <w:sz w:val="19"/>
              </w:rPr>
              <w:t>10 of 2001</w:t>
            </w:r>
          </w:p>
        </w:tc>
        <w:tc>
          <w:tcPr>
            <w:tcW w:w="1196" w:type="dxa"/>
            <w:gridSpan w:val="3"/>
          </w:tcPr>
          <w:p>
            <w:pPr>
              <w:pStyle w:val="nTable"/>
              <w:spacing w:after="40"/>
              <w:rPr>
                <w:sz w:val="19"/>
              </w:rPr>
            </w:pPr>
            <w:r>
              <w:rPr>
                <w:sz w:val="19"/>
              </w:rPr>
              <w:t>28 Jun 2001</w:t>
            </w:r>
          </w:p>
        </w:tc>
        <w:tc>
          <w:tcPr>
            <w:tcW w:w="2544"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9" w:type="dxa"/>
          </w:tcPr>
          <w:p>
            <w:pPr>
              <w:pStyle w:val="nTable"/>
              <w:spacing w:after="40"/>
              <w:ind w:right="113"/>
              <w:rPr>
                <w:sz w:val="19"/>
              </w:rPr>
            </w:pPr>
            <w:r>
              <w:rPr>
                <w:i/>
                <w:sz w:val="19"/>
              </w:rPr>
              <w:t>Acts Amendment (Equality of Status) Act 2003</w:t>
            </w:r>
            <w:r>
              <w:rPr>
                <w:sz w:val="19"/>
              </w:rPr>
              <w:t xml:space="preserve"> Pt. 21</w:t>
            </w:r>
          </w:p>
        </w:tc>
        <w:tc>
          <w:tcPr>
            <w:tcW w:w="1088" w:type="dxa"/>
            <w:gridSpan w:val="2"/>
          </w:tcPr>
          <w:p>
            <w:pPr>
              <w:pStyle w:val="nTable"/>
              <w:spacing w:after="40"/>
              <w:rPr>
                <w:sz w:val="19"/>
              </w:rPr>
            </w:pPr>
            <w:r>
              <w:rPr>
                <w:sz w:val="19"/>
              </w:rPr>
              <w:t>28 of 2003</w:t>
            </w:r>
          </w:p>
        </w:tc>
        <w:tc>
          <w:tcPr>
            <w:tcW w:w="1196" w:type="dxa"/>
            <w:gridSpan w:val="3"/>
          </w:tcPr>
          <w:p>
            <w:pPr>
              <w:pStyle w:val="nTable"/>
              <w:spacing w:after="40"/>
              <w:rPr>
                <w:sz w:val="19"/>
              </w:rPr>
            </w:pPr>
            <w:r>
              <w:rPr>
                <w:sz w:val="19"/>
              </w:rPr>
              <w:t>22 May 2003</w:t>
            </w:r>
          </w:p>
        </w:tc>
        <w:tc>
          <w:tcPr>
            <w:tcW w:w="254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59" w:type="dxa"/>
          </w:tcPr>
          <w:p>
            <w:pPr>
              <w:pStyle w:val="nTable"/>
              <w:spacing w:after="40"/>
              <w:ind w:right="113"/>
              <w:rPr>
                <w:i/>
                <w:sz w:val="19"/>
              </w:rPr>
            </w:pPr>
            <w:r>
              <w:rPr>
                <w:i/>
                <w:sz w:val="19"/>
              </w:rPr>
              <w:t xml:space="preserve">Sentencing Legislation Amendment and Repeal Act 2003 </w:t>
            </w:r>
            <w:r>
              <w:rPr>
                <w:sz w:val="19"/>
              </w:rPr>
              <w:t>s. 62</w:t>
            </w:r>
          </w:p>
        </w:tc>
        <w:tc>
          <w:tcPr>
            <w:tcW w:w="1088" w:type="dxa"/>
            <w:gridSpan w:val="2"/>
          </w:tcPr>
          <w:p>
            <w:pPr>
              <w:pStyle w:val="nTable"/>
              <w:spacing w:after="40"/>
              <w:rPr>
                <w:sz w:val="19"/>
              </w:rPr>
            </w:pPr>
            <w:r>
              <w:rPr>
                <w:sz w:val="19"/>
              </w:rPr>
              <w:t>50 of 2003</w:t>
            </w:r>
          </w:p>
        </w:tc>
        <w:tc>
          <w:tcPr>
            <w:tcW w:w="1196" w:type="dxa"/>
            <w:gridSpan w:val="3"/>
          </w:tcPr>
          <w:p>
            <w:pPr>
              <w:pStyle w:val="nTable"/>
              <w:spacing w:after="40"/>
              <w:rPr>
                <w:sz w:val="19"/>
              </w:rPr>
            </w:pPr>
            <w:r>
              <w:rPr>
                <w:sz w:val="19"/>
              </w:rPr>
              <w:t>9 Jul 2003</w:t>
            </w:r>
          </w:p>
        </w:tc>
        <w:tc>
          <w:tcPr>
            <w:tcW w:w="2544"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59" w:type="dxa"/>
          </w:tcPr>
          <w:p>
            <w:pPr>
              <w:pStyle w:val="nTable"/>
              <w:spacing w:after="40"/>
              <w:ind w:right="113"/>
              <w:rPr>
                <w:i/>
                <w:sz w:val="19"/>
              </w:rPr>
            </w:pPr>
            <w:r>
              <w:rPr>
                <w:i/>
                <w:sz w:val="19"/>
              </w:rPr>
              <w:t xml:space="preserve">Criminal Code Amendment Act 2004 </w:t>
            </w:r>
            <w:r>
              <w:rPr>
                <w:sz w:val="19"/>
              </w:rPr>
              <w:t>s. 58</w:t>
            </w:r>
          </w:p>
        </w:tc>
        <w:tc>
          <w:tcPr>
            <w:tcW w:w="1088" w:type="dxa"/>
            <w:gridSpan w:val="2"/>
          </w:tcPr>
          <w:p>
            <w:pPr>
              <w:pStyle w:val="nTable"/>
              <w:spacing w:after="40"/>
              <w:rPr>
                <w:sz w:val="19"/>
              </w:rPr>
            </w:pPr>
            <w:r>
              <w:rPr>
                <w:sz w:val="19"/>
              </w:rPr>
              <w:t>4 of 2004</w:t>
            </w:r>
          </w:p>
        </w:tc>
        <w:tc>
          <w:tcPr>
            <w:tcW w:w="1196" w:type="dxa"/>
            <w:gridSpan w:val="3"/>
          </w:tcPr>
          <w:p>
            <w:pPr>
              <w:pStyle w:val="nTable"/>
              <w:spacing w:after="40"/>
              <w:rPr>
                <w:sz w:val="19"/>
              </w:rPr>
            </w:pPr>
            <w:r>
              <w:rPr>
                <w:sz w:val="19"/>
              </w:rPr>
              <w:t>23 Apr 2004</w:t>
            </w:r>
          </w:p>
        </w:tc>
        <w:tc>
          <w:tcPr>
            <w:tcW w:w="2544" w:type="dxa"/>
          </w:tcPr>
          <w:p>
            <w:pPr>
              <w:pStyle w:val="nTable"/>
              <w:spacing w:after="40"/>
              <w:rPr>
                <w:sz w:val="19"/>
              </w:rPr>
            </w:pPr>
            <w:r>
              <w:rPr>
                <w:sz w:val="19"/>
              </w:rPr>
              <w:t>21 May 2004 (see s. 2)</w:t>
            </w:r>
          </w:p>
        </w:tc>
      </w:tr>
      <w:tr>
        <w:trPr>
          <w:cantSplit/>
        </w:trPr>
        <w:tc>
          <w:tcPr>
            <w:tcW w:w="2259"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088" w:type="dxa"/>
            <w:gridSpan w:val="2"/>
          </w:tcPr>
          <w:p>
            <w:pPr>
              <w:pStyle w:val="nTable"/>
              <w:spacing w:after="40"/>
              <w:rPr>
                <w:sz w:val="19"/>
              </w:rPr>
            </w:pPr>
            <w:r>
              <w:rPr>
                <w:snapToGrid w:val="0"/>
                <w:sz w:val="19"/>
                <w:lang w:val="en-US"/>
              </w:rPr>
              <w:t>59 of 2004</w:t>
            </w:r>
          </w:p>
        </w:tc>
        <w:tc>
          <w:tcPr>
            <w:tcW w:w="1196" w:type="dxa"/>
            <w:gridSpan w:val="3"/>
          </w:tcPr>
          <w:p>
            <w:pPr>
              <w:pStyle w:val="nTable"/>
              <w:spacing w:after="40"/>
              <w:rPr>
                <w:sz w:val="19"/>
              </w:rPr>
            </w:pPr>
            <w:r>
              <w:rPr>
                <w:snapToGrid w:val="0"/>
                <w:sz w:val="19"/>
                <w:lang w:val="en-US"/>
              </w:rPr>
              <w:t>23 Nov 2004</w:t>
            </w:r>
          </w:p>
        </w:tc>
        <w:tc>
          <w:tcPr>
            <w:tcW w:w="2544" w:type="dxa"/>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59" w:type="dxa"/>
          </w:tcPr>
          <w:p>
            <w:pPr>
              <w:pStyle w:val="nTable"/>
              <w:spacing w:after="4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49</w:t>
            </w:r>
            <w:r>
              <w:rPr>
                <w:rFonts w:ascii="Times" w:hAnsi="Times"/>
                <w:sz w:val="19"/>
                <w:vertAlign w:val="superscript"/>
              </w:rPr>
              <w:t> </w:t>
            </w:r>
            <w:r>
              <w:rPr>
                <w:sz w:val="19"/>
                <w:vertAlign w:val="superscript"/>
              </w:rPr>
              <w:t>5, 6</w:t>
            </w:r>
          </w:p>
        </w:tc>
        <w:tc>
          <w:tcPr>
            <w:tcW w:w="1088" w:type="dxa"/>
            <w:gridSpan w:val="2"/>
          </w:tcPr>
          <w:p>
            <w:pPr>
              <w:pStyle w:val="nTable"/>
              <w:spacing w:after="40"/>
              <w:rPr>
                <w:sz w:val="19"/>
              </w:rPr>
            </w:pPr>
            <w:r>
              <w:rPr>
                <w:rFonts w:ascii="Times" w:hAnsi="Times"/>
                <w:sz w:val="19"/>
              </w:rPr>
              <w:t>55 of 2004</w:t>
            </w:r>
          </w:p>
        </w:tc>
        <w:tc>
          <w:tcPr>
            <w:tcW w:w="1196" w:type="dxa"/>
            <w:gridSpan w:val="3"/>
          </w:tcPr>
          <w:p>
            <w:pPr>
              <w:pStyle w:val="nTable"/>
              <w:spacing w:after="40"/>
              <w:rPr>
                <w:sz w:val="19"/>
              </w:rPr>
            </w:pPr>
            <w:r>
              <w:rPr>
                <w:rFonts w:ascii="Times" w:hAnsi="Times"/>
                <w:sz w:val="19"/>
              </w:rPr>
              <w:t>24 Nov 2004</w:t>
            </w:r>
          </w:p>
        </w:tc>
        <w:tc>
          <w:tcPr>
            <w:tcW w:w="2544"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59" w:type="dxa"/>
          </w:tcPr>
          <w:p>
            <w:pPr>
              <w:pStyle w:val="nTable"/>
              <w:spacing w:after="40"/>
              <w:ind w:right="113"/>
              <w:rPr>
                <w:sz w:val="19"/>
              </w:rPr>
            </w:pPr>
            <w:r>
              <w:rPr>
                <w:i/>
                <w:sz w:val="19"/>
              </w:rPr>
              <w:t>Firearms Amendment Act 2004</w:t>
            </w:r>
            <w:r>
              <w:rPr>
                <w:sz w:val="19"/>
                <w:vertAlign w:val="superscript"/>
              </w:rPr>
              <w:t> 7, 8</w:t>
            </w:r>
          </w:p>
        </w:tc>
        <w:tc>
          <w:tcPr>
            <w:tcW w:w="1088" w:type="dxa"/>
            <w:gridSpan w:val="2"/>
          </w:tcPr>
          <w:p>
            <w:pPr>
              <w:pStyle w:val="nTable"/>
              <w:spacing w:after="40"/>
              <w:rPr>
                <w:sz w:val="19"/>
              </w:rPr>
            </w:pPr>
            <w:r>
              <w:rPr>
                <w:sz w:val="19"/>
              </w:rPr>
              <w:t>69 of 2004</w:t>
            </w:r>
          </w:p>
        </w:tc>
        <w:tc>
          <w:tcPr>
            <w:tcW w:w="1196" w:type="dxa"/>
            <w:gridSpan w:val="3"/>
          </w:tcPr>
          <w:p>
            <w:pPr>
              <w:pStyle w:val="nTable"/>
              <w:spacing w:after="40"/>
              <w:rPr>
                <w:sz w:val="19"/>
              </w:rPr>
            </w:pPr>
            <w:r>
              <w:rPr>
                <w:sz w:val="19"/>
              </w:rPr>
              <w:t>8 Dec 2004</w:t>
            </w:r>
          </w:p>
        </w:tc>
        <w:tc>
          <w:tcPr>
            <w:tcW w:w="2544" w:type="dxa"/>
          </w:tcPr>
          <w:p>
            <w:pPr>
              <w:pStyle w:val="nTable"/>
              <w:spacing w:after="40"/>
              <w:rPr>
                <w:sz w:val="19"/>
              </w:rPr>
            </w:pPr>
            <w:r>
              <w:rPr>
                <w:sz w:val="19"/>
              </w:rPr>
              <w:t>s. 13 and 21: 8 Dec 2004 (see s. 2(3));</w:t>
            </w:r>
            <w:r>
              <w:rPr>
                <w:sz w:val="19"/>
              </w:rPr>
              <w:br/>
            </w:r>
            <w:r>
              <w:rPr>
                <w:spacing w:val="-2"/>
                <w:sz w:val="19"/>
              </w:rPr>
              <w:t xml:space="preserve">Act other than s. 13, 17, 21, 22(4)(a) and 26: 1 Jan 2005 (see s. 2 and </w:t>
            </w:r>
            <w:r>
              <w:rPr>
                <w:i/>
                <w:spacing w:val="-2"/>
                <w:sz w:val="19"/>
              </w:rPr>
              <w:t>Gazette</w:t>
            </w:r>
            <w:r>
              <w:rPr>
                <w:spacing w:val="-2"/>
                <w:sz w:val="19"/>
              </w:rPr>
              <w:t xml:space="preserve"> 24 Dec 2004 p. 6265);</w:t>
            </w:r>
            <w:r>
              <w:rPr>
                <w:spacing w:val="-2"/>
                <w:sz w:val="19"/>
              </w:rPr>
              <w:br/>
              <w:t xml:space="preserve">s. 17: 1 Feb 2005 (see s. 2 and </w:t>
            </w:r>
            <w:r>
              <w:rPr>
                <w:i/>
                <w:spacing w:val="-2"/>
                <w:sz w:val="19"/>
              </w:rPr>
              <w:t xml:space="preserve">Gazette </w:t>
            </w:r>
            <w:r>
              <w:rPr>
                <w:spacing w:val="-2"/>
                <w:sz w:val="19"/>
              </w:rPr>
              <w:t>24 Dec 2004 p. 6265)</w:t>
            </w:r>
          </w:p>
        </w:tc>
      </w:tr>
      <w:tr>
        <w:trPr>
          <w:cantSplit/>
        </w:trPr>
        <w:tc>
          <w:tcPr>
            <w:tcW w:w="2259"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088" w:type="dxa"/>
            <w:gridSpan w:val="2"/>
          </w:tcPr>
          <w:p>
            <w:pPr>
              <w:pStyle w:val="nTable"/>
              <w:spacing w:after="40"/>
              <w:rPr>
                <w:snapToGrid w:val="0"/>
                <w:sz w:val="19"/>
                <w:lang w:val="en-US"/>
              </w:rPr>
            </w:pPr>
            <w:r>
              <w:rPr>
                <w:snapToGrid w:val="0"/>
                <w:sz w:val="19"/>
                <w:lang w:val="en-US"/>
              </w:rPr>
              <w:t>84 of 2004</w:t>
            </w:r>
          </w:p>
        </w:tc>
        <w:tc>
          <w:tcPr>
            <w:tcW w:w="1196" w:type="dxa"/>
            <w:gridSpan w:val="3"/>
          </w:tcPr>
          <w:p>
            <w:pPr>
              <w:pStyle w:val="nTable"/>
              <w:spacing w:after="40"/>
              <w:rPr>
                <w:snapToGrid w:val="0"/>
                <w:sz w:val="19"/>
                <w:lang w:val="en-US"/>
              </w:rPr>
            </w:pPr>
            <w:r>
              <w:rPr>
                <w:sz w:val="19"/>
              </w:rPr>
              <w:t>16 Dec 2004</w:t>
            </w:r>
          </w:p>
        </w:tc>
        <w:tc>
          <w:tcPr>
            <w:tcW w:w="2544"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7"/>
          </w:tcPr>
          <w:p>
            <w:pPr>
              <w:pStyle w:val="nTable"/>
              <w:spacing w:after="40"/>
              <w:rPr>
                <w:snapToGrid w:val="0"/>
                <w:sz w:val="19"/>
                <w:lang w:val="en-US"/>
              </w:rPr>
            </w:pPr>
            <w:r>
              <w:rPr>
                <w:b/>
                <w:bCs/>
                <w:snapToGrid w:val="0"/>
                <w:sz w:val="19"/>
                <w:lang w:val="en-US"/>
              </w:rPr>
              <w:t xml:space="preserve">Reprint 4: The </w:t>
            </w:r>
            <w:r>
              <w:rPr>
                <w:b/>
                <w:bCs/>
                <w:i/>
                <w:iCs/>
                <w:snapToGrid w:val="0"/>
                <w:sz w:val="19"/>
                <w:lang w:val="en-US"/>
              </w:rPr>
              <w:t>Firearms Act 1973</w:t>
            </w:r>
            <w:r>
              <w:rPr>
                <w:b/>
                <w:bCs/>
                <w:snapToGrid w:val="0"/>
                <w:sz w:val="19"/>
                <w:lang w:val="en-US"/>
              </w:rPr>
              <w:t xml:space="preserve"> as at 1 Jul 2005</w:t>
            </w:r>
            <w:r>
              <w:rPr>
                <w:snapToGrid w:val="0"/>
                <w:sz w:val="19"/>
                <w:lang w:val="en-US"/>
              </w:rPr>
              <w:t xml:space="preserve"> (includes amendments listed above)</w:t>
            </w:r>
          </w:p>
        </w:tc>
      </w:tr>
      <w:tr>
        <w:trPr>
          <w:cantSplit/>
        </w:trPr>
        <w:tc>
          <w:tcPr>
            <w:tcW w:w="2270" w:type="dxa"/>
            <w:gridSpan w:val="2"/>
          </w:tcPr>
          <w:p>
            <w:pPr>
              <w:pStyle w:val="nTable"/>
              <w:spacing w:after="40"/>
              <w:rPr>
                <w:snapToGrid w:val="0"/>
                <w:sz w:val="19"/>
                <w:lang w:val="en-US"/>
              </w:rPr>
            </w:pPr>
            <w:r>
              <w:rPr>
                <w:i/>
                <w:noProof/>
                <w:snapToGrid w:val="0"/>
                <w:sz w:val="19"/>
                <w:lang w:val="en-US"/>
              </w:rPr>
              <w:t>Psychologists Act 2005</w:t>
            </w:r>
            <w:r>
              <w:rPr>
                <w:iCs/>
                <w:noProof/>
                <w:snapToGrid w:val="0"/>
                <w:sz w:val="19"/>
                <w:lang w:val="en-US"/>
              </w:rPr>
              <w:t xml:space="preserve"> s. 108</w:t>
            </w:r>
          </w:p>
        </w:tc>
        <w:tc>
          <w:tcPr>
            <w:tcW w:w="1077" w:type="dxa"/>
          </w:tcPr>
          <w:p>
            <w:pPr>
              <w:pStyle w:val="nTable"/>
              <w:spacing w:after="40"/>
              <w:rPr>
                <w:snapToGrid w:val="0"/>
                <w:sz w:val="19"/>
                <w:lang w:val="en-US"/>
              </w:rPr>
            </w:pPr>
            <w:r>
              <w:rPr>
                <w:snapToGrid w:val="0"/>
                <w:sz w:val="19"/>
                <w:lang w:val="en-US"/>
              </w:rPr>
              <w:t>28 of 2005</w:t>
            </w:r>
          </w:p>
        </w:tc>
        <w:tc>
          <w:tcPr>
            <w:tcW w:w="1196" w:type="dxa"/>
            <w:gridSpan w:val="3"/>
          </w:tcPr>
          <w:p>
            <w:pPr>
              <w:pStyle w:val="nTable"/>
              <w:spacing w:after="40"/>
              <w:rPr>
                <w:snapToGrid w:val="0"/>
                <w:sz w:val="19"/>
                <w:lang w:val="en-US"/>
              </w:rPr>
            </w:pPr>
            <w:r>
              <w:rPr>
                <w:snapToGrid w:val="0"/>
                <w:sz w:val="19"/>
                <w:lang w:val="en-US"/>
              </w:rPr>
              <w:t>12 Dec 2005</w:t>
            </w:r>
          </w:p>
        </w:tc>
        <w:tc>
          <w:tcPr>
            <w:tcW w:w="2544" w:type="dxa"/>
          </w:tcPr>
          <w:p>
            <w:pPr>
              <w:pStyle w:val="nTable"/>
              <w:spacing w:after="4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rPr>
          <w:cantSplit/>
          <w:ins w:id="319" w:author="svcMRProcess" w:date="2015-12-13T18:23:00Z"/>
        </w:trPr>
        <w:tc>
          <w:tcPr>
            <w:tcW w:w="2270" w:type="dxa"/>
            <w:gridSpan w:val="2"/>
          </w:tcPr>
          <w:p>
            <w:pPr>
              <w:pStyle w:val="nTable"/>
              <w:spacing w:after="40"/>
              <w:rPr>
                <w:ins w:id="320" w:author="svcMRProcess" w:date="2015-12-13T18:23:00Z"/>
                <w:i/>
                <w:noProof/>
                <w:snapToGrid w:val="0"/>
                <w:sz w:val="19"/>
                <w:lang w:val="en-US"/>
              </w:rPr>
            </w:pPr>
            <w:ins w:id="321" w:author="svcMRProcess" w:date="2015-12-13T18:23:00Z">
              <w:r>
                <w:rPr>
                  <w:i/>
                  <w:noProof/>
                  <w:snapToGrid w:val="0"/>
                  <w:sz w:val="19"/>
                  <w:lang w:val="en-US"/>
                </w:rPr>
                <w:t>Nurses and Midwives Act 2006</w:t>
              </w:r>
              <w:r>
                <w:rPr>
                  <w:noProof/>
                  <w:snapToGrid w:val="0"/>
                  <w:sz w:val="19"/>
                  <w:lang w:val="en-US"/>
                </w:rPr>
                <w:t xml:space="preserve"> s. 114</w:t>
              </w:r>
            </w:ins>
          </w:p>
        </w:tc>
        <w:tc>
          <w:tcPr>
            <w:tcW w:w="1077" w:type="dxa"/>
          </w:tcPr>
          <w:p>
            <w:pPr>
              <w:pStyle w:val="nTable"/>
              <w:spacing w:after="40"/>
              <w:rPr>
                <w:ins w:id="322" w:author="svcMRProcess" w:date="2015-12-13T18:23:00Z"/>
                <w:snapToGrid w:val="0"/>
                <w:sz w:val="19"/>
                <w:lang w:val="en-US"/>
              </w:rPr>
            </w:pPr>
            <w:ins w:id="323" w:author="svcMRProcess" w:date="2015-12-13T18:23:00Z">
              <w:r>
                <w:rPr>
                  <w:snapToGrid w:val="0"/>
                  <w:sz w:val="19"/>
                  <w:lang w:val="en-US"/>
                </w:rPr>
                <w:t>50 of 2006</w:t>
              </w:r>
            </w:ins>
          </w:p>
        </w:tc>
        <w:tc>
          <w:tcPr>
            <w:tcW w:w="1196" w:type="dxa"/>
            <w:gridSpan w:val="3"/>
          </w:tcPr>
          <w:p>
            <w:pPr>
              <w:pStyle w:val="nTable"/>
              <w:spacing w:after="40"/>
              <w:rPr>
                <w:ins w:id="324" w:author="svcMRProcess" w:date="2015-12-13T18:23:00Z"/>
                <w:snapToGrid w:val="0"/>
                <w:sz w:val="19"/>
                <w:lang w:val="en-US"/>
              </w:rPr>
            </w:pPr>
            <w:ins w:id="325" w:author="svcMRProcess" w:date="2015-12-13T18:23:00Z">
              <w:r>
                <w:rPr>
                  <w:snapToGrid w:val="0"/>
                  <w:sz w:val="19"/>
                  <w:lang w:val="en-US"/>
                </w:rPr>
                <w:t>6 Oct 2006</w:t>
              </w:r>
            </w:ins>
          </w:p>
        </w:tc>
        <w:tc>
          <w:tcPr>
            <w:tcW w:w="2544" w:type="dxa"/>
          </w:tcPr>
          <w:p>
            <w:pPr>
              <w:pStyle w:val="nTable"/>
              <w:spacing w:after="40"/>
              <w:rPr>
                <w:ins w:id="326" w:author="svcMRProcess" w:date="2015-12-13T18:23:00Z"/>
                <w:snapToGrid w:val="0"/>
                <w:sz w:val="19"/>
                <w:lang w:val="en-US"/>
              </w:rPr>
            </w:pPr>
            <w:ins w:id="327" w:author="svcMRProcess" w:date="2015-12-13T18:23:00Z">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ins>
          </w:p>
        </w:tc>
      </w:tr>
      <w:tr>
        <w:trPr>
          <w:cantSplit/>
        </w:trPr>
        <w:tc>
          <w:tcPr>
            <w:tcW w:w="2270" w:type="dxa"/>
            <w:gridSpan w:val="2"/>
          </w:tcPr>
          <w:p>
            <w:pPr>
              <w:pStyle w:val="nTable"/>
              <w:spacing w:after="40"/>
              <w:rPr>
                <w:i/>
                <w:noProof/>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077" w:type="dxa"/>
          </w:tcPr>
          <w:p>
            <w:pPr>
              <w:pStyle w:val="nTable"/>
              <w:spacing w:after="40"/>
              <w:rPr>
                <w:snapToGrid w:val="0"/>
                <w:sz w:val="19"/>
                <w:lang w:val="en-US"/>
              </w:rPr>
            </w:pPr>
            <w:r>
              <w:rPr>
                <w:snapToGrid w:val="0"/>
                <w:sz w:val="19"/>
                <w:lang w:val="en-US"/>
              </w:rPr>
              <w:t>59 of 2006</w:t>
            </w:r>
          </w:p>
        </w:tc>
        <w:tc>
          <w:tcPr>
            <w:tcW w:w="1196" w:type="dxa"/>
            <w:gridSpan w:val="3"/>
          </w:tcPr>
          <w:p>
            <w:pPr>
              <w:pStyle w:val="nTable"/>
              <w:spacing w:after="40"/>
              <w:rPr>
                <w:snapToGrid w:val="0"/>
                <w:sz w:val="19"/>
                <w:lang w:val="en-US"/>
              </w:rPr>
            </w:pPr>
            <w:r>
              <w:rPr>
                <w:sz w:val="19"/>
              </w:rPr>
              <w:t>16 Nov 2006</w:t>
            </w:r>
          </w:p>
        </w:tc>
        <w:tc>
          <w:tcPr>
            <w:tcW w:w="2544"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59" w:type="dxa"/>
            <w:tcBorders>
              <w:bottom w:val="single" w:sz="4" w:space="0" w:color="auto"/>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088"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96" w:type="dxa"/>
            <w:gridSpan w:val="3"/>
            <w:tcBorders>
              <w:bottom w:val="single" w:sz="4" w:space="0" w:color="auto"/>
            </w:tcBorders>
          </w:tcPr>
          <w:p>
            <w:pPr>
              <w:pStyle w:val="nTable"/>
              <w:spacing w:after="40"/>
              <w:rPr>
                <w:snapToGrid w:val="0"/>
                <w:sz w:val="19"/>
                <w:lang w:val="en-US"/>
              </w:rPr>
            </w:pPr>
            <w:r>
              <w:rPr>
                <w:snapToGrid w:val="0"/>
                <w:sz w:val="19"/>
                <w:lang w:val="en-US"/>
              </w:rPr>
              <w:t>21 Dec 2006</w:t>
            </w:r>
          </w:p>
        </w:tc>
        <w:tc>
          <w:tcPr>
            <w:tcW w:w="2544"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328" w:name="_Hlt507390729"/>
      <w:bookmarkEnd w:id="328"/>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29" w:name="_Toc108854249"/>
      <w:bookmarkStart w:id="330" w:name="_Toc177813730"/>
      <w:bookmarkStart w:id="331" w:name="_Toc171068113"/>
      <w:r>
        <w:rPr>
          <w:snapToGrid w:val="0"/>
        </w:rPr>
        <w:t>Provisions that have not come into operation</w:t>
      </w:r>
      <w:bookmarkEnd w:id="329"/>
      <w:bookmarkEnd w:id="330"/>
      <w:bookmarkEnd w:id="331"/>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70"/>
        <w:gridCol w:w="14"/>
        <w:gridCol w:w="1120"/>
        <w:gridCol w:w="14"/>
        <w:gridCol w:w="1204"/>
        <w:gridCol w:w="14"/>
        <w:gridCol w:w="2552"/>
      </w:tblGrid>
      <w:tr>
        <w:tc>
          <w:tcPr>
            <w:tcW w:w="2170" w:type="dxa"/>
            <w:tcBorders>
              <w:top w:val="single" w:sz="8" w:space="0" w:color="auto"/>
              <w:bottom w:val="single" w:sz="8" w:space="0" w:color="auto"/>
            </w:tcBorders>
          </w:tcPr>
          <w:p>
            <w:pPr>
              <w:pStyle w:val="nTable"/>
              <w:spacing w:after="40"/>
              <w:rPr>
                <w:b/>
                <w:snapToGrid w:val="0"/>
                <w:lang w:val="en-US"/>
              </w:rPr>
            </w:pPr>
            <w:r>
              <w:rPr>
                <w:b/>
                <w:snapToGrid w:val="0"/>
                <w:lang w:val="en-US"/>
              </w:rPr>
              <w:t>Short title</w:t>
            </w:r>
          </w:p>
        </w:tc>
        <w:tc>
          <w:tcPr>
            <w:tcW w:w="1134" w:type="dxa"/>
            <w:gridSpan w:val="2"/>
            <w:tcBorders>
              <w:top w:val="single" w:sz="8" w:space="0" w:color="auto"/>
              <w:bottom w:val="single" w:sz="8" w:space="0" w:color="auto"/>
            </w:tcBorders>
          </w:tcPr>
          <w:p>
            <w:pPr>
              <w:pStyle w:val="nTable"/>
              <w:spacing w:after="40"/>
              <w:rPr>
                <w:b/>
                <w:snapToGrid w:val="0"/>
                <w:lang w:val="en-US"/>
              </w:rPr>
            </w:pPr>
            <w:r>
              <w:rPr>
                <w:b/>
                <w:snapToGrid w:val="0"/>
                <w:lang w:val="en-US"/>
              </w:rPr>
              <w:t>Number</w:t>
            </w:r>
            <w:r>
              <w:rPr>
                <w:b/>
                <w:snapToGrid w:val="0"/>
                <w:lang w:val="en-US"/>
              </w:rPr>
              <w:br/>
              <w:t>and year</w:t>
            </w:r>
          </w:p>
        </w:tc>
        <w:tc>
          <w:tcPr>
            <w:tcW w:w="1218" w:type="dxa"/>
            <w:gridSpan w:val="2"/>
            <w:tcBorders>
              <w:top w:val="single" w:sz="8" w:space="0" w:color="auto"/>
              <w:bottom w:val="single" w:sz="8" w:space="0" w:color="auto"/>
            </w:tcBorders>
          </w:tcPr>
          <w:p>
            <w:pPr>
              <w:pStyle w:val="nTable"/>
              <w:spacing w:after="40"/>
              <w:rPr>
                <w:b/>
                <w:snapToGrid w:val="0"/>
                <w:lang w:val="en-US"/>
              </w:rPr>
            </w:pPr>
            <w:r>
              <w:rPr>
                <w:b/>
                <w:snapToGrid w:val="0"/>
                <w:lang w:val="en-US"/>
              </w:rPr>
              <w:t>Assent</w:t>
            </w:r>
          </w:p>
        </w:tc>
        <w:tc>
          <w:tcPr>
            <w:tcW w:w="2566" w:type="dxa"/>
            <w:gridSpan w:val="2"/>
            <w:tcBorders>
              <w:top w:val="single" w:sz="8" w:space="0" w:color="auto"/>
              <w:bottom w:val="single" w:sz="8" w:space="0" w:color="auto"/>
            </w:tcBorders>
          </w:tcPr>
          <w:p>
            <w:pPr>
              <w:pStyle w:val="nTable"/>
              <w:spacing w:after="40"/>
              <w:rPr>
                <w:b/>
                <w:snapToGrid w:val="0"/>
                <w:lang w:val="en-US"/>
              </w:rPr>
            </w:pPr>
            <w:r>
              <w:rPr>
                <w:b/>
                <w:snapToGrid w:val="0"/>
                <w:lang w:val="en-US"/>
              </w:rPr>
              <w:t>Commencement</w:t>
            </w:r>
          </w:p>
        </w:tc>
      </w:tr>
      <w:tr>
        <w:tc>
          <w:tcPr>
            <w:tcW w:w="2170" w:type="dxa"/>
            <w:tcBorders>
              <w:top w:val="single" w:sz="8" w:space="0" w:color="auto"/>
              <w:bottom w:val="single" w:sz="4" w:space="0" w:color="auto"/>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9</w:t>
            </w:r>
          </w:p>
        </w:tc>
        <w:tc>
          <w:tcPr>
            <w:tcW w:w="1134" w:type="dxa"/>
            <w:gridSpan w:val="2"/>
            <w:tcBorders>
              <w:top w:val="single" w:sz="8" w:space="0" w:color="auto"/>
              <w:bottom w:val="single" w:sz="4" w:space="0" w:color="auto"/>
            </w:tcBorders>
          </w:tcPr>
          <w:p>
            <w:pPr>
              <w:pStyle w:val="nTable"/>
              <w:spacing w:after="40"/>
              <w:rPr>
                <w:snapToGrid w:val="0"/>
                <w:sz w:val="19"/>
                <w:lang w:val="en-US"/>
              </w:rPr>
            </w:pPr>
            <w:r>
              <w:rPr>
                <w:snapToGrid w:val="0"/>
                <w:sz w:val="19"/>
                <w:lang w:val="en-US"/>
              </w:rPr>
              <w:t>59 of 2004</w:t>
            </w:r>
          </w:p>
        </w:tc>
        <w:tc>
          <w:tcPr>
            <w:tcW w:w="1218" w:type="dxa"/>
            <w:gridSpan w:val="2"/>
            <w:tcBorders>
              <w:top w:val="single" w:sz="8" w:space="0" w:color="auto"/>
              <w:bottom w:val="single" w:sz="4" w:space="0" w:color="auto"/>
            </w:tcBorders>
          </w:tcPr>
          <w:p>
            <w:pPr>
              <w:pStyle w:val="nTable"/>
              <w:spacing w:after="40"/>
              <w:rPr>
                <w:snapToGrid w:val="0"/>
                <w:sz w:val="19"/>
                <w:lang w:val="en-US"/>
              </w:rPr>
            </w:pPr>
            <w:r>
              <w:rPr>
                <w:snapToGrid w:val="0"/>
                <w:sz w:val="19"/>
                <w:lang w:val="en-US"/>
              </w:rPr>
              <w:t>23 Nov 2004</w:t>
            </w:r>
          </w:p>
        </w:tc>
        <w:tc>
          <w:tcPr>
            <w:tcW w:w="2566" w:type="dxa"/>
            <w:gridSpan w:val="2"/>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PrEx>
        <w:trPr>
          <w:del w:id="332" w:author="svcMRProcess" w:date="2015-12-13T18:23:00Z"/>
        </w:trPr>
        <w:tc>
          <w:tcPr>
            <w:tcW w:w="2184" w:type="dxa"/>
            <w:gridSpan w:val="2"/>
            <w:tcBorders>
              <w:bottom w:val="single" w:sz="4" w:space="0" w:color="auto"/>
            </w:tcBorders>
          </w:tcPr>
          <w:p>
            <w:pPr>
              <w:pStyle w:val="nTable"/>
              <w:spacing w:after="40"/>
              <w:rPr>
                <w:del w:id="333" w:author="svcMRProcess" w:date="2015-12-13T18:23:00Z"/>
                <w:i/>
                <w:noProof/>
                <w:snapToGrid w:val="0"/>
                <w:sz w:val="19"/>
                <w:vertAlign w:val="superscript"/>
              </w:rPr>
            </w:pPr>
            <w:del w:id="334" w:author="svcMRProcess" w:date="2015-12-13T18:23:00Z">
              <w:r>
                <w:rPr>
                  <w:i/>
                  <w:iCs/>
                  <w:snapToGrid w:val="0"/>
                  <w:sz w:val="19"/>
                  <w:lang w:val="en-US"/>
                </w:rPr>
                <w:delText>Nurses and Midwives Act 2006</w:delText>
              </w:r>
              <w:r>
                <w:rPr>
                  <w:snapToGrid w:val="0"/>
                  <w:sz w:val="19"/>
                  <w:lang w:val="en-US"/>
                </w:rPr>
                <w:delText xml:space="preserve"> s. 114 </w:delText>
              </w:r>
              <w:r>
                <w:rPr>
                  <w:snapToGrid w:val="0"/>
                  <w:sz w:val="19"/>
                  <w:vertAlign w:val="superscript"/>
                  <w:lang w:val="en-US"/>
                </w:rPr>
                <w:delText>12</w:delText>
              </w:r>
            </w:del>
          </w:p>
        </w:tc>
        <w:tc>
          <w:tcPr>
            <w:tcW w:w="1134" w:type="dxa"/>
            <w:gridSpan w:val="2"/>
            <w:tcBorders>
              <w:bottom w:val="single" w:sz="4" w:space="0" w:color="auto"/>
            </w:tcBorders>
          </w:tcPr>
          <w:p>
            <w:pPr>
              <w:pStyle w:val="nTable"/>
              <w:spacing w:after="40"/>
              <w:rPr>
                <w:del w:id="335" w:author="svcMRProcess" w:date="2015-12-13T18:23:00Z"/>
                <w:sz w:val="19"/>
              </w:rPr>
            </w:pPr>
            <w:del w:id="336" w:author="svcMRProcess" w:date="2015-12-13T18:23:00Z">
              <w:r>
                <w:rPr>
                  <w:snapToGrid w:val="0"/>
                  <w:sz w:val="19"/>
                  <w:lang w:val="en-US"/>
                </w:rPr>
                <w:delText>50 of 2006</w:delText>
              </w:r>
            </w:del>
          </w:p>
        </w:tc>
        <w:tc>
          <w:tcPr>
            <w:tcW w:w="1218" w:type="dxa"/>
            <w:gridSpan w:val="2"/>
            <w:tcBorders>
              <w:bottom w:val="single" w:sz="4" w:space="0" w:color="auto"/>
            </w:tcBorders>
          </w:tcPr>
          <w:p>
            <w:pPr>
              <w:pStyle w:val="nTable"/>
              <w:spacing w:after="40"/>
              <w:rPr>
                <w:del w:id="337" w:author="svcMRProcess" w:date="2015-12-13T18:23:00Z"/>
                <w:sz w:val="19"/>
              </w:rPr>
            </w:pPr>
            <w:del w:id="338" w:author="svcMRProcess" w:date="2015-12-13T18:23:00Z">
              <w:r>
                <w:rPr>
                  <w:snapToGrid w:val="0"/>
                  <w:sz w:val="19"/>
                  <w:lang w:val="en-US"/>
                </w:rPr>
                <w:delText>6 Oct 2006</w:delText>
              </w:r>
            </w:del>
          </w:p>
        </w:tc>
        <w:tc>
          <w:tcPr>
            <w:tcW w:w="2552" w:type="dxa"/>
            <w:tcBorders>
              <w:bottom w:val="single" w:sz="4" w:space="0" w:color="auto"/>
            </w:tcBorders>
          </w:tcPr>
          <w:p>
            <w:pPr>
              <w:pStyle w:val="nTable"/>
              <w:spacing w:after="40"/>
              <w:rPr>
                <w:del w:id="339" w:author="svcMRProcess" w:date="2015-12-13T18:23:00Z"/>
                <w:sz w:val="19"/>
              </w:rPr>
            </w:pPr>
            <w:del w:id="340" w:author="svcMRProcess" w:date="2015-12-13T18:23:00Z">
              <w:r>
                <w:rPr>
                  <w:snapToGrid w:val="0"/>
                  <w:sz w:val="19"/>
                  <w:lang w:val="en-US"/>
                </w:rPr>
                <w:delText>To be proclaimed (see s. 2)</w:delText>
              </w:r>
            </w:del>
          </w:p>
        </w:tc>
      </w:tr>
    </w:tbl>
    <w:p>
      <w:pPr>
        <w:pStyle w:val="nSubsection"/>
        <w:spacing w:before="160"/>
        <w:rPr>
          <w:snapToGrid w:val="0"/>
        </w:rPr>
      </w:pPr>
      <w:r>
        <w:rPr>
          <w:snapToGrid w:val="0"/>
          <w:vertAlign w:val="superscript"/>
        </w:rPr>
        <w:t>2</w:t>
      </w:r>
      <w:r>
        <w:rPr>
          <w:snapToGrid w:val="0"/>
        </w:rPr>
        <w:tab/>
        <w:t xml:space="preserve">The provision in this Act repealing that Act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snapToGrid w:val="0"/>
        </w:rPr>
        <w:t xml:space="preserve"> </w:t>
      </w:r>
      <w:r>
        <w:rPr>
          <w:i/>
        </w:rPr>
        <w:t>and Audit) Act 1985</w:t>
      </w:r>
      <w:r>
        <w:rPr>
          <w:sz w:val="19"/>
        </w:rPr>
        <w:t xml:space="preserve"> </w:t>
      </w:r>
      <w:r>
        <w:rPr>
          <w:snapToGrid w:val="0"/>
        </w:rPr>
        <w:t>s. 4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Subsection"/>
      </w:pPr>
      <w:r>
        <w:rPr>
          <w:snapToGrid w:val="0"/>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6</w:t>
      </w:r>
      <w:r>
        <w:tab/>
        <w:t xml:space="preserve">The </w:t>
      </w:r>
      <w:r>
        <w:rPr>
          <w:i/>
        </w:rPr>
        <w:t>State Administrative Tribunal Regulations 2004</w:t>
      </w:r>
      <w:r>
        <w:t xml:space="preserve"> r. 31 reads as follows:</w:t>
      </w:r>
    </w:p>
    <w:p>
      <w:pPr>
        <w:pStyle w:val="MiscOpen"/>
      </w:pPr>
      <w:r>
        <w:t>“</w:t>
      </w:r>
    </w:p>
    <w:p>
      <w:pPr>
        <w:pStyle w:val="nzHeading5"/>
      </w:pPr>
      <w:bookmarkStart w:id="341" w:name="_Toc90957839"/>
      <w:bookmarkStart w:id="342" w:name="_Toc92182254"/>
      <w:r>
        <w:rPr>
          <w:rStyle w:val="CharSectno"/>
        </w:rPr>
        <w:t>31</w:t>
      </w:r>
      <w:r>
        <w:t>.</w:t>
      </w:r>
      <w:r>
        <w:tab/>
      </w:r>
      <w:r>
        <w:rPr>
          <w:i/>
        </w:rPr>
        <w:t>Firearms Act 1973</w:t>
      </w:r>
      <w:bookmarkEnd w:id="341"/>
      <w:bookmarkEnd w:id="342"/>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MiscClose"/>
      </w:pPr>
      <w:r>
        <w:t>”.</w:t>
      </w:r>
    </w:p>
    <w:p>
      <w:pPr>
        <w:pStyle w:val="nSubsection"/>
      </w:pPr>
      <w:r>
        <w:rPr>
          <w:vertAlign w:val="superscript"/>
        </w:rPr>
        <w:t>7</w:t>
      </w:r>
      <w:r>
        <w:tab/>
        <w:t xml:space="preserve">The </w:t>
      </w:r>
      <w:r>
        <w:rPr>
          <w:i/>
        </w:rPr>
        <w:t>Firearms Amendment Act 2004</w:t>
      </w:r>
      <w:r>
        <w:t xml:space="preserve"> s. 15(3) reads as follows:</w:t>
      </w:r>
    </w:p>
    <w:p>
      <w:pPr>
        <w:pStyle w:val="MiscOpen"/>
      </w:pPr>
      <w:r>
        <w:t>“</w:t>
      </w:r>
    </w:p>
    <w:p>
      <w:pPr>
        <w:pStyle w:val="nzSubsection"/>
      </w:pPr>
      <w:r>
        <w:tab/>
        <w:t>(3)</w:t>
      </w:r>
      <w:r>
        <w:tab/>
        <w:t xml:space="preserve">The amendments made by this section do not affect the validity of a licence or permit that a person already holds under the </w:t>
      </w:r>
      <w:r>
        <w:rPr>
          <w:i/>
        </w:rPr>
        <w:t>Firearms Act 1973</w:t>
      </w:r>
      <w:r>
        <w:t xml:space="preserve"> on the day on which this section comes into operation, but on or after that day the grant, issue, or renewal of a licence or permit has to be in accordance with that Act as amended by this section.</w:t>
      </w:r>
    </w:p>
    <w:p>
      <w:pPr>
        <w:pStyle w:val="MiscClose"/>
      </w:pPr>
      <w:r>
        <w:t>”.</w:t>
      </w:r>
    </w:p>
    <w:p>
      <w:pPr>
        <w:pStyle w:val="nSubsection"/>
        <w:rPr>
          <w:snapToGrid w:val="0"/>
        </w:rPr>
      </w:pPr>
      <w:r>
        <w:rPr>
          <w:snapToGrid w:val="0"/>
          <w:vertAlign w:val="superscript"/>
        </w:rPr>
        <w:t>8</w:t>
      </w:r>
      <w:r>
        <w:rPr>
          <w:snapToGrid w:val="0"/>
        </w:rPr>
        <w:tab/>
        <w:t xml:space="preserve">The amendments in the </w:t>
      </w:r>
      <w:r>
        <w:rPr>
          <w:i/>
          <w:iCs/>
          <w:snapToGrid w:val="0"/>
        </w:rPr>
        <w:t>Firearms Amendment Act 2004</w:t>
      </w:r>
      <w:r>
        <w:rPr>
          <w:snapToGrid w:val="0"/>
        </w:rPr>
        <w:t xml:space="preserve"> s. 22(4)(a) and 26 have not been proclaimed and will not be because the amendments they propose cannot operate due to the amendments made by </w:t>
      </w:r>
      <w:r>
        <w:rPr>
          <w:i/>
          <w:iCs/>
          <w:snapToGrid w:val="0"/>
        </w:rPr>
        <w:t>the Criminal Code Amendment Act 2004</w:t>
      </w:r>
      <w:r>
        <w:rPr>
          <w:snapToGrid w:val="0"/>
        </w:rPr>
        <w:t xml:space="preserve"> s. 58.</w:t>
      </w:r>
    </w:p>
    <w:p>
      <w:pPr>
        <w:pStyle w:val="nSubsection"/>
        <w:keepNext/>
        <w:keepLines/>
        <w:rPr>
          <w:snapToGrid w:val="0"/>
        </w:rPr>
      </w:pPr>
      <w:r>
        <w:rPr>
          <w:snapToGrid w:val="0"/>
          <w:vertAlign w:val="superscript"/>
        </w:rPr>
        <w:t>9</w:t>
      </w:r>
      <w:r>
        <w:rPr>
          <w:snapToGrid w:val="0"/>
        </w:rPr>
        <w:tab/>
        <w:t xml:space="preserve">On the date as at which this compilation was prepared, the </w:t>
      </w:r>
      <w:r>
        <w:rPr>
          <w:i/>
          <w:snapToGrid w:val="0"/>
          <w:lang w:val="en-US"/>
        </w:rPr>
        <w:t>Courts Legislation Amendment and Repeal Act 2004</w:t>
      </w:r>
      <w:r>
        <w:rPr>
          <w:snapToGrid w:val="0"/>
          <w:sz w:val="19"/>
          <w:lang w:val="en-US"/>
        </w:rPr>
        <w:t xml:space="preserve"> </w:t>
      </w:r>
      <w:r>
        <w:rPr>
          <w:snapToGrid w:val="0"/>
          <w:lang w:val="en-US"/>
        </w:rPr>
        <w:t>s. 142, which gives effect 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Other amendments to various Acts</w:t>
      </w:r>
    </w:p>
    <w:p>
      <w:pPr>
        <w:pStyle w:val="nzSubsection"/>
      </w:pPr>
      <w:r>
        <w:tab/>
      </w:r>
      <w:r>
        <w:tab/>
        <w:t>Each Act listed in Schedule 2 is amended as set out in that Schedule immediately below the short title of the Act.</w:t>
      </w:r>
    </w:p>
    <w:p>
      <w:pPr>
        <w:pStyle w:val="MiscClose"/>
      </w:pPr>
      <w:r>
        <w:t>”.</w:t>
      </w:r>
    </w:p>
    <w:p>
      <w:pPr>
        <w:pStyle w:val="nSubsection"/>
        <w:keepNext/>
      </w:pPr>
      <w:r>
        <w:tab/>
        <w:t>Schedule 2 cl. 19 reads as follows:</w:t>
      </w:r>
    </w:p>
    <w:p>
      <w:pPr>
        <w:pStyle w:val="MiscOpen"/>
      </w:pPr>
      <w:r>
        <w:t>“</w:t>
      </w:r>
    </w:p>
    <w:p>
      <w:pPr>
        <w:pStyle w:val="nzHeading2"/>
      </w:pPr>
      <w:r>
        <w:rPr>
          <w:rStyle w:val="CharSchNo"/>
        </w:rPr>
        <w:t>Schedule 2</w:t>
      </w:r>
      <w:r>
        <w:t xml:space="preserve"> — </w:t>
      </w:r>
      <w:r>
        <w:rPr>
          <w:rStyle w:val="CharSchText"/>
        </w:rPr>
        <w:t>Other amendments to Acts</w:t>
      </w:r>
    </w:p>
    <w:p>
      <w:pPr>
        <w:pStyle w:val="nzHeading5"/>
      </w:pPr>
      <w:r>
        <w:t>19.</w:t>
      </w:r>
      <w:r>
        <w:tab/>
      </w:r>
      <w:r>
        <w:rPr>
          <w:i/>
        </w:rPr>
        <w:t>Firearms Act 1973</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7"/>
        <w:gridCol w:w="4284"/>
      </w:tblGrid>
      <w:tr>
        <w:trPr>
          <w:cantSplit/>
        </w:trPr>
        <w:tc>
          <w:tcPr>
            <w:tcW w:w="1527" w:type="dxa"/>
          </w:tcPr>
          <w:p>
            <w:pPr>
              <w:pStyle w:val="nzTable"/>
            </w:pPr>
            <w:r>
              <w:t>s. 22(1)</w:t>
            </w:r>
            <w:r>
              <w:rPr>
                <w:snapToGrid w:val="0"/>
                <w:vertAlign w:val="superscript"/>
              </w:rPr>
              <w:t xml:space="preserve"> 10</w:t>
            </w:r>
          </w:p>
        </w:tc>
        <w:tc>
          <w:tcPr>
            <w:tcW w:w="4284" w:type="dxa"/>
          </w:tcPr>
          <w:p>
            <w:pPr>
              <w:pStyle w:val="nzTable"/>
            </w:pPr>
            <w:r>
              <w:t>Delete the definition of “magistrate”.</w:t>
            </w:r>
          </w:p>
          <w:p>
            <w:pPr>
              <w:pStyle w:val="nzTable"/>
            </w:pPr>
            <w:r>
              <w:t>Delete the semi colon after the definition of “firearms appeal tribunal” and insert a full stop instead.</w:t>
            </w:r>
          </w:p>
        </w:tc>
      </w:tr>
      <w:tr>
        <w:trPr>
          <w:cantSplit/>
        </w:trPr>
        <w:tc>
          <w:tcPr>
            <w:tcW w:w="1527" w:type="dxa"/>
          </w:tcPr>
          <w:p>
            <w:pPr>
              <w:pStyle w:val="nzTable"/>
            </w:pPr>
            <w:r>
              <w:t>s. 22(3)</w:t>
            </w:r>
            <w:r>
              <w:rPr>
                <w:snapToGrid w:val="0"/>
                <w:vertAlign w:val="superscript"/>
              </w:rPr>
              <w:t xml:space="preserve"> 10</w:t>
            </w:r>
          </w:p>
        </w:tc>
        <w:tc>
          <w:tcPr>
            <w:tcW w:w="4284" w:type="dxa"/>
          </w:tcPr>
          <w:p>
            <w:pPr>
              <w:pStyle w:val="nzTable"/>
            </w:pPr>
            <w:r>
              <w:t xml:space="preserve">Delete “a magistrate” and insert instead — </w:t>
            </w:r>
          </w:p>
          <w:p>
            <w:pPr>
              <w:pStyle w:val="nzTable"/>
            </w:pPr>
            <w:r>
              <w:t>“    the Magistrates Court    ”.</w:t>
            </w:r>
          </w:p>
        </w:tc>
      </w:tr>
      <w:tr>
        <w:trPr>
          <w:cantSplit/>
        </w:trPr>
        <w:tc>
          <w:tcPr>
            <w:tcW w:w="1527" w:type="dxa"/>
          </w:tcPr>
          <w:p>
            <w:pPr>
              <w:pStyle w:val="nzTable"/>
            </w:pPr>
            <w:r>
              <w:t>After s. 22(6)</w:t>
            </w:r>
            <w:r>
              <w:rPr>
                <w:snapToGrid w:val="0"/>
                <w:vertAlign w:val="superscript"/>
              </w:rPr>
              <w:t xml:space="preserve"> 10</w:t>
            </w:r>
          </w:p>
        </w:tc>
        <w:tc>
          <w:tcPr>
            <w:tcW w:w="4284" w:type="dxa"/>
          </w:tcPr>
          <w:p>
            <w:pPr>
              <w:pStyle w:val="nzTable"/>
            </w:pPr>
            <w:r>
              <w:t xml:space="preserve">Insert the following subsection — </w:t>
            </w:r>
          </w:p>
          <w:p>
            <w:pPr>
              <w:pStyle w:val="nzTable"/>
            </w:pPr>
            <w:r>
              <w:t>“</w:t>
            </w:r>
          </w:p>
          <w:p>
            <w:pPr>
              <w:pStyle w:val="nzTable"/>
              <w:tabs>
                <w:tab w:val="left" w:pos="317"/>
              </w:tabs>
              <w:ind w:left="884" w:hanging="884"/>
            </w:pPr>
            <w:r>
              <w:tab/>
              <w:t>(6a)</w:t>
            </w:r>
            <w:r>
              <w:tab/>
              <w:t>If an appeal is made to the Magistrates Court the court shall be constituted by a magistrate.</w:t>
            </w:r>
          </w:p>
          <w:p>
            <w:pPr>
              <w:pStyle w:val="nzTable"/>
              <w:jc w:val="right"/>
            </w:pPr>
            <w:r>
              <w:t>”.</w:t>
            </w:r>
          </w:p>
        </w:tc>
      </w:tr>
      <w:tr>
        <w:trPr>
          <w:cantSplit/>
        </w:trPr>
        <w:tc>
          <w:tcPr>
            <w:tcW w:w="1527" w:type="dxa"/>
          </w:tcPr>
          <w:p>
            <w:pPr>
              <w:pStyle w:val="nzTable"/>
            </w:pPr>
            <w:r>
              <w:t>s. 22(7)</w:t>
            </w:r>
            <w:r>
              <w:rPr>
                <w:snapToGrid w:val="0"/>
                <w:vertAlign w:val="superscript"/>
              </w:rPr>
              <w:t xml:space="preserve"> 10</w:t>
            </w:r>
          </w:p>
        </w:tc>
        <w:tc>
          <w:tcPr>
            <w:tcW w:w="4284" w:type="dxa"/>
          </w:tcPr>
          <w:p>
            <w:pPr>
              <w:pStyle w:val="nzTable"/>
            </w:pPr>
            <w:r>
              <w:t xml:space="preserve">Delete “A magistrate” and insert instead — </w:t>
            </w:r>
          </w:p>
          <w:p>
            <w:pPr>
              <w:pStyle w:val="nzTable"/>
            </w:pPr>
            <w:r>
              <w:t>“    The Magistrates Court   ”.</w:t>
            </w:r>
          </w:p>
          <w:p>
            <w:pPr>
              <w:pStyle w:val="nzTable"/>
            </w:pPr>
            <w:r>
              <w:t>Delete “whom or”.</w:t>
            </w:r>
          </w:p>
        </w:tc>
      </w:tr>
      <w:tr>
        <w:trPr>
          <w:cantSplit/>
        </w:trPr>
        <w:tc>
          <w:tcPr>
            <w:tcW w:w="1527" w:type="dxa"/>
          </w:tcPr>
          <w:p>
            <w:pPr>
              <w:pStyle w:val="nzTable"/>
            </w:pPr>
            <w:r>
              <w:t>s. 22(8)</w:t>
            </w:r>
            <w:r>
              <w:rPr>
                <w:snapToGrid w:val="0"/>
                <w:vertAlign w:val="superscript"/>
              </w:rPr>
              <w:t xml:space="preserve"> 10</w:t>
            </w:r>
          </w:p>
        </w:tc>
        <w:tc>
          <w:tcPr>
            <w:tcW w:w="4284" w:type="dxa"/>
          </w:tcPr>
          <w:p>
            <w:pPr>
              <w:pStyle w:val="nzTable"/>
            </w:pPr>
            <w:r>
              <w:t xml:space="preserve">Delete “the magistrate” and insert instead — </w:t>
            </w:r>
          </w:p>
          <w:p>
            <w:pPr>
              <w:pStyle w:val="nzTable"/>
            </w:pPr>
            <w:r>
              <w:t>“    the Magistrates Court    ”.</w:t>
            </w:r>
          </w:p>
        </w:tc>
      </w:tr>
      <w:tr>
        <w:trPr>
          <w:cantSplit/>
        </w:trPr>
        <w:tc>
          <w:tcPr>
            <w:tcW w:w="1527" w:type="dxa"/>
          </w:tcPr>
          <w:p>
            <w:pPr>
              <w:pStyle w:val="nzTable"/>
            </w:pPr>
            <w:r>
              <w:t>s. 22(9)</w:t>
            </w:r>
            <w:r>
              <w:rPr>
                <w:snapToGrid w:val="0"/>
                <w:vertAlign w:val="superscript"/>
              </w:rPr>
              <w:t xml:space="preserve"> 10</w:t>
            </w:r>
          </w:p>
        </w:tc>
        <w:tc>
          <w:tcPr>
            <w:tcW w:w="4284" w:type="dxa"/>
          </w:tcPr>
          <w:p>
            <w:pPr>
              <w:pStyle w:val="nzTable"/>
            </w:pPr>
            <w:r>
              <w:t xml:space="preserve">Repeal the subsection and insert instead — </w:t>
            </w:r>
          </w:p>
          <w:p>
            <w:pPr>
              <w:pStyle w:val="nzTable"/>
            </w:pPr>
            <w:r>
              <w:t>“</w:t>
            </w:r>
          </w:p>
          <w:p>
            <w:pPr>
              <w:pStyle w:val="nzTable"/>
              <w:tabs>
                <w:tab w:val="left" w:pos="317"/>
              </w:tabs>
              <w:ind w:left="884" w:hanging="884"/>
            </w:pPr>
            <w:r>
              <w:tab/>
              <w:t>(9)</w:t>
            </w:r>
            <w:r>
              <w:tab/>
              <w:t>In determining an appeal the Magistrates Court may make any other order, including an order as to costs, that the court thinks fit.</w:t>
            </w:r>
          </w:p>
          <w:p>
            <w:pPr>
              <w:pStyle w:val="nzTable"/>
              <w:jc w:val="right"/>
            </w:pPr>
            <w:r>
              <w:t>”.</w:t>
            </w:r>
          </w:p>
        </w:tc>
      </w:tr>
      <w:tr>
        <w:trPr>
          <w:cantSplit/>
        </w:trPr>
        <w:tc>
          <w:tcPr>
            <w:tcW w:w="1527" w:type="dxa"/>
          </w:tcPr>
          <w:p>
            <w:pPr>
              <w:pStyle w:val="nzTable"/>
            </w:pPr>
            <w:r>
              <w:t>Schedule 3 cl. 1 </w:t>
            </w:r>
            <w:r>
              <w:rPr>
                <w:snapToGrid w:val="0"/>
                <w:vertAlign w:val="superscript"/>
              </w:rPr>
              <w:t>10</w:t>
            </w:r>
          </w:p>
        </w:tc>
        <w:tc>
          <w:tcPr>
            <w:tcW w:w="4284" w:type="dxa"/>
          </w:tcPr>
          <w:p>
            <w:pPr>
              <w:pStyle w:val="nzTable"/>
            </w:pPr>
            <w:r>
              <w:t xml:space="preserve">Delete the definition of “CSM” and insert instead — </w:t>
            </w:r>
          </w:p>
          <w:p>
            <w:pPr>
              <w:pStyle w:val="nzTable"/>
            </w:pPr>
            <w:r>
              <w:t>“</w:t>
            </w:r>
          </w:p>
          <w:p>
            <w:pPr>
              <w:pStyle w:val="nzTable"/>
              <w:tabs>
                <w:tab w:val="left" w:pos="459"/>
              </w:tabs>
              <w:ind w:left="743" w:hanging="743"/>
            </w:pPr>
            <w:r>
              <w:tab/>
            </w:r>
            <w:r>
              <w:rPr>
                <w:b/>
              </w:rPr>
              <w:t>“Chief Magistrate”</w:t>
            </w:r>
            <w:r>
              <w:t xml:space="preserve"> means the Chief Magistrate of the Magistrates Court;</w:t>
            </w:r>
          </w:p>
          <w:p>
            <w:pPr>
              <w:pStyle w:val="nzTable"/>
              <w:jc w:val="right"/>
            </w:pPr>
            <w:r>
              <w:t>”.</w:t>
            </w:r>
          </w:p>
        </w:tc>
      </w:tr>
      <w:tr>
        <w:trPr>
          <w:cantSplit/>
        </w:trPr>
        <w:tc>
          <w:tcPr>
            <w:tcW w:w="1527" w:type="dxa"/>
          </w:tcPr>
          <w:p>
            <w:pPr>
              <w:pStyle w:val="nzTable"/>
            </w:pPr>
            <w:r>
              <w:t>Schedule 3 </w:t>
            </w:r>
            <w:r>
              <w:rPr>
                <w:snapToGrid w:val="0"/>
                <w:vertAlign w:val="superscript"/>
              </w:rPr>
              <w:t>10</w:t>
            </w:r>
          </w:p>
        </w:tc>
        <w:tc>
          <w:tcPr>
            <w:tcW w:w="4284" w:type="dxa"/>
          </w:tcPr>
          <w:p>
            <w:pPr>
              <w:pStyle w:val="nzTable"/>
            </w:pPr>
            <w:r>
              <w:t xml:space="preserve">Delete “CSM” wherever it occurs and insert instead — </w:t>
            </w:r>
          </w:p>
          <w:p>
            <w:pPr>
              <w:pStyle w:val="nzTable"/>
            </w:pPr>
            <w:r>
              <w:t>“    Chief Magistrate    ”.</w:t>
            </w:r>
          </w:p>
        </w:tc>
      </w:tr>
    </w:tbl>
    <w:p>
      <w:pPr>
        <w:pStyle w:val="MiscClose"/>
      </w:pPr>
      <w:r>
        <w:t>”.</w:t>
      </w:r>
    </w:p>
    <w:p>
      <w:pPr>
        <w:pStyle w:val="nSubsection"/>
        <w:rPr>
          <w:snapToGrid w:val="0"/>
        </w:rPr>
      </w:pPr>
      <w:r>
        <w:rPr>
          <w:snapToGrid w:val="0"/>
          <w:vertAlign w:val="superscript"/>
        </w:rPr>
        <w:t>10</w:t>
      </w:r>
      <w:r>
        <w:rPr>
          <w:snapToGrid w:val="0"/>
        </w:rPr>
        <w:tab/>
        <w:t xml:space="preserve">The sections that it seeks to amend have been repealed by the </w:t>
      </w:r>
      <w:r>
        <w:rPr>
          <w:i/>
          <w:iCs/>
          <w:snapToGrid w:val="0"/>
        </w:rPr>
        <w:t>State Administrative Tribunal (Conferral of Jurisdiction) Amendment and Repeal Act 2004</w:t>
      </w:r>
      <w:r>
        <w:rPr>
          <w:snapToGrid w:val="0"/>
        </w:rPr>
        <w:t xml:space="preserve"> s. 369 and 371.</w:t>
      </w:r>
    </w:p>
    <w:p>
      <w:pPr>
        <w:pStyle w:val="nSubsection"/>
        <w:rPr>
          <w:del w:id="343" w:author="svcMRProcess" w:date="2015-12-13T18:23:00Z"/>
          <w:snapToGrid w:val="0"/>
        </w:rPr>
      </w:pPr>
      <w:bookmarkStart w:id="344" w:name="AutoSch"/>
      <w:bookmarkEnd w:id="344"/>
      <w:del w:id="345" w:author="svcMRProcess" w:date="2015-12-13T18:23:00Z">
        <w:r>
          <w:rPr>
            <w:snapToGrid w:val="0"/>
            <w:vertAlign w:val="superscript"/>
          </w:rPr>
          <w:delText>11</w:delText>
        </w:r>
        <w:r>
          <w:rPr>
            <w:snapToGrid w:val="0"/>
          </w:rPr>
          <w:tab/>
          <w:delText>Footnote no longer applicable.</w:delText>
        </w:r>
      </w:del>
    </w:p>
    <w:p>
      <w:pPr>
        <w:pStyle w:val="nSubsection"/>
        <w:rPr>
          <w:del w:id="346" w:author="svcMRProcess" w:date="2015-12-13T18:23:00Z"/>
          <w:snapToGrid w:val="0"/>
        </w:rPr>
      </w:pPr>
      <w:del w:id="347" w:author="svcMRProcess" w:date="2015-12-13T18:23:00Z">
        <w:r>
          <w:rPr>
            <w:snapToGrid w:val="0"/>
            <w:vertAlign w:val="superscript"/>
          </w:rPr>
          <w:delText>12</w:delText>
        </w:r>
        <w:r>
          <w:rPr>
            <w:snapToGrid w:val="0"/>
          </w:rPr>
          <w:tab/>
          <w:delText xml:space="preserve">On the date as at which this compilation was prepared, the </w:delText>
        </w:r>
        <w:r>
          <w:rPr>
            <w:i/>
            <w:iCs/>
            <w:snapToGrid w:val="0"/>
            <w:lang w:val="en-US"/>
          </w:rPr>
          <w:delText xml:space="preserve">Nurses and Midwives Act 2006 </w:delText>
        </w:r>
        <w:r>
          <w:rPr>
            <w:snapToGrid w:val="0"/>
            <w:lang w:val="en-US"/>
          </w:rPr>
          <w:delText>s. 114</w:delText>
        </w:r>
        <w:r>
          <w:rPr>
            <w:i/>
            <w:iCs/>
            <w:snapToGrid w:val="0"/>
            <w:lang w:val="en-US"/>
          </w:rPr>
          <w:delText xml:space="preserve">, </w:delText>
        </w:r>
        <w:r>
          <w:rPr>
            <w:snapToGrid w:val="0"/>
            <w:lang w:val="en-US"/>
          </w:rPr>
          <w:delText xml:space="preserve">which </w:delText>
        </w:r>
        <w:r>
          <w:rPr>
            <w:snapToGrid w:val="0"/>
          </w:rPr>
          <w:delText>gives effect to Sch. 3, had not come into operation.  It reads as follows:</w:delText>
        </w:r>
      </w:del>
    </w:p>
    <w:p>
      <w:pPr>
        <w:pStyle w:val="MiscOpen"/>
        <w:rPr>
          <w:del w:id="348" w:author="svcMRProcess" w:date="2015-12-13T18:23:00Z"/>
          <w:snapToGrid w:val="0"/>
        </w:rPr>
      </w:pPr>
      <w:del w:id="349" w:author="svcMRProcess" w:date="2015-12-13T18:23:00Z">
        <w:r>
          <w:rPr>
            <w:snapToGrid w:val="0"/>
          </w:rPr>
          <w:delText>“</w:delText>
        </w:r>
      </w:del>
    </w:p>
    <w:p>
      <w:pPr>
        <w:pStyle w:val="nzHeading5"/>
        <w:rPr>
          <w:del w:id="350" w:author="svcMRProcess" w:date="2015-12-13T18:23:00Z"/>
          <w:snapToGrid w:val="0"/>
        </w:rPr>
      </w:pPr>
      <w:bookmarkStart w:id="351" w:name="_Toc520089319"/>
      <w:bookmarkStart w:id="352" w:name="_Toc40079665"/>
      <w:bookmarkStart w:id="353" w:name="_Toc76798033"/>
      <w:bookmarkStart w:id="354" w:name="_Toc101250727"/>
      <w:bookmarkStart w:id="355" w:name="_Toc111027996"/>
      <w:bookmarkStart w:id="356" w:name="_Toc147293455"/>
      <w:bookmarkStart w:id="357" w:name="_Toc148158468"/>
      <w:del w:id="358" w:author="svcMRProcess" w:date="2015-12-13T18:23:00Z">
        <w:r>
          <w:rPr>
            <w:rStyle w:val="CharSectno"/>
          </w:rPr>
          <w:delText>114</w:delText>
        </w:r>
        <w:r>
          <w:delText>.</w:delText>
        </w:r>
        <w:r>
          <w:tab/>
        </w:r>
        <w:r>
          <w:rPr>
            <w:snapToGrid w:val="0"/>
          </w:rPr>
          <w:delText>Consequential amendments</w:delText>
        </w:r>
        <w:bookmarkEnd w:id="351"/>
        <w:bookmarkEnd w:id="352"/>
        <w:bookmarkEnd w:id="353"/>
        <w:bookmarkEnd w:id="354"/>
        <w:bookmarkEnd w:id="355"/>
        <w:bookmarkEnd w:id="356"/>
        <w:bookmarkEnd w:id="357"/>
        <w:r>
          <w:rPr>
            <w:snapToGrid w:val="0"/>
          </w:rPr>
          <w:delText xml:space="preserve"> </w:delText>
        </w:r>
      </w:del>
    </w:p>
    <w:p>
      <w:pPr>
        <w:pStyle w:val="nzSubsection"/>
        <w:rPr>
          <w:del w:id="359" w:author="svcMRProcess" w:date="2015-12-13T18:23:00Z"/>
          <w:snapToGrid w:val="0"/>
        </w:rPr>
      </w:pPr>
      <w:del w:id="360" w:author="svcMRProcess" w:date="2015-12-13T18:23:00Z">
        <w:r>
          <w:rPr>
            <w:snapToGrid w:val="0"/>
          </w:rPr>
          <w:tab/>
        </w:r>
        <w:r>
          <w:rPr>
            <w:snapToGrid w:val="0"/>
          </w:rPr>
          <w:tab/>
          <w:delText>Schedule 3 sets out consequential amendments.</w:delText>
        </w:r>
      </w:del>
    </w:p>
    <w:p>
      <w:pPr>
        <w:pStyle w:val="MiscClose"/>
        <w:rPr>
          <w:del w:id="361" w:author="svcMRProcess" w:date="2015-12-13T18:23:00Z"/>
          <w:snapToGrid w:val="0"/>
        </w:rPr>
      </w:pPr>
      <w:del w:id="362" w:author="svcMRProcess" w:date="2015-12-13T18:23:00Z">
        <w:r>
          <w:rPr>
            <w:snapToGrid w:val="0"/>
          </w:rPr>
          <w:delText>”.</w:delText>
        </w:r>
      </w:del>
    </w:p>
    <w:p>
      <w:pPr>
        <w:pStyle w:val="nSubsection"/>
        <w:rPr>
          <w:del w:id="363" w:author="svcMRProcess" w:date="2015-12-13T18:23:00Z"/>
          <w:snapToGrid w:val="0"/>
        </w:rPr>
      </w:pPr>
      <w:del w:id="364" w:author="svcMRProcess" w:date="2015-12-13T18:23:00Z">
        <w:r>
          <w:rPr>
            <w:snapToGrid w:val="0"/>
          </w:rPr>
          <w:tab/>
          <w:delText>Schedule 3 cl. 8 reads as follows:</w:delText>
        </w:r>
      </w:del>
    </w:p>
    <w:p>
      <w:pPr>
        <w:pStyle w:val="nSubsection"/>
        <w:rPr>
          <w:del w:id="365" w:author="svcMRProcess" w:date="2015-12-13T18:23:00Z"/>
          <w:snapToGrid w:val="0"/>
        </w:rPr>
      </w:pPr>
      <w:del w:id="366" w:author="svcMRProcess" w:date="2015-12-13T18:23:00Z">
        <w:r>
          <w:rPr>
            <w:snapToGrid w:val="0"/>
          </w:rPr>
          <w:delText>“</w:delText>
        </w:r>
      </w:del>
    </w:p>
    <w:p>
      <w:pPr>
        <w:pStyle w:val="nzHeading2"/>
        <w:rPr>
          <w:del w:id="367" w:author="svcMRProcess" w:date="2015-12-13T18:23:00Z"/>
        </w:rPr>
      </w:pPr>
      <w:bookmarkStart w:id="368" w:name="_Toc111028039"/>
      <w:bookmarkStart w:id="369" w:name="_Toc111352295"/>
      <w:bookmarkStart w:id="370" w:name="_Toc111352497"/>
      <w:bookmarkStart w:id="371" w:name="_Toc111353830"/>
      <w:bookmarkStart w:id="372" w:name="_Toc111358390"/>
      <w:bookmarkStart w:id="373" w:name="_Toc111362091"/>
      <w:bookmarkStart w:id="374" w:name="_Toc111363361"/>
      <w:bookmarkStart w:id="375" w:name="_Toc111435417"/>
      <w:bookmarkStart w:id="376" w:name="_Toc113075121"/>
      <w:bookmarkStart w:id="377" w:name="_Toc113851218"/>
      <w:bookmarkStart w:id="378" w:name="_Toc113852926"/>
      <w:bookmarkStart w:id="379" w:name="_Toc113943040"/>
      <w:bookmarkStart w:id="380" w:name="_Toc114454917"/>
      <w:bookmarkStart w:id="381" w:name="_Toc114468949"/>
      <w:bookmarkStart w:id="382" w:name="_Toc114470899"/>
      <w:bookmarkStart w:id="383" w:name="_Toc114473349"/>
      <w:bookmarkStart w:id="384" w:name="_Toc114533556"/>
      <w:bookmarkStart w:id="385" w:name="_Toc114620246"/>
      <w:bookmarkStart w:id="386" w:name="_Toc114621085"/>
      <w:bookmarkStart w:id="387" w:name="_Toc114621742"/>
      <w:bookmarkStart w:id="388" w:name="_Toc114626552"/>
      <w:bookmarkStart w:id="389" w:name="_Toc114906346"/>
      <w:bookmarkStart w:id="390" w:name="_Toc114964949"/>
      <w:bookmarkStart w:id="391" w:name="_Toc114972705"/>
      <w:bookmarkStart w:id="392" w:name="_Toc114972912"/>
      <w:bookmarkStart w:id="393" w:name="_Toc114984085"/>
      <w:bookmarkStart w:id="394" w:name="_Toc115076531"/>
      <w:bookmarkStart w:id="395" w:name="_Toc115079072"/>
      <w:bookmarkStart w:id="396" w:name="_Toc115157954"/>
      <w:bookmarkStart w:id="397" w:name="_Toc116107778"/>
      <w:bookmarkStart w:id="398" w:name="_Toc116178665"/>
      <w:bookmarkStart w:id="399" w:name="_Toc116178872"/>
      <w:bookmarkStart w:id="400" w:name="_Toc116179079"/>
      <w:bookmarkStart w:id="401" w:name="_Toc116183789"/>
      <w:bookmarkStart w:id="402" w:name="_Toc116207186"/>
      <w:bookmarkStart w:id="403" w:name="_Toc116276444"/>
      <w:bookmarkStart w:id="404" w:name="_Toc116279197"/>
      <w:bookmarkStart w:id="405" w:name="_Toc116346743"/>
      <w:bookmarkStart w:id="406" w:name="_Toc117318263"/>
      <w:bookmarkStart w:id="407" w:name="_Toc117403394"/>
      <w:bookmarkStart w:id="408" w:name="_Toc117403735"/>
      <w:bookmarkStart w:id="409" w:name="_Toc117405260"/>
      <w:bookmarkStart w:id="410" w:name="_Toc117925373"/>
      <w:bookmarkStart w:id="411" w:name="_Toc117925654"/>
      <w:bookmarkStart w:id="412" w:name="_Toc117925958"/>
      <w:bookmarkStart w:id="413" w:name="_Toc119212547"/>
      <w:bookmarkStart w:id="414" w:name="_Toc119216700"/>
      <w:bookmarkStart w:id="415" w:name="_Toc147293124"/>
      <w:bookmarkStart w:id="416" w:name="_Toc147293500"/>
      <w:bookmarkStart w:id="417" w:name="_Toc148158513"/>
      <w:del w:id="418" w:author="svcMRProcess" w:date="2015-12-13T18:23: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del>
    </w:p>
    <w:p>
      <w:pPr>
        <w:pStyle w:val="nzMiscellaneousBody"/>
        <w:jc w:val="right"/>
        <w:rPr>
          <w:del w:id="419" w:author="svcMRProcess" w:date="2015-12-13T18:23:00Z"/>
        </w:rPr>
      </w:pPr>
      <w:del w:id="420" w:author="svcMRProcess" w:date="2015-12-13T18:23:00Z">
        <w:r>
          <w:delText>[s. 114]</w:delText>
        </w:r>
      </w:del>
    </w:p>
    <w:p>
      <w:pPr>
        <w:pStyle w:val="nzHeading5"/>
        <w:rPr>
          <w:del w:id="421" w:author="svcMRProcess" w:date="2015-12-13T18:23:00Z"/>
        </w:rPr>
      </w:pPr>
      <w:bookmarkStart w:id="422" w:name="_Toc111028047"/>
      <w:bookmarkStart w:id="423" w:name="_Toc147293508"/>
      <w:bookmarkStart w:id="424" w:name="_Toc148158521"/>
      <w:del w:id="425" w:author="svcMRProcess" w:date="2015-12-13T18:23:00Z">
        <w:r>
          <w:rPr>
            <w:rStyle w:val="CharSClsNo"/>
          </w:rPr>
          <w:delText>8</w:delText>
        </w:r>
        <w:r>
          <w:delText>.</w:delText>
        </w:r>
        <w:r>
          <w:tab/>
        </w:r>
        <w:r>
          <w:rPr>
            <w:i/>
          </w:rPr>
          <w:delText>Firearms Act 1973</w:delText>
        </w:r>
        <w:r>
          <w:delText xml:space="preserve"> amended</w:delText>
        </w:r>
        <w:bookmarkEnd w:id="422"/>
        <w:bookmarkEnd w:id="423"/>
        <w:bookmarkEnd w:id="424"/>
      </w:del>
    </w:p>
    <w:p>
      <w:pPr>
        <w:pStyle w:val="nzSubsection"/>
        <w:rPr>
          <w:del w:id="426" w:author="svcMRProcess" w:date="2015-12-13T18:23:00Z"/>
        </w:rPr>
      </w:pPr>
      <w:del w:id="427" w:author="svcMRProcess" w:date="2015-12-13T18:23:00Z">
        <w:r>
          <w:tab/>
          <w:delText>(1)</w:delText>
        </w:r>
        <w:r>
          <w:tab/>
          <w:delText xml:space="preserve">The amendments in this clause are to </w:delText>
        </w:r>
        <w:r>
          <w:rPr>
            <w:i/>
          </w:rPr>
          <w:delText>Firearms Act 1973</w:delText>
        </w:r>
        <w:r>
          <w:rPr>
            <w:iCs/>
          </w:rPr>
          <w:delText>.</w:delText>
        </w:r>
      </w:del>
    </w:p>
    <w:p>
      <w:pPr>
        <w:pStyle w:val="nzSubsection"/>
        <w:rPr>
          <w:del w:id="428" w:author="svcMRProcess" w:date="2015-12-13T18:23:00Z"/>
        </w:rPr>
      </w:pPr>
      <w:del w:id="429" w:author="svcMRProcess" w:date="2015-12-13T18:23:00Z">
        <w:r>
          <w:tab/>
          <w:delText>(2)</w:delText>
        </w:r>
        <w:r>
          <w:tab/>
          <w:delText xml:space="preserve">Section 23B(3) is amended in the definition of “registered nurse” by deleting “Part 3 of the </w:delText>
        </w:r>
        <w:r>
          <w:rPr>
            <w:i/>
          </w:rPr>
          <w:delText>Nurses Act 1992</w:delText>
        </w:r>
        <w:r>
          <w:delText xml:space="preserve">.” and inserting instead — </w:delText>
        </w:r>
      </w:del>
    </w:p>
    <w:p>
      <w:pPr>
        <w:pStyle w:val="nzSubsection"/>
        <w:rPr>
          <w:del w:id="430" w:author="svcMRProcess" w:date="2015-12-13T18:23:00Z"/>
        </w:rPr>
      </w:pPr>
      <w:del w:id="431" w:author="svcMRProcess" w:date="2015-12-13T18:23:00Z">
        <w:r>
          <w:tab/>
        </w:r>
        <w:r>
          <w:tab/>
          <w:delText xml:space="preserve">“    </w:delText>
        </w:r>
        <w:r>
          <w:rPr>
            <w:sz w:val="24"/>
          </w:rPr>
          <w:delText>Part 4 of the</w:delText>
        </w:r>
        <w:r>
          <w:delText xml:space="preserve"> </w:delText>
        </w:r>
        <w:r>
          <w:rPr>
            <w:i/>
            <w:sz w:val="24"/>
          </w:rPr>
          <w:delText>Nurses and Midwives Act 2006</w:delText>
        </w:r>
        <w:r>
          <w:rPr>
            <w:sz w:val="24"/>
          </w:rPr>
          <w:delText>.</w:delText>
        </w:r>
        <w:r>
          <w:delText xml:space="preserve">    ”.</w:delText>
        </w:r>
      </w:del>
    </w:p>
    <w:p>
      <w:pPr>
        <w:pStyle w:val="MiscClose"/>
        <w:rPr>
          <w:del w:id="432" w:author="svcMRProcess" w:date="2015-12-13T18:23:00Z"/>
          <w:snapToGrid w:val="0"/>
        </w:rPr>
      </w:pPr>
      <w:del w:id="433" w:author="svcMRProcess" w:date="2015-12-13T18:23:00Z">
        <w:r>
          <w:rPr>
            <w:snapToGrid w:val="0"/>
          </w:rPr>
          <w:delText>”.</w:delText>
        </w:r>
      </w:del>
    </w:p>
    <w:p/>
    <w:p>
      <w:pPr>
        <w:sectPr>
          <w:headerReference w:type="first" r:id="rId21"/>
          <w:pgSz w:w="11906" w:h="16838" w:code="9"/>
          <w:pgMar w:top="2376" w:right="2404" w:bottom="3544" w:left="2404" w:header="720" w:footer="3380" w:gutter="0"/>
          <w:cols w:space="720"/>
          <w:noEndnote/>
          <w:docGrid w:linePitch="326"/>
        </w:sectPr>
      </w:pPr>
    </w:p>
    <w:p/>
    <w:sectPr>
      <w:headerReference w:type="even" r:id="rId22"/>
      <w:headerReference w:type="default" r:id="rId2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2635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CF674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CAC0D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496CF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5A41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6C25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83CE6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74AB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5E39E8"/>
    <w:lvl w:ilvl="0">
      <w:start w:val="1"/>
      <w:numFmt w:val="decimal"/>
      <w:pStyle w:val="ListNumber"/>
      <w:lvlText w:val="%1."/>
      <w:lvlJc w:val="left"/>
      <w:pPr>
        <w:tabs>
          <w:tab w:val="num" w:pos="360"/>
        </w:tabs>
        <w:ind w:left="360" w:hanging="360"/>
      </w:pPr>
    </w:lvl>
  </w:abstractNum>
  <w:abstractNum w:abstractNumId="9">
    <w:nsid w:val="FFFFFF89"/>
    <w:multiLevelType w:val="singleLevel"/>
    <w:tmpl w:val="394C79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8D06F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DFE01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0854"/>
    <w:docVar w:name="WAFER_20151210140854" w:val="RemoveTrackChanges"/>
    <w:docVar w:name="WAFER_20151210140854_GUID" w:val="9cd566db-2d2a-43bc-b55a-cfaf066c93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20282</Words>
  <Characters>94516</Characters>
  <Application>Microsoft Office Word</Application>
  <DocSecurity>0</DocSecurity>
  <Lines>2554</Lines>
  <Paragraphs>1221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04-g0-02 - 04-h0-02</dc:title>
  <dc:subject/>
  <dc:creator/>
  <cp:keywords/>
  <dc:description/>
  <cp:lastModifiedBy>svcMRProcess</cp:lastModifiedBy>
  <cp:revision>2</cp:revision>
  <cp:lastPrinted>2005-12-13T07:45:00Z</cp:lastPrinted>
  <dcterms:created xsi:type="dcterms:W3CDTF">2015-12-13T10:23:00Z</dcterms:created>
  <dcterms:modified xsi:type="dcterms:W3CDTF">2015-12-13T10:23:00Z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CommencementDate">
    <vt:lpwstr>20070919</vt:lpwstr>
  </property>
  <property fmtid="{D5CDD505-2E9C-101B-9397-08002B2CF9AE}" pid="4" name="DocumentType">
    <vt:lpwstr>Act</vt:lpwstr>
  </property>
  <property fmtid="{D5CDD505-2E9C-101B-9397-08002B2CF9AE}" pid="5" name="OwlsUID">
    <vt:i4>278</vt:i4>
  </property>
  <property fmtid="{D5CDD505-2E9C-101B-9397-08002B2CF9AE}" pid="6" name="FromSuffix">
    <vt:lpwstr>04-g0-02</vt:lpwstr>
  </property>
  <property fmtid="{D5CDD505-2E9C-101B-9397-08002B2CF9AE}" pid="7" name="FromAsAtDate">
    <vt:lpwstr>01 Jul 2007</vt:lpwstr>
  </property>
  <property fmtid="{D5CDD505-2E9C-101B-9397-08002B2CF9AE}" pid="8" name="ToSuffix">
    <vt:lpwstr>04-h0-02</vt:lpwstr>
  </property>
  <property fmtid="{D5CDD505-2E9C-101B-9397-08002B2CF9AE}" pid="9" name="ToAsAtDate">
    <vt:lpwstr>19 Sep 2007</vt:lpwstr>
  </property>
</Properties>
</file>