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Inheritance (Family and Dependants Provision)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2003</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3T16:33:00Z"/>
        </w:trPr>
        <w:tc>
          <w:tcPr>
            <w:tcW w:w="2434" w:type="dxa"/>
            <w:vMerge w:val="restart"/>
          </w:tcPr>
          <w:p>
            <w:pPr>
              <w:rPr>
                <w:del w:id="1" w:author="svcMRProcess" w:date="2015-12-03T16:33:00Z"/>
              </w:rPr>
            </w:pPr>
          </w:p>
        </w:tc>
        <w:tc>
          <w:tcPr>
            <w:tcW w:w="2434" w:type="dxa"/>
            <w:vMerge w:val="restart"/>
          </w:tcPr>
          <w:p>
            <w:pPr>
              <w:jc w:val="center"/>
              <w:rPr>
                <w:del w:id="2" w:author="svcMRProcess" w:date="2015-12-03T16:33:00Z"/>
              </w:rPr>
            </w:pPr>
            <w:del w:id="3" w:author="svcMRProcess" w:date="2015-12-03T16:33: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15-12-03T16:33:00Z"/>
              </w:rPr>
            </w:pPr>
          </w:p>
        </w:tc>
      </w:tr>
      <w:tr>
        <w:trPr>
          <w:cantSplit/>
          <w:del w:id="5" w:author="svcMRProcess" w:date="2015-12-03T16:33:00Z"/>
        </w:trPr>
        <w:tc>
          <w:tcPr>
            <w:tcW w:w="2434" w:type="dxa"/>
            <w:vMerge/>
          </w:tcPr>
          <w:p>
            <w:pPr>
              <w:rPr>
                <w:del w:id="6" w:author="svcMRProcess" w:date="2015-12-03T16:33:00Z"/>
              </w:rPr>
            </w:pPr>
          </w:p>
        </w:tc>
        <w:tc>
          <w:tcPr>
            <w:tcW w:w="2434" w:type="dxa"/>
            <w:vMerge/>
          </w:tcPr>
          <w:p>
            <w:pPr>
              <w:jc w:val="center"/>
              <w:rPr>
                <w:del w:id="7" w:author="svcMRProcess" w:date="2015-12-03T16:33:00Z"/>
              </w:rPr>
            </w:pPr>
          </w:p>
        </w:tc>
        <w:tc>
          <w:tcPr>
            <w:tcW w:w="2434" w:type="dxa"/>
          </w:tcPr>
          <w:p>
            <w:pPr>
              <w:keepNext/>
              <w:rPr>
                <w:del w:id="8" w:author="svcMRProcess" w:date="2015-12-03T16:33:00Z"/>
                <w:b/>
                <w:sz w:val="22"/>
              </w:rPr>
            </w:pPr>
            <w:del w:id="9" w:author="svcMRProcess" w:date="2015-12-03T16:33: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5</w:delText>
              </w:r>
              <w:r>
                <w:rPr>
                  <w:b/>
                  <w:snapToGrid w:val="0"/>
                  <w:sz w:val="22"/>
                </w:rPr>
                <w:delText xml:space="preserve"> September 2003</w:delText>
              </w:r>
            </w:del>
          </w:p>
        </w:tc>
      </w:tr>
    </w:tbl>
    <w:p>
      <w:pPr>
        <w:pStyle w:val="WA"/>
        <w:spacing w:before="120"/>
      </w:pPr>
      <w:r>
        <w:t>Western Australia</w:t>
      </w:r>
    </w:p>
    <w:p>
      <w:pPr>
        <w:pStyle w:val="NameofActReg"/>
        <w:spacing w:after="520"/>
      </w:pPr>
      <w:r>
        <w:t xml:space="preserve">Inheritance (Family and Dependants Provision) Act 1972 </w:t>
      </w:r>
    </w:p>
    <w:p>
      <w:pPr>
        <w:pStyle w:val="LongTitle"/>
        <w:rPr>
          <w:snapToGrid w:val="0"/>
        </w:rPr>
      </w:pPr>
      <w:r>
        <w:rPr>
          <w:snapToGrid w:val="0"/>
        </w:rPr>
        <w:t>A</w:t>
      </w:r>
      <w:bookmarkStart w:id="10" w:name="_GoBack"/>
      <w:bookmarkEnd w:id="10"/>
      <w:r>
        <w:rPr>
          <w:snapToGrid w:val="0"/>
        </w:rPr>
        <w:t xml:space="preserve">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11" w:name="_Toc411234377"/>
      <w:bookmarkStart w:id="12" w:name="_Toc50191348"/>
      <w:bookmarkStart w:id="13" w:name="_Toc52092050"/>
      <w:bookmarkStart w:id="14" w:name="_Toc181503345"/>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Inheritance (Family and Dependants Provision) Act 1972</w:t>
      </w:r>
      <w:r>
        <w:rPr>
          <w:snapToGrid w:val="0"/>
          <w:vertAlign w:val="superscript"/>
        </w:rPr>
        <w:t> 1</w:t>
      </w:r>
      <w:r>
        <w:rPr>
          <w:snapToGrid w:val="0"/>
        </w:rPr>
        <w:t>.</w:t>
      </w:r>
    </w:p>
    <w:p>
      <w:pPr>
        <w:pStyle w:val="Heading5"/>
        <w:rPr>
          <w:snapToGrid w:val="0"/>
        </w:rPr>
      </w:pPr>
      <w:bookmarkStart w:id="15" w:name="_Toc411234378"/>
      <w:bookmarkStart w:id="16" w:name="_Toc50191349"/>
      <w:bookmarkStart w:id="17" w:name="_Toc52092051"/>
      <w:bookmarkStart w:id="18" w:name="_Toc181503346"/>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9" w:name="_Toc411234379"/>
      <w:bookmarkStart w:id="20" w:name="_Toc50191350"/>
      <w:bookmarkStart w:id="21" w:name="_Toc52092052"/>
      <w:bookmarkStart w:id="22" w:name="_Toc181503347"/>
      <w:r>
        <w:rPr>
          <w:rStyle w:val="CharSectno"/>
        </w:rPr>
        <w:t>3</w:t>
      </w:r>
      <w:r>
        <w:rPr>
          <w:snapToGrid w:val="0"/>
        </w:rPr>
        <w:t>.</w:t>
      </w:r>
      <w:r>
        <w:rPr>
          <w:snapToGrid w:val="0"/>
        </w:rPr>
        <w:tab/>
        <w:t>Repeal and amendments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pPr>
        <w:pStyle w:val="Ednotesubsection"/>
        <w:ind w:left="0" w:firstLine="0"/>
      </w:pPr>
      <w:r>
        <w:tab/>
        <w:t>[(2), (3)</w:t>
      </w:r>
      <w:r>
        <w:tab/>
        <w:t>Omitted under the Reprints Act 1984 s. 7(4)(e).]</w:t>
      </w:r>
    </w:p>
    <w:p>
      <w:pPr>
        <w:pStyle w:val="Heading5"/>
        <w:rPr>
          <w:snapToGrid w:val="0"/>
        </w:rPr>
      </w:pPr>
      <w:bookmarkStart w:id="23" w:name="_Toc411234380"/>
      <w:bookmarkStart w:id="24" w:name="_Toc50191351"/>
      <w:bookmarkStart w:id="25" w:name="_Toc52092053"/>
      <w:bookmarkStart w:id="26" w:name="_Toc181503348"/>
      <w:r>
        <w:rPr>
          <w:rStyle w:val="CharSectno"/>
        </w:rPr>
        <w:t>4</w:t>
      </w:r>
      <w:r>
        <w:rPr>
          <w:snapToGrid w:val="0"/>
        </w:rPr>
        <w:t>.</w:t>
      </w:r>
      <w:r>
        <w:rPr>
          <w:snapToGrid w:val="0"/>
        </w:rPr>
        <w:tab/>
        <w:t>Interpretation</w:t>
      </w:r>
      <w:bookmarkEnd w:id="23"/>
      <w:bookmarkEnd w:id="24"/>
      <w:bookmarkEnd w:id="25"/>
      <w:bookmarkEnd w:id="26"/>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t>“Administration”</w:t>
      </w:r>
      <w:r>
        <w:t xml:space="preserve"> has the same meaning as it has in the </w:t>
      </w:r>
      <w:r>
        <w:rPr>
          <w:i/>
        </w:rPr>
        <w:t>Administration Act 1903</w:t>
      </w:r>
      <w:r>
        <w:t>;</w:t>
      </w:r>
    </w:p>
    <w:p>
      <w:pPr>
        <w:pStyle w:val="Defstart"/>
      </w:pPr>
      <w:r>
        <w:rPr>
          <w:b/>
        </w:rPr>
        <w:lastRenderedPageBreak/>
        <w:tab/>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pPr>
        <w:pStyle w:val="Defstart"/>
      </w:pPr>
      <w:r>
        <w:rPr>
          <w:b/>
        </w:rPr>
        <w:tab/>
        <w:t>“child”</w:t>
      </w:r>
      <w:r>
        <w:t xml:space="preserve"> in relation to any person or persons includes an illegitimate child;</w:t>
      </w:r>
    </w:p>
    <w:p>
      <w:pPr>
        <w:pStyle w:val="Defstart"/>
      </w:pPr>
      <w:r>
        <w:rPr>
          <w:b/>
        </w:rPr>
        <w:tab/>
        <w:t>“Court”</w:t>
      </w:r>
      <w:r>
        <w:t xml:space="preserve"> means the Supreme Court, or a Judge;</w:t>
      </w:r>
    </w:p>
    <w:p>
      <w:pPr>
        <w:pStyle w:val="Defstart"/>
      </w:pPr>
      <w:r>
        <w:rPr>
          <w:b/>
        </w:rPr>
        <w:tab/>
        <w:t>“grandchild”</w:t>
      </w:r>
      <w:r>
        <w:t xml:space="preserve"> in relation to any person or persons includes an illegitimate child of a child of that person;</w:t>
      </w:r>
    </w:p>
    <w:p>
      <w:pPr>
        <w:pStyle w:val="Defstart"/>
      </w:pPr>
      <w:r>
        <w:rPr>
          <w:b/>
        </w:rPr>
        <w:tab/>
        <w:t>“will”</w:t>
      </w:r>
      <w:r>
        <w:t xml:space="preserve"> includes a codicil and any testamentary instrument.</w:t>
      </w:r>
    </w:p>
    <w:p>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pPr>
        <w:pStyle w:val="Subsection"/>
      </w:pPr>
      <w:r>
        <w:tab/>
        <w:t>(4a)</w:t>
      </w:r>
      <w:r>
        <w:tab/>
        <w:t xml:space="preserve">Subsection (4) does not apply to or in relation to a relationship established by the </w:t>
      </w:r>
      <w:r>
        <w:rPr>
          <w:i/>
        </w:rPr>
        <w:t>Artificial Conception Act 1985</w:t>
      </w:r>
      <w:r>
        <w:t>.</w:t>
      </w:r>
    </w:p>
    <w:p>
      <w:pPr>
        <w:pStyle w:val="Footnotesection"/>
      </w:pPr>
      <w:r>
        <w:tab/>
        <w:t>[Section 4 amended by No. 3 of 2002 s. 80; No. 28 of 2003 s. 92.]</w:t>
      </w:r>
    </w:p>
    <w:p>
      <w:pPr>
        <w:pStyle w:val="Heading5"/>
        <w:rPr>
          <w:snapToGrid w:val="0"/>
        </w:rPr>
      </w:pPr>
      <w:bookmarkStart w:id="27" w:name="_Toc411234381"/>
      <w:bookmarkStart w:id="28" w:name="_Toc50191352"/>
      <w:bookmarkStart w:id="29" w:name="_Toc52092054"/>
      <w:bookmarkStart w:id="30" w:name="_Toc181503349"/>
      <w:r>
        <w:rPr>
          <w:rStyle w:val="CharSectno"/>
        </w:rPr>
        <w:t>5</w:t>
      </w:r>
      <w:r>
        <w:rPr>
          <w:snapToGrid w:val="0"/>
        </w:rPr>
        <w:t>.</w:t>
      </w:r>
      <w:r>
        <w:rPr>
          <w:snapToGrid w:val="0"/>
        </w:rPr>
        <w:tab/>
        <w:t>Application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i/>
          <w:snapToGrid w:val="0"/>
        </w:rPr>
        <w:noBreakHyphen/>
        <w:t>1962</w:t>
      </w:r>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rPr>
          <w:snapToGrid w:val="0"/>
        </w:rPr>
      </w:pPr>
      <w:bookmarkStart w:id="31" w:name="_Toc411234382"/>
      <w:bookmarkStart w:id="32" w:name="_Toc50191353"/>
      <w:bookmarkStart w:id="33" w:name="_Toc52092055"/>
      <w:bookmarkStart w:id="34" w:name="_Toc181503350"/>
      <w:r>
        <w:rPr>
          <w:rStyle w:val="CharSectno"/>
        </w:rPr>
        <w:t>6</w:t>
      </w:r>
      <w:r>
        <w:rPr>
          <w:snapToGrid w:val="0"/>
        </w:rPr>
        <w:t>.</w:t>
      </w:r>
      <w:r>
        <w:rPr>
          <w:snapToGrid w:val="0"/>
        </w:rPr>
        <w:tab/>
        <w:t>Claims against estate of deceased person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Heading5"/>
        <w:rPr>
          <w:snapToGrid w:val="0"/>
        </w:rPr>
      </w:pPr>
      <w:bookmarkStart w:id="35" w:name="_Toc411234383"/>
      <w:bookmarkStart w:id="36" w:name="_Toc50191354"/>
      <w:bookmarkStart w:id="37" w:name="_Toc52092056"/>
      <w:bookmarkStart w:id="38" w:name="_Toc181503351"/>
      <w:r>
        <w:rPr>
          <w:rStyle w:val="CharSectno"/>
        </w:rPr>
        <w:t>7</w:t>
      </w:r>
      <w:r>
        <w:rPr>
          <w:snapToGrid w:val="0"/>
        </w:rPr>
        <w:t>.</w:t>
      </w:r>
      <w:r>
        <w:rPr>
          <w:snapToGrid w:val="0"/>
        </w:rPr>
        <w:tab/>
        <w:t>Persons entitled to claim</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then </w:t>
      </w:r>
      <w:r>
        <w:rPr>
          <w:i/>
          <w:snapToGrid w:val="0"/>
        </w:rPr>
        <w:t>en ventre sa mere</w:t>
      </w:r>
      <w:r>
        <w:rPr>
          <w:snapToGrid w:val="0"/>
        </w:rPr>
        <w:t>;</w:t>
      </w:r>
    </w:p>
    <w:p>
      <w:pPr>
        <w:pStyle w:val="Indenta"/>
        <w:rPr>
          <w:snapToGrid w:val="0"/>
        </w:rPr>
      </w:pPr>
      <w:r>
        <w:rPr>
          <w:snapToGrid w:val="0"/>
        </w:rPr>
        <w:tab/>
        <w:t>(d)</w:t>
      </w:r>
      <w:r>
        <w:rPr>
          <w:snapToGrid w:val="0"/>
        </w:rPr>
        <w:tab/>
        <w:t xml:space="preserve">a grandchild of the deceased who at the time of death of the deceased was being wholly or partly maintained by the deceased or whose parent the child of the deceased had predeceased the deceased living at the date of the death of the deceased, or then </w:t>
      </w:r>
      <w:r>
        <w:rPr>
          <w:i/>
          <w:snapToGrid w:val="0"/>
        </w:rPr>
        <w:t>en ventre sa mere</w:t>
      </w:r>
      <w:r>
        <w:rPr>
          <w:snapToGrid w:val="0"/>
        </w:rPr>
        <w:t>;</w:t>
      </w:r>
    </w:p>
    <w:p>
      <w:pPr>
        <w:pStyle w:val="Indenta"/>
        <w:rPr>
          <w:snapToGrid w:val="0"/>
        </w:rPr>
      </w:pPr>
      <w:r>
        <w:rPr>
          <w:snapToGrid w:val="0"/>
        </w:rPr>
        <w:tab/>
        <w:t>(e)</w:t>
      </w:r>
      <w:r>
        <w:rPr>
          <w:snapToGrid w:val="0"/>
        </w:rPr>
        <w:tab/>
        <w:t>a parent of the deceased, whether the relationship is determined through lawful wedlock or otherwise, where the relationship was admitted by the deceased being of full age or established in the lifetime of the deceased.</w:t>
      </w:r>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 xml:space="preserve">[Section 7 amended by No. 75 of 1986 s. 2; No. 3 of 2002 s. 81.] </w:t>
      </w:r>
    </w:p>
    <w:p>
      <w:pPr>
        <w:pStyle w:val="Heading5"/>
        <w:rPr>
          <w:snapToGrid w:val="0"/>
        </w:rPr>
      </w:pPr>
      <w:bookmarkStart w:id="39" w:name="_Toc411234384"/>
      <w:bookmarkStart w:id="40" w:name="_Toc50191355"/>
      <w:bookmarkStart w:id="41" w:name="_Toc52092057"/>
      <w:bookmarkStart w:id="42" w:name="_Toc181503352"/>
      <w:r>
        <w:rPr>
          <w:rStyle w:val="CharSectno"/>
        </w:rPr>
        <w:t>8</w:t>
      </w:r>
      <w:r>
        <w:rPr>
          <w:snapToGrid w:val="0"/>
        </w:rPr>
        <w:t>.</w:t>
      </w:r>
      <w:r>
        <w:rPr>
          <w:snapToGrid w:val="0"/>
        </w:rPr>
        <w:tab/>
        <w:t>Orders after distribution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rPr>
          <w:snapToGrid w:val="0"/>
        </w:rPr>
      </w:pPr>
      <w:bookmarkStart w:id="43" w:name="_Toc411234385"/>
      <w:bookmarkStart w:id="44" w:name="_Toc50191356"/>
      <w:bookmarkStart w:id="45" w:name="_Toc52092058"/>
      <w:bookmarkStart w:id="46" w:name="_Toc181503353"/>
      <w:r>
        <w:rPr>
          <w:rStyle w:val="CharSectno"/>
        </w:rPr>
        <w:t>9</w:t>
      </w:r>
      <w:r>
        <w:rPr>
          <w:snapToGrid w:val="0"/>
        </w:rPr>
        <w:t>.</w:t>
      </w:r>
      <w:r>
        <w:rPr>
          <w:snapToGrid w:val="0"/>
        </w:rPr>
        <w:tab/>
        <w:t>Order not to be inequitable as regards assets already distributed</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rPr>
          <w:snapToGrid w:val="0"/>
        </w:rPr>
      </w:pPr>
      <w:bookmarkStart w:id="47" w:name="_Toc411234386"/>
      <w:bookmarkStart w:id="48" w:name="_Toc50191357"/>
      <w:bookmarkStart w:id="49" w:name="_Toc52092059"/>
      <w:bookmarkStart w:id="50" w:name="_Toc181503354"/>
      <w:r>
        <w:rPr>
          <w:rStyle w:val="CharSectno"/>
        </w:rPr>
        <w:t>10</w:t>
      </w:r>
      <w:r>
        <w:rPr>
          <w:snapToGrid w:val="0"/>
        </w:rPr>
        <w:t>.</w:t>
      </w:r>
      <w:r>
        <w:rPr>
          <w:snapToGrid w:val="0"/>
        </w:rPr>
        <w:tab/>
        <w:t>Order to take effect as codicil or as a devolution on intestacy</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rPr>
          <w:snapToGrid w:val="0"/>
        </w:rPr>
      </w:pPr>
      <w:bookmarkStart w:id="51" w:name="_Toc411234387"/>
      <w:bookmarkStart w:id="52" w:name="_Toc50191358"/>
      <w:bookmarkStart w:id="53" w:name="_Toc52092060"/>
      <w:bookmarkStart w:id="54" w:name="_Toc181503355"/>
      <w:r>
        <w:rPr>
          <w:rStyle w:val="CharSectno"/>
        </w:rPr>
        <w:t>11</w:t>
      </w:r>
      <w:r>
        <w:rPr>
          <w:snapToGrid w:val="0"/>
        </w:rPr>
        <w:t>.</w:t>
      </w:r>
      <w:r>
        <w:rPr>
          <w:snapToGrid w:val="0"/>
        </w:rPr>
        <w:tab/>
        <w:t>Power of Administrator to distribute where immediately necessary</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at the time 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shall disturb such distribution, whether or not the Administrator had notice at the time of the distribution of any application, or intention to make an application, that would affect the estate.</w:t>
      </w:r>
    </w:p>
    <w:p>
      <w:pPr>
        <w:pStyle w:val="Heading5"/>
        <w:rPr>
          <w:snapToGrid w:val="0"/>
        </w:rPr>
      </w:pPr>
      <w:bookmarkStart w:id="55" w:name="_Toc411234388"/>
      <w:bookmarkStart w:id="56" w:name="_Toc50191359"/>
      <w:bookmarkStart w:id="57" w:name="_Toc52092061"/>
      <w:bookmarkStart w:id="58" w:name="_Toc181503356"/>
      <w:r>
        <w:rPr>
          <w:rStyle w:val="CharSectno"/>
        </w:rPr>
        <w:t>12</w:t>
      </w:r>
      <w:r>
        <w:rPr>
          <w:snapToGrid w:val="0"/>
        </w:rPr>
        <w:t>.</w:t>
      </w:r>
      <w:r>
        <w:rPr>
          <w:snapToGrid w:val="0"/>
        </w:rPr>
        <w:tab/>
        <w:t>Procedure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pPr>
        <w:pStyle w:val="Heading5"/>
        <w:rPr>
          <w:snapToGrid w:val="0"/>
        </w:rPr>
      </w:pPr>
      <w:bookmarkStart w:id="59" w:name="_Toc411234389"/>
      <w:bookmarkStart w:id="60" w:name="_Toc50191360"/>
      <w:bookmarkStart w:id="61" w:name="_Toc52092062"/>
      <w:bookmarkStart w:id="62" w:name="_Toc181503357"/>
      <w:r>
        <w:rPr>
          <w:rStyle w:val="CharSectno"/>
        </w:rPr>
        <w:t>13</w:t>
      </w:r>
      <w:r>
        <w:rPr>
          <w:snapToGrid w:val="0"/>
        </w:rPr>
        <w:t>.</w:t>
      </w:r>
      <w:r>
        <w:rPr>
          <w:snapToGrid w:val="0"/>
        </w:rPr>
        <w:tab/>
        <w:t>Provision for class fund</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63" w:name="_Toc411234390"/>
      <w:bookmarkStart w:id="64" w:name="_Toc50191361"/>
      <w:bookmarkStart w:id="65" w:name="_Toc52092063"/>
      <w:bookmarkStart w:id="66" w:name="_Toc181503358"/>
      <w:r>
        <w:rPr>
          <w:rStyle w:val="CharSectno"/>
        </w:rPr>
        <w:t>14</w:t>
      </w:r>
      <w:r>
        <w:rPr>
          <w:snapToGrid w:val="0"/>
        </w:rPr>
        <w:t>.</w:t>
      </w:r>
      <w:r>
        <w:rPr>
          <w:snapToGrid w:val="0"/>
        </w:rPr>
        <w:tab/>
        <w:t>Terms of the order</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67" w:name="_Toc411234391"/>
      <w:bookmarkStart w:id="68" w:name="_Toc50191362"/>
      <w:bookmarkStart w:id="69" w:name="_Toc52092064"/>
      <w:bookmarkStart w:id="70" w:name="_Toc181503359"/>
      <w:r>
        <w:rPr>
          <w:rStyle w:val="CharSectno"/>
        </w:rPr>
        <w:t>15</w:t>
      </w:r>
      <w:r>
        <w:rPr>
          <w:snapToGrid w:val="0"/>
        </w:rPr>
        <w:t>.</w:t>
      </w:r>
      <w:r>
        <w:rPr>
          <w:snapToGrid w:val="0"/>
        </w:rPr>
        <w:tab/>
        <w:t>Rescission, or suspension of order and reduction of provision</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the Administrator;</w:t>
      </w:r>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 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71" w:name="_Toc411234392"/>
      <w:bookmarkStart w:id="72" w:name="_Toc50191363"/>
      <w:bookmarkStart w:id="73" w:name="_Toc52092065"/>
      <w:bookmarkStart w:id="74" w:name="_Toc181503360"/>
      <w:r>
        <w:rPr>
          <w:rStyle w:val="CharSectno"/>
        </w:rPr>
        <w:t>16</w:t>
      </w:r>
      <w:r>
        <w:rPr>
          <w:snapToGrid w:val="0"/>
        </w:rPr>
        <w:t>.</w:t>
      </w:r>
      <w:r>
        <w:rPr>
          <w:snapToGrid w:val="0"/>
        </w:rPr>
        <w:tab/>
        <w:t>Order for increased provision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pPr>
        <w:pStyle w:val="Heading5"/>
        <w:rPr>
          <w:snapToGrid w:val="0"/>
        </w:rPr>
      </w:pPr>
      <w:bookmarkStart w:id="75" w:name="_Toc411234393"/>
      <w:bookmarkStart w:id="76" w:name="_Toc50191364"/>
      <w:bookmarkStart w:id="77" w:name="_Toc52092066"/>
      <w:bookmarkStart w:id="78" w:name="_Toc181503361"/>
      <w:r>
        <w:rPr>
          <w:rStyle w:val="CharSectno"/>
        </w:rPr>
        <w:t>17</w:t>
      </w:r>
      <w:r>
        <w:rPr>
          <w:snapToGrid w:val="0"/>
        </w:rPr>
        <w:t>.</w:t>
      </w:r>
      <w:r>
        <w:rPr>
          <w:snapToGrid w:val="0"/>
        </w:rPr>
        <w:tab/>
        <w:t>Court may decide effect of order on property disposed of</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79" w:name="_Toc411234394"/>
      <w:bookmarkStart w:id="80" w:name="_Toc50191365"/>
      <w:bookmarkStart w:id="81" w:name="_Toc52092067"/>
      <w:bookmarkStart w:id="82" w:name="_Toc181503362"/>
      <w:r>
        <w:rPr>
          <w:rStyle w:val="CharSectno"/>
        </w:rPr>
        <w:t>18</w:t>
      </w:r>
      <w:r>
        <w:rPr>
          <w:snapToGrid w:val="0"/>
        </w:rPr>
        <w:t>.</w:t>
      </w:r>
      <w:r>
        <w:rPr>
          <w:snapToGrid w:val="0"/>
        </w:rPr>
        <w:tab/>
        <w:t>Appointment of Administrator by the Court</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w:t>
      </w:r>
    </w:p>
    <w:p>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that any person who has been appointed Administrator for the purposes of this Act,</w:t>
      </w:r>
    </w:p>
    <w:p>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pPr>
        <w:pStyle w:val="Heading5"/>
        <w:rPr>
          <w:snapToGrid w:val="0"/>
        </w:rPr>
      </w:pPr>
      <w:bookmarkStart w:id="83" w:name="_Toc411234395"/>
      <w:bookmarkStart w:id="84" w:name="_Toc50191366"/>
      <w:bookmarkStart w:id="85" w:name="_Toc52092068"/>
      <w:bookmarkStart w:id="86" w:name="_Toc181503363"/>
      <w:r>
        <w:rPr>
          <w:rStyle w:val="CharSectno"/>
        </w:rPr>
        <w:t>19</w:t>
      </w:r>
      <w:r>
        <w:rPr>
          <w:snapToGrid w:val="0"/>
        </w:rPr>
        <w:t>.</w:t>
      </w:r>
      <w:r>
        <w:rPr>
          <w:snapToGrid w:val="0"/>
        </w:rPr>
        <w:tab/>
        <w:t>Mortgages etc. of provision under orders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No mortgage, charge, or assignment of any kind whatsoever which is given of or over any provision out of the estate of any deceased person granted by any order of the Court under this Act and which is given before the order of the Court is made shall be of any force, validity or effect; and no such mortgage, charge, or assignment given after the order of the Court is made shall be of any force, validity, or effect unless it is given with the permission of the Court or the Court at the time of making the order otherwise directs.</w:t>
      </w:r>
    </w:p>
    <w:p>
      <w:pPr>
        <w:pStyle w:val="Heading5"/>
        <w:rPr>
          <w:snapToGrid w:val="0"/>
        </w:rPr>
      </w:pPr>
      <w:bookmarkStart w:id="87" w:name="_Toc411234396"/>
      <w:bookmarkStart w:id="88" w:name="_Toc50191367"/>
      <w:bookmarkStart w:id="89" w:name="_Toc52092069"/>
      <w:bookmarkStart w:id="90" w:name="_Toc181503364"/>
      <w:r>
        <w:rPr>
          <w:rStyle w:val="CharSectno"/>
        </w:rPr>
        <w:t>20</w:t>
      </w:r>
      <w:r>
        <w:rPr>
          <w:snapToGrid w:val="0"/>
        </w:rPr>
        <w:t>.</w:t>
      </w:r>
      <w:r>
        <w:rPr>
          <w:snapToGrid w:val="0"/>
        </w:rPr>
        <w:tab/>
        <w:t>Power of Administrator to distribute</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No action by any person whose relationship to the deceased is not determined through lawful wedlock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shall not bring an action against the Administrator by reason of his having thereafter distributed any part of the estate.</w:t>
      </w:r>
    </w:p>
    <w:p>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pPr>
        <w:pStyle w:val="Heading5"/>
        <w:rPr>
          <w:snapToGrid w:val="0"/>
        </w:rPr>
      </w:pPr>
      <w:bookmarkStart w:id="91" w:name="_Toc411234397"/>
      <w:bookmarkStart w:id="92" w:name="_Toc50191368"/>
      <w:bookmarkStart w:id="93" w:name="_Toc52092070"/>
      <w:bookmarkStart w:id="94" w:name="_Toc181503365"/>
      <w:r>
        <w:rPr>
          <w:rStyle w:val="CharSectno"/>
        </w:rPr>
        <w:t>21</w:t>
      </w:r>
      <w:r>
        <w:rPr>
          <w:snapToGrid w:val="0"/>
        </w:rPr>
        <w:t>.</w:t>
      </w:r>
      <w:r>
        <w:rPr>
          <w:snapToGrid w:val="0"/>
        </w:rPr>
        <w:tab/>
        <w:t>Rules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pPr>
        <w:pStyle w:val="Ednotesection"/>
        <w:spacing w:before="400"/>
        <w:ind w:left="890" w:hanging="890"/>
        <w:rPr>
          <w:i w:val="0"/>
        </w:rPr>
      </w:pPr>
      <w:r>
        <w:tab/>
      </w:r>
      <w:r>
        <w:tab/>
        <w:t>[Schedule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10" w:bottom="3544" w:left="2410" w:header="720" w:footer="3380" w:gutter="0"/>
          <w:pgNumType w:start="1"/>
          <w:cols w:space="720"/>
          <w:noEndnote/>
          <w:titlePg/>
          <w:docGrid w:linePitch="326"/>
        </w:sectPr>
      </w:pPr>
    </w:p>
    <w:p>
      <w:pPr>
        <w:pStyle w:val="nHeading2"/>
      </w:pPr>
      <w:bookmarkStart w:id="95" w:name="_Toc181502664"/>
      <w:bookmarkStart w:id="96" w:name="_Toc181503366"/>
      <w:r>
        <w:t>Notes</w:t>
      </w:r>
      <w:bookmarkEnd w:id="95"/>
      <w:bookmarkEnd w:id="96"/>
    </w:p>
    <w:p>
      <w:pPr>
        <w:pStyle w:val="nSubsection"/>
        <w:rPr>
          <w:snapToGrid w:val="0"/>
        </w:rPr>
      </w:pPr>
      <w:r>
        <w:rPr>
          <w:snapToGrid w:val="0"/>
          <w:vertAlign w:val="superscript"/>
        </w:rPr>
        <w:t>1</w:t>
      </w:r>
      <w:r>
        <w:rPr>
          <w:snapToGrid w:val="0"/>
        </w:rPr>
        <w:tab/>
        <w:t xml:space="preserve">This </w:t>
      </w:r>
      <w:del w:id="97" w:author="svcMRProcess" w:date="2015-12-03T16:33:00Z">
        <w:r>
          <w:rPr>
            <w:snapToGrid w:val="0"/>
          </w:rPr>
          <w:delText xml:space="preserve">reprint </w:delText>
        </w:r>
      </w:del>
      <w:r>
        <w:rPr>
          <w:snapToGrid w:val="0"/>
        </w:rPr>
        <w:t>is a compilation</w:t>
      </w:r>
      <w:del w:id="98" w:author="svcMRProcess" w:date="2015-12-03T16:33:00Z">
        <w:r>
          <w:rPr>
            <w:snapToGrid w:val="0"/>
          </w:rPr>
          <w:delText xml:space="preserve"> as at 5 September 2003</w:delText>
        </w:r>
      </w:del>
      <w:r>
        <w:rPr>
          <w:snapToGrid w:val="0"/>
        </w:rPr>
        <w:t xml:space="preserve"> of the </w:t>
      </w:r>
      <w:r>
        <w:rPr>
          <w:i/>
          <w:noProof/>
          <w:snapToGrid w:val="0"/>
        </w:rPr>
        <w:t>Inheritance (Family and Dependants Provision) Act 1972</w:t>
      </w:r>
      <w:r>
        <w:rPr>
          <w:snapToGrid w:val="0"/>
        </w:rPr>
        <w:t xml:space="preserve"> and includes the amendments made by the other written laws referred to in the following table</w:t>
      </w:r>
      <w:ins w:id="99" w:author="svcMRProcess" w:date="2015-12-03T16:3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0" w:name="_Toc50191369"/>
      <w:bookmarkStart w:id="101" w:name="_Toc52092071"/>
      <w:bookmarkStart w:id="102" w:name="_Toc181503367"/>
      <w:r>
        <w:rPr>
          <w:snapToGrid w:val="0"/>
        </w:rPr>
        <w:t>Compilation table</w:t>
      </w:r>
      <w:bookmarkEnd w:id="100"/>
      <w:bookmarkEnd w:id="101"/>
      <w:bookmarkEnd w:id="10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Inheritance (Family and Dependants Provision) Act 1972</w:t>
            </w:r>
          </w:p>
        </w:tc>
        <w:tc>
          <w:tcPr>
            <w:tcW w:w="1134" w:type="dxa"/>
          </w:tcPr>
          <w:p>
            <w:pPr>
              <w:pStyle w:val="nTable"/>
              <w:spacing w:after="40"/>
              <w:rPr>
                <w:sz w:val="19"/>
              </w:rPr>
            </w:pPr>
            <w:r>
              <w:rPr>
                <w:sz w:val="19"/>
              </w:rPr>
              <w:t>57 of 1972</w:t>
            </w:r>
          </w:p>
        </w:tc>
        <w:tc>
          <w:tcPr>
            <w:tcW w:w="1134" w:type="dxa"/>
          </w:tcPr>
          <w:p>
            <w:pPr>
              <w:pStyle w:val="nTable"/>
              <w:spacing w:after="40"/>
              <w:rPr>
                <w:sz w:val="19"/>
              </w:rPr>
            </w:pPr>
            <w:r>
              <w:rPr>
                <w:sz w:val="19"/>
              </w:rPr>
              <w:t>31 Oct 1972</w:t>
            </w:r>
          </w:p>
        </w:tc>
        <w:tc>
          <w:tcPr>
            <w:tcW w:w="2552" w:type="dxa"/>
          </w:tcPr>
          <w:p>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tc>
          <w:tcPr>
            <w:tcW w:w="2268" w:type="dxa"/>
          </w:tcPr>
          <w:p>
            <w:pPr>
              <w:pStyle w:val="nTable"/>
              <w:spacing w:after="40"/>
              <w:rPr>
                <w:sz w:val="19"/>
              </w:rPr>
            </w:pPr>
            <w:r>
              <w:rPr>
                <w:i/>
                <w:sz w:val="19"/>
              </w:rPr>
              <w:t>Inheritance (Family and Dependants Provision) Amendment Act 1986</w:t>
            </w:r>
          </w:p>
        </w:tc>
        <w:tc>
          <w:tcPr>
            <w:tcW w:w="1134" w:type="dxa"/>
          </w:tcPr>
          <w:p>
            <w:pPr>
              <w:pStyle w:val="nTable"/>
              <w:spacing w:after="40"/>
              <w:rPr>
                <w:sz w:val="19"/>
              </w:rPr>
            </w:pPr>
            <w:r>
              <w:rPr>
                <w:sz w:val="19"/>
              </w:rPr>
              <w:t>75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c>
          <w:tcPr>
            <w:tcW w:w="2268" w:type="dxa"/>
          </w:tcPr>
          <w:p>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z w:val="19"/>
                <w:vertAlign w:val="superscript"/>
              </w:rPr>
            </w:pPr>
            <w:r>
              <w:rPr>
                <w:i/>
                <w:sz w:val="19"/>
              </w:rPr>
              <w:t>Acts Amendment (Equality of Status) Act 2003</w:t>
            </w:r>
            <w:r>
              <w:rPr>
                <w:sz w:val="19"/>
              </w:rPr>
              <w:t xml:space="preserve"> Pt. 32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Borders>
              <w:bottom w:val="single" w:sz="4" w:space="0" w:color="auto"/>
            </w:tcBorders>
          </w:tcPr>
          <w:p>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bl>
    <w:p>
      <w:pPr>
        <w:pStyle w:val="nSubsection"/>
        <w:tabs>
          <w:tab w:val="clear" w:pos="454"/>
          <w:tab w:val="left" w:pos="567"/>
        </w:tabs>
        <w:spacing w:before="120"/>
        <w:ind w:left="567" w:hanging="567"/>
        <w:rPr>
          <w:ins w:id="103" w:author="svcMRProcess" w:date="2015-12-03T16:33:00Z"/>
          <w:snapToGrid w:val="0"/>
        </w:rPr>
      </w:pPr>
      <w:ins w:id="104" w:author="svcMRProcess" w:date="2015-12-03T16: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5" w:author="svcMRProcess" w:date="2015-12-03T16:33:00Z"/>
        </w:rPr>
      </w:pPr>
      <w:bookmarkStart w:id="106" w:name="_Toc7405065"/>
      <w:bookmarkStart w:id="107" w:name="_Toc181500909"/>
      <w:bookmarkStart w:id="108" w:name="_Toc181503368"/>
      <w:ins w:id="109" w:author="svcMRProcess" w:date="2015-12-03T16:33:00Z">
        <w:r>
          <w:t>Provisions that have not come into operation</w:t>
        </w:r>
        <w:bookmarkEnd w:id="106"/>
        <w:bookmarkEnd w:id="107"/>
        <w:bookmarkEnd w:id="10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10" w:author="svcMRProcess" w:date="2015-12-03T16:33:00Z"/>
        </w:trPr>
        <w:tc>
          <w:tcPr>
            <w:tcW w:w="2268" w:type="dxa"/>
            <w:tcBorders>
              <w:top w:val="single" w:sz="8" w:space="0" w:color="auto"/>
              <w:bottom w:val="single" w:sz="8" w:space="0" w:color="auto"/>
            </w:tcBorders>
          </w:tcPr>
          <w:p>
            <w:pPr>
              <w:pStyle w:val="nTable"/>
              <w:spacing w:after="40"/>
              <w:rPr>
                <w:ins w:id="111" w:author="svcMRProcess" w:date="2015-12-03T16:33:00Z"/>
                <w:b/>
                <w:sz w:val="19"/>
              </w:rPr>
            </w:pPr>
            <w:ins w:id="112" w:author="svcMRProcess" w:date="2015-12-03T16:33:00Z">
              <w:r>
                <w:rPr>
                  <w:b/>
                  <w:sz w:val="19"/>
                </w:rPr>
                <w:t>Short title</w:t>
              </w:r>
            </w:ins>
          </w:p>
        </w:tc>
        <w:tc>
          <w:tcPr>
            <w:tcW w:w="1134" w:type="dxa"/>
            <w:tcBorders>
              <w:top w:val="single" w:sz="8" w:space="0" w:color="auto"/>
              <w:bottom w:val="single" w:sz="8" w:space="0" w:color="auto"/>
            </w:tcBorders>
          </w:tcPr>
          <w:p>
            <w:pPr>
              <w:pStyle w:val="nTable"/>
              <w:spacing w:after="40"/>
              <w:rPr>
                <w:ins w:id="113" w:author="svcMRProcess" w:date="2015-12-03T16:33:00Z"/>
                <w:b/>
                <w:sz w:val="19"/>
              </w:rPr>
            </w:pPr>
            <w:ins w:id="114" w:author="svcMRProcess" w:date="2015-12-03T16:33:00Z">
              <w:r>
                <w:rPr>
                  <w:b/>
                  <w:sz w:val="19"/>
                </w:rPr>
                <w:t>Number and year</w:t>
              </w:r>
            </w:ins>
          </w:p>
        </w:tc>
        <w:tc>
          <w:tcPr>
            <w:tcW w:w="1134" w:type="dxa"/>
            <w:tcBorders>
              <w:top w:val="single" w:sz="8" w:space="0" w:color="auto"/>
              <w:bottom w:val="single" w:sz="8" w:space="0" w:color="auto"/>
            </w:tcBorders>
          </w:tcPr>
          <w:p>
            <w:pPr>
              <w:pStyle w:val="nTable"/>
              <w:spacing w:after="40"/>
              <w:rPr>
                <w:ins w:id="115" w:author="svcMRProcess" w:date="2015-12-03T16:33:00Z"/>
                <w:b/>
                <w:sz w:val="19"/>
              </w:rPr>
            </w:pPr>
            <w:ins w:id="116" w:author="svcMRProcess" w:date="2015-12-03T16:33:00Z">
              <w:r>
                <w:rPr>
                  <w:b/>
                  <w:sz w:val="19"/>
                </w:rPr>
                <w:t>Assent</w:t>
              </w:r>
            </w:ins>
          </w:p>
        </w:tc>
        <w:tc>
          <w:tcPr>
            <w:tcW w:w="2552" w:type="dxa"/>
            <w:tcBorders>
              <w:top w:val="single" w:sz="8" w:space="0" w:color="auto"/>
              <w:bottom w:val="single" w:sz="8" w:space="0" w:color="auto"/>
            </w:tcBorders>
          </w:tcPr>
          <w:p>
            <w:pPr>
              <w:pStyle w:val="nTable"/>
              <w:spacing w:after="40"/>
              <w:rPr>
                <w:ins w:id="117" w:author="svcMRProcess" w:date="2015-12-03T16:33:00Z"/>
                <w:b/>
                <w:sz w:val="19"/>
              </w:rPr>
            </w:pPr>
            <w:ins w:id="118" w:author="svcMRProcess" w:date="2015-12-03T16:33:00Z">
              <w:r>
                <w:rPr>
                  <w:b/>
                  <w:sz w:val="19"/>
                </w:rPr>
                <w:t>Commencement</w:t>
              </w:r>
            </w:ins>
          </w:p>
        </w:tc>
      </w:tr>
      <w:tr>
        <w:trPr>
          <w:cantSplit/>
          <w:ins w:id="119" w:author="svcMRProcess" w:date="2015-12-03T16:33:00Z"/>
        </w:trPr>
        <w:tc>
          <w:tcPr>
            <w:tcW w:w="2268" w:type="dxa"/>
            <w:tcBorders>
              <w:top w:val="single" w:sz="8" w:space="0" w:color="auto"/>
              <w:bottom w:val="single" w:sz="4" w:space="0" w:color="auto"/>
            </w:tcBorders>
          </w:tcPr>
          <w:p>
            <w:pPr>
              <w:pStyle w:val="nTable"/>
              <w:spacing w:after="40"/>
              <w:rPr>
                <w:ins w:id="120" w:author="svcMRProcess" w:date="2015-12-03T16:33:00Z"/>
                <w:iCs/>
                <w:sz w:val="19"/>
                <w:vertAlign w:val="superscript"/>
              </w:rPr>
            </w:pPr>
            <w:ins w:id="121" w:author="svcMRProcess" w:date="2015-12-03T16:33:00Z">
              <w:r>
                <w:rPr>
                  <w:i/>
                  <w:sz w:val="19"/>
                </w:rPr>
                <w:t>Wills Amendment Act 2007</w:t>
              </w:r>
              <w:r>
                <w:rPr>
                  <w:iCs/>
                  <w:sz w:val="19"/>
                </w:rPr>
                <w:t xml:space="preserve"> s. 25 </w:t>
              </w:r>
              <w:r>
                <w:rPr>
                  <w:iCs/>
                  <w:sz w:val="19"/>
                  <w:vertAlign w:val="superscript"/>
                </w:rPr>
                <w:t>4</w:t>
              </w:r>
            </w:ins>
          </w:p>
        </w:tc>
        <w:tc>
          <w:tcPr>
            <w:tcW w:w="1134" w:type="dxa"/>
            <w:tcBorders>
              <w:top w:val="single" w:sz="8" w:space="0" w:color="auto"/>
              <w:bottom w:val="single" w:sz="4" w:space="0" w:color="auto"/>
            </w:tcBorders>
          </w:tcPr>
          <w:p>
            <w:pPr>
              <w:pStyle w:val="nTable"/>
              <w:spacing w:after="40"/>
              <w:rPr>
                <w:ins w:id="122" w:author="svcMRProcess" w:date="2015-12-03T16:33:00Z"/>
                <w:sz w:val="19"/>
              </w:rPr>
            </w:pPr>
            <w:ins w:id="123" w:author="svcMRProcess" w:date="2015-12-03T16:33:00Z">
              <w:r>
                <w:rPr>
                  <w:snapToGrid w:val="0"/>
                  <w:sz w:val="19"/>
                  <w:lang w:val="en-US"/>
                </w:rPr>
                <w:t>27 of 2007</w:t>
              </w:r>
            </w:ins>
          </w:p>
        </w:tc>
        <w:tc>
          <w:tcPr>
            <w:tcW w:w="1134" w:type="dxa"/>
            <w:tcBorders>
              <w:top w:val="single" w:sz="8" w:space="0" w:color="auto"/>
              <w:bottom w:val="single" w:sz="4" w:space="0" w:color="auto"/>
            </w:tcBorders>
          </w:tcPr>
          <w:p>
            <w:pPr>
              <w:pStyle w:val="nTable"/>
              <w:spacing w:after="40"/>
              <w:rPr>
                <w:ins w:id="124" w:author="svcMRProcess" w:date="2015-12-03T16:33:00Z"/>
                <w:sz w:val="19"/>
              </w:rPr>
            </w:pPr>
            <w:ins w:id="125" w:author="svcMRProcess" w:date="2015-12-03T16:33:00Z">
              <w:r>
                <w:rPr>
                  <w:snapToGrid w:val="0"/>
                  <w:sz w:val="19"/>
                  <w:lang w:val="en-US"/>
                </w:rPr>
                <w:t>26 Oct 2007</w:t>
              </w:r>
            </w:ins>
          </w:p>
        </w:tc>
        <w:tc>
          <w:tcPr>
            <w:tcW w:w="2552" w:type="dxa"/>
            <w:tcBorders>
              <w:top w:val="single" w:sz="8" w:space="0" w:color="auto"/>
              <w:bottom w:val="single" w:sz="4" w:space="0" w:color="auto"/>
            </w:tcBorders>
          </w:tcPr>
          <w:p>
            <w:pPr>
              <w:pStyle w:val="nTable"/>
              <w:spacing w:after="40"/>
              <w:rPr>
                <w:ins w:id="126" w:author="svcMRProcess" w:date="2015-12-03T16:33:00Z"/>
                <w:sz w:val="19"/>
              </w:rPr>
            </w:pPr>
            <w:ins w:id="127" w:author="svcMRProcess" w:date="2015-12-03T16:33:00Z">
              <w:r>
                <w:rPr>
                  <w:snapToGrid w:val="0"/>
                  <w:sz w:val="19"/>
                  <w:lang w:val="en-US"/>
                </w:rPr>
                <w:t>To be proclaimed (see s. 2)</w:t>
              </w:r>
            </w:ins>
          </w:p>
        </w:tc>
      </w:tr>
    </w:tbl>
    <w:p>
      <w:pPr>
        <w:pStyle w:val="nSubsection"/>
        <w:spacing w:before="120"/>
        <w:rPr>
          <w:ins w:id="128" w:author="svcMRProcess" w:date="2015-12-03T16:33:00Z"/>
          <w:vertAlign w:val="superscript"/>
        </w:rPr>
      </w:pPr>
    </w:p>
    <w:p>
      <w:pPr>
        <w:pStyle w:val="nSubsection"/>
        <w:spacing w:before="12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pPr>
        <w:pStyle w:val="nSubsection"/>
        <w:spacing w:before="120"/>
      </w:pPr>
      <w:r>
        <w:rPr>
          <w:vertAlign w:val="superscript"/>
        </w:rPr>
        <w:t>3</w:t>
      </w:r>
      <w:r>
        <w:tab/>
        <w:t xml:space="preserve">The </w:t>
      </w:r>
      <w:r>
        <w:rPr>
          <w:i/>
        </w:rPr>
        <w:t>Acts Amendment (Lesbian and Gay Reform) Act 2002</w:t>
      </w:r>
      <w:r>
        <w:t xml:space="preserve"> s. 82 reads as follows:</w:t>
      </w:r>
    </w:p>
    <w:p>
      <w:pPr>
        <w:pStyle w:val="MiscOpen"/>
      </w:pPr>
      <w:r>
        <w:t>“</w:t>
      </w:r>
    </w:p>
    <w:p>
      <w:pPr>
        <w:pStyle w:val="nzHeading5"/>
      </w:pPr>
      <w:r>
        <w:rPr>
          <w:rStyle w:val="CharSectno"/>
        </w:rPr>
        <w:t>82</w:t>
      </w:r>
      <w:r>
        <w:t>.</w:t>
      </w:r>
      <w:r>
        <w:tab/>
        <w:t>Applications regarding the estates of persons who died before the commencement of this Part</w:t>
      </w:r>
    </w:p>
    <w:p>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pPr>
        <w:pStyle w:val="MiscClose"/>
      </w:pPr>
      <w:r>
        <w:t>”.</w:t>
      </w:r>
    </w:p>
    <w:p>
      <w:pPr>
        <w:pStyle w:val="nSubsection"/>
        <w:keepLines/>
        <w:rPr>
          <w:ins w:id="129" w:author="svcMRProcess" w:date="2015-12-03T16:33:00Z"/>
          <w:snapToGrid w:val="0"/>
        </w:rPr>
      </w:pPr>
      <w:ins w:id="130" w:author="svcMRProcess" w:date="2015-12-03T16:3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2,</w:t>
        </w:r>
        <w:r>
          <w:rPr>
            <w:i/>
            <w:snapToGrid w:val="0"/>
          </w:rPr>
          <w:t xml:space="preserve"> </w:t>
        </w:r>
        <w:r>
          <w:rPr>
            <w:snapToGrid w:val="0"/>
          </w:rPr>
          <w:t>had not come into operation.  It reads as follows:</w:t>
        </w:r>
      </w:ins>
    </w:p>
    <w:p>
      <w:pPr>
        <w:pStyle w:val="MiscOpen"/>
        <w:keepNext w:val="0"/>
        <w:spacing w:before="60"/>
        <w:rPr>
          <w:ins w:id="131" w:author="svcMRProcess" w:date="2015-12-03T16:33:00Z"/>
          <w:sz w:val="20"/>
        </w:rPr>
      </w:pPr>
      <w:ins w:id="132" w:author="svcMRProcess" w:date="2015-12-03T16:33:00Z">
        <w:r>
          <w:rPr>
            <w:sz w:val="20"/>
          </w:rPr>
          <w:t>“</w:t>
        </w:r>
      </w:ins>
    </w:p>
    <w:p>
      <w:pPr>
        <w:pStyle w:val="nzHeading5"/>
        <w:rPr>
          <w:ins w:id="133" w:author="svcMRProcess" w:date="2015-12-03T16:33:00Z"/>
        </w:rPr>
      </w:pPr>
      <w:bookmarkStart w:id="134" w:name="_Toc131300269"/>
      <w:bookmarkStart w:id="135" w:name="_Toc180389786"/>
      <w:bookmarkStart w:id="136" w:name="_Toc181435407"/>
      <w:ins w:id="137" w:author="svcMRProcess" w:date="2015-12-03T16:33:00Z">
        <w:r>
          <w:rPr>
            <w:rStyle w:val="CharSectno"/>
          </w:rPr>
          <w:t>25</w:t>
        </w:r>
        <w:r>
          <w:t>.</w:t>
        </w:r>
        <w:r>
          <w:tab/>
          <w:t>Consequential amendments to other Acts</w:t>
        </w:r>
        <w:bookmarkEnd w:id="134"/>
        <w:bookmarkEnd w:id="135"/>
        <w:bookmarkEnd w:id="136"/>
      </w:ins>
    </w:p>
    <w:p>
      <w:pPr>
        <w:pStyle w:val="nzSubsection"/>
        <w:rPr>
          <w:ins w:id="138" w:author="svcMRProcess" w:date="2015-12-03T16:33:00Z"/>
        </w:rPr>
      </w:pPr>
      <w:ins w:id="139" w:author="svcMRProcess" w:date="2015-12-03T16:33:00Z">
        <w:r>
          <w:tab/>
        </w:r>
        <w:r>
          <w:tab/>
          <w:t>Schedule 1 has effect.</w:t>
        </w:r>
      </w:ins>
    </w:p>
    <w:p>
      <w:pPr>
        <w:pStyle w:val="MiscClose"/>
        <w:rPr>
          <w:ins w:id="140" w:author="svcMRProcess" w:date="2015-12-03T16:33:00Z"/>
        </w:rPr>
      </w:pPr>
      <w:ins w:id="141" w:author="svcMRProcess" w:date="2015-12-03T16:33:00Z">
        <w:r>
          <w:t>”.</w:t>
        </w:r>
      </w:ins>
    </w:p>
    <w:p>
      <w:pPr>
        <w:pStyle w:val="nzSubsection"/>
        <w:rPr>
          <w:ins w:id="142" w:author="svcMRProcess" w:date="2015-12-03T16:33:00Z"/>
        </w:rPr>
      </w:pPr>
      <w:ins w:id="143" w:author="svcMRProcess" w:date="2015-12-03T16:33:00Z">
        <w:r>
          <w:t>Schedule 1 cl. 2 reads as follows:</w:t>
        </w:r>
      </w:ins>
    </w:p>
    <w:p>
      <w:pPr>
        <w:pStyle w:val="MiscOpen"/>
        <w:keepNext w:val="0"/>
        <w:spacing w:before="60"/>
        <w:rPr>
          <w:ins w:id="144" w:author="svcMRProcess" w:date="2015-12-03T16:33:00Z"/>
          <w:sz w:val="20"/>
        </w:rPr>
      </w:pPr>
      <w:ins w:id="145" w:author="svcMRProcess" w:date="2015-12-03T16:33:00Z">
        <w:r>
          <w:rPr>
            <w:sz w:val="20"/>
          </w:rPr>
          <w:t>“</w:t>
        </w:r>
      </w:ins>
    </w:p>
    <w:p>
      <w:pPr>
        <w:pStyle w:val="nzHeading2"/>
        <w:rPr>
          <w:ins w:id="146" w:author="svcMRProcess" w:date="2015-12-03T16:33:00Z"/>
        </w:rPr>
      </w:pPr>
      <w:bookmarkStart w:id="147" w:name="_Toc131300270"/>
      <w:bookmarkStart w:id="148" w:name="_Toc131309785"/>
      <w:bookmarkStart w:id="149" w:name="_Toc180389787"/>
      <w:bookmarkStart w:id="150" w:name="_Toc181435408"/>
      <w:ins w:id="151" w:author="svcMRProcess" w:date="2015-12-03T16:33:00Z">
        <w:r>
          <w:rPr>
            <w:rStyle w:val="CharSchNo"/>
          </w:rPr>
          <w:t>Schedule 1</w:t>
        </w:r>
        <w:r>
          <w:rPr>
            <w:rStyle w:val="CharSDivNo"/>
          </w:rPr>
          <w:t> </w:t>
        </w:r>
        <w:r>
          <w:t>—</w:t>
        </w:r>
        <w:r>
          <w:rPr>
            <w:rStyle w:val="CharSDivText"/>
          </w:rPr>
          <w:t> </w:t>
        </w:r>
        <w:r>
          <w:rPr>
            <w:rStyle w:val="CharSchText"/>
          </w:rPr>
          <w:t>Consequential amendments to other Acts</w:t>
        </w:r>
        <w:bookmarkEnd w:id="147"/>
        <w:bookmarkEnd w:id="148"/>
        <w:bookmarkEnd w:id="149"/>
        <w:bookmarkEnd w:id="150"/>
      </w:ins>
    </w:p>
    <w:p>
      <w:pPr>
        <w:pStyle w:val="nzMiscellaneousBody"/>
        <w:jc w:val="right"/>
        <w:rPr>
          <w:ins w:id="152" w:author="svcMRProcess" w:date="2015-12-03T16:33:00Z"/>
        </w:rPr>
      </w:pPr>
      <w:ins w:id="153" w:author="svcMRProcess" w:date="2015-12-03T16:33:00Z">
        <w:r>
          <w:t>[s. 25]</w:t>
        </w:r>
      </w:ins>
    </w:p>
    <w:p>
      <w:pPr>
        <w:pStyle w:val="MiscOpen"/>
        <w:rPr>
          <w:ins w:id="154" w:author="svcMRProcess" w:date="2015-12-03T16:33:00Z"/>
        </w:rPr>
      </w:pPr>
      <w:ins w:id="155" w:author="svcMRProcess" w:date="2015-12-03T16:33:00Z">
        <w:r>
          <w:t>“</w:t>
        </w:r>
      </w:ins>
    </w:p>
    <w:p>
      <w:pPr>
        <w:pStyle w:val="nzHeading5"/>
        <w:rPr>
          <w:ins w:id="156" w:author="svcMRProcess" w:date="2015-12-03T16:33:00Z"/>
        </w:rPr>
      </w:pPr>
      <w:bookmarkStart w:id="157" w:name="_Toc131300272"/>
      <w:bookmarkStart w:id="158" w:name="_Toc180389790"/>
      <w:bookmarkStart w:id="159" w:name="_Toc181435411"/>
      <w:ins w:id="160" w:author="svcMRProcess" w:date="2015-12-03T16:33:00Z">
        <w:r>
          <w:rPr>
            <w:rStyle w:val="CharSClsNo"/>
          </w:rPr>
          <w:t>2</w:t>
        </w:r>
        <w:r>
          <w:t>.</w:t>
        </w:r>
        <w:r>
          <w:tab/>
        </w:r>
        <w:r>
          <w:rPr>
            <w:rStyle w:val="CharSClsNo"/>
            <w:i/>
            <w:iCs/>
          </w:rPr>
          <w:t>Inheritance (Family and Dependants Provision) Act 1972</w:t>
        </w:r>
        <w:r>
          <w:t xml:space="preserve"> amended</w:t>
        </w:r>
        <w:bookmarkEnd w:id="157"/>
        <w:bookmarkEnd w:id="158"/>
        <w:bookmarkEnd w:id="159"/>
      </w:ins>
    </w:p>
    <w:p>
      <w:pPr>
        <w:pStyle w:val="nzSubsection"/>
        <w:rPr>
          <w:ins w:id="161" w:author="svcMRProcess" w:date="2015-12-03T16:33:00Z"/>
        </w:rPr>
      </w:pPr>
      <w:ins w:id="162" w:author="svcMRProcess" w:date="2015-12-03T16:33:00Z">
        <w:r>
          <w:tab/>
          <w:t>(1)</w:t>
        </w:r>
        <w:r>
          <w:tab/>
          <w:t xml:space="preserve">The amendments in this clause are to the </w:t>
        </w:r>
        <w:r>
          <w:rPr>
            <w:i/>
            <w:iCs/>
          </w:rPr>
          <w:t>Inheritance (Family and Dependants Provision) Act 1972</w:t>
        </w:r>
        <w:r>
          <w:t>.</w:t>
        </w:r>
      </w:ins>
    </w:p>
    <w:p>
      <w:pPr>
        <w:pStyle w:val="nzSubsection"/>
        <w:rPr>
          <w:ins w:id="163" w:author="svcMRProcess" w:date="2015-12-03T16:33:00Z"/>
        </w:rPr>
      </w:pPr>
      <w:ins w:id="164" w:author="svcMRProcess" w:date="2015-12-03T16:33:00Z">
        <w:r>
          <w:tab/>
          <w:t>(2)</w:t>
        </w:r>
        <w:r>
          <w:tab/>
          <w:t xml:space="preserve">Section 4(1) is amended in the definition of “will” by deleting “instrument.” and inserting instead — </w:t>
        </w:r>
      </w:ins>
    </w:p>
    <w:p>
      <w:pPr>
        <w:pStyle w:val="nzSubsection"/>
        <w:rPr>
          <w:ins w:id="165" w:author="svcMRProcess" w:date="2015-12-03T16:33:00Z"/>
          <w:sz w:val="22"/>
        </w:rPr>
      </w:pPr>
      <w:ins w:id="166" w:author="svcMRProcess" w:date="2015-12-03T16:33:00Z">
        <w:r>
          <w:tab/>
        </w:r>
        <w:r>
          <w:rPr>
            <w:sz w:val="22"/>
          </w:rPr>
          <w:tab/>
          <w:t>“    disposition.    ”.</w:t>
        </w:r>
      </w:ins>
    </w:p>
    <w:p>
      <w:pPr>
        <w:pStyle w:val="MiscClose"/>
        <w:rPr>
          <w:ins w:id="167" w:author="svcMRProcess" w:date="2015-12-03T16:33:00Z"/>
        </w:rPr>
      </w:pPr>
      <w:ins w:id="168" w:author="svcMRProcess" w:date="2015-12-03T16:33:00Z">
        <w:r>
          <w:t>”.</w:t>
        </w:r>
      </w:ins>
    </w:p>
    <w:p>
      <w:pPr>
        <w:pStyle w:val="MiscOpe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Inheritance (Family and Dependants Provision)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Inheritance (Family and Dependants Provision)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C4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AE17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AB7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E8F3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EE3A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E213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0E8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7AC8A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F4F40E"/>
    <w:lvl w:ilvl="0">
      <w:start w:val="1"/>
      <w:numFmt w:val="decimal"/>
      <w:pStyle w:val="ListNumber"/>
      <w:lvlText w:val="%1."/>
      <w:lvlJc w:val="left"/>
      <w:pPr>
        <w:tabs>
          <w:tab w:val="num" w:pos="360"/>
        </w:tabs>
        <w:ind w:left="360" w:hanging="360"/>
      </w:pPr>
    </w:lvl>
  </w:abstractNum>
  <w:abstractNum w:abstractNumId="9">
    <w:nsid w:val="FFFFFF89"/>
    <w:multiLevelType w:val="singleLevel"/>
    <w:tmpl w:val="5948B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B0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9262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717"/>
    <w:docVar w:name="WAFER_20151203162717" w:val="RemoveTrackChanges"/>
    <w:docVar w:name="WAFER_20151203162717_GUID" w:val="cb7b9e43-727e-480e-9bfa-582ff267fe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4125</Words>
  <Characters>19104</Characters>
  <Application>Microsoft Office Word</Application>
  <DocSecurity>0</DocSecurity>
  <Lines>477</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(Family and Dependants Provision) Act 1972 01-a0-03 - 01-b0-02</dc:title>
  <dc:subject/>
  <dc:creator/>
  <cp:keywords/>
  <dc:description/>
  <cp:lastModifiedBy>svcMRProcess</cp:lastModifiedBy>
  <cp:revision>2</cp:revision>
  <cp:lastPrinted>2003-09-17T03:14:00Z</cp:lastPrinted>
  <dcterms:created xsi:type="dcterms:W3CDTF">2015-12-03T08:33:00Z</dcterms:created>
  <dcterms:modified xsi:type="dcterms:W3CDTF">2015-12-03T08:34:00Z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20071026</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FromSuffix">
    <vt:lpwstr>01-a0-03</vt:lpwstr>
  </property>
  <property fmtid="{D5CDD505-2E9C-101B-9397-08002B2CF9AE}" pid="8" name="FromAsAtDate">
    <vt:lpwstr>05 Sep 2003</vt:lpwstr>
  </property>
  <property fmtid="{D5CDD505-2E9C-101B-9397-08002B2CF9AE}" pid="9" name="ToSuffix">
    <vt:lpwstr>01-b0-02</vt:lpwstr>
  </property>
  <property fmtid="{D5CDD505-2E9C-101B-9397-08002B2CF9AE}" pid="10" name="ToAsAtDate">
    <vt:lpwstr>26 Oct 2007</vt:lpwstr>
  </property>
</Properties>
</file>