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Property Law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Aug 2007</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26 Oct 2007</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8T14:05:00Z"/>
        </w:trPr>
        <w:tc>
          <w:tcPr>
            <w:tcW w:w="2434" w:type="dxa"/>
            <w:vMerge w:val="restart"/>
          </w:tcPr>
          <w:p>
            <w:pPr>
              <w:rPr>
                <w:del w:id="1" w:author="svcMRProcess" w:date="2020-02-18T14:05:00Z"/>
              </w:rPr>
            </w:pPr>
          </w:p>
        </w:tc>
        <w:tc>
          <w:tcPr>
            <w:tcW w:w="2434" w:type="dxa"/>
            <w:vMerge w:val="restart"/>
          </w:tcPr>
          <w:p>
            <w:pPr>
              <w:jc w:val="center"/>
              <w:rPr>
                <w:del w:id="2" w:author="svcMRProcess" w:date="2020-02-18T14:05:00Z"/>
              </w:rPr>
            </w:pPr>
            <w:del w:id="3" w:author="svcMRProcess" w:date="2020-02-18T14:05: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8T14:05:00Z"/>
              </w:rPr>
            </w:pPr>
          </w:p>
        </w:tc>
      </w:tr>
      <w:tr>
        <w:trPr>
          <w:cantSplit/>
          <w:del w:id="5" w:author="svcMRProcess" w:date="2020-02-18T14:05:00Z"/>
        </w:trPr>
        <w:tc>
          <w:tcPr>
            <w:tcW w:w="2434" w:type="dxa"/>
            <w:vMerge/>
          </w:tcPr>
          <w:p>
            <w:pPr>
              <w:rPr>
                <w:del w:id="6" w:author="svcMRProcess" w:date="2020-02-18T14:05:00Z"/>
              </w:rPr>
            </w:pPr>
          </w:p>
        </w:tc>
        <w:tc>
          <w:tcPr>
            <w:tcW w:w="2434" w:type="dxa"/>
            <w:vMerge/>
          </w:tcPr>
          <w:p>
            <w:pPr>
              <w:jc w:val="center"/>
              <w:rPr>
                <w:del w:id="7" w:author="svcMRProcess" w:date="2020-02-18T14:05:00Z"/>
              </w:rPr>
            </w:pPr>
          </w:p>
        </w:tc>
        <w:tc>
          <w:tcPr>
            <w:tcW w:w="2434" w:type="dxa"/>
          </w:tcPr>
          <w:p>
            <w:pPr>
              <w:keepNext/>
              <w:rPr>
                <w:del w:id="8" w:author="svcMRProcess" w:date="2020-02-18T14:05:00Z"/>
                <w:b/>
                <w:sz w:val="22"/>
              </w:rPr>
            </w:pPr>
            <w:del w:id="9" w:author="svcMRProcess" w:date="2020-02-18T14:05:00Z">
              <w:r>
                <w:rPr>
                  <w:b/>
                  <w:sz w:val="22"/>
                </w:rPr>
                <w:delText xml:space="preserve">Reprinted under the </w:delText>
              </w:r>
              <w:r>
                <w:rPr>
                  <w:b/>
                  <w:i/>
                  <w:sz w:val="22"/>
                </w:rPr>
                <w:delText>Reprints Act 1984</w:delText>
              </w:r>
              <w:r>
                <w:rPr>
                  <w:b/>
                  <w:sz w:val="22"/>
                </w:rPr>
                <w:delText xml:space="preserve"> as at 24</w:delText>
              </w:r>
              <w:r>
                <w:rPr>
                  <w:b/>
                  <w:snapToGrid w:val="0"/>
                  <w:sz w:val="22"/>
                </w:rPr>
                <w:delText xml:space="preserve"> August 2007</w:delText>
              </w:r>
            </w:del>
          </w:p>
        </w:tc>
      </w:tr>
    </w:tbl>
    <w:p>
      <w:pPr>
        <w:pStyle w:val="WA"/>
        <w:spacing w:before="120"/>
      </w:pPr>
      <w:r>
        <w:t>Western Australia</w:t>
      </w:r>
    </w:p>
    <w:p>
      <w:pPr>
        <w:pStyle w:val="NameofActReg"/>
        <w:spacing w:before="1800" w:after="1800"/>
      </w:pPr>
      <w:r>
        <w:t>Property Law Act 1969</w:t>
      </w:r>
    </w:p>
    <w:p>
      <w:pPr>
        <w:pStyle w:val="LongTitle"/>
        <w:rPr>
          <w:snapToGrid w:val="0"/>
        </w:rPr>
      </w:pPr>
      <w:r>
        <w:rPr>
          <w:snapToGrid w:val="0"/>
        </w:rPr>
        <w:t>A</w:t>
      </w:r>
      <w:bookmarkStart w:id="10" w:name="_GoBack"/>
      <w:bookmarkEnd w:id="10"/>
      <w:r>
        <w:rPr>
          <w:snapToGrid w:val="0"/>
        </w:rPr>
        <w:t>n Act to amend and consolidate the law relating to property and for incidental purposes.</w:t>
      </w:r>
    </w:p>
    <w:p>
      <w:pPr>
        <w:pStyle w:val="Heading2"/>
      </w:pPr>
      <w:bookmarkStart w:id="11" w:name="_Toc122772904"/>
      <w:bookmarkStart w:id="12" w:name="_Toc123003919"/>
      <w:bookmarkStart w:id="13" w:name="_Toc131413011"/>
      <w:bookmarkStart w:id="14" w:name="_Toc166297383"/>
      <w:bookmarkStart w:id="15" w:name="_Toc166319346"/>
      <w:bookmarkStart w:id="16" w:name="_Toc173212731"/>
      <w:bookmarkStart w:id="17" w:name="_Toc173212898"/>
      <w:bookmarkStart w:id="18" w:name="_Toc173213065"/>
      <w:bookmarkStart w:id="19" w:name="_Toc173213232"/>
      <w:bookmarkStart w:id="20" w:name="_Toc173307694"/>
      <w:bookmarkStart w:id="21" w:name="_Toc173916749"/>
      <w:bookmarkStart w:id="22" w:name="_Toc174350445"/>
      <w:bookmarkStart w:id="23" w:name="_Toc174507833"/>
      <w:bookmarkStart w:id="24" w:name="_Toc176681038"/>
      <w:bookmarkStart w:id="25" w:name="_Toc181503907"/>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spacing w:before="180"/>
        <w:rPr>
          <w:snapToGrid w:val="0"/>
        </w:rPr>
      </w:pPr>
      <w:bookmarkStart w:id="26" w:name="_Toc455284752"/>
      <w:bookmarkStart w:id="27" w:name="_Toc181503908"/>
      <w:bookmarkStart w:id="28" w:name="_Toc176681039"/>
      <w:r>
        <w:rPr>
          <w:rStyle w:val="CharSectno"/>
        </w:rPr>
        <w:t>1</w:t>
      </w:r>
      <w:r>
        <w:rPr>
          <w:snapToGrid w:val="0"/>
        </w:rPr>
        <w:t>.</w:t>
      </w:r>
      <w:r>
        <w:rPr>
          <w:snapToGrid w:val="0"/>
        </w:rPr>
        <w:tab/>
        <w:t>Short title</w:t>
      </w:r>
      <w:bookmarkEnd w:id="26"/>
      <w:bookmarkEnd w:id="27"/>
      <w:bookmarkEnd w:id="28"/>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29" w:name="_Toc455284753"/>
      <w:bookmarkStart w:id="30" w:name="_Toc181503909"/>
      <w:bookmarkStart w:id="31" w:name="_Toc176681040"/>
      <w:r>
        <w:rPr>
          <w:rStyle w:val="CharSectno"/>
        </w:rPr>
        <w:t>2</w:t>
      </w:r>
      <w:r>
        <w:rPr>
          <w:snapToGrid w:val="0"/>
        </w:rPr>
        <w:t>.</w:t>
      </w:r>
      <w:r>
        <w:rPr>
          <w:snapToGrid w:val="0"/>
        </w:rPr>
        <w:tab/>
        <w:t>Commencement</w:t>
      </w:r>
      <w:bookmarkEnd w:id="29"/>
      <w:bookmarkEnd w:id="30"/>
      <w:bookmarkEnd w:id="31"/>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 76.]</w:t>
      </w:r>
    </w:p>
    <w:p>
      <w:pPr>
        <w:pStyle w:val="Heading5"/>
        <w:spacing w:before="180"/>
        <w:rPr>
          <w:snapToGrid w:val="0"/>
        </w:rPr>
      </w:pPr>
      <w:bookmarkStart w:id="32" w:name="_Toc455284754"/>
      <w:bookmarkStart w:id="33" w:name="_Toc181503910"/>
      <w:bookmarkStart w:id="34" w:name="_Toc176681041"/>
      <w:r>
        <w:rPr>
          <w:rStyle w:val="CharSectno"/>
        </w:rPr>
        <w:t>4</w:t>
      </w:r>
      <w:r>
        <w:rPr>
          <w:snapToGrid w:val="0"/>
        </w:rPr>
        <w:t>.</w:t>
      </w:r>
      <w:r>
        <w:rPr>
          <w:snapToGrid w:val="0"/>
        </w:rPr>
        <w:tab/>
        <w:t>Repeals</w:t>
      </w:r>
      <w:bookmarkEnd w:id="32"/>
      <w:bookmarkEnd w:id="33"/>
      <w:bookmarkEnd w:id="34"/>
    </w:p>
    <w:p>
      <w:pPr>
        <w:pStyle w:val="Subsection"/>
        <w:spacing w:before="120"/>
        <w:rPr>
          <w:snapToGrid w:val="0"/>
        </w:rPr>
      </w:pPr>
      <w:r>
        <w:rPr>
          <w:snapToGrid w:val="0"/>
        </w:rPr>
        <w:tab/>
      </w:r>
      <w:r>
        <w:rPr>
          <w:snapToGrid w:val="0"/>
        </w:rPr>
        <w:tab/>
        <w:t>On the coming into operation of this Act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35" w:name="_Toc455284755"/>
      <w:bookmarkStart w:id="36" w:name="_Toc181503911"/>
      <w:bookmarkStart w:id="37" w:name="_Toc176681042"/>
      <w:r>
        <w:rPr>
          <w:rStyle w:val="CharSectno"/>
        </w:rPr>
        <w:t>5</w:t>
      </w:r>
      <w:r>
        <w:rPr>
          <w:snapToGrid w:val="0"/>
        </w:rPr>
        <w:t>.</w:t>
      </w:r>
      <w:r>
        <w:rPr>
          <w:snapToGrid w:val="0"/>
        </w:rPr>
        <w:tab/>
        <w:t>Savings</w:t>
      </w:r>
      <w:bookmarkEnd w:id="35"/>
      <w:bookmarkEnd w:id="36"/>
      <w:bookmarkEnd w:id="37"/>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rPr>
      </w:pPr>
      <w:r>
        <w:rPr>
          <w:snapToGrid w:val="0"/>
        </w:rPr>
        <w:tab/>
        <w:t>(c)</w:t>
      </w:r>
      <w:r>
        <w:rPr>
          <w:snapToGrid w:val="0"/>
        </w:rPr>
        <w:tab/>
        <w:t xml:space="preserve">any action, proceeding or thing pending on that date or uncompleted on that date and that action, proceeding and thing may be carried on and completed as if the </w:t>
      </w:r>
      <w:r>
        <w:rPr>
          <w:snapToGrid w:val="0"/>
        </w:rPr>
        <w:lastRenderedPageBreak/>
        <w:t>enactment had not been repealed, or the law otherwise altered.</w:t>
      </w:r>
    </w:p>
    <w:p>
      <w:pPr>
        <w:pStyle w:val="Heading5"/>
        <w:rPr>
          <w:snapToGrid w:val="0"/>
        </w:rPr>
      </w:pPr>
      <w:bookmarkStart w:id="38" w:name="_Toc455284756"/>
      <w:bookmarkStart w:id="39" w:name="_Toc181503912"/>
      <w:bookmarkStart w:id="40" w:name="_Toc176681043"/>
      <w:r>
        <w:rPr>
          <w:rStyle w:val="CharSectno"/>
        </w:rPr>
        <w:t>6</w:t>
      </w:r>
      <w:r>
        <w:rPr>
          <w:snapToGrid w:val="0"/>
        </w:rPr>
        <w:t>.</w:t>
      </w:r>
      <w:r>
        <w:rPr>
          <w:snapToGrid w:val="0"/>
        </w:rPr>
        <w:tab/>
        <w:t>Application of this Act to certain Acts</w:t>
      </w:r>
      <w:bookmarkEnd w:id="38"/>
      <w:bookmarkEnd w:id="39"/>
      <w:bookmarkEnd w:id="40"/>
    </w:p>
    <w:p>
      <w:pPr>
        <w:pStyle w:val="Subsection"/>
        <w:keepNext/>
        <w:spacing w:before="120"/>
        <w:rPr>
          <w:snapToGrid w:val="0"/>
        </w:rPr>
      </w:pPr>
      <w:r>
        <w:rPr>
          <w:snapToGrid w:val="0"/>
        </w:rPr>
        <w:tab/>
      </w:r>
      <w:r>
        <w:rPr>
          <w:snapToGrid w:val="0"/>
        </w:rPr>
        <w:tab/>
        <w:t>Except as in this Act expressly provided, this Act —</w:t>
      </w:r>
    </w:p>
    <w:p>
      <w:pPr>
        <w:pStyle w:val="Indenta"/>
        <w:rPr>
          <w:snapToGrid w:val="0"/>
        </w:rPr>
      </w:pPr>
      <w:r>
        <w:rPr>
          <w:snapToGrid w:val="0"/>
        </w:rPr>
        <w:tab/>
        <w:t>(a)</w:t>
      </w:r>
      <w:r>
        <w:rPr>
          <w:snapToGrid w:val="0"/>
        </w:rPr>
        <w:tab/>
        <w:t xml:space="preserve">so far as inconsistent with the </w:t>
      </w:r>
      <w:r>
        <w:rPr>
          <w:i/>
          <w:snapToGrid w:val="0"/>
        </w:rPr>
        <w:t>Transfer of Land Act 1893</w:t>
      </w:r>
      <w:r>
        <w:rPr>
          <w:snapToGrid w:val="0"/>
        </w:rPr>
        <w:t xml:space="preserve">, or the </w:t>
      </w:r>
      <w:r>
        <w:rPr>
          <w:i/>
          <w:snapToGrid w:val="0"/>
        </w:rPr>
        <w:t>Strata Titles Act 1966</w:t>
      </w:r>
      <w:r>
        <w:rPr>
          <w:snapToGrid w:val="0"/>
        </w:rPr>
        <w:t xml:space="preserve"> </w:t>
      </w:r>
      <w:r>
        <w:rPr>
          <w:snapToGrid w:val="0"/>
          <w:vertAlign w:val="superscript"/>
        </w:rPr>
        <w:t>3</w:t>
      </w:r>
      <w:r>
        <w:rPr>
          <w:snapToGrid w:val="0"/>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41" w:name="_Toc455284757"/>
      <w:bookmarkStart w:id="42" w:name="_Toc181503913"/>
      <w:bookmarkStart w:id="43" w:name="_Toc176681044"/>
      <w:r>
        <w:rPr>
          <w:rStyle w:val="CharSectno"/>
        </w:rPr>
        <w:t>7</w:t>
      </w:r>
      <w:r>
        <w:rPr>
          <w:snapToGrid w:val="0"/>
        </w:rPr>
        <w:t>.</w:t>
      </w:r>
      <w:r>
        <w:rPr>
          <w:snapToGrid w:val="0"/>
        </w:rPr>
        <w:tab/>
      </w:r>
      <w:bookmarkEnd w:id="41"/>
      <w:r>
        <w:rPr>
          <w:snapToGrid w:val="0"/>
        </w:rPr>
        <w:t>Terms used in this Act</w:t>
      </w:r>
      <w:bookmarkEnd w:id="42"/>
      <w:bookmarkEnd w:id="43"/>
    </w:p>
    <w:p>
      <w:pPr>
        <w:pStyle w:val="Subsection"/>
        <w:keepNext/>
        <w:spacing w:before="120"/>
        <w:rPr>
          <w:snapToGrid w:val="0"/>
        </w:rPr>
      </w:pPr>
      <w:r>
        <w:rPr>
          <w:snapToGrid w:val="0"/>
        </w:rPr>
        <w:tab/>
      </w:r>
      <w:r>
        <w:rPr>
          <w:snapToGrid w:val="0"/>
        </w:rPr>
        <w:tab/>
        <w:t>In this Act unless the contrary intention appears —</w:t>
      </w:r>
    </w:p>
    <w:p>
      <w:pPr>
        <w:pStyle w:val="Defstart"/>
      </w:pPr>
      <w:r>
        <w:rPr>
          <w:b/>
        </w:rPr>
        <w:tab/>
        <w:t>“</w:t>
      </w:r>
      <w:r>
        <w:rPr>
          <w:rStyle w:val="CharDefText"/>
        </w:rPr>
        <w:t>bankruptcy</w:t>
      </w:r>
      <w:r>
        <w:rPr>
          <w:b/>
        </w:rPr>
        <w:t>”</w:t>
      </w:r>
      <w:r>
        <w:t xml:space="preserve"> includes insolvency and liquidation by arrangement, and also any other act or proceeding in law having under any law for the time being in force, effects or results similar to those of bankruptcy;</w:t>
      </w:r>
    </w:p>
    <w:p>
      <w:pPr>
        <w:pStyle w:val="Defstart"/>
      </w:pPr>
      <w:r>
        <w:rPr>
          <w:b/>
        </w:rPr>
        <w:tab/>
        <w:t>“</w:t>
      </w:r>
      <w:r>
        <w:rPr>
          <w:rStyle w:val="CharDefText"/>
        </w:rPr>
        <w:t>conveyance</w:t>
      </w:r>
      <w:r>
        <w:rPr>
          <w:b/>
        </w:rPr>
        <w:t>”</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b/>
        </w:rPr>
        <w:t>“</w:t>
      </w:r>
      <w:r>
        <w:rPr>
          <w:rStyle w:val="CharDefText"/>
        </w:rPr>
        <w:t>convey</w:t>
      </w:r>
      <w:r>
        <w:rPr>
          <w:b/>
        </w:rPr>
        <w:t>”</w:t>
      </w:r>
      <w:r>
        <w:t xml:space="preserve"> has a corresponding meaning;</w:t>
      </w:r>
    </w:p>
    <w:p>
      <w:pPr>
        <w:pStyle w:val="Defstart"/>
      </w:pPr>
      <w:r>
        <w:rPr>
          <w:b/>
        </w:rPr>
        <w:tab/>
        <w:t>“</w:t>
      </w:r>
      <w:r>
        <w:rPr>
          <w:rStyle w:val="CharDefText"/>
        </w:rPr>
        <w:t>Court</w:t>
      </w:r>
      <w:r>
        <w:rPr>
          <w:b/>
        </w:rPr>
        <w:t>”</w:t>
      </w:r>
      <w:r>
        <w:t xml:space="preserve"> means the Supreme Court or a Judge;</w:t>
      </w:r>
    </w:p>
    <w:p>
      <w:pPr>
        <w:pStyle w:val="Defstart"/>
      </w:pPr>
      <w:r>
        <w:rPr>
          <w:b/>
        </w:rPr>
        <w:tab/>
        <w:t>“</w:t>
      </w:r>
      <w:r>
        <w:rPr>
          <w:rStyle w:val="CharDefText"/>
        </w:rPr>
        <w:t>deed</w:t>
      </w:r>
      <w:r>
        <w:rPr>
          <w:b/>
        </w:rPr>
        <w:t>”</w:t>
      </w:r>
      <w:r>
        <w:t xml:space="preserve"> in relation to land under the </w:t>
      </w:r>
      <w:r>
        <w:rPr>
          <w:i/>
        </w:rPr>
        <w:t>Transfer of Land Act 1893</w:t>
      </w:r>
      <w:r>
        <w:t>, includes an instrument having the effect of a deed under that Act;</w:t>
      </w:r>
    </w:p>
    <w:p>
      <w:pPr>
        <w:pStyle w:val="Defstart"/>
      </w:pPr>
      <w:r>
        <w:rPr>
          <w:b/>
        </w:rPr>
        <w:tab/>
        <w:t>“</w:t>
      </w:r>
      <w:r>
        <w:rPr>
          <w:rStyle w:val="CharDefText"/>
        </w:rPr>
        <w:t>disposition</w:t>
      </w:r>
      <w:r>
        <w:rPr>
          <w:b/>
        </w:rPr>
        <w:t>”</w:t>
      </w:r>
      <w:r>
        <w:t xml:space="preserve"> includes a conveyance and also a devise, bequest or an appointment of property contained in a will; and </w:t>
      </w:r>
      <w:r>
        <w:rPr>
          <w:b/>
        </w:rPr>
        <w:t>“</w:t>
      </w:r>
      <w:r>
        <w:rPr>
          <w:rStyle w:val="CharDefText"/>
        </w:rPr>
        <w:t>dispose of</w:t>
      </w:r>
      <w:r>
        <w:rPr>
          <w:b/>
        </w:rPr>
        <w:t>”</w:t>
      </w:r>
      <w:r>
        <w:t xml:space="preserve"> has a corresponding meaning;</w:t>
      </w:r>
    </w:p>
    <w:p>
      <w:pPr>
        <w:pStyle w:val="Defstart"/>
      </w:pPr>
      <w:r>
        <w:rPr>
          <w:b/>
        </w:rPr>
        <w:tab/>
        <w:t>“</w:t>
      </w:r>
      <w:r>
        <w:rPr>
          <w:rStyle w:val="CharDefText"/>
        </w:rPr>
        <w:t>encumbrance</w:t>
      </w:r>
      <w:r>
        <w:rPr>
          <w:b/>
        </w:rPr>
        <w:t>”</w:t>
      </w:r>
      <w:r>
        <w:t xml:space="preserve"> includes a legal or equitable mortgage, a trust for securing money, a lien and a charge of a portion, </w:t>
      </w:r>
      <w:r>
        <w:lastRenderedPageBreak/>
        <w:t xml:space="preserve">annuity, or other capital or annual sum; and </w:t>
      </w:r>
      <w:r>
        <w:rPr>
          <w:b/>
        </w:rPr>
        <w:t>“</w:t>
      </w:r>
      <w:r>
        <w:rPr>
          <w:rStyle w:val="CharDefText"/>
        </w:rPr>
        <w:t>encumbrancee</w:t>
      </w:r>
      <w:r>
        <w:rPr>
          <w:b/>
        </w:rPr>
        <w:t>”</w:t>
      </w:r>
      <w:r>
        <w:t xml:space="preserve"> has a corresponding meaning, and includes every person entitled to the benefit of an encumbrance or entitled to require payment or discharge of the encumbrance;</w:t>
      </w:r>
    </w:p>
    <w:p>
      <w:pPr>
        <w:pStyle w:val="Defstart"/>
      </w:pPr>
      <w:r>
        <w:rPr>
          <w:b/>
        </w:rPr>
        <w:tab/>
        <w:t>“</w:t>
      </w:r>
      <w:r>
        <w:rPr>
          <w:rStyle w:val="CharDefText"/>
        </w:rPr>
        <w:t>fine</w:t>
      </w:r>
      <w:r>
        <w:rPr>
          <w:b/>
        </w:rPr>
        <w:t>”</w:t>
      </w:r>
      <w:r>
        <w:t xml:space="preserve"> includes a premium or foregift and any payment, consideration or benefit in the nature of a fine, premium or foregift;</w:t>
      </w:r>
    </w:p>
    <w:p>
      <w:pPr>
        <w:pStyle w:val="Defstart"/>
        <w:spacing w:before="100"/>
      </w:pPr>
      <w:r>
        <w:rPr>
          <w:b/>
        </w:rPr>
        <w:tab/>
        <w:t>“</w:t>
      </w:r>
      <w:r>
        <w:rPr>
          <w:rStyle w:val="CharDefText"/>
        </w:rPr>
        <w:t>income</w:t>
      </w:r>
      <w:r>
        <w:rPr>
          <w:b/>
        </w:rPr>
        <w:t>”</w:t>
      </w:r>
      <w:r>
        <w:t xml:space="preserve"> in relation to land includes rents and profits;</w:t>
      </w:r>
    </w:p>
    <w:p>
      <w:pPr>
        <w:pStyle w:val="Defstart"/>
        <w:spacing w:before="100"/>
      </w:pPr>
      <w:r>
        <w:rPr>
          <w:b/>
        </w:rPr>
        <w:tab/>
        <w:t>“</w:t>
      </w:r>
      <w:r>
        <w:rPr>
          <w:rStyle w:val="CharDefText"/>
        </w:rPr>
        <w:t>instrument</w:t>
      </w:r>
      <w:r>
        <w:rPr>
          <w:b/>
        </w:rPr>
        <w:t>”</w:t>
      </w:r>
      <w:r>
        <w:t xml:space="preserve"> includes deed and will but does not include a statute, unless the statute creates a settlement;</w:t>
      </w:r>
    </w:p>
    <w:p>
      <w:pPr>
        <w:pStyle w:val="Defstart"/>
        <w:spacing w:before="100"/>
      </w:pPr>
      <w:r>
        <w:rPr>
          <w:b/>
        </w:rPr>
        <w:tab/>
        <w:t>“</w:t>
      </w:r>
      <w:r>
        <w:rPr>
          <w:rStyle w:val="CharDefText"/>
        </w:rPr>
        <w:t>land</w:t>
      </w:r>
      <w:r>
        <w:rPr>
          <w:b/>
        </w:rPr>
        <w:t>”</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t>“</w:t>
      </w:r>
      <w:r>
        <w:rPr>
          <w:rStyle w:val="CharDefText"/>
        </w:rPr>
        <w:t xml:space="preserve">land under the </w:t>
      </w:r>
      <w:r>
        <w:rPr>
          <w:rStyle w:val="CharDefText"/>
          <w:i/>
        </w:rPr>
        <w:t>Transfer of Land Act 1893</w:t>
      </w:r>
      <w:r>
        <w:rPr>
          <w:b/>
        </w:rPr>
        <w:t>”</w:t>
      </w:r>
      <w:r>
        <w:t xml:space="preserve"> means any estate or interest registered under that Act;</w:t>
      </w:r>
    </w:p>
    <w:p>
      <w:pPr>
        <w:pStyle w:val="Defstart"/>
        <w:spacing w:before="100"/>
      </w:pPr>
      <w:r>
        <w:rPr>
          <w:b/>
        </w:rPr>
        <w:tab/>
        <w:t>“</w:t>
      </w:r>
      <w:r>
        <w:rPr>
          <w:rStyle w:val="CharDefText"/>
        </w:rPr>
        <w:t>lease</w:t>
      </w:r>
      <w:r>
        <w:rPr>
          <w:b/>
        </w:rPr>
        <w:t>”</w:t>
      </w:r>
      <w:r>
        <w:t xml:space="preserve"> includes an under</w:t>
      </w:r>
      <w:r>
        <w:noBreakHyphen/>
        <w:t>lease or other tenancy;</w:t>
      </w:r>
    </w:p>
    <w:p>
      <w:pPr>
        <w:pStyle w:val="Defstart"/>
        <w:spacing w:before="100"/>
      </w:pPr>
      <w:r>
        <w:rPr>
          <w:b/>
        </w:rPr>
        <w:tab/>
        <w:t>“</w:t>
      </w:r>
      <w:r>
        <w:rPr>
          <w:rStyle w:val="CharDefText"/>
        </w:rPr>
        <w:t>lessee</w:t>
      </w:r>
      <w:r>
        <w:rPr>
          <w:b/>
        </w:rPr>
        <w:t>”</w:t>
      </w:r>
      <w:r>
        <w:t xml:space="preserve"> includes an under</w:t>
      </w:r>
      <w:r>
        <w:noBreakHyphen/>
        <w:t>lessee and a person deriving title under a lessee or under</w:t>
      </w:r>
      <w:r>
        <w:noBreakHyphen/>
        <w:t>lessee;</w:t>
      </w:r>
    </w:p>
    <w:p>
      <w:pPr>
        <w:pStyle w:val="Defstart"/>
        <w:spacing w:before="100"/>
      </w:pPr>
      <w:r>
        <w:rPr>
          <w:b/>
        </w:rPr>
        <w:tab/>
        <w:t>“</w:t>
      </w:r>
      <w:r>
        <w:rPr>
          <w:rStyle w:val="CharDefText"/>
        </w:rPr>
        <w:t>lessor</w:t>
      </w:r>
      <w:r>
        <w:rPr>
          <w:b/>
        </w:rPr>
        <w:t>”</w:t>
      </w:r>
      <w:r>
        <w:t xml:space="preserve"> includes an under</w:t>
      </w:r>
      <w:r>
        <w:noBreakHyphen/>
        <w:t>lessor and a person deriving title under a lessor or under</w:t>
      </w:r>
      <w:r>
        <w:noBreakHyphen/>
        <w:t>lessor;</w:t>
      </w:r>
    </w:p>
    <w:p>
      <w:pPr>
        <w:pStyle w:val="Defstart"/>
        <w:spacing w:before="100"/>
      </w:pPr>
      <w:r>
        <w:rPr>
          <w:b/>
        </w:rPr>
        <w:tab/>
        <w:t>“</w:t>
      </w:r>
      <w:r>
        <w:rPr>
          <w:rStyle w:val="CharDefText"/>
        </w:rPr>
        <w:t>mines and minerals</w:t>
      </w:r>
      <w:r>
        <w:rPr>
          <w:b/>
        </w:rPr>
        <w:t>”</w:t>
      </w:r>
      <w:r>
        <w:t xml:space="preserve"> include any strata or seam of minerals or substances in or under any land and the right to work and get the minerals and substances;</w:t>
      </w:r>
    </w:p>
    <w:p>
      <w:pPr>
        <w:pStyle w:val="Defstart"/>
        <w:spacing w:before="100"/>
      </w:pPr>
      <w:r>
        <w:rPr>
          <w:b/>
        </w:rPr>
        <w:tab/>
        <w:t>“</w:t>
      </w:r>
      <w:r>
        <w:rPr>
          <w:rStyle w:val="CharDefText"/>
        </w:rPr>
        <w:t>mortgage</w:t>
      </w:r>
      <w:r>
        <w:rPr>
          <w:b/>
        </w:rPr>
        <w:t>”</w:t>
      </w:r>
      <w:r>
        <w:t xml:space="preserve"> includes a charge or lien on any property for securing money or money’s worth;</w:t>
      </w:r>
    </w:p>
    <w:p>
      <w:pPr>
        <w:pStyle w:val="Defstart"/>
        <w:spacing w:before="100"/>
      </w:pPr>
      <w:r>
        <w:rPr>
          <w:b/>
        </w:rPr>
        <w:tab/>
        <w:t>“</w:t>
      </w:r>
      <w:r>
        <w:rPr>
          <w:rStyle w:val="CharDefText"/>
        </w:rPr>
        <w:t>mortgage</w:t>
      </w:r>
      <w:r>
        <w:rPr>
          <w:b/>
        </w:rPr>
        <w:t>”</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t>“</w:t>
      </w:r>
      <w:r>
        <w:rPr>
          <w:rStyle w:val="CharDefText"/>
        </w:rPr>
        <w:t>mortgage money</w:t>
      </w:r>
      <w:r>
        <w:rPr>
          <w:b/>
        </w:rPr>
        <w:t>”</w:t>
      </w:r>
      <w:r>
        <w:t xml:space="preserve"> means the principal interest or other money or money’s worth secured by a mortgage;</w:t>
      </w:r>
    </w:p>
    <w:p>
      <w:pPr>
        <w:pStyle w:val="Defstart"/>
        <w:spacing w:before="100"/>
      </w:pPr>
      <w:r>
        <w:rPr>
          <w:b/>
        </w:rPr>
        <w:tab/>
        <w:t>“</w:t>
      </w:r>
      <w:r>
        <w:rPr>
          <w:rStyle w:val="CharDefText"/>
        </w:rPr>
        <w:t>mortgagee</w:t>
      </w:r>
      <w:r>
        <w:rPr>
          <w:b/>
        </w:rPr>
        <w:t>”</w:t>
      </w:r>
      <w:r>
        <w:t xml:space="preserve"> includes any person from time to time deriving title under the original mortgagee and </w:t>
      </w:r>
      <w:r>
        <w:rPr>
          <w:b/>
        </w:rPr>
        <w:t>“</w:t>
      </w:r>
      <w:r>
        <w:rPr>
          <w:rStyle w:val="CharDefText"/>
        </w:rPr>
        <w:t>mortgagee in possession</w:t>
      </w:r>
      <w:r>
        <w:rPr>
          <w:b/>
        </w:rPr>
        <w:t>”</w:t>
      </w:r>
      <w:r>
        <w:t xml:space="preserve"> means a mortgagee who in right of the mortgage has entered into and is in possession of the mortgaged property;</w:t>
      </w:r>
    </w:p>
    <w:p>
      <w:pPr>
        <w:pStyle w:val="Defstart"/>
      </w:pPr>
      <w:r>
        <w:rPr>
          <w:b/>
        </w:rPr>
        <w:tab/>
        <w:t>“</w:t>
      </w:r>
      <w:r>
        <w:rPr>
          <w:rStyle w:val="CharDefText"/>
        </w:rPr>
        <w:t>mortgagor</w:t>
      </w:r>
      <w:r>
        <w:rPr>
          <w:b/>
        </w:rPr>
        <w:t>”</w:t>
      </w:r>
      <w:r>
        <w:t xml:space="preserve"> includes any person from time to time deriving title under the original mortgagor or entitled to redeem a mortgage, according to his estate, interest, or right in the mortgaged property;</w:t>
      </w:r>
    </w:p>
    <w:p>
      <w:pPr>
        <w:pStyle w:val="Defstart"/>
      </w:pPr>
      <w:r>
        <w:rPr>
          <w:b/>
        </w:rPr>
        <w:tab/>
        <w:t>“</w:t>
      </w:r>
      <w:r>
        <w:rPr>
          <w:rStyle w:val="CharDefText"/>
        </w:rPr>
        <w:t>notice</w:t>
      </w:r>
      <w:r>
        <w:rPr>
          <w:b/>
        </w:rPr>
        <w:t>”</w:t>
      </w:r>
      <w:r>
        <w:t xml:space="preserve"> includes constructive notice;</w:t>
      </w:r>
    </w:p>
    <w:p>
      <w:pPr>
        <w:pStyle w:val="Defstart"/>
      </w:pPr>
      <w:r>
        <w:rPr>
          <w:b/>
        </w:rPr>
        <w:tab/>
        <w:t>“</w:t>
      </w:r>
      <w:r>
        <w:rPr>
          <w:rStyle w:val="CharDefText"/>
        </w:rPr>
        <w:t>periodic tenancy</w:t>
      </w:r>
      <w:r>
        <w:rPr>
          <w:b/>
        </w:rPr>
        <w:t>”</w:t>
      </w:r>
      <w:r>
        <w:t xml:space="preserve"> means a tenancy of no fixed duration and in respect of which the rent is payable weekly, monthly, yearly or for any other recurring period;</w:t>
      </w:r>
    </w:p>
    <w:p>
      <w:pPr>
        <w:pStyle w:val="Defstart"/>
      </w:pPr>
      <w:r>
        <w:rPr>
          <w:b/>
        </w:rPr>
        <w:tab/>
        <w:t>“</w:t>
      </w:r>
      <w:r>
        <w:rPr>
          <w:rStyle w:val="CharDefText"/>
        </w:rPr>
        <w:t>personal representative</w:t>
      </w:r>
      <w:r>
        <w:rPr>
          <w:b/>
        </w:rPr>
        <w:t>”</w:t>
      </w:r>
      <w:r>
        <w:t xml:space="preserve"> means the executor, original or by representation or the administrator for the time being of a deceased person;</w:t>
      </w:r>
    </w:p>
    <w:p>
      <w:pPr>
        <w:pStyle w:val="Defstart"/>
      </w:pPr>
      <w:r>
        <w:rPr>
          <w:b/>
        </w:rPr>
        <w:tab/>
        <w:t>“</w:t>
      </w:r>
      <w:r>
        <w:rPr>
          <w:rStyle w:val="CharDefText"/>
        </w:rPr>
        <w:t>possession</w:t>
      </w:r>
      <w:r>
        <w:rPr>
          <w:b/>
        </w:rPr>
        <w:t>”</w:t>
      </w:r>
      <w:r>
        <w:t xml:space="preserve"> in relation to land includes the receipt of income therefrom or the right to receive the income;</w:t>
      </w:r>
    </w:p>
    <w:p>
      <w:pPr>
        <w:pStyle w:val="Defstart"/>
      </w:pPr>
      <w:r>
        <w:rPr>
          <w:b/>
        </w:rPr>
        <w:tab/>
        <w:t>“</w:t>
      </w:r>
      <w:r>
        <w:rPr>
          <w:rStyle w:val="CharDefText"/>
        </w:rPr>
        <w:t>property</w:t>
      </w:r>
      <w:r>
        <w:rPr>
          <w:b/>
        </w:rPr>
        <w:t>”</w:t>
      </w:r>
      <w:r>
        <w:t xml:space="preserve"> includes real and personal property and any estate or interest therein and any thing or chose in action;</w:t>
      </w:r>
    </w:p>
    <w:p>
      <w:pPr>
        <w:pStyle w:val="Defstart"/>
      </w:pPr>
      <w:r>
        <w:rPr>
          <w:b/>
        </w:rPr>
        <w:tab/>
        <w:t>“</w:t>
      </w:r>
      <w:r>
        <w:rPr>
          <w:rStyle w:val="CharDefText"/>
        </w:rPr>
        <w:t>purchaser</w:t>
      </w:r>
      <w:r>
        <w:rPr>
          <w:b/>
        </w:rPr>
        <w:t>”</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b/>
        </w:rPr>
        <w:t>“</w:t>
      </w:r>
      <w:r>
        <w:rPr>
          <w:rStyle w:val="CharDefText"/>
        </w:rPr>
        <w:t>purchase</w:t>
      </w:r>
      <w:r>
        <w:rPr>
          <w:b/>
        </w:rPr>
        <w:t>”</w:t>
      </w:r>
      <w:r>
        <w:t xml:space="preserve"> has a corresponding meaning;</w:t>
      </w:r>
    </w:p>
    <w:p>
      <w:pPr>
        <w:pStyle w:val="Defstart"/>
      </w:pPr>
      <w:r>
        <w:rPr>
          <w:b/>
        </w:rPr>
        <w:tab/>
        <w:t>“</w:t>
      </w:r>
      <w:r>
        <w:rPr>
          <w:rStyle w:val="CharDefText"/>
        </w:rPr>
        <w:t>registered or duly registered</w:t>
      </w:r>
      <w:r>
        <w:rPr>
          <w:b/>
        </w:rPr>
        <w:t>”</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t>“</w:t>
      </w:r>
      <w:r>
        <w:rPr>
          <w:rStyle w:val="CharDefText"/>
        </w:rPr>
        <w:t>rent</w:t>
      </w:r>
      <w:r>
        <w:rPr>
          <w:b/>
        </w:rPr>
        <w: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t>“</w:t>
      </w:r>
      <w:r>
        <w:rPr>
          <w:rStyle w:val="CharDefText"/>
        </w:rPr>
        <w:t>represented person</w:t>
      </w:r>
      <w:r>
        <w:rPr>
          <w:b/>
        </w:rPr>
        <w:t>”</w:t>
      </w:r>
      <w:r>
        <w:t xml:space="preserve"> means a person in respect of whom an administration order is in force under Part 6 of the </w:t>
      </w:r>
      <w:r>
        <w:rPr>
          <w:i/>
        </w:rPr>
        <w:t>Guardianship and Administration Act 1990</w:t>
      </w:r>
      <w:r>
        <w:t>;</w:t>
      </w:r>
    </w:p>
    <w:p>
      <w:pPr>
        <w:pStyle w:val="Defstart"/>
      </w:pPr>
      <w:r>
        <w:rPr>
          <w:b/>
        </w:rPr>
        <w:tab/>
        <w:t>“</w:t>
      </w:r>
      <w:r>
        <w:rPr>
          <w:rStyle w:val="CharDefText"/>
        </w:rPr>
        <w:t>right of redemption</w:t>
      </w:r>
      <w:r>
        <w:rPr>
          <w:b/>
        </w:rPr>
        <w:t>”</w:t>
      </w:r>
      <w:r>
        <w:t xml:space="preserve"> in relation to a mortgage includes an option to repurchase only if the option in effect creates a right of redemption;</w:t>
      </w:r>
    </w:p>
    <w:p>
      <w:pPr>
        <w:pStyle w:val="Defstart"/>
      </w:pPr>
      <w:r>
        <w:rPr>
          <w:b/>
        </w:rPr>
        <w:tab/>
        <w:t>“</w:t>
      </w:r>
      <w:r>
        <w:rPr>
          <w:rStyle w:val="CharDefText"/>
        </w:rPr>
        <w:t>sale</w:t>
      </w:r>
      <w:r>
        <w:rPr>
          <w:b/>
        </w:rPr>
        <w:t>”</w:t>
      </w:r>
      <w:r>
        <w:t xml:space="preserve"> means a sale properly so called;</w:t>
      </w:r>
    </w:p>
    <w:p>
      <w:pPr>
        <w:pStyle w:val="Defstart"/>
      </w:pPr>
      <w:r>
        <w:rPr>
          <w:b/>
        </w:rPr>
        <w:tab/>
        <w:t>“</w:t>
      </w:r>
      <w:r>
        <w:rPr>
          <w:rStyle w:val="CharDefText"/>
        </w:rPr>
        <w:t>securities</w:t>
      </w:r>
      <w:r>
        <w:rPr>
          <w:b/>
        </w:rPr>
        <w:t>”</w:t>
      </w:r>
      <w:r>
        <w:t xml:space="preserve"> include stocks, funds and shares;</w:t>
      </w:r>
    </w:p>
    <w:p>
      <w:pPr>
        <w:pStyle w:val="Defstart"/>
      </w:pPr>
      <w:r>
        <w:rPr>
          <w:b/>
        </w:rPr>
        <w:tab/>
        <w:t>“</w:t>
      </w:r>
      <w:r>
        <w:rPr>
          <w:rStyle w:val="CharDefText"/>
        </w:rPr>
        <w:t>valuable consideration</w:t>
      </w:r>
      <w:r>
        <w:rPr>
          <w:b/>
        </w:rPr>
        <w:t>”</w:t>
      </w:r>
      <w:r>
        <w:t xml:space="preserve"> includes marriage but does not include a nominal consideration in money;</w:t>
      </w:r>
    </w:p>
    <w:p>
      <w:pPr>
        <w:pStyle w:val="Defstart"/>
      </w:pPr>
      <w:r>
        <w:rPr>
          <w:b/>
        </w:rPr>
        <w:tab/>
        <w:t>“</w:t>
      </w:r>
      <w:r>
        <w:rPr>
          <w:rStyle w:val="CharDefText"/>
        </w:rPr>
        <w:t>will</w:t>
      </w:r>
      <w:r>
        <w:rPr>
          <w:b/>
        </w:rPr>
        <w:t>”</w:t>
      </w:r>
      <w:r>
        <w:t xml:space="preserve"> includes codicil and every other testamentary disposition.</w:t>
      </w:r>
    </w:p>
    <w:p>
      <w:pPr>
        <w:pStyle w:val="Footnotesection"/>
      </w:pPr>
      <w:r>
        <w:tab/>
        <w:t>[Section 7 amended by No. 24 of 1990 s. 123.]</w:t>
      </w:r>
    </w:p>
    <w:p>
      <w:pPr>
        <w:pStyle w:val="Heading2"/>
      </w:pPr>
      <w:bookmarkStart w:id="44" w:name="_Toc122772911"/>
      <w:bookmarkStart w:id="45" w:name="_Toc123003926"/>
      <w:bookmarkStart w:id="46" w:name="_Toc131413018"/>
      <w:bookmarkStart w:id="47" w:name="_Toc166297390"/>
      <w:bookmarkStart w:id="48" w:name="_Toc166319353"/>
      <w:bookmarkStart w:id="49" w:name="_Toc173212738"/>
      <w:bookmarkStart w:id="50" w:name="_Toc173212905"/>
      <w:bookmarkStart w:id="51" w:name="_Toc173213072"/>
      <w:bookmarkStart w:id="52" w:name="_Toc173213239"/>
      <w:bookmarkStart w:id="53" w:name="_Toc173307701"/>
      <w:bookmarkStart w:id="54" w:name="_Toc173916756"/>
      <w:bookmarkStart w:id="55" w:name="_Toc174350452"/>
      <w:bookmarkStart w:id="56" w:name="_Toc174507840"/>
      <w:bookmarkStart w:id="57" w:name="_Toc176681045"/>
      <w:bookmarkStart w:id="58" w:name="_Toc181503914"/>
      <w:r>
        <w:rPr>
          <w:rStyle w:val="CharPartNo"/>
        </w:rPr>
        <w:t>Part II</w:t>
      </w:r>
      <w:r>
        <w:rPr>
          <w:rStyle w:val="CharDivNo"/>
        </w:rPr>
        <w:t> </w:t>
      </w:r>
      <w:r>
        <w:t>—</w:t>
      </w:r>
      <w:r>
        <w:rPr>
          <w:rStyle w:val="CharDivText"/>
        </w:rPr>
        <w:t> </w:t>
      </w:r>
      <w:r>
        <w:rPr>
          <w:rStyle w:val="CharPartText"/>
        </w:rPr>
        <w:t>Deeds and other instruments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spacing w:before="180"/>
        <w:rPr>
          <w:snapToGrid w:val="0"/>
        </w:rPr>
      </w:pPr>
      <w:bookmarkStart w:id="59" w:name="_Toc455284758"/>
      <w:bookmarkStart w:id="60" w:name="_Toc181503915"/>
      <w:bookmarkStart w:id="61" w:name="_Toc176681046"/>
      <w:r>
        <w:rPr>
          <w:rStyle w:val="CharSectno"/>
        </w:rPr>
        <w:t>8</w:t>
      </w:r>
      <w:r>
        <w:rPr>
          <w:snapToGrid w:val="0"/>
        </w:rPr>
        <w:t>.</w:t>
      </w:r>
      <w:r>
        <w:rPr>
          <w:snapToGrid w:val="0"/>
        </w:rPr>
        <w:tab/>
        <w:t>Construction of expressions used in deeds and other instruments</w:t>
      </w:r>
      <w:bookmarkEnd w:id="59"/>
      <w:bookmarkEnd w:id="60"/>
      <w:bookmarkEnd w:id="61"/>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pPr>
        <w:pStyle w:val="Indenta"/>
        <w:spacing w:before="60"/>
        <w:rPr>
          <w:snapToGrid w:val="0"/>
        </w:rPr>
      </w:pPr>
      <w:r>
        <w:rPr>
          <w:snapToGrid w:val="0"/>
        </w:rPr>
        <w:tab/>
        <w:t>(a)</w:t>
      </w:r>
      <w:r>
        <w:rPr>
          <w:snapToGrid w:val="0"/>
        </w:rPr>
        <w:tab/>
      </w:r>
      <w:r>
        <w:rPr>
          <w:b/>
          <w:snapToGrid w:val="0"/>
        </w:rPr>
        <w:t>“</w:t>
      </w:r>
      <w:r>
        <w:rPr>
          <w:rStyle w:val="CharDefText"/>
        </w:rPr>
        <w:t>month</w:t>
      </w:r>
      <w:r>
        <w:rPr>
          <w:b/>
          <w:snapToGrid w:val="0"/>
        </w:rPr>
        <w:t>”</w:t>
      </w:r>
      <w:r>
        <w:rPr>
          <w:snapToGrid w:val="0"/>
        </w:rPr>
        <w:t xml:space="preserve"> means a calendar month;</w:t>
      </w:r>
    </w:p>
    <w:p>
      <w:pPr>
        <w:pStyle w:val="Indenta"/>
        <w:spacing w:before="60"/>
        <w:rPr>
          <w:snapToGrid w:val="0"/>
        </w:rPr>
      </w:pPr>
      <w:r>
        <w:rPr>
          <w:snapToGrid w:val="0"/>
        </w:rPr>
        <w:tab/>
        <w:t>(b)</w:t>
      </w:r>
      <w:r>
        <w:rPr>
          <w:snapToGrid w:val="0"/>
        </w:rPr>
        <w:tab/>
      </w:r>
      <w:r>
        <w:rPr>
          <w:b/>
          <w:snapToGrid w:val="0"/>
        </w:rPr>
        <w:t>“</w:t>
      </w:r>
      <w:r>
        <w:rPr>
          <w:rStyle w:val="CharDefText"/>
        </w:rPr>
        <w:t>person</w:t>
      </w:r>
      <w:r>
        <w:rPr>
          <w:b/>
          <w:snapToGrid w:val="0"/>
        </w:rPr>
        <w:t>”</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keepNext/>
        <w:keepLines/>
        <w:rPr>
          <w:snapToGrid w:val="0"/>
        </w:rPr>
      </w:pPr>
      <w:r>
        <w:rPr>
          <w:snapToGrid w:val="0"/>
        </w:rPr>
        <w:tab/>
        <w:t>(ii)</w:t>
      </w:r>
      <w:r>
        <w:rPr>
          <w:snapToGrid w:val="0"/>
        </w:rPr>
        <w:tab/>
        <w:t>in any valuation obtained or to be obtained for the purposes of any such duty or tax,</w:t>
      </w:r>
    </w:p>
    <w:p>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ind w:left="890" w:hanging="890"/>
      </w:pPr>
      <w:r>
        <w:tab/>
        <w:t>[Section 8 amended by No. 102 of 1979 s. 3.]</w:t>
      </w:r>
    </w:p>
    <w:p>
      <w:pPr>
        <w:pStyle w:val="Heading5"/>
        <w:rPr>
          <w:snapToGrid w:val="0"/>
        </w:rPr>
      </w:pPr>
      <w:bookmarkStart w:id="62" w:name="_Toc455284759"/>
      <w:bookmarkStart w:id="63" w:name="_Toc181503916"/>
      <w:bookmarkStart w:id="64" w:name="_Toc176681047"/>
      <w:r>
        <w:rPr>
          <w:rStyle w:val="CharSectno"/>
        </w:rPr>
        <w:t>8A</w:t>
      </w:r>
      <w:r>
        <w:rPr>
          <w:snapToGrid w:val="0"/>
        </w:rPr>
        <w:t>.</w:t>
      </w:r>
      <w:r>
        <w:rPr>
          <w:snapToGrid w:val="0"/>
        </w:rPr>
        <w:tab/>
        <w:t>Other valuation procedures</w:t>
      </w:r>
      <w:bookmarkEnd w:id="62"/>
      <w:bookmarkEnd w:id="63"/>
      <w:bookmarkEnd w:id="64"/>
    </w:p>
    <w:p>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ind w:left="890" w:hanging="890"/>
      </w:pPr>
      <w:r>
        <w:tab/>
        <w:t>[Section 8A inserted by No. 102 of 1979 s. 4.]</w:t>
      </w:r>
    </w:p>
    <w:p>
      <w:pPr>
        <w:pStyle w:val="Heading5"/>
        <w:rPr>
          <w:snapToGrid w:val="0"/>
        </w:rPr>
      </w:pPr>
      <w:bookmarkStart w:id="65" w:name="_Toc455284760"/>
      <w:bookmarkStart w:id="66" w:name="_Toc181503917"/>
      <w:bookmarkStart w:id="67" w:name="_Toc176681048"/>
      <w:r>
        <w:rPr>
          <w:rStyle w:val="CharSectno"/>
        </w:rPr>
        <w:t>9</w:t>
      </w:r>
      <w:r>
        <w:rPr>
          <w:snapToGrid w:val="0"/>
        </w:rPr>
        <w:t>.</w:t>
      </w:r>
      <w:r>
        <w:rPr>
          <w:snapToGrid w:val="0"/>
        </w:rPr>
        <w:tab/>
        <w:t>Formalities of deed</w:t>
      </w:r>
      <w:bookmarkEnd w:id="65"/>
      <w:bookmarkEnd w:id="66"/>
      <w:bookmarkEnd w:id="67"/>
    </w:p>
    <w:p>
      <w:pPr>
        <w:pStyle w:val="Subsection"/>
        <w:keepNext/>
        <w:rPr>
          <w:snapToGrid w:val="0"/>
        </w:rPr>
      </w:pPr>
      <w:r>
        <w:rPr>
          <w:snapToGrid w:val="0"/>
        </w:rPr>
        <w:tab/>
        <w:t>(1)</w:t>
      </w:r>
      <w:r>
        <w:rPr>
          <w:snapToGrid w:val="0"/>
        </w:rPr>
        <w:tab/>
        <w:t>Every deed, whether or not affecting property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rPr>
          <w:snapToGrid w:val="0"/>
        </w:rPr>
      </w:pPr>
      <w:r>
        <w:rPr>
          <w:snapToGrid w:val="0"/>
        </w:rPr>
        <w:tab/>
        <w:t>(3)</w:t>
      </w:r>
      <w:r>
        <w:rPr>
          <w:snapToGrid w:val="0"/>
        </w:rPr>
        <w:tab/>
        <w:t>Formal delivery and indenting are not necessary in any case.</w:t>
      </w:r>
    </w:p>
    <w:p>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rPr>
          <w:snapToGrid w:val="0"/>
        </w:rPr>
      </w:pPr>
      <w:bookmarkStart w:id="68" w:name="_Toc455284761"/>
      <w:bookmarkStart w:id="69" w:name="_Toc181503918"/>
      <w:bookmarkStart w:id="70" w:name="_Toc176681049"/>
      <w:r>
        <w:rPr>
          <w:rStyle w:val="CharSectno"/>
        </w:rPr>
        <w:t>10</w:t>
      </w:r>
      <w:r>
        <w:rPr>
          <w:snapToGrid w:val="0"/>
        </w:rPr>
        <w:t>.</w:t>
      </w:r>
      <w:r>
        <w:rPr>
          <w:snapToGrid w:val="0"/>
        </w:rPr>
        <w:tab/>
        <w:t>Execution of instruments by or on behalf of corporations</w:t>
      </w:r>
      <w:bookmarkEnd w:id="68"/>
      <w:bookmarkEnd w:id="69"/>
      <w:bookmarkEnd w:id="70"/>
    </w:p>
    <w:p>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pPr>
        <w:pStyle w:val="Heading5"/>
        <w:rPr>
          <w:snapToGrid w:val="0"/>
        </w:rPr>
      </w:pPr>
      <w:bookmarkStart w:id="71" w:name="_Toc455284762"/>
      <w:bookmarkStart w:id="72" w:name="_Toc181503919"/>
      <w:bookmarkStart w:id="73" w:name="_Toc176681050"/>
      <w:r>
        <w:rPr>
          <w:rStyle w:val="CharSectno"/>
        </w:rPr>
        <w:t>11</w:t>
      </w:r>
      <w:r>
        <w:rPr>
          <w:snapToGrid w:val="0"/>
        </w:rPr>
        <w:t>.</w:t>
      </w:r>
      <w:r>
        <w:rPr>
          <w:snapToGrid w:val="0"/>
        </w:rPr>
        <w:tab/>
        <w:t>Persons taking who are not parties</w:t>
      </w:r>
      <w:bookmarkEnd w:id="71"/>
      <w:bookmarkEnd w:id="72"/>
      <w:bookmarkEnd w:id="73"/>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74" w:name="_Toc455284763"/>
      <w:bookmarkStart w:id="75" w:name="_Toc181503920"/>
      <w:bookmarkStart w:id="76" w:name="_Toc176681051"/>
      <w:r>
        <w:rPr>
          <w:rStyle w:val="CharSectno"/>
        </w:rPr>
        <w:t>12</w:t>
      </w:r>
      <w:r>
        <w:rPr>
          <w:snapToGrid w:val="0"/>
        </w:rPr>
        <w:t>.</w:t>
      </w:r>
      <w:r>
        <w:rPr>
          <w:snapToGrid w:val="0"/>
        </w:rPr>
        <w:tab/>
        <w:t>Description of deeds</w:t>
      </w:r>
      <w:bookmarkEnd w:id="74"/>
      <w:bookmarkEnd w:id="75"/>
      <w:bookmarkEnd w:id="76"/>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77" w:name="_Toc455284764"/>
      <w:bookmarkStart w:id="78" w:name="_Toc181503921"/>
      <w:bookmarkStart w:id="79" w:name="_Toc176681052"/>
      <w:r>
        <w:rPr>
          <w:rStyle w:val="CharSectno"/>
        </w:rPr>
        <w:t>13</w:t>
      </w:r>
      <w:r>
        <w:rPr>
          <w:snapToGrid w:val="0"/>
        </w:rPr>
        <w:t>.</w:t>
      </w:r>
      <w:r>
        <w:rPr>
          <w:snapToGrid w:val="0"/>
        </w:rPr>
        <w:tab/>
        <w:t>Conditions and certain covenants not implied</w:t>
      </w:r>
      <w:bookmarkEnd w:id="77"/>
      <w:bookmarkEnd w:id="78"/>
      <w:bookmarkEnd w:id="79"/>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80" w:name="_Toc455284765"/>
      <w:bookmarkStart w:id="81" w:name="_Toc181503922"/>
      <w:bookmarkStart w:id="82" w:name="_Toc176681053"/>
      <w:r>
        <w:rPr>
          <w:rStyle w:val="CharSectno"/>
        </w:rPr>
        <w:t>14</w:t>
      </w:r>
      <w:r>
        <w:rPr>
          <w:snapToGrid w:val="0"/>
        </w:rPr>
        <w:t>.</w:t>
      </w:r>
      <w:r>
        <w:rPr>
          <w:snapToGrid w:val="0"/>
        </w:rPr>
        <w:tab/>
        <w:t>Receipt in deed sufficient</w:t>
      </w:r>
      <w:bookmarkEnd w:id="80"/>
      <w:bookmarkEnd w:id="81"/>
      <w:bookmarkEnd w:id="82"/>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83" w:name="_Toc455284766"/>
      <w:bookmarkStart w:id="84" w:name="_Toc181503923"/>
      <w:bookmarkStart w:id="85" w:name="_Toc176681054"/>
      <w:r>
        <w:rPr>
          <w:rStyle w:val="CharSectno"/>
        </w:rPr>
        <w:t>15</w:t>
      </w:r>
      <w:r>
        <w:rPr>
          <w:snapToGrid w:val="0"/>
        </w:rPr>
        <w:t>.</w:t>
      </w:r>
      <w:r>
        <w:rPr>
          <w:snapToGrid w:val="0"/>
        </w:rPr>
        <w:tab/>
        <w:t>Receipt in deed or endorsed evidence</w:t>
      </w:r>
      <w:bookmarkEnd w:id="83"/>
      <w:bookmarkEnd w:id="84"/>
      <w:bookmarkEnd w:id="85"/>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86" w:name="_Toc455284767"/>
      <w:bookmarkStart w:id="87" w:name="_Toc181503924"/>
      <w:bookmarkStart w:id="88" w:name="_Toc176681055"/>
      <w:r>
        <w:rPr>
          <w:rStyle w:val="CharSectno"/>
        </w:rPr>
        <w:t>16</w:t>
      </w:r>
      <w:r>
        <w:rPr>
          <w:snapToGrid w:val="0"/>
        </w:rPr>
        <w:t>.</w:t>
      </w:r>
      <w:r>
        <w:rPr>
          <w:snapToGrid w:val="0"/>
        </w:rPr>
        <w:tab/>
        <w:t>Construction of supplemental or annexed instrument</w:t>
      </w:r>
      <w:bookmarkEnd w:id="86"/>
      <w:bookmarkEnd w:id="87"/>
      <w:bookmarkEnd w:id="88"/>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89" w:name="_Toc122772922"/>
      <w:bookmarkStart w:id="90" w:name="_Toc123003937"/>
      <w:bookmarkStart w:id="91" w:name="_Toc131413029"/>
      <w:bookmarkStart w:id="92" w:name="_Toc166297401"/>
      <w:bookmarkStart w:id="93" w:name="_Toc166319364"/>
      <w:bookmarkStart w:id="94" w:name="_Toc173212749"/>
      <w:bookmarkStart w:id="95" w:name="_Toc173212916"/>
      <w:bookmarkStart w:id="96" w:name="_Toc173213083"/>
      <w:bookmarkStart w:id="97" w:name="_Toc173213250"/>
      <w:bookmarkStart w:id="98" w:name="_Toc173307712"/>
      <w:bookmarkStart w:id="99" w:name="_Toc173916767"/>
      <w:bookmarkStart w:id="100" w:name="_Toc174350463"/>
      <w:bookmarkStart w:id="101" w:name="_Toc174507851"/>
      <w:bookmarkStart w:id="102" w:name="_Toc176681056"/>
      <w:bookmarkStart w:id="103" w:name="_Toc181503925"/>
      <w:r>
        <w:rPr>
          <w:rStyle w:val="CharPartNo"/>
        </w:rPr>
        <w:t>Part III</w:t>
      </w:r>
      <w:r>
        <w:rPr>
          <w:rStyle w:val="CharDivNo"/>
        </w:rPr>
        <w:t> </w:t>
      </w:r>
      <w:r>
        <w:t>—</w:t>
      </w:r>
      <w:r>
        <w:rPr>
          <w:rStyle w:val="CharDivText"/>
        </w:rPr>
        <w:t> </w:t>
      </w:r>
      <w:r>
        <w:rPr>
          <w:rStyle w:val="CharPartText"/>
        </w:rPr>
        <w:t>General rules affecting property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Toc455284768"/>
      <w:bookmarkStart w:id="105" w:name="_Toc181503926"/>
      <w:bookmarkStart w:id="106" w:name="_Toc176681057"/>
      <w:r>
        <w:rPr>
          <w:rStyle w:val="CharSectno"/>
        </w:rPr>
        <w:t>17</w:t>
      </w:r>
      <w:r>
        <w:rPr>
          <w:snapToGrid w:val="0"/>
        </w:rPr>
        <w:t>.</w:t>
      </w:r>
      <w:r>
        <w:rPr>
          <w:snapToGrid w:val="0"/>
        </w:rPr>
        <w:tab/>
        <w:t>Tenant for life without impeachment of waste, not to commit equitable waste</w:t>
      </w:r>
      <w:bookmarkEnd w:id="104"/>
      <w:bookmarkEnd w:id="105"/>
      <w:bookmarkEnd w:id="106"/>
    </w:p>
    <w:p>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107" w:name="_Toc455284769"/>
      <w:bookmarkStart w:id="108" w:name="_Toc181503927"/>
      <w:bookmarkStart w:id="109" w:name="_Toc176681058"/>
      <w:r>
        <w:rPr>
          <w:rStyle w:val="CharSectno"/>
        </w:rPr>
        <w:t>18</w:t>
      </w:r>
      <w:r>
        <w:rPr>
          <w:snapToGrid w:val="0"/>
        </w:rPr>
        <w:t>.</w:t>
      </w:r>
      <w:r>
        <w:rPr>
          <w:snapToGrid w:val="0"/>
        </w:rPr>
        <w:tab/>
        <w:t>No merger at law where none in equity</w:t>
      </w:r>
      <w:bookmarkEnd w:id="107"/>
      <w:bookmarkEnd w:id="108"/>
      <w:bookmarkEnd w:id="109"/>
    </w:p>
    <w:p>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110" w:name="_Toc455284770"/>
      <w:bookmarkStart w:id="111" w:name="_Toc181503928"/>
      <w:bookmarkStart w:id="112" w:name="_Toc176681059"/>
      <w:r>
        <w:rPr>
          <w:rStyle w:val="CharSectno"/>
        </w:rPr>
        <w:t>19</w:t>
      </w:r>
      <w:r>
        <w:rPr>
          <w:snapToGrid w:val="0"/>
        </w:rPr>
        <w:t>.</w:t>
      </w:r>
      <w:r>
        <w:rPr>
          <w:snapToGrid w:val="0"/>
        </w:rPr>
        <w:tab/>
        <w:t>Suits for possession of land by mortgagors</w:t>
      </w:r>
      <w:bookmarkEnd w:id="110"/>
      <w:bookmarkEnd w:id="111"/>
      <w:bookmarkEnd w:id="112"/>
    </w:p>
    <w:p>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113" w:name="_Toc455284771"/>
      <w:bookmarkStart w:id="114" w:name="_Toc181503929"/>
      <w:bookmarkStart w:id="115" w:name="_Toc176681060"/>
      <w:r>
        <w:rPr>
          <w:rStyle w:val="CharSectno"/>
        </w:rPr>
        <w:t>20</w:t>
      </w:r>
      <w:r>
        <w:rPr>
          <w:snapToGrid w:val="0"/>
        </w:rPr>
        <w:t>.</w:t>
      </w:r>
      <w:r>
        <w:rPr>
          <w:snapToGrid w:val="0"/>
        </w:rPr>
        <w:tab/>
        <w:t>Assignment of debts and choses in action</w:t>
      </w:r>
      <w:bookmarkEnd w:id="113"/>
      <w:bookmarkEnd w:id="114"/>
      <w:bookmarkEnd w:id="115"/>
    </w:p>
    <w:p>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rPr>
      </w:pPr>
      <w:r>
        <w:rPr>
          <w:snapToGrid w:val="0"/>
        </w:rPr>
        <w:tab/>
        <w:t>(3)</w:t>
      </w:r>
      <w:r>
        <w:rPr>
          <w:snapToGrid w:val="0"/>
        </w:rPr>
        <w:tab/>
        <w:t xml:space="preserve">For the purposes of this section </w:t>
      </w:r>
      <w:r>
        <w:rPr>
          <w:b/>
          <w:snapToGrid w:val="0"/>
        </w:rPr>
        <w:t>“</w:t>
      </w:r>
      <w:r>
        <w:rPr>
          <w:rStyle w:val="CharDefText"/>
        </w:rPr>
        <w:t>any debt or other legal chose in action</w:t>
      </w:r>
      <w:r>
        <w:rPr>
          <w:b/>
          <w:snapToGrid w:val="0"/>
        </w:rPr>
        <w:t>”</w:t>
      </w:r>
      <w:r>
        <w:rPr>
          <w:snapToGrid w:val="0"/>
        </w:rPr>
        <w:t xml:space="preserve"> includes a part of any debt or other legal chose in action.</w:t>
      </w:r>
    </w:p>
    <w:p>
      <w:pPr>
        <w:pStyle w:val="Heading5"/>
        <w:rPr>
          <w:snapToGrid w:val="0"/>
        </w:rPr>
      </w:pPr>
      <w:bookmarkStart w:id="116" w:name="_Toc455284772"/>
      <w:bookmarkStart w:id="117" w:name="_Toc181503930"/>
      <w:bookmarkStart w:id="118" w:name="_Toc176681061"/>
      <w:r>
        <w:rPr>
          <w:rStyle w:val="CharSectno"/>
        </w:rPr>
        <w:t>21</w:t>
      </w:r>
      <w:r>
        <w:rPr>
          <w:snapToGrid w:val="0"/>
        </w:rPr>
        <w:t>.</w:t>
      </w:r>
      <w:r>
        <w:rPr>
          <w:snapToGrid w:val="0"/>
        </w:rPr>
        <w:tab/>
        <w:t>Stipulations not of the essence of a contract</w:t>
      </w:r>
      <w:bookmarkEnd w:id="116"/>
      <w:bookmarkEnd w:id="117"/>
      <w:bookmarkEnd w:id="118"/>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119" w:name="_Toc455284773"/>
      <w:bookmarkStart w:id="120" w:name="_Toc181503931"/>
      <w:bookmarkStart w:id="121" w:name="_Toc176681062"/>
      <w:r>
        <w:rPr>
          <w:rStyle w:val="CharSectno"/>
        </w:rPr>
        <w:t>22</w:t>
      </w:r>
      <w:r>
        <w:rPr>
          <w:snapToGrid w:val="0"/>
        </w:rPr>
        <w:t>.</w:t>
      </w:r>
      <w:r>
        <w:rPr>
          <w:snapToGrid w:val="0"/>
        </w:rPr>
        <w:tab/>
        <w:t>Satisfied terms, whether created out of freehold or leasehold land, to cease</w:t>
      </w:r>
      <w:bookmarkEnd w:id="119"/>
      <w:bookmarkEnd w:id="120"/>
      <w:bookmarkEnd w:id="121"/>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122" w:name="_Toc455284774"/>
      <w:bookmarkStart w:id="123" w:name="_Toc181503932"/>
      <w:bookmarkStart w:id="124" w:name="_Toc176681063"/>
      <w:r>
        <w:rPr>
          <w:rStyle w:val="CharSectno"/>
        </w:rPr>
        <w:t>23</w:t>
      </w:r>
      <w:r>
        <w:rPr>
          <w:snapToGrid w:val="0"/>
        </w:rPr>
        <w:t>.</w:t>
      </w:r>
      <w:r>
        <w:rPr>
          <w:snapToGrid w:val="0"/>
        </w:rPr>
        <w:tab/>
        <w:t>Estates tail abolished</w:t>
      </w:r>
      <w:bookmarkEnd w:id="122"/>
      <w:bookmarkEnd w:id="123"/>
      <w:bookmarkEnd w:id="124"/>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b/>
          <w:snapToGrid w:val="0"/>
        </w:rPr>
        <w:t>“</w:t>
      </w:r>
      <w:r>
        <w:rPr>
          <w:rStyle w:val="CharDefText"/>
        </w:rPr>
        <w:t>estate tail</w:t>
      </w:r>
      <w:r>
        <w:rPr>
          <w:b/>
          <w:snapToGrid w:val="0"/>
        </w:rPr>
        <w:t>”</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125" w:name="_Toc455284775"/>
      <w:bookmarkStart w:id="126" w:name="_Toc181503933"/>
      <w:bookmarkStart w:id="127" w:name="_Toc176681064"/>
      <w:r>
        <w:rPr>
          <w:rStyle w:val="CharSectno"/>
        </w:rPr>
        <w:t>24</w:t>
      </w:r>
      <w:r>
        <w:rPr>
          <w:snapToGrid w:val="0"/>
        </w:rPr>
        <w:t>.</w:t>
      </w:r>
      <w:r>
        <w:rPr>
          <w:snapToGrid w:val="0"/>
        </w:rPr>
        <w:tab/>
        <w:t xml:space="preserve">Creation by deed of freehold </w:t>
      </w:r>
      <w:r>
        <w:rPr>
          <w:i/>
          <w:snapToGrid w:val="0"/>
        </w:rPr>
        <w:t>in futuro</w:t>
      </w:r>
      <w:bookmarkEnd w:id="125"/>
      <w:bookmarkEnd w:id="126"/>
      <w:bookmarkEnd w:id="127"/>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128" w:name="_Toc455284776"/>
      <w:bookmarkStart w:id="129" w:name="_Toc181503934"/>
      <w:bookmarkStart w:id="130" w:name="_Toc176681065"/>
      <w:r>
        <w:rPr>
          <w:rStyle w:val="CharSectno"/>
        </w:rPr>
        <w:t>25</w:t>
      </w:r>
      <w:r>
        <w:rPr>
          <w:snapToGrid w:val="0"/>
        </w:rPr>
        <w:t>.</w:t>
      </w:r>
      <w:r>
        <w:rPr>
          <w:snapToGrid w:val="0"/>
        </w:rPr>
        <w:tab/>
        <w:t>Creation by deed of estate in chattel real</w:t>
      </w:r>
      <w:bookmarkEnd w:id="128"/>
      <w:bookmarkEnd w:id="129"/>
      <w:bookmarkEnd w:id="130"/>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131" w:name="_Toc455284777"/>
      <w:bookmarkStart w:id="132" w:name="_Toc181503935"/>
      <w:bookmarkStart w:id="133" w:name="_Toc176681066"/>
      <w:r>
        <w:rPr>
          <w:rStyle w:val="CharSectno"/>
        </w:rPr>
        <w:t>26</w:t>
      </w:r>
      <w:r>
        <w:rPr>
          <w:snapToGrid w:val="0"/>
        </w:rPr>
        <w:t>.</w:t>
      </w:r>
      <w:r>
        <w:rPr>
          <w:snapToGrid w:val="0"/>
        </w:rPr>
        <w:tab/>
        <w:t>Contingent remainders to take effect notwithstanding premature failure of preceding estate</w:t>
      </w:r>
      <w:bookmarkEnd w:id="131"/>
      <w:bookmarkEnd w:id="132"/>
      <w:bookmarkEnd w:id="133"/>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134" w:name="_Toc455284778"/>
      <w:bookmarkStart w:id="135" w:name="_Toc181503936"/>
      <w:bookmarkStart w:id="136" w:name="_Toc176681067"/>
      <w:r>
        <w:rPr>
          <w:rStyle w:val="CharSectno"/>
        </w:rPr>
        <w:t>27</w:t>
      </w:r>
      <w:r>
        <w:rPr>
          <w:snapToGrid w:val="0"/>
        </w:rPr>
        <w:t>.</w:t>
      </w:r>
      <w:r>
        <w:rPr>
          <w:snapToGrid w:val="0"/>
        </w:rPr>
        <w:tab/>
        <w:t>Rule in Shelley’s Case abolished</w:t>
      </w:r>
      <w:bookmarkEnd w:id="134"/>
      <w:bookmarkEnd w:id="135"/>
      <w:bookmarkEnd w:id="136"/>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137" w:name="_Toc455284779"/>
      <w:bookmarkStart w:id="138" w:name="_Toc181503937"/>
      <w:bookmarkStart w:id="139" w:name="_Toc176681068"/>
      <w:r>
        <w:rPr>
          <w:rStyle w:val="CharSectno"/>
        </w:rPr>
        <w:t>28</w:t>
      </w:r>
      <w:r>
        <w:rPr>
          <w:snapToGrid w:val="0"/>
        </w:rPr>
        <w:t>.</w:t>
      </w:r>
      <w:r>
        <w:rPr>
          <w:snapToGrid w:val="0"/>
        </w:rPr>
        <w:tab/>
        <w:t>Restriction on executory limitations</w:t>
      </w:r>
      <w:bookmarkEnd w:id="137"/>
      <w:bookmarkEnd w:id="138"/>
      <w:bookmarkEnd w:id="139"/>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140" w:name="_Toc455284780"/>
      <w:bookmarkStart w:id="141" w:name="_Toc181503938"/>
      <w:bookmarkStart w:id="142" w:name="_Toc176681069"/>
      <w:r>
        <w:rPr>
          <w:rStyle w:val="CharSectno"/>
        </w:rPr>
        <w:t>29</w:t>
      </w:r>
      <w:r>
        <w:rPr>
          <w:snapToGrid w:val="0"/>
        </w:rPr>
        <w:t>.</w:t>
      </w:r>
      <w:r>
        <w:rPr>
          <w:snapToGrid w:val="0"/>
        </w:rPr>
        <w:tab/>
        <w:t>Corporations may hold as joint tenants</w:t>
      </w:r>
      <w:bookmarkEnd w:id="140"/>
      <w:bookmarkEnd w:id="141"/>
      <w:bookmarkEnd w:id="142"/>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143" w:name="_Toc455284781"/>
      <w:bookmarkStart w:id="144" w:name="_Toc181503939"/>
      <w:bookmarkStart w:id="145" w:name="_Toc176681070"/>
      <w:r>
        <w:rPr>
          <w:rStyle w:val="CharSectno"/>
        </w:rPr>
        <w:t>30</w:t>
      </w:r>
      <w:r>
        <w:rPr>
          <w:snapToGrid w:val="0"/>
        </w:rPr>
        <w:t>.</w:t>
      </w:r>
      <w:r>
        <w:rPr>
          <w:snapToGrid w:val="0"/>
        </w:rPr>
        <w:tab/>
        <w:t>Receipts for income by married minors</w:t>
      </w:r>
      <w:bookmarkEnd w:id="143"/>
      <w:bookmarkEnd w:id="144"/>
      <w:bookmarkEnd w:id="145"/>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146" w:name="_Toc455284783"/>
      <w:r>
        <w:t>[</w:t>
      </w:r>
      <w:r>
        <w:rPr>
          <w:b/>
        </w:rPr>
        <w:t>31.</w:t>
      </w:r>
      <w:r>
        <w:tab/>
        <w:t>Repealed by No. 28 of 2003 s. 125(2).]</w:t>
      </w:r>
    </w:p>
    <w:p>
      <w:pPr>
        <w:pStyle w:val="Heading5"/>
        <w:rPr>
          <w:snapToGrid w:val="0"/>
        </w:rPr>
      </w:pPr>
      <w:bookmarkStart w:id="147" w:name="_Toc181503940"/>
      <w:bookmarkStart w:id="148" w:name="_Toc176681071"/>
      <w:r>
        <w:rPr>
          <w:rStyle w:val="CharSectno"/>
        </w:rPr>
        <w:t>31A</w:t>
      </w:r>
      <w:r>
        <w:rPr>
          <w:snapToGrid w:val="0"/>
        </w:rPr>
        <w:t>.</w:t>
      </w:r>
      <w:r>
        <w:rPr>
          <w:snapToGrid w:val="0"/>
        </w:rPr>
        <w:tab/>
        <w:t>Illegitimates to be included in class references</w:t>
      </w:r>
      <w:bookmarkEnd w:id="146"/>
      <w:bookmarkEnd w:id="147"/>
      <w:bookmarkEnd w:id="148"/>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rPr>
          <w:snapToGrid w:val="0"/>
        </w:rPr>
      </w:pPr>
      <w:r>
        <w:rPr>
          <w:snapToGrid w:val="0"/>
        </w:rPr>
        <w:tab/>
        <w:t>(5)</w:t>
      </w:r>
      <w:r>
        <w:rPr>
          <w:snapToGrid w:val="0"/>
        </w:rPr>
        <w:tab/>
        <w:t>For the purposes of this section, the relationship between a parent and his or her illegitimate child, and any other relationship traced in any degree through that relationship, shall be recognised only if parentage is admitted by or established 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[Section 31A inserted by No. 19 of 1971 s. 3; amended by No. 14 of 1985 s. 8; No. 28 of 2003 s. 160.]</w:t>
      </w:r>
    </w:p>
    <w:p>
      <w:pPr>
        <w:pStyle w:val="Heading2"/>
      </w:pPr>
      <w:bookmarkStart w:id="149" w:name="_Toc122772938"/>
      <w:bookmarkStart w:id="150" w:name="_Toc123003953"/>
      <w:bookmarkStart w:id="151" w:name="_Toc131413045"/>
      <w:bookmarkStart w:id="152" w:name="_Toc166297417"/>
      <w:bookmarkStart w:id="153" w:name="_Toc166319380"/>
      <w:bookmarkStart w:id="154" w:name="_Toc173212765"/>
      <w:bookmarkStart w:id="155" w:name="_Toc173212932"/>
      <w:bookmarkStart w:id="156" w:name="_Toc173213099"/>
      <w:bookmarkStart w:id="157" w:name="_Toc173213266"/>
      <w:bookmarkStart w:id="158" w:name="_Toc173307728"/>
      <w:bookmarkStart w:id="159" w:name="_Toc173916783"/>
      <w:bookmarkStart w:id="160" w:name="_Toc174350479"/>
      <w:bookmarkStart w:id="161" w:name="_Toc174507867"/>
      <w:bookmarkStart w:id="162" w:name="_Toc176681072"/>
      <w:bookmarkStart w:id="163" w:name="_Toc181503941"/>
      <w:r>
        <w:rPr>
          <w:rStyle w:val="CharPartNo"/>
        </w:rPr>
        <w:t>Part IV</w:t>
      </w:r>
      <w:r>
        <w:rPr>
          <w:rStyle w:val="CharDivNo"/>
        </w:rPr>
        <w:t> </w:t>
      </w:r>
      <w:r>
        <w:t>—</w:t>
      </w:r>
      <w:r>
        <w:rPr>
          <w:rStyle w:val="CharDivText"/>
        </w:rPr>
        <w:t> </w:t>
      </w:r>
      <w:r>
        <w:rPr>
          <w:rStyle w:val="CharPartText"/>
        </w:rPr>
        <w:t>Conveyances and other instruments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455284784"/>
      <w:bookmarkStart w:id="165" w:name="_Toc181503942"/>
      <w:bookmarkStart w:id="166" w:name="_Toc176681073"/>
      <w:r>
        <w:rPr>
          <w:rStyle w:val="CharSectno"/>
        </w:rPr>
        <w:t>32</w:t>
      </w:r>
      <w:r>
        <w:rPr>
          <w:snapToGrid w:val="0"/>
        </w:rPr>
        <w:t>.</w:t>
      </w:r>
      <w:r>
        <w:rPr>
          <w:snapToGrid w:val="0"/>
        </w:rPr>
        <w:tab/>
        <w:t>Lands lie in grant only</w:t>
      </w:r>
      <w:bookmarkEnd w:id="164"/>
      <w:bookmarkEnd w:id="165"/>
      <w:bookmarkEnd w:id="166"/>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167" w:name="_Toc455284785"/>
      <w:bookmarkStart w:id="168" w:name="_Toc181503943"/>
      <w:bookmarkStart w:id="169" w:name="_Toc176681074"/>
      <w:r>
        <w:rPr>
          <w:rStyle w:val="CharSectno"/>
        </w:rPr>
        <w:t>33</w:t>
      </w:r>
      <w:r>
        <w:rPr>
          <w:snapToGrid w:val="0"/>
        </w:rPr>
        <w:t>.</w:t>
      </w:r>
      <w:r>
        <w:rPr>
          <w:snapToGrid w:val="0"/>
        </w:rPr>
        <w:tab/>
        <w:t>Conveyances to be by deed</w:t>
      </w:r>
      <w:bookmarkEnd w:id="167"/>
      <w:bookmarkEnd w:id="168"/>
      <w:bookmarkEnd w:id="169"/>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170" w:name="_Toc455284786"/>
      <w:bookmarkStart w:id="171" w:name="_Toc181503944"/>
      <w:bookmarkStart w:id="172" w:name="_Toc176681075"/>
      <w:r>
        <w:rPr>
          <w:rStyle w:val="CharSectno"/>
        </w:rPr>
        <w:t>34</w:t>
      </w:r>
      <w:r>
        <w:rPr>
          <w:snapToGrid w:val="0"/>
        </w:rPr>
        <w:t>.</w:t>
      </w:r>
      <w:r>
        <w:rPr>
          <w:snapToGrid w:val="0"/>
        </w:rPr>
        <w:tab/>
        <w:t>Instruments required to be in writing</w:t>
      </w:r>
      <w:bookmarkEnd w:id="170"/>
      <w:bookmarkEnd w:id="171"/>
      <w:bookmarkEnd w:id="172"/>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173" w:name="_Toc455284787"/>
      <w:bookmarkStart w:id="174" w:name="_Toc181503945"/>
      <w:bookmarkStart w:id="175" w:name="_Toc176681076"/>
      <w:r>
        <w:rPr>
          <w:rStyle w:val="CharSectno"/>
        </w:rPr>
        <w:t>35</w:t>
      </w:r>
      <w:r>
        <w:rPr>
          <w:snapToGrid w:val="0"/>
        </w:rPr>
        <w:t>.</w:t>
      </w:r>
      <w:r>
        <w:rPr>
          <w:snapToGrid w:val="0"/>
        </w:rPr>
        <w:tab/>
        <w:t>Creation of interests in land by parol</w:t>
      </w:r>
      <w:bookmarkEnd w:id="173"/>
      <w:bookmarkEnd w:id="174"/>
      <w:bookmarkEnd w:id="175"/>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176" w:name="_Toc455284788"/>
      <w:bookmarkStart w:id="177" w:name="_Toc181503946"/>
      <w:bookmarkStart w:id="178" w:name="_Toc176681077"/>
      <w:r>
        <w:rPr>
          <w:rStyle w:val="CharSectno"/>
        </w:rPr>
        <w:t>36</w:t>
      </w:r>
      <w:r>
        <w:rPr>
          <w:snapToGrid w:val="0"/>
        </w:rPr>
        <w:t>.</w:t>
      </w:r>
      <w:r>
        <w:rPr>
          <w:snapToGrid w:val="0"/>
        </w:rPr>
        <w:tab/>
        <w:t>Savings in regard to sections 34 and 35</w:t>
      </w:r>
      <w:bookmarkEnd w:id="176"/>
      <w:bookmarkEnd w:id="177"/>
      <w:bookmarkEnd w:id="178"/>
    </w:p>
    <w:p>
      <w:pPr>
        <w:pStyle w:val="Subsection"/>
        <w:keepNext/>
        <w:rPr>
          <w:snapToGrid w:val="0"/>
        </w:rPr>
      </w:pPr>
      <w:r>
        <w:rPr>
          <w:snapToGrid w:val="0"/>
        </w:rPr>
        <w:tab/>
      </w:r>
      <w:r>
        <w:rPr>
          <w:snapToGrid w:val="0"/>
        </w:rPr>
        <w:tab/>
        <w:t>Nothing in sections 34 and 35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179" w:name="_Toc455284789"/>
      <w:bookmarkStart w:id="180" w:name="_Toc181503947"/>
      <w:bookmarkStart w:id="181" w:name="_Toc176681078"/>
      <w:r>
        <w:rPr>
          <w:rStyle w:val="CharSectno"/>
        </w:rPr>
        <w:t>37</w:t>
      </w:r>
      <w:r>
        <w:rPr>
          <w:snapToGrid w:val="0"/>
        </w:rPr>
        <w:t>.</w:t>
      </w:r>
      <w:r>
        <w:rPr>
          <w:snapToGrid w:val="0"/>
        </w:rPr>
        <w:tab/>
        <w:t>Power to dispose of fee simple by deed without words of inheritance</w:t>
      </w:r>
      <w:bookmarkEnd w:id="179"/>
      <w:bookmarkEnd w:id="180"/>
      <w:bookmarkEnd w:id="181"/>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182" w:name="_Toc455284790"/>
      <w:bookmarkStart w:id="183" w:name="_Toc181503948"/>
      <w:bookmarkStart w:id="184" w:name="_Toc176681079"/>
      <w:r>
        <w:rPr>
          <w:rStyle w:val="CharSectno"/>
        </w:rPr>
        <w:t>38</w:t>
      </w:r>
      <w:r>
        <w:rPr>
          <w:snapToGrid w:val="0"/>
        </w:rPr>
        <w:t>.</w:t>
      </w:r>
      <w:r>
        <w:rPr>
          <w:snapToGrid w:val="0"/>
        </w:rPr>
        <w:tab/>
        <w:t>No use to result from absence of consideration</w:t>
      </w:r>
      <w:bookmarkEnd w:id="182"/>
      <w:bookmarkEnd w:id="183"/>
      <w:bookmarkEnd w:id="184"/>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185" w:name="_Toc455284791"/>
      <w:bookmarkStart w:id="186" w:name="_Toc181503949"/>
      <w:bookmarkStart w:id="187" w:name="_Toc176681080"/>
      <w:r>
        <w:rPr>
          <w:rStyle w:val="CharSectno"/>
        </w:rPr>
        <w:t>39</w:t>
      </w:r>
      <w:r>
        <w:rPr>
          <w:snapToGrid w:val="0"/>
        </w:rPr>
        <w:t>.</w:t>
      </w:r>
      <w:r>
        <w:rPr>
          <w:snapToGrid w:val="0"/>
        </w:rPr>
        <w:tab/>
        <w:t>Limitations may be by direct conveyance without uses</w:t>
      </w:r>
      <w:bookmarkEnd w:id="185"/>
      <w:bookmarkEnd w:id="186"/>
      <w:bookmarkEnd w:id="187"/>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188" w:name="_Toc455284792"/>
      <w:bookmarkStart w:id="189" w:name="_Toc181503950"/>
      <w:bookmarkStart w:id="190" w:name="_Toc176681081"/>
      <w:r>
        <w:rPr>
          <w:rStyle w:val="CharSectno"/>
        </w:rPr>
        <w:t>40</w:t>
      </w:r>
      <w:r>
        <w:rPr>
          <w:snapToGrid w:val="0"/>
        </w:rPr>
        <w:t>.</w:t>
      </w:r>
      <w:r>
        <w:rPr>
          <w:snapToGrid w:val="0"/>
        </w:rPr>
        <w:tab/>
        <w:t>No conveyance to have tortious operation</w:t>
      </w:r>
      <w:bookmarkEnd w:id="188"/>
      <w:bookmarkEnd w:id="189"/>
      <w:bookmarkEnd w:id="190"/>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191" w:name="_Toc455284793"/>
      <w:bookmarkStart w:id="192" w:name="_Toc181503951"/>
      <w:bookmarkStart w:id="193" w:name="_Toc176681082"/>
      <w:r>
        <w:rPr>
          <w:rStyle w:val="CharSectno"/>
        </w:rPr>
        <w:t>41</w:t>
      </w:r>
      <w:r>
        <w:rPr>
          <w:snapToGrid w:val="0"/>
        </w:rPr>
        <w:t>.</w:t>
      </w:r>
      <w:r>
        <w:rPr>
          <w:snapToGrid w:val="0"/>
        </w:rPr>
        <w:tab/>
        <w:t>General words implied in conveyances</w:t>
      </w:r>
      <w:bookmarkEnd w:id="191"/>
      <w:bookmarkEnd w:id="192"/>
      <w:bookmarkEnd w:id="193"/>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194" w:name="_Toc455284794"/>
      <w:bookmarkStart w:id="195" w:name="_Toc181503952"/>
      <w:bookmarkStart w:id="196" w:name="_Toc176681083"/>
      <w:r>
        <w:rPr>
          <w:rStyle w:val="CharSectno"/>
        </w:rPr>
        <w:t>42</w:t>
      </w:r>
      <w:r>
        <w:rPr>
          <w:snapToGrid w:val="0"/>
        </w:rPr>
        <w:t>.</w:t>
      </w:r>
      <w:r>
        <w:rPr>
          <w:snapToGrid w:val="0"/>
        </w:rPr>
        <w:tab/>
        <w:t>All estate clause implied</w:t>
      </w:r>
      <w:bookmarkEnd w:id="194"/>
      <w:bookmarkEnd w:id="195"/>
      <w:bookmarkEnd w:id="196"/>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197" w:name="_Toc455284795"/>
      <w:bookmarkStart w:id="198" w:name="_Toc181503953"/>
      <w:bookmarkStart w:id="199" w:name="_Toc176681084"/>
      <w:r>
        <w:rPr>
          <w:rStyle w:val="CharSectno"/>
        </w:rPr>
        <w:t>43</w:t>
      </w:r>
      <w:r>
        <w:rPr>
          <w:snapToGrid w:val="0"/>
        </w:rPr>
        <w:t>.</w:t>
      </w:r>
      <w:r>
        <w:rPr>
          <w:snapToGrid w:val="0"/>
        </w:rPr>
        <w:tab/>
        <w:t>Partial release of land from rent</w:t>
      </w:r>
      <w:bookmarkEnd w:id="197"/>
      <w:bookmarkEnd w:id="198"/>
      <w:bookmarkEnd w:id="199"/>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200" w:name="_Toc455284796"/>
      <w:bookmarkStart w:id="201" w:name="_Toc181503954"/>
      <w:bookmarkStart w:id="202" w:name="_Toc176681085"/>
      <w:r>
        <w:rPr>
          <w:rStyle w:val="CharSectno"/>
        </w:rPr>
        <w:t>44</w:t>
      </w:r>
      <w:r>
        <w:rPr>
          <w:snapToGrid w:val="0"/>
        </w:rPr>
        <w:t>.</w:t>
      </w:r>
      <w:r>
        <w:rPr>
          <w:snapToGrid w:val="0"/>
        </w:rPr>
        <w:tab/>
        <w:t>Power to person to convey property to himself etc.</w:t>
      </w:r>
      <w:bookmarkEnd w:id="200"/>
      <w:bookmarkEnd w:id="201"/>
      <w:bookmarkEnd w:id="202"/>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203" w:name="_Toc122772952"/>
      <w:bookmarkStart w:id="204" w:name="_Toc123003967"/>
      <w:bookmarkStart w:id="205" w:name="_Toc131413059"/>
      <w:bookmarkStart w:id="206" w:name="_Toc166297431"/>
      <w:bookmarkStart w:id="207" w:name="_Toc166319394"/>
      <w:bookmarkStart w:id="208" w:name="_Toc173212779"/>
      <w:bookmarkStart w:id="209" w:name="_Toc173212946"/>
      <w:bookmarkStart w:id="210" w:name="_Toc173213113"/>
      <w:bookmarkStart w:id="211" w:name="_Toc173213280"/>
      <w:bookmarkStart w:id="212" w:name="_Toc173307742"/>
      <w:bookmarkStart w:id="213" w:name="_Toc173916797"/>
      <w:bookmarkStart w:id="214" w:name="_Toc174350493"/>
      <w:bookmarkStart w:id="215" w:name="_Toc174507881"/>
      <w:bookmarkStart w:id="216" w:name="_Toc176681086"/>
      <w:bookmarkStart w:id="217" w:name="_Toc181503955"/>
      <w:r>
        <w:rPr>
          <w:rStyle w:val="CharPartNo"/>
        </w:rPr>
        <w:t>Part V</w:t>
      </w:r>
      <w:r>
        <w:rPr>
          <w:rStyle w:val="CharDivNo"/>
        </w:rPr>
        <w:t> </w:t>
      </w:r>
      <w:r>
        <w:t>—</w:t>
      </w:r>
      <w:r>
        <w:rPr>
          <w:rStyle w:val="CharDivText"/>
        </w:rPr>
        <w:t> </w:t>
      </w:r>
      <w:r>
        <w:rPr>
          <w:rStyle w:val="CharPartText"/>
        </w:rPr>
        <w:t>Covenants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455284797"/>
      <w:bookmarkStart w:id="219" w:name="_Toc181503956"/>
      <w:bookmarkStart w:id="220" w:name="_Toc176681087"/>
      <w:r>
        <w:rPr>
          <w:rStyle w:val="CharSectno"/>
        </w:rPr>
        <w:t>45</w:t>
      </w:r>
      <w:r>
        <w:rPr>
          <w:snapToGrid w:val="0"/>
        </w:rPr>
        <w:t>.</w:t>
      </w:r>
      <w:r>
        <w:rPr>
          <w:snapToGrid w:val="0"/>
        </w:rPr>
        <w:tab/>
        <w:t>Covenants for title implied</w:t>
      </w:r>
      <w:bookmarkEnd w:id="218"/>
      <w:bookmarkEnd w:id="219"/>
      <w:bookmarkEnd w:id="220"/>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rPr>
          <w:snapToGrid w:val="0"/>
        </w:rPr>
      </w:pPr>
      <w:r>
        <w:rPr>
          <w:snapToGrid w:val="0"/>
        </w:rPr>
        <w:tab/>
        <w:t>(5)</w:t>
      </w:r>
      <w:r>
        <w:rPr>
          <w:snapToGrid w:val="0"/>
        </w:rPr>
        <w:tab/>
        <w:t>In this section a conveyance does not include a demise by way of lease at a rent.</w:t>
      </w:r>
    </w:p>
    <w:p>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[Section 45 amended by No. 24 of 1990 s. 123.]</w:t>
      </w:r>
    </w:p>
    <w:p>
      <w:pPr>
        <w:pStyle w:val="Heading5"/>
        <w:rPr>
          <w:snapToGrid w:val="0"/>
        </w:rPr>
      </w:pPr>
      <w:bookmarkStart w:id="221" w:name="_Toc455284798"/>
      <w:bookmarkStart w:id="222" w:name="_Toc181503957"/>
      <w:bookmarkStart w:id="223" w:name="_Toc176681088"/>
      <w:r>
        <w:rPr>
          <w:rStyle w:val="CharSectno"/>
        </w:rPr>
        <w:t>46</w:t>
      </w:r>
      <w:r>
        <w:rPr>
          <w:snapToGrid w:val="0"/>
        </w:rPr>
        <w:t>.</w:t>
      </w:r>
      <w:r>
        <w:rPr>
          <w:snapToGrid w:val="0"/>
        </w:rPr>
        <w:tab/>
        <w:t>Construction of implied covenants</w:t>
      </w:r>
      <w:bookmarkEnd w:id="221"/>
      <w:bookmarkEnd w:id="222"/>
      <w:bookmarkEnd w:id="223"/>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224" w:name="_Toc455284799"/>
      <w:bookmarkStart w:id="225" w:name="_Toc181503958"/>
      <w:bookmarkStart w:id="226" w:name="_Toc176681089"/>
      <w:r>
        <w:rPr>
          <w:rStyle w:val="CharSectno"/>
        </w:rPr>
        <w:t>47</w:t>
      </w:r>
      <w:r>
        <w:rPr>
          <w:snapToGrid w:val="0"/>
        </w:rPr>
        <w:t>.</w:t>
      </w:r>
      <w:r>
        <w:rPr>
          <w:snapToGrid w:val="0"/>
        </w:rPr>
        <w:tab/>
        <w:t>Benefits of covenants relating to land</w:t>
      </w:r>
      <w:bookmarkEnd w:id="224"/>
      <w:bookmarkEnd w:id="225"/>
      <w:bookmarkEnd w:id="226"/>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Lines w:val="0"/>
        <w:rPr>
          <w:snapToGrid w:val="0"/>
        </w:rPr>
      </w:pPr>
      <w:bookmarkStart w:id="227" w:name="_Toc455284800"/>
      <w:bookmarkStart w:id="228" w:name="_Toc181503959"/>
      <w:bookmarkStart w:id="229" w:name="_Toc176681090"/>
      <w:r>
        <w:rPr>
          <w:rStyle w:val="CharSectno"/>
        </w:rPr>
        <w:t>48</w:t>
      </w:r>
      <w:r>
        <w:rPr>
          <w:snapToGrid w:val="0"/>
        </w:rPr>
        <w:t>.</w:t>
      </w:r>
      <w:r>
        <w:rPr>
          <w:snapToGrid w:val="0"/>
        </w:rPr>
        <w:tab/>
        <w:t>Burden of covenants relating to land</w:t>
      </w:r>
      <w:bookmarkEnd w:id="227"/>
      <w:bookmarkEnd w:id="228"/>
      <w:bookmarkEnd w:id="229"/>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230" w:name="_Toc455284801"/>
      <w:bookmarkStart w:id="231" w:name="_Toc181503960"/>
      <w:bookmarkStart w:id="232" w:name="_Toc176681091"/>
      <w:r>
        <w:rPr>
          <w:rStyle w:val="CharSectno"/>
        </w:rPr>
        <w:t>49</w:t>
      </w:r>
      <w:r>
        <w:rPr>
          <w:snapToGrid w:val="0"/>
        </w:rPr>
        <w:t>.</w:t>
      </w:r>
      <w:r>
        <w:rPr>
          <w:snapToGrid w:val="0"/>
        </w:rPr>
        <w:tab/>
        <w:t>Construction of covenants affecting land</w:t>
      </w:r>
      <w:bookmarkEnd w:id="230"/>
      <w:bookmarkEnd w:id="231"/>
      <w:bookmarkEnd w:id="232"/>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land</w:t>
      </w:r>
      <w:r>
        <w:rPr>
          <w:b/>
          <w:snapToGrid w:val="0"/>
        </w:rPr>
        <w:t>”</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233" w:name="_Toc455284802"/>
      <w:bookmarkStart w:id="234" w:name="_Toc181503961"/>
      <w:bookmarkStart w:id="235" w:name="_Toc176681092"/>
      <w:r>
        <w:rPr>
          <w:rStyle w:val="CharSectno"/>
        </w:rPr>
        <w:t>50</w:t>
      </w:r>
      <w:r>
        <w:rPr>
          <w:snapToGrid w:val="0"/>
        </w:rPr>
        <w:t>.</w:t>
      </w:r>
      <w:r>
        <w:rPr>
          <w:snapToGrid w:val="0"/>
        </w:rPr>
        <w:tab/>
        <w:t>Covenants to be joint and several</w:t>
      </w:r>
      <w:bookmarkEnd w:id="233"/>
      <w:bookmarkEnd w:id="234"/>
      <w:bookmarkEnd w:id="235"/>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236" w:name="_Toc455284803"/>
      <w:bookmarkStart w:id="237" w:name="_Toc181503962"/>
      <w:bookmarkStart w:id="238" w:name="_Toc176681093"/>
      <w:r>
        <w:rPr>
          <w:rStyle w:val="CharSectno"/>
        </w:rPr>
        <w:t>51</w:t>
      </w:r>
      <w:r>
        <w:rPr>
          <w:snapToGrid w:val="0"/>
        </w:rPr>
        <w:t>.</w:t>
      </w:r>
      <w:r>
        <w:rPr>
          <w:snapToGrid w:val="0"/>
        </w:rPr>
        <w:tab/>
        <w:t>Effect of covenant with 2 or more jointly</w:t>
      </w:r>
      <w:bookmarkEnd w:id="236"/>
      <w:bookmarkEnd w:id="237"/>
      <w:bookmarkEnd w:id="238"/>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239" w:name="_Toc455284804"/>
      <w:bookmarkStart w:id="240" w:name="_Toc181503963"/>
      <w:bookmarkStart w:id="241" w:name="_Toc176681094"/>
      <w:r>
        <w:rPr>
          <w:rStyle w:val="CharSectno"/>
        </w:rPr>
        <w:t>52</w:t>
      </w:r>
      <w:r>
        <w:rPr>
          <w:snapToGrid w:val="0"/>
        </w:rPr>
        <w:t>.</w:t>
      </w:r>
      <w:r>
        <w:rPr>
          <w:snapToGrid w:val="0"/>
        </w:rPr>
        <w:tab/>
        <w:t>Covenants and agreements entered into by a person with himself and another or others</w:t>
      </w:r>
      <w:bookmarkEnd w:id="239"/>
      <w:bookmarkEnd w:id="240"/>
      <w:bookmarkEnd w:id="241"/>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242" w:name="_Toc122772961"/>
      <w:bookmarkStart w:id="243" w:name="_Toc123003976"/>
      <w:bookmarkStart w:id="244" w:name="_Toc131413068"/>
      <w:bookmarkStart w:id="245" w:name="_Toc166297440"/>
      <w:bookmarkStart w:id="246" w:name="_Toc166319403"/>
      <w:bookmarkStart w:id="247" w:name="_Toc173212788"/>
      <w:bookmarkStart w:id="248" w:name="_Toc173212955"/>
      <w:bookmarkStart w:id="249" w:name="_Toc173213122"/>
      <w:bookmarkStart w:id="250" w:name="_Toc173213289"/>
      <w:bookmarkStart w:id="251" w:name="_Toc173307751"/>
      <w:bookmarkStart w:id="252" w:name="_Toc173916806"/>
      <w:bookmarkStart w:id="253" w:name="_Toc174350502"/>
      <w:bookmarkStart w:id="254" w:name="_Toc174507890"/>
      <w:bookmarkStart w:id="255" w:name="_Toc176681095"/>
      <w:bookmarkStart w:id="256" w:name="_Toc181503964"/>
      <w:r>
        <w:rPr>
          <w:rStyle w:val="CharPartNo"/>
        </w:rPr>
        <w:t>Part VI</w:t>
      </w:r>
      <w:r>
        <w:rPr>
          <w:rStyle w:val="CharDivNo"/>
        </w:rPr>
        <w:t> </w:t>
      </w:r>
      <w:r>
        <w:t>—</w:t>
      </w:r>
      <w:r>
        <w:rPr>
          <w:rStyle w:val="CharDivText"/>
        </w:rPr>
        <w:t> </w:t>
      </w:r>
      <w:r>
        <w:rPr>
          <w:rStyle w:val="CharPartText"/>
        </w:rPr>
        <w:t>Mortgages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rPr>
          <w:snapToGrid w:val="0"/>
        </w:rPr>
      </w:pPr>
      <w:bookmarkStart w:id="257" w:name="_Toc455284805"/>
      <w:bookmarkStart w:id="258" w:name="_Toc181503965"/>
      <w:bookmarkStart w:id="259" w:name="_Toc176681096"/>
      <w:r>
        <w:rPr>
          <w:rStyle w:val="CharSectno"/>
        </w:rPr>
        <w:t>53</w:t>
      </w:r>
      <w:r>
        <w:rPr>
          <w:snapToGrid w:val="0"/>
        </w:rPr>
        <w:t>.</w:t>
      </w:r>
      <w:r>
        <w:rPr>
          <w:snapToGrid w:val="0"/>
        </w:rPr>
        <w:tab/>
        <w:t>Foreclosure extinguishes right of action for mortgage debt and equity of redemption</w:t>
      </w:r>
      <w:bookmarkEnd w:id="257"/>
      <w:bookmarkEnd w:id="258"/>
      <w:bookmarkEnd w:id="259"/>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b/>
          <w:snapToGrid w:val="0"/>
        </w:rPr>
        <w:t>“</w:t>
      </w:r>
      <w:r>
        <w:rPr>
          <w:rStyle w:val="CharDefText"/>
        </w:rPr>
        <w:t>order absolute</w:t>
      </w:r>
      <w:r>
        <w:rPr>
          <w:b/>
          <w:snapToGrid w:val="0"/>
        </w:rPr>
        <w:t>”</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[Section 53 amended by No. 81 of 1996 s. 153(1).]</w:t>
      </w:r>
    </w:p>
    <w:p>
      <w:pPr>
        <w:pStyle w:val="Heading5"/>
        <w:rPr>
          <w:snapToGrid w:val="0"/>
        </w:rPr>
      </w:pPr>
      <w:bookmarkStart w:id="260" w:name="_Toc455284806"/>
      <w:bookmarkStart w:id="261" w:name="_Toc181503966"/>
      <w:bookmarkStart w:id="262" w:name="_Toc176681097"/>
      <w:r>
        <w:rPr>
          <w:rStyle w:val="CharSectno"/>
        </w:rPr>
        <w:t>54</w:t>
      </w:r>
      <w:r>
        <w:rPr>
          <w:snapToGrid w:val="0"/>
        </w:rPr>
        <w:t>.</w:t>
      </w:r>
      <w:r>
        <w:rPr>
          <w:snapToGrid w:val="0"/>
        </w:rPr>
        <w:tab/>
        <w:t>Realisation of equitable charges by the Court</w:t>
      </w:r>
      <w:bookmarkEnd w:id="260"/>
      <w:bookmarkEnd w:id="261"/>
      <w:bookmarkEnd w:id="262"/>
    </w:p>
    <w:p>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263" w:name="_Toc455284807"/>
      <w:bookmarkStart w:id="264" w:name="_Toc181503967"/>
      <w:bookmarkStart w:id="265" w:name="_Toc176681098"/>
      <w:r>
        <w:rPr>
          <w:rStyle w:val="CharSectno"/>
        </w:rPr>
        <w:t>55</w:t>
      </w:r>
      <w:r>
        <w:rPr>
          <w:snapToGrid w:val="0"/>
        </w:rPr>
        <w:t>.</w:t>
      </w:r>
      <w:r>
        <w:rPr>
          <w:snapToGrid w:val="0"/>
        </w:rPr>
        <w:tab/>
        <w:t>Sale of mortgaged property in action for redemption or foreclosure</w:t>
      </w:r>
      <w:bookmarkEnd w:id="263"/>
      <w:bookmarkEnd w:id="264"/>
      <w:bookmarkEnd w:id="265"/>
    </w:p>
    <w:p>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rPr>
          <w:snapToGrid w:val="0"/>
        </w:rPr>
      </w:pPr>
      <w:r>
        <w:rPr>
          <w:snapToGrid w:val="0"/>
        </w:rPr>
        <w:tab/>
        <w:t>(5)</w:t>
      </w:r>
      <w:r>
        <w:rPr>
          <w:snapToGrid w:val="0"/>
        </w:rPr>
        <w:tab/>
        <w:t>This section applies to actions brought either before or after the coming into operation of this Act.</w:t>
      </w:r>
    </w:p>
    <w:p>
      <w:pPr>
        <w:pStyle w:val="Subsection"/>
        <w:rPr>
          <w:snapToGrid w:val="0"/>
        </w:rPr>
      </w:pPr>
      <w:r>
        <w:rPr>
          <w:snapToGrid w:val="0"/>
        </w:rPr>
        <w:tab/>
        <w:t>(6)</w:t>
      </w:r>
      <w:r>
        <w:rPr>
          <w:snapToGrid w:val="0"/>
        </w:rPr>
        <w:tab/>
        <w:t xml:space="preserve">In this section </w:t>
      </w:r>
      <w:r>
        <w:rPr>
          <w:b/>
          <w:snapToGrid w:val="0"/>
        </w:rPr>
        <w:t>“</w:t>
      </w:r>
      <w:r>
        <w:rPr>
          <w:rStyle w:val="CharDefText"/>
        </w:rPr>
        <w:t>mortgaged property</w:t>
      </w:r>
      <w:r>
        <w:rPr>
          <w:b/>
          <w:snapToGrid w:val="0"/>
        </w:rPr>
        <w:t>”</w:t>
      </w:r>
      <w:r>
        <w:rPr>
          <w:snapToGrid w:val="0"/>
        </w:rPr>
        <w:t xml:space="preserve"> includes the estate or interest that a mortgagee would have had power to convey if the statutory power of sale were applicable.</w:t>
      </w:r>
    </w:p>
    <w:p>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rPr>
          <w:snapToGrid w:val="0"/>
        </w:rPr>
      </w:pPr>
      <w:bookmarkStart w:id="266" w:name="_Toc455284808"/>
      <w:bookmarkStart w:id="267" w:name="_Toc181503968"/>
      <w:bookmarkStart w:id="268" w:name="_Toc176681099"/>
      <w:r>
        <w:rPr>
          <w:rStyle w:val="CharSectno"/>
        </w:rPr>
        <w:t>56</w:t>
      </w:r>
      <w:r>
        <w:rPr>
          <w:snapToGrid w:val="0"/>
        </w:rPr>
        <w:t>.</w:t>
      </w:r>
      <w:r>
        <w:rPr>
          <w:snapToGrid w:val="0"/>
        </w:rPr>
        <w:tab/>
        <w:t>Restriction on consolidation of mortgages</w:t>
      </w:r>
      <w:bookmarkEnd w:id="266"/>
      <w:bookmarkEnd w:id="267"/>
      <w:bookmarkEnd w:id="268"/>
    </w:p>
    <w:p>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rPr>
          <w:snapToGrid w:val="0"/>
        </w:rPr>
      </w:pPr>
      <w:r>
        <w:rPr>
          <w:snapToGrid w:val="0"/>
        </w:rPr>
        <w:tab/>
        <w:t>(2)</w:t>
      </w:r>
      <w:r>
        <w:rPr>
          <w:snapToGrid w:val="0"/>
        </w:rPr>
        <w:tab/>
        <w:t>This section has effect notwithstanding any stipulation to the contrary.</w:t>
      </w:r>
    </w:p>
    <w:p>
      <w:pPr>
        <w:pStyle w:val="Subsection"/>
        <w:rPr>
          <w:snapToGrid w:val="0"/>
        </w:rPr>
      </w:pPr>
      <w:r>
        <w:rPr>
          <w:snapToGrid w:val="0"/>
        </w:rPr>
        <w:tab/>
        <w:t>(3)</w:t>
      </w:r>
      <w:r>
        <w:rPr>
          <w:snapToGrid w:val="0"/>
        </w:rPr>
        <w:tab/>
        <w:t>This section applies only where the mortgages or one of them are or is made after the coming into operation of this Act.</w:t>
      </w:r>
    </w:p>
    <w:p>
      <w:pPr>
        <w:pStyle w:val="Heading5"/>
        <w:rPr>
          <w:snapToGrid w:val="0"/>
        </w:rPr>
      </w:pPr>
      <w:bookmarkStart w:id="269" w:name="_Toc455284809"/>
      <w:bookmarkStart w:id="270" w:name="_Toc181503969"/>
      <w:bookmarkStart w:id="271" w:name="_Toc176681100"/>
      <w:r>
        <w:rPr>
          <w:rStyle w:val="CharSectno"/>
        </w:rPr>
        <w:t>57</w:t>
      </w:r>
      <w:r>
        <w:rPr>
          <w:snapToGrid w:val="0"/>
        </w:rPr>
        <w:t>.</w:t>
      </w:r>
      <w:r>
        <w:rPr>
          <w:snapToGrid w:val="0"/>
        </w:rPr>
        <w:tab/>
        <w:t>Implied powers of mortgagees</w:t>
      </w:r>
      <w:bookmarkEnd w:id="269"/>
      <w:bookmarkEnd w:id="270"/>
      <w:bookmarkEnd w:id="271"/>
    </w:p>
    <w:p>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272" w:name="_Toc455284810"/>
      <w:bookmarkStart w:id="273" w:name="_Toc181503970"/>
      <w:bookmarkStart w:id="274" w:name="_Toc176681101"/>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272"/>
      <w:bookmarkEnd w:id="273"/>
      <w:bookmarkEnd w:id="274"/>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275" w:name="_Toc455284811"/>
      <w:bookmarkStart w:id="276" w:name="_Toc181503971"/>
      <w:bookmarkStart w:id="277" w:name="_Toc176681102"/>
      <w:r>
        <w:rPr>
          <w:rStyle w:val="CharSectno"/>
        </w:rPr>
        <w:t>59</w:t>
      </w:r>
      <w:r>
        <w:rPr>
          <w:snapToGrid w:val="0"/>
        </w:rPr>
        <w:t>.</w:t>
      </w:r>
      <w:r>
        <w:rPr>
          <w:snapToGrid w:val="0"/>
        </w:rPr>
        <w:tab/>
        <w:t>Regulation of exercise of power of sale</w:t>
      </w:r>
      <w:bookmarkEnd w:id="275"/>
      <w:bookmarkEnd w:id="276"/>
      <w:bookmarkEnd w:id="277"/>
    </w:p>
    <w:p>
      <w:pPr>
        <w:pStyle w:val="Subsection"/>
        <w:keepNext/>
        <w:rPr>
          <w:snapToGrid w:val="0"/>
        </w:rPr>
      </w:pPr>
      <w:r>
        <w:rPr>
          <w:snapToGrid w:val="0"/>
        </w:rPr>
        <w:tab/>
        <w:t>(1)</w:t>
      </w:r>
      <w:r>
        <w:rPr>
          <w:snapToGrid w:val="0"/>
        </w:rPr>
        <w:tab/>
        <w:t>A mortgagee shall not exercise the power of sale conferred by this Part unless and until —</w:t>
      </w:r>
    </w:p>
    <w:p>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spacing w:before="180"/>
        <w:rPr>
          <w:snapToGrid w:val="0"/>
        </w:rPr>
      </w:pPr>
      <w:bookmarkStart w:id="278" w:name="_Toc455284812"/>
      <w:bookmarkStart w:id="279" w:name="_Toc181503972"/>
      <w:bookmarkStart w:id="280" w:name="_Toc176681103"/>
      <w:r>
        <w:rPr>
          <w:rStyle w:val="CharSectno"/>
        </w:rPr>
        <w:t>60</w:t>
      </w:r>
      <w:r>
        <w:rPr>
          <w:snapToGrid w:val="0"/>
        </w:rPr>
        <w:t>.</w:t>
      </w:r>
      <w:r>
        <w:rPr>
          <w:snapToGrid w:val="0"/>
        </w:rPr>
        <w:tab/>
        <w:t>Conveyance in exercise of power of sale</w:t>
      </w:r>
      <w:bookmarkEnd w:id="278"/>
      <w:bookmarkEnd w:id="279"/>
      <w:bookmarkEnd w:id="280"/>
    </w:p>
    <w:p>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pPr>
        <w:pStyle w:val="Indenta"/>
        <w:spacing w:before="60"/>
        <w:rPr>
          <w:snapToGrid w:val="0"/>
        </w:rPr>
      </w:pPr>
      <w:r>
        <w:rPr>
          <w:snapToGrid w:val="0"/>
        </w:rPr>
        <w:tab/>
        <w:t>(a)</w:t>
      </w:r>
      <w:r>
        <w:rPr>
          <w:snapToGrid w:val="0"/>
        </w:rPr>
        <w:tab/>
        <w:t>that no case had arisen to authorise the sale; or</w:t>
      </w:r>
    </w:p>
    <w:p>
      <w:pPr>
        <w:pStyle w:val="Indenta"/>
        <w:spacing w:before="60"/>
        <w:rPr>
          <w:snapToGrid w:val="0"/>
        </w:rPr>
      </w:pPr>
      <w:r>
        <w:rPr>
          <w:snapToGrid w:val="0"/>
        </w:rPr>
        <w:tab/>
        <w:t>(b)</w:t>
      </w:r>
      <w:r>
        <w:rPr>
          <w:snapToGrid w:val="0"/>
        </w:rPr>
        <w:tab/>
        <w:t>that due notice was not given to the mortgagor; or</w:t>
      </w:r>
    </w:p>
    <w:p>
      <w:pPr>
        <w:pStyle w:val="Indenta"/>
        <w:spacing w:before="60"/>
        <w:rPr>
          <w:snapToGrid w:val="0"/>
        </w:rPr>
      </w:pPr>
      <w:r>
        <w:rPr>
          <w:snapToGrid w:val="0"/>
        </w:rPr>
        <w:tab/>
        <w:t>(c)</w:t>
      </w:r>
      <w:r>
        <w:rPr>
          <w:snapToGrid w:val="0"/>
        </w:rPr>
        <w:tab/>
        <w:t>that the power was otherwise improperly or irregularly exercised,</w:t>
      </w:r>
    </w:p>
    <w:p>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spacing w:before="180"/>
        <w:rPr>
          <w:snapToGrid w:val="0"/>
        </w:rPr>
      </w:pPr>
      <w:bookmarkStart w:id="281" w:name="_Toc455284813"/>
      <w:bookmarkStart w:id="282" w:name="_Toc181503973"/>
      <w:bookmarkStart w:id="283" w:name="_Toc176681104"/>
      <w:r>
        <w:rPr>
          <w:rStyle w:val="CharSectno"/>
        </w:rPr>
        <w:t>61</w:t>
      </w:r>
      <w:r>
        <w:rPr>
          <w:snapToGrid w:val="0"/>
        </w:rPr>
        <w:t>.</w:t>
      </w:r>
      <w:r>
        <w:rPr>
          <w:snapToGrid w:val="0"/>
        </w:rPr>
        <w:tab/>
        <w:t>Application of proceeds of sale</w:t>
      </w:r>
      <w:bookmarkEnd w:id="281"/>
      <w:bookmarkEnd w:id="282"/>
      <w:bookmarkEnd w:id="283"/>
    </w:p>
    <w:p>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pPr>
        <w:pStyle w:val="Heading5"/>
        <w:rPr>
          <w:snapToGrid w:val="0"/>
        </w:rPr>
      </w:pPr>
      <w:bookmarkStart w:id="284" w:name="_Toc455284814"/>
      <w:bookmarkStart w:id="285" w:name="_Toc181503974"/>
      <w:bookmarkStart w:id="286" w:name="_Toc176681105"/>
      <w:r>
        <w:rPr>
          <w:rStyle w:val="CharSectno"/>
        </w:rPr>
        <w:t>62</w:t>
      </w:r>
      <w:r>
        <w:rPr>
          <w:snapToGrid w:val="0"/>
        </w:rPr>
        <w:t>.</w:t>
      </w:r>
      <w:r>
        <w:rPr>
          <w:snapToGrid w:val="0"/>
        </w:rPr>
        <w:tab/>
        <w:t>Provisions as to exercise of power of sale</w:t>
      </w:r>
      <w:bookmarkEnd w:id="284"/>
      <w:bookmarkEnd w:id="285"/>
      <w:bookmarkEnd w:id="286"/>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287" w:name="_Toc455284815"/>
      <w:bookmarkStart w:id="288" w:name="_Toc181503975"/>
      <w:bookmarkStart w:id="289" w:name="_Toc176681106"/>
      <w:r>
        <w:rPr>
          <w:rStyle w:val="CharSectno"/>
        </w:rPr>
        <w:t>63</w:t>
      </w:r>
      <w:r>
        <w:rPr>
          <w:snapToGrid w:val="0"/>
        </w:rPr>
        <w:t>.</w:t>
      </w:r>
      <w:r>
        <w:rPr>
          <w:snapToGrid w:val="0"/>
        </w:rPr>
        <w:tab/>
        <w:t>Mortgagee’s receipts, discharges etc.</w:t>
      </w:r>
      <w:bookmarkEnd w:id="287"/>
      <w:bookmarkEnd w:id="288"/>
      <w:bookmarkEnd w:id="289"/>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290" w:name="_Toc455284816"/>
      <w:bookmarkStart w:id="291" w:name="_Toc181503976"/>
      <w:bookmarkStart w:id="292" w:name="_Toc176681107"/>
      <w:r>
        <w:rPr>
          <w:rStyle w:val="CharSectno"/>
        </w:rPr>
        <w:t>64</w:t>
      </w:r>
      <w:r>
        <w:rPr>
          <w:snapToGrid w:val="0"/>
        </w:rPr>
        <w:t>.</w:t>
      </w:r>
      <w:r>
        <w:rPr>
          <w:snapToGrid w:val="0"/>
        </w:rPr>
        <w:tab/>
        <w:t>Amount and application of insurance money</w:t>
      </w:r>
      <w:bookmarkEnd w:id="290"/>
      <w:bookmarkEnd w:id="291"/>
      <w:bookmarkEnd w:id="292"/>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293" w:name="_Toc455284817"/>
      <w:bookmarkStart w:id="294" w:name="_Toc181503977"/>
      <w:bookmarkStart w:id="295" w:name="_Toc176681108"/>
      <w:r>
        <w:rPr>
          <w:rStyle w:val="CharSectno"/>
        </w:rPr>
        <w:t>65</w:t>
      </w:r>
      <w:r>
        <w:rPr>
          <w:snapToGrid w:val="0"/>
        </w:rPr>
        <w:t>.</w:t>
      </w:r>
      <w:r>
        <w:rPr>
          <w:snapToGrid w:val="0"/>
        </w:rPr>
        <w:tab/>
        <w:t>Appointment, powers, remuneration and duties of receiver</w:t>
      </w:r>
      <w:bookmarkEnd w:id="293"/>
      <w:bookmarkEnd w:id="294"/>
      <w:bookmarkEnd w:id="295"/>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296" w:name="_Toc455284818"/>
      <w:bookmarkStart w:id="297" w:name="_Toc181503978"/>
      <w:bookmarkStart w:id="298" w:name="_Toc176681109"/>
      <w:r>
        <w:rPr>
          <w:rStyle w:val="CharSectno"/>
        </w:rPr>
        <w:t>66</w:t>
      </w:r>
      <w:r>
        <w:rPr>
          <w:snapToGrid w:val="0"/>
        </w:rPr>
        <w:t>.</w:t>
      </w:r>
      <w:r>
        <w:rPr>
          <w:snapToGrid w:val="0"/>
        </w:rPr>
        <w:tab/>
        <w:t>Application of money received by receiver</w:t>
      </w:r>
      <w:bookmarkEnd w:id="296"/>
      <w:bookmarkEnd w:id="297"/>
      <w:bookmarkEnd w:id="298"/>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299" w:name="_Toc455284819"/>
      <w:bookmarkStart w:id="300" w:name="_Toc181503979"/>
      <w:bookmarkStart w:id="301" w:name="_Toc176681110"/>
      <w:r>
        <w:rPr>
          <w:rStyle w:val="CharSectno"/>
        </w:rPr>
        <w:t>67</w:t>
      </w:r>
      <w:r>
        <w:rPr>
          <w:snapToGrid w:val="0"/>
        </w:rPr>
        <w:t>.</w:t>
      </w:r>
      <w:r>
        <w:rPr>
          <w:snapToGrid w:val="0"/>
        </w:rPr>
        <w:tab/>
        <w:t>Effect of advance on joint account</w:t>
      </w:r>
      <w:bookmarkEnd w:id="299"/>
      <w:bookmarkEnd w:id="300"/>
      <w:bookmarkEnd w:id="30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302" w:name="_Toc455284820"/>
      <w:bookmarkStart w:id="303" w:name="_Toc181503980"/>
      <w:bookmarkStart w:id="304" w:name="_Toc176681111"/>
      <w:r>
        <w:rPr>
          <w:rStyle w:val="CharSectno"/>
        </w:rPr>
        <w:t>68</w:t>
      </w:r>
      <w:r>
        <w:rPr>
          <w:snapToGrid w:val="0"/>
        </w:rPr>
        <w:t>.</w:t>
      </w:r>
      <w:r>
        <w:rPr>
          <w:snapToGrid w:val="0"/>
        </w:rPr>
        <w:tab/>
        <w:t>Notice of trusts affecting mortgage money</w:t>
      </w:r>
      <w:bookmarkEnd w:id="302"/>
      <w:bookmarkEnd w:id="303"/>
      <w:bookmarkEnd w:id="304"/>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305" w:name="_Toc122772978"/>
      <w:bookmarkStart w:id="306" w:name="_Toc123003993"/>
      <w:bookmarkStart w:id="307" w:name="_Toc131413085"/>
      <w:bookmarkStart w:id="308" w:name="_Toc166297457"/>
      <w:bookmarkStart w:id="309" w:name="_Toc166319420"/>
      <w:bookmarkStart w:id="310" w:name="_Toc173212805"/>
      <w:bookmarkStart w:id="311" w:name="_Toc173212972"/>
      <w:bookmarkStart w:id="312" w:name="_Toc173213139"/>
      <w:bookmarkStart w:id="313" w:name="_Toc173213306"/>
      <w:bookmarkStart w:id="314" w:name="_Toc173307768"/>
      <w:bookmarkStart w:id="315" w:name="_Toc173916823"/>
      <w:bookmarkStart w:id="316" w:name="_Toc174350519"/>
      <w:bookmarkStart w:id="317" w:name="_Toc174507907"/>
      <w:bookmarkStart w:id="318" w:name="_Toc176681112"/>
      <w:bookmarkStart w:id="319" w:name="_Toc181503981"/>
      <w:r>
        <w:rPr>
          <w:rStyle w:val="CharPartNo"/>
        </w:rPr>
        <w:t>Part VII</w:t>
      </w:r>
      <w:r>
        <w:t> — </w:t>
      </w:r>
      <w:r>
        <w:rPr>
          <w:rStyle w:val="CharPartText"/>
        </w:rPr>
        <w:t>Leases and tenancies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3"/>
      </w:pPr>
      <w:bookmarkStart w:id="320" w:name="_Toc122772979"/>
      <w:bookmarkStart w:id="321" w:name="_Toc123003994"/>
      <w:bookmarkStart w:id="322" w:name="_Toc131413086"/>
      <w:bookmarkStart w:id="323" w:name="_Toc166297458"/>
      <w:bookmarkStart w:id="324" w:name="_Toc166319421"/>
      <w:bookmarkStart w:id="325" w:name="_Toc173212806"/>
      <w:bookmarkStart w:id="326" w:name="_Toc173212973"/>
      <w:bookmarkStart w:id="327" w:name="_Toc173213140"/>
      <w:bookmarkStart w:id="328" w:name="_Toc173213307"/>
      <w:bookmarkStart w:id="329" w:name="_Toc173307769"/>
      <w:bookmarkStart w:id="330" w:name="_Toc173916824"/>
      <w:bookmarkStart w:id="331" w:name="_Toc174350520"/>
      <w:bookmarkStart w:id="332" w:name="_Toc174507908"/>
      <w:bookmarkStart w:id="333" w:name="_Toc176681113"/>
      <w:bookmarkStart w:id="334" w:name="_Toc181503982"/>
      <w:r>
        <w:rPr>
          <w:rStyle w:val="CharDivNo"/>
        </w:rPr>
        <w:t>Division 1</w:t>
      </w:r>
      <w:r>
        <w:rPr>
          <w:snapToGrid w:val="0"/>
        </w:rPr>
        <w:t> — </w:t>
      </w:r>
      <w:r>
        <w:rPr>
          <w:rStyle w:val="CharDivText"/>
        </w:rPr>
        <w:t>Application of this Part</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rPr>
          <w:snapToGrid w:val="0"/>
        </w:rPr>
      </w:pPr>
      <w:r>
        <w:rPr>
          <w:snapToGrid w:val="0"/>
        </w:rPr>
        <w:tab/>
        <w:t>[Heading inserted by No. 128 of 1987 s. 89.]</w:t>
      </w:r>
    </w:p>
    <w:p>
      <w:pPr>
        <w:pStyle w:val="Heading5"/>
        <w:rPr>
          <w:snapToGrid w:val="0"/>
        </w:rPr>
      </w:pPr>
      <w:bookmarkStart w:id="335" w:name="_Toc455284821"/>
      <w:bookmarkStart w:id="336" w:name="_Toc181503983"/>
      <w:bookmarkStart w:id="337" w:name="_Toc176681114"/>
      <w:r>
        <w:rPr>
          <w:rStyle w:val="CharSectno"/>
        </w:rPr>
        <w:t>68A</w:t>
      </w:r>
      <w:r>
        <w:rPr>
          <w:snapToGrid w:val="0"/>
        </w:rPr>
        <w:t>.</w:t>
      </w:r>
      <w:r>
        <w:rPr>
          <w:snapToGrid w:val="0"/>
        </w:rPr>
        <w:tab/>
        <w:t>Limitation</w:t>
      </w:r>
      <w:bookmarkEnd w:id="335"/>
      <w:bookmarkEnd w:id="336"/>
      <w:bookmarkEnd w:id="337"/>
    </w:p>
    <w:p>
      <w:pPr>
        <w:pStyle w:val="Subsection"/>
        <w:rPr>
          <w:snapToGrid w:val="0"/>
        </w:rPr>
      </w:pPr>
      <w:r>
        <w:rPr>
          <w:snapToGrid w:val="0"/>
        </w:rPr>
        <w:tab/>
      </w:r>
      <w:r>
        <w:rPr>
          <w:snapToGrid w:val="0"/>
        </w:rPr>
        <w:tab/>
        <w:t xml:space="preserve">This Part has effect subject to the </w:t>
      </w:r>
      <w:r>
        <w:rPr>
          <w:i/>
          <w:snapToGrid w:val="0"/>
        </w:rPr>
        <w:t>Residential Tenancies Act 1987</w:t>
      </w:r>
      <w:r>
        <w:rPr>
          <w:snapToGrid w:val="0"/>
        </w:rPr>
        <w:t>.</w:t>
      </w:r>
    </w:p>
    <w:p>
      <w:pPr>
        <w:pStyle w:val="Footnotesection"/>
      </w:pPr>
      <w:r>
        <w:tab/>
        <w:t>[Section 68A inserted by No. 128 of 1987 s. 89.]</w:t>
      </w:r>
    </w:p>
    <w:p>
      <w:pPr>
        <w:pStyle w:val="Heading3"/>
      </w:pPr>
      <w:bookmarkStart w:id="338" w:name="_Toc122772981"/>
      <w:bookmarkStart w:id="339" w:name="_Toc123003996"/>
      <w:bookmarkStart w:id="340" w:name="_Toc131413088"/>
      <w:bookmarkStart w:id="341" w:name="_Toc166297460"/>
      <w:bookmarkStart w:id="342" w:name="_Toc166319423"/>
      <w:bookmarkStart w:id="343" w:name="_Toc173212808"/>
      <w:bookmarkStart w:id="344" w:name="_Toc173212975"/>
      <w:bookmarkStart w:id="345" w:name="_Toc173213142"/>
      <w:bookmarkStart w:id="346" w:name="_Toc173213309"/>
      <w:bookmarkStart w:id="347" w:name="_Toc173307771"/>
      <w:bookmarkStart w:id="348" w:name="_Toc173916826"/>
      <w:bookmarkStart w:id="349" w:name="_Toc174350522"/>
      <w:bookmarkStart w:id="350" w:name="_Toc174507910"/>
      <w:bookmarkStart w:id="351" w:name="_Toc176681115"/>
      <w:bookmarkStart w:id="352" w:name="_Toc181503984"/>
      <w:r>
        <w:rPr>
          <w:rStyle w:val="CharDivNo"/>
        </w:rPr>
        <w:t>Division 1a</w:t>
      </w:r>
      <w:r>
        <w:rPr>
          <w:snapToGrid w:val="0"/>
        </w:rPr>
        <w:t> — </w:t>
      </w:r>
      <w:r>
        <w:rPr>
          <w:rStyle w:val="CharDivText"/>
        </w:rPr>
        <w:t>General</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rPr>
          <w:snapToGrid w:val="0"/>
        </w:rPr>
      </w:pPr>
      <w:r>
        <w:rPr>
          <w:snapToGrid w:val="0"/>
        </w:rPr>
        <w:tab/>
        <w:t>[Heading inserted by No. 35 of 1973 s. 3; amended by No. 128 of 1987 s. 89.]</w:t>
      </w:r>
    </w:p>
    <w:p>
      <w:pPr>
        <w:pStyle w:val="Heading5"/>
        <w:rPr>
          <w:snapToGrid w:val="0"/>
        </w:rPr>
      </w:pPr>
      <w:bookmarkStart w:id="353" w:name="_Toc455284822"/>
      <w:bookmarkStart w:id="354" w:name="_Toc181503985"/>
      <w:bookmarkStart w:id="355" w:name="_Toc176681116"/>
      <w:r>
        <w:rPr>
          <w:rStyle w:val="CharSectno"/>
        </w:rPr>
        <w:t>69</w:t>
      </w:r>
      <w:r>
        <w:rPr>
          <w:snapToGrid w:val="0"/>
        </w:rPr>
        <w:t>.</w:t>
      </w:r>
      <w:r>
        <w:rPr>
          <w:snapToGrid w:val="0"/>
        </w:rPr>
        <w:tab/>
        <w:t xml:space="preserve">This Part to apply to leases under the </w:t>
      </w:r>
      <w:r>
        <w:rPr>
          <w:i/>
          <w:snapToGrid w:val="0"/>
        </w:rPr>
        <w:t>Transfer of Land Act 1893</w:t>
      </w:r>
      <w:bookmarkEnd w:id="353"/>
      <w:bookmarkEnd w:id="354"/>
      <w:bookmarkEnd w:id="355"/>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b/>
          <w:snapToGrid w:val="0"/>
        </w:rPr>
        <w:t>“</w:t>
      </w:r>
      <w:r>
        <w:rPr>
          <w:rStyle w:val="CharDefText"/>
        </w:rPr>
        <w:t>lease</w:t>
      </w:r>
      <w:r>
        <w:rPr>
          <w:b/>
          <w:snapToGrid w:val="0"/>
        </w:rPr>
        <w:t>”</w:t>
      </w:r>
      <w:r>
        <w:rPr>
          <w:snapToGrid w:val="0"/>
        </w:rPr>
        <w:t xml:space="preserve"> includes so far as circumstances will admit any instrument of letting whether under seal or not.</w:t>
      </w:r>
    </w:p>
    <w:p>
      <w:pPr>
        <w:pStyle w:val="Footnotesection"/>
      </w:pPr>
      <w:r>
        <w:tab/>
        <w:t>[Section 69 amended by No. 35 of 1973 s. 3.]</w:t>
      </w:r>
    </w:p>
    <w:p>
      <w:pPr>
        <w:pStyle w:val="Heading5"/>
        <w:rPr>
          <w:snapToGrid w:val="0"/>
        </w:rPr>
      </w:pPr>
      <w:bookmarkStart w:id="356" w:name="_Toc455284823"/>
      <w:bookmarkStart w:id="357" w:name="_Toc181503986"/>
      <w:bookmarkStart w:id="358" w:name="_Toc176681117"/>
      <w:r>
        <w:rPr>
          <w:rStyle w:val="CharSectno"/>
        </w:rPr>
        <w:t>70</w:t>
      </w:r>
      <w:r>
        <w:rPr>
          <w:snapToGrid w:val="0"/>
        </w:rPr>
        <w:t>.</w:t>
      </w:r>
      <w:r>
        <w:rPr>
          <w:snapToGrid w:val="0"/>
        </w:rPr>
        <w:tab/>
        <w:t>Tenant not prejudiced by assignment before notice</w:t>
      </w:r>
      <w:bookmarkEnd w:id="356"/>
      <w:bookmarkEnd w:id="357"/>
      <w:bookmarkEnd w:id="358"/>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359" w:name="_Toc455284824"/>
      <w:bookmarkStart w:id="360" w:name="_Toc181503987"/>
      <w:bookmarkStart w:id="361" w:name="_Toc176681118"/>
      <w:r>
        <w:rPr>
          <w:rStyle w:val="CharSectno"/>
        </w:rPr>
        <w:t>71</w:t>
      </w:r>
      <w:r>
        <w:rPr>
          <w:snapToGrid w:val="0"/>
        </w:rPr>
        <w:t>.</w:t>
      </w:r>
      <w:r>
        <w:rPr>
          <w:snapToGrid w:val="0"/>
        </w:rPr>
        <w:tab/>
        <w:t>Tenancy from year to year not implied</w:t>
      </w:r>
      <w:bookmarkEnd w:id="359"/>
      <w:bookmarkEnd w:id="360"/>
      <w:bookmarkEnd w:id="361"/>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362" w:name="_Toc455284825"/>
      <w:bookmarkStart w:id="363" w:name="_Toc181503988"/>
      <w:bookmarkStart w:id="364" w:name="_Toc176681119"/>
      <w:r>
        <w:rPr>
          <w:rStyle w:val="CharSectno"/>
        </w:rPr>
        <w:t>72</w:t>
      </w:r>
      <w:r>
        <w:rPr>
          <w:snapToGrid w:val="0"/>
        </w:rPr>
        <w:t>.</w:t>
      </w:r>
      <w:r>
        <w:rPr>
          <w:snapToGrid w:val="0"/>
        </w:rPr>
        <w:tab/>
        <w:t>Termination of tenancies</w:t>
      </w:r>
      <w:bookmarkEnd w:id="362"/>
      <w:bookmarkEnd w:id="363"/>
      <w:bookmarkEnd w:id="364"/>
    </w:p>
    <w:p>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365" w:name="_Toc455284826"/>
      <w:bookmarkStart w:id="366" w:name="_Toc181503989"/>
      <w:bookmarkStart w:id="367" w:name="_Toc176681120"/>
      <w:r>
        <w:rPr>
          <w:rStyle w:val="CharSectno"/>
        </w:rPr>
        <w:t>73</w:t>
      </w:r>
      <w:r>
        <w:rPr>
          <w:snapToGrid w:val="0"/>
        </w:rPr>
        <w:t>.</w:t>
      </w:r>
      <w:r>
        <w:rPr>
          <w:snapToGrid w:val="0"/>
        </w:rPr>
        <w:tab/>
        <w:t>Waiver of a covenant in a lease, not to operate as general waiver</w:t>
      </w:r>
      <w:bookmarkEnd w:id="365"/>
      <w:bookmarkEnd w:id="366"/>
      <w:bookmarkEnd w:id="367"/>
    </w:p>
    <w:p>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368" w:name="_Toc455284827"/>
      <w:bookmarkStart w:id="369" w:name="_Toc181503990"/>
      <w:bookmarkStart w:id="370" w:name="_Toc176681121"/>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368"/>
      <w:bookmarkEnd w:id="369"/>
      <w:bookmarkEnd w:id="370"/>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371" w:name="_Toc455284828"/>
      <w:bookmarkStart w:id="372" w:name="_Toc181503991"/>
      <w:bookmarkStart w:id="373" w:name="_Toc176681122"/>
      <w:r>
        <w:rPr>
          <w:rStyle w:val="CharSectno"/>
        </w:rPr>
        <w:t>75</w:t>
      </w:r>
      <w:r>
        <w:rPr>
          <w:snapToGrid w:val="0"/>
        </w:rPr>
        <w:t>.</w:t>
      </w:r>
      <w:r>
        <w:rPr>
          <w:snapToGrid w:val="0"/>
        </w:rPr>
        <w:tab/>
        <w:t>Effect of extinguishment of reversion</w:t>
      </w:r>
      <w:bookmarkEnd w:id="371"/>
      <w:bookmarkEnd w:id="372"/>
      <w:bookmarkEnd w:id="373"/>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374" w:name="_Toc455284829"/>
      <w:bookmarkStart w:id="375" w:name="_Toc181503992"/>
      <w:bookmarkStart w:id="376" w:name="_Toc176681123"/>
      <w:r>
        <w:rPr>
          <w:rStyle w:val="CharSectno"/>
        </w:rPr>
        <w:t>76</w:t>
      </w:r>
      <w:r>
        <w:rPr>
          <w:snapToGrid w:val="0"/>
        </w:rPr>
        <w:t>.</w:t>
      </w:r>
      <w:r>
        <w:rPr>
          <w:snapToGrid w:val="0"/>
        </w:rPr>
        <w:tab/>
        <w:t>Apportionment of conditions on severance</w:t>
      </w:r>
      <w:bookmarkEnd w:id="374"/>
      <w:bookmarkEnd w:id="375"/>
      <w:bookmarkEnd w:id="376"/>
    </w:p>
    <w:p>
      <w:pPr>
        <w:pStyle w:val="Subsection"/>
        <w:keepNext/>
        <w:rPr>
          <w:snapToGrid w:val="0"/>
        </w:rPr>
      </w:pPr>
      <w:r>
        <w:rPr>
          <w:snapToGrid w:val="0"/>
        </w:rPr>
        <w:tab/>
        <w:t>(1)</w:t>
      </w:r>
      <w:r>
        <w:rPr>
          <w:snapToGrid w:val="0"/>
        </w:rPr>
        <w:tab/>
        <w:t>Notwithstanding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rPr>
          <w:snapToGrid w:val="0"/>
        </w:rPr>
      </w:pPr>
      <w:r>
        <w:rPr>
          <w:snapToGrid w:val="0"/>
        </w:rPr>
        <w:tab/>
        <w:t>(2)</w:t>
      </w:r>
      <w:r>
        <w:rPr>
          <w:snapToGrid w:val="0"/>
        </w:rPr>
        <w:tab/>
        <w:t xml:space="preserve">In this section </w:t>
      </w:r>
      <w:r>
        <w:rPr>
          <w:b/>
          <w:snapToGrid w:val="0"/>
        </w:rPr>
        <w:t>“</w:t>
      </w:r>
      <w:r>
        <w:rPr>
          <w:rStyle w:val="CharDefText"/>
        </w:rPr>
        <w:t>right of re</w:t>
      </w:r>
      <w:r>
        <w:rPr>
          <w:rStyle w:val="CharDefText"/>
        </w:rPr>
        <w:noBreakHyphen/>
        <w:t>entry</w:t>
      </w:r>
      <w:r>
        <w:rPr>
          <w:b/>
          <w:snapToGrid w:val="0"/>
        </w:rPr>
        <w:t>”</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377" w:name="_Toc455284830"/>
      <w:bookmarkStart w:id="378" w:name="_Toc181503993"/>
      <w:bookmarkStart w:id="379" w:name="_Toc176681124"/>
      <w:r>
        <w:rPr>
          <w:rStyle w:val="CharSectno"/>
        </w:rPr>
        <w:t>77</w:t>
      </w:r>
      <w:r>
        <w:rPr>
          <w:snapToGrid w:val="0"/>
        </w:rPr>
        <w:t>.</w:t>
      </w:r>
      <w:r>
        <w:rPr>
          <w:snapToGrid w:val="0"/>
        </w:rPr>
        <w:tab/>
        <w:t>Rent and benefit of lessee’s covenants to run with reversion</w:t>
      </w:r>
      <w:bookmarkEnd w:id="377"/>
      <w:bookmarkEnd w:id="378"/>
      <w:bookmarkEnd w:id="379"/>
    </w:p>
    <w:p>
      <w:pPr>
        <w:pStyle w:val="Subsection"/>
        <w:keepNext/>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380" w:name="_Toc455284831"/>
      <w:bookmarkStart w:id="381" w:name="_Toc181503994"/>
      <w:bookmarkStart w:id="382" w:name="_Toc176681125"/>
      <w:r>
        <w:rPr>
          <w:rStyle w:val="CharSectno"/>
        </w:rPr>
        <w:t>78</w:t>
      </w:r>
      <w:r>
        <w:rPr>
          <w:snapToGrid w:val="0"/>
        </w:rPr>
        <w:t>.</w:t>
      </w:r>
      <w:r>
        <w:rPr>
          <w:snapToGrid w:val="0"/>
        </w:rPr>
        <w:tab/>
        <w:t>Obligation of lessor’s covenants to run with reversion</w:t>
      </w:r>
      <w:bookmarkEnd w:id="380"/>
      <w:bookmarkEnd w:id="381"/>
      <w:bookmarkEnd w:id="382"/>
    </w:p>
    <w:p>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rPr>
          <w:snapToGrid w:val="0"/>
        </w:rPr>
      </w:pPr>
      <w:r>
        <w:rPr>
          <w:snapToGrid w:val="0"/>
        </w:rPr>
        <w:tab/>
        <w:t>(3)</w:t>
      </w:r>
      <w:r>
        <w:rPr>
          <w:snapToGrid w:val="0"/>
        </w:rPr>
        <w:tab/>
        <w:t>This section takes effect without prejudice to any liability affecting a covenantor or his estate.</w:t>
      </w:r>
    </w:p>
    <w:p>
      <w:pPr>
        <w:pStyle w:val="Heading5"/>
        <w:rPr>
          <w:snapToGrid w:val="0"/>
        </w:rPr>
      </w:pPr>
      <w:bookmarkStart w:id="383" w:name="_Toc455284832"/>
      <w:bookmarkStart w:id="384" w:name="_Toc181503995"/>
      <w:bookmarkStart w:id="385" w:name="_Toc176681126"/>
      <w:r>
        <w:rPr>
          <w:rStyle w:val="CharSectno"/>
        </w:rPr>
        <w:t>79</w:t>
      </w:r>
      <w:r>
        <w:rPr>
          <w:snapToGrid w:val="0"/>
        </w:rPr>
        <w:t>.</w:t>
      </w:r>
      <w:r>
        <w:rPr>
          <w:snapToGrid w:val="0"/>
        </w:rPr>
        <w:tab/>
        <w:t>Effect of licences granted to lessees</w:t>
      </w:r>
      <w:bookmarkEnd w:id="383"/>
      <w:bookmarkEnd w:id="384"/>
      <w:bookmarkEnd w:id="385"/>
    </w:p>
    <w:p>
      <w:pPr>
        <w:pStyle w:val="Subsection"/>
        <w:rPr>
          <w:snapToGrid w:val="0"/>
        </w:rPr>
      </w:pPr>
      <w:r>
        <w:rPr>
          <w:snapToGrid w:val="0"/>
        </w:rPr>
        <w:tab/>
        <w:t>(1)</w:t>
      </w:r>
      <w:r>
        <w:rPr>
          <w:snapToGrid w:val="0"/>
        </w:rPr>
        <w:tab/>
        <w:t>Where a licence is granted to a lessee to do any act, the licence, unless otherwise expressed, extends only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authorised thereby,</w:t>
      </w:r>
    </w:p>
    <w:p>
      <w:pPr>
        <w:pStyle w:val="Subsection"/>
        <w:rPr>
          <w:snapToGrid w:val="0"/>
        </w:rPr>
      </w:pPr>
      <w:r>
        <w:rPr>
          <w:snapToGrid w:val="0"/>
        </w:rPr>
        <w:tab/>
      </w:r>
      <w:r>
        <w:rPr>
          <w:snapToGrid w:val="0"/>
        </w:rPr>
        <w:tab/>
        <w:t>and the licence does not prevent any proceeding for any subsequent breach unless otherwise so specified.</w:t>
      </w:r>
    </w:p>
    <w:p>
      <w:pPr>
        <w:pStyle w:val="Subsection"/>
        <w:rPr>
          <w:snapToGrid w:val="0"/>
        </w:rPr>
      </w:pPr>
      <w:r>
        <w:rPr>
          <w:snapToGrid w:val="0"/>
        </w:rPr>
        <w:tab/>
        <w:t>(2)</w:t>
      </w:r>
      <w:r>
        <w:rPr>
          <w:snapToGrid w:val="0"/>
        </w:rPr>
        <w:tab/>
        <w:t>Notwithstanding any such licence —</w:t>
      </w:r>
    </w:p>
    <w:p>
      <w:pPr>
        <w:pStyle w:val="Indenta"/>
        <w:rPr>
          <w:snapToGrid w:val="0"/>
        </w:rPr>
      </w:pPr>
      <w:r>
        <w:rPr>
          <w:snapToGrid w:val="0"/>
        </w:rPr>
        <w:tab/>
        <w:t>(a)</w:t>
      </w:r>
      <w:r>
        <w:rPr>
          <w:snapToGrid w:val="0"/>
        </w:rPr>
        <w:tab/>
        <w:t>all rights under covenants and powers of re</w:t>
      </w:r>
      <w:r>
        <w:rPr>
          <w:snapToGrid w:val="0"/>
        </w:rPr>
        <w:noBreakHyphen/>
        <w:t>entry contained in the lease remain in full force and are available as against any subsequent breach of covenant, condition or other matter not specifically authorised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386" w:name="_Toc455284833"/>
      <w:bookmarkStart w:id="387" w:name="_Toc181503996"/>
      <w:bookmarkStart w:id="388" w:name="_Toc176681127"/>
      <w:r>
        <w:rPr>
          <w:rStyle w:val="CharSectno"/>
        </w:rPr>
        <w:t>80</w:t>
      </w:r>
      <w:r>
        <w:rPr>
          <w:snapToGrid w:val="0"/>
        </w:rPr>
        <w:t>.</w:t>
      </w:r>
      <w:r>
        <w:rPr>
          <w:snapToGrid w:val="0"/>
        </w:rPr>
        <w:tab/>
        <w:t>Consent to assign or sublet not to be unreasonably withheld</w:t>
      </w:r>
      <w:bookmarkEnd w:id="386"/>
      <w:bookmarkEnd w:id="387"/>
      <w:bookmarkEnd w:id="388"/>
    </w:p>
    <w:p>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Lines w:val="0"/>
        <w:rPr>
          <w:snapToGrid w:val="0"/>
        </w:rPr>
      </w:pPr>
      <w:bookmarkStart w:id="389" w:name="_Toc455284834"/>
      <w:bookmarkStart w:id="390" w:name="_Toc181503997"/>
      <w:bookmarkStart w:id="391" w:name="_Toc176681128"/>
      <w:r>
        <w:rPr>
          <w:rStyle w:val="CharSectno"/>
        </w:rPr>
        <w:t>81</w:t>
      </w:r>
      <w:r>
        <w:rPr>
          <w:snapToGrid w:val="0"/>
        </w:rPr>
        <w:t>.</w:t>
      </w:r>
      <w:r>
        <w:rPr>
          <w:snapToGrid w:val="0"/>
        </w:rPr>
        <w:tab/>
        <w:t>Restrictions and relief against forfeiture of leases and under</w:t>
      </w:r>
      <w:r>
        <w:rPr>
          <w:snapToGrid w:val="0"/>
        </w:rPr>
        <w:noBreakHyphen/>
        <w:t>leases</w:t>
      </w:r>
      <w:bookmarkEnd w:id="389"/>
      <w:bookmarkEnd w:id="390"/>
      <w:bookmarkEnd w:id="391"/>
    </w:p>
    <w:p>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rPr>
          <w:snapToGrid w:val="0"/>
        </w:rPr>
      </w:pPr>
      <w:r>
        <w:rPr>
          <w:snapToGrid w:val="0"/>
        </w:rPr>
        <w:tab/>
        <w:t>(b)</w:t>
      </w:r>
      <w:r>
        <w:rPr>
          <w:snapToGrid w:val="0"/>
        </w:rPr>
        <w:tab/>
        <w:t>The lessor is so entitled to recover whether the lessee has or has not rendered forfeiture unenforceable against him under that subsection.</w:t>
      </w:r>
    </w:p>
    <w:p>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rPr>
          <w:snapToGrid w:val="0"/>
        </w:rPr>
      </w:pPr>
      <w:r>
        <w:rPr>
          <w:snapToGrid w:val="0"/>
        </w:rPr>
        <w:tab/>
        <w:t>(5)</w:t>
      </w:r>
      <w:r>
        <w:rPr>
          <w:snapToGrid w:val="0"/>
        </w:rPr>
        <w:tab/>
        <w:t>For the purposes of this section except so far as is otherwise provided —</w:t>
      </w:r>
    </w:p>
    <w:p>
      <w:pPr>
        <w:pStyle w:val="Indenta"/>
        <w:rPr>
          <w:snapToGrid w:val="0"/>
        </w:rPr>
      </w:pPr>
      <w:r>
        <w:rPr>
          <w:snapToGrid w:val="0"/>
        </w:rPr>
        <w:tab/>
        <w:t>(a)</w:t>
      </w:r>
      <w:r>
        <w:rPr>
          <w:snapToGrid w:val="0"/>
        </w:rPr>
        <w:tab/>
      </w:r>
      <w:r>
        <w:rPr>
          <w:b/>
          <w:snapToGrid w:val="0"/>
        </w:rPr>
        <w:t>“</w:t>
      </w:r>
      <w:r>
        <w:rPr>
          <w:rStyle w:val="CharDefText"/>
        </w:rPr>
        <w:t>lease</w:t>
      </w:r>
      <w:r>
        <w:rPr>
          <w:b/>
          <w:snapToGrid w:val="0"/>
        </w:rPr>
        <w:t>”</w:t>
      </w:r>
      <w:r>
        <w:rPr>
          <w:snapToGrid w:val="0"/>
        </w:rPr>
        <w:t xml:space="preserve"> includes an original or derivative under</w:t>
      </w:r>
      <w:r>
        <w:rPr>
          <w:snapToGrid w:val="0"/>
        </w:rPr>
        <w:noBreakHyphen/>
        <w:t>lease; an agreement for a lease where the lessee has become entitled to have his lease granted, and a grant securing a rent by condition;</w:t>
      </w:r>
    </w:p>
    <w:p>
      <w:pPr>
        <w:pStyle w:val="Indenta"/>
        <w:rPr>
          <w:snapToGrid w:val="0"/>
        </w:rPr>
      </w:pPr>
      <w:r>
        <w:rPr>
          <w:snapToGrid w:val="0"/>
        </w:rPr>
        <w:tab/>
        <w:t>(b)</w:t>
      </w:r>
      <w:r>
        <w:rPr>
          <w:snapToGrid w:val="0"/>
        </w:rPr>
        <w:tab/>
      </w:r>
      <w:r>
        <w:rPr>
          <w:b/>
          <w:snapToGrid w:val="0"/>
        </w:rPr>
        <w:t>“</w:t>
      </w:r>
      <w:r>
        <w:rPr>
          <w:rStyle w:val="CharDefText"/>
        </w:rPr>
        <w:t>lessee</w:t>
      </w:r>
      <w:r>
        <w:rPr>
          <w:b/>
          <w:snapToGrid w:val="0"/>
        </w:rPr>
        <w:t>”</w:t>
      </w:r>
      <w:r>
        <w:rPr>
          <w:snapToGrid w:val="0"/>
        </w:rPr>
        <w:t xml:space="preserve"> includes an original or derivative under</w:t>
      </w:r>
      <w:r>
        <w:rPr>
          <w:snapToGrid w:val="0"/>
        </w:rPr>
        <w:noBreakHyphen/>
        <w:t>lessee, and the persons deriving title under a lessee, and a grantee under any grant securing a rent by condition and the persons deriving title under him;</w:t>
      </w:r>
    </w:p>
    <w:p>
      <w:pPr>
        <w:pStyle w:val="Indenta"/>
        <w:rPr>
          <w:snapToGrid w:val="0"/>
        </w:rPr>
      </w:pPr>
      <w:r>
        <w:rPr>
          <w:snapToGrid w:val="0"/>
        </w:rPr>
        <w:tab/>
        <w:t>(c)</w:t>
      </w:r>
      <w:r>
        <w:rPr>
          <w:snapToGrid w:val="0"/>
        </w:rPr>
        <w:tab/>
      </w:r>
      <w:r>
        <w:rPr>
          <w:b/>
          <w:snapToGrid w:val="0"/>
        </w:rPr>
        <w:t>“</w:t>
      </w:r>
      <w:r>
        <w:rPr>
          <w:rStyle w:val="CharDefText"/>
        </w:rPr>
        <w:t>lessor</w:t>
      </w:r>
      <w:r>
        <w:rPr>
          <w:b/>
          <w:snapToGrid w:val="0"/>
        </w:rPr>
        <w:t>”</w:t>
      </w:r>
      <w:r>
        <w:rPr>
          <w:snapToGrid w:val="0"/>
        </w:rPr>
        <w:t xml:space="preserve"> includes an original or derivative under</w:t>
      </w:r>
      <w:r>
        <w:rPr>
          <w:snapToGrid w:val="0"/>
        </w:rPr>
        <w:noBreakHyphen/>
        <w:t>lessor, and the persons deriving title under a lessor, a person making a grant securing a rent by condition and the persons deriving title under him;</w:t>
      </w:r>
    </w:p>
    <w:p>
      <w:pPr>
        <w:pStyle w:val="Indenta"/>
        <w:rPr>
          <w:snapToGrid w:val="0"/>
        </w:rPr>
      </w:pPr>
      <w:r>
        <w:rPr>
          <w:snapToGrid w:val="0"/>
        </w:rPr>
        <w:tab/>
        <w:t>(d)</w:t>
      </w:r>
      <w:r>
        <w:rPr>
          <w:snapToGrid w:val="0"/>
        </w:rPr>
        <w:tab/>
      </w:r>
      <w:r>
        <w:rPr>
          <w:b/>
          <w:snapToGrid w:val="0"/>
        </w:rPr>
        <w:t>“</w:t>
      </w:r>
      <w:r>
        <w:rPr>
          <w:rStyle w:val="CharDefText"/>
        </w:rPr>
        <w:t>under</w:t>
      </w:r>
      <w:r>
        <w:rPr>
          <w:rStyle w:val="CharDefText"/>
        </w:rPr>
        <w:noBreakHyphen/>
        <w:t>lease</w:t>
      </w:r>
      <w:r>
        <w:rPr>
          <w:b/>
          <w:snapToGrid w:val="0"/>
        </w:rPr>
        <w:t>”</w:t>
      </w:r>
      <w:r>
        <w:rPr>
          <w:snapToGrid w:val="0"/>
        </w:rPr>
        <w:t xml:space="preserve"> includes an agreement for an under</w:t>
      </w:r>
      <w:r>
        <w:rPr>
          <w:snapToGrid w:val="0"/>
        </w:rPr>
        <w:noBreakHyphen/>
        <w:t>lease where the under</w:t>
      </w:r>
      <w:r>
        <w:rPr>
          <w:snapToGrid w:val="0"/>
        </w:rPr>
        <w:noBreakHyphen/>
        <w:t>lessee has become entitled to have his under</w:t>
      </w:r>
      <w:r>
        <w:rPr>
          <w:snapToGrid w:val="0"/>
        </w:rPr>
        <w:noBreakHyphen/>
        <w:t>lease granted;</w:t>
      </w:r>
    </w:p>
    <w:p>
      <w:pPr>
        <w:pStyle w:val="Indenta"/>
        <w:rPr>
          <w:snapToGrid w:val="0"/>
        </w:rPr>
      </w:pPr>
      <w:r>
        <w:rPr>
          <w:snapToGrid w:val="0"/>
        </w:rPr>
        <w:tab/>
        <w:t>(e)</w:t>
      </w:r>
      <w:r>
        <w:rPr>
          <w:snapToGrid w:val="0"/>
        </w:rPr>
        <w:tab/>
      </w:r>
      <w:r>
        <w:rPr>
          <w:b/>
          <w:snapToGrid w:val="0"/>
        </w:rPr>
        <w:t>“</w:t>
      </w:r>
      <w:r>
        <w:rPr>
          <w:rStyle w:val="CharDefText"/>
        </w:rPr>
        <w:t>under</w:t>
      </w:r>
      <w:r>
        <w:rPr>
          <w:rStyle w:val="CharDefText"/>
        </w:rPr>
        <w:noBreakHyphen/>
        <w:t>lessee</w:t>
      </w:r>
      <w:r>
        <w:rPr>
          <w:b/>
          <w:snapToGrid w:val="0"/>
        </w:rPr>
        <w:t>”</w:t>
      </w:r>
      <w:r>
        <w:rPr>
          <w:snapToGrid w:val="0"/>
        </w:rPr>
        <w:t xml:space="preserve"> includes any person deriving title under an under</w:t>
      </w:r>
      <w:r>
        <w:rPr>
          <w:snapToGrid w:val="0"/>
        </w:rPr>
        <w:noBreakHyphen/>
        <w:t>lessee.</w:t>
      </w:r>
    </w:p>
    <w:p>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rPr>
          <w:snapToGrid w:val="0"/>
        </w:rPr>
      </w:pPr>
      <w:r>
        <w:rPr>
          <w:snapToGrid w:val="0"/>
        </w:rPr>
        <w:tab/>
        <w:t>(8)</w:t>
      </w:r>
      <w:r>
        <w:rPr>
          <w:snapToGrid w:val="0"/>
        </w:rPr>
        <w:tab/>
        <w:t>This section does not extend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keepNext/>
        <w:keepLines/>
        <w:rPr>
          <w:snapToGrid w:val="0"/>
        </w:rPr>
      </w:pPr>
      <w:r>
        <w:rPr>
          <w:snapToGrid w:val="0"/>
        </w:rPr>
        <w:tab/>
        <w:t>(10)</w:t>
      </w:r>
      <w:r>
        <w:rPr>
          <w:snapToGrid w:val="0"/>
        </w:rPr>
        <w:tab/>
        <w:t>This section has effect notwithstanding any stipulation to the contrary.</w:t>
      </w:r>
    </w:p>
    <w:p>
      <w:pPr>
        <w:pStyle w:val="Footnotesection"/>
      </w:pPr>
      <w:r>
        <w:tab/>
        <w:t>[Section 81 amended by No. 73 of 2006 s. 115.]</w:t>
      </w:r>
    </w:p>
    <w:p>
      <w:pPr>
        <w:pStyle w:val="Heading5"/>
        <w:rPr>
          <w:snapToGrid w:val="0"/>
        </w:rPr>
      </w:pPr>
      <w:bookmarkStart w:id="392" w:name="_Toc455284835"/>
      <w:bookmarkStart w:id="393" w:name="_Toc181503998"/>
      <w:bookmarkStart w:id="394" w:name="_Toc176681129"/>
      <w:r>
        <w:rPr>
          <w:rStyle w:val="CharSectno"/>
        </w:rPr>
        <w:t>82</w:t>
      </w:r>
      <w:r>
        <w:rPr>
          <w:snapToGrid w:val="0"/>
        </w:rPr>
        <w:t>.</w:t>
      </w:r>
      <w:r>
        <w:rPr>
          <w:snapToGrid w:val="0"/>
        </w:rPr>
        <w:tab/>
        <w:t>Certain assignments not to be deemed a breach</w:t>
      </w:r>
      <w:bookmarkEnd w:id="392"/>
      <w:bookmarkEnd w:id="393"/>
      <w:bookmarkEnd w:id="394"/>
    </w:p>
    <w:p>
      <w:pPr>
        <w:pStyle w:val="Subsection"/>
        <w:keepNext/>
        <w:rPr>
          <w:snapToGrid w:val="0"/>
        </w:rPr>
      </w:pPr>
      <w:r>
        <w:rPr>
          <w:snapToGrid w:val="0"/>
        </w:rPr>
        <w:tab/>
      </w:r>
      <w:r>
        <w:rPr>
          <w:snapToGrid w:val="0"/>
        </w:rPr>
        <w:tab/>
        <w:t>No assignment or underletting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rPr>
      </w:pPr>
      <w:r>
        <w:rPr>
          <w:snapToGrid w:val="0"/>
        </w:rPr>
        <w:tab/>
        <w:t>(d)</w:t>
      </w:r>
      <w:r>
        <w:rPr>
          <w:snapToGrid w:val="0"/>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rPr>
          <w:snapToGrid w:val="0"/>
        </w:rPr>
      </w:pPr>
      <w:bookmarkStart w:id="395" w:name="_Toc455284836"/>
      <w:bookmarkStart w:id="396" w:name="_Toc181503999"/>
      <w:bookmarkStart w:id="397" w:name="_Toc176681130"/>
      <w:r>
        <w:rPr>
          <w:rStyle w:val="CharSectno"/>
        </w:rPr>
        <w:t>83</w:t>
      </w:r>
      <w:r>
        <w:rPr>
          <w:snapToGrid w:val="0"/>
        </w:rPr>
        <w:t>.</w:t>
      </w:r>
      <w:r>
        <w:rPr>
          <w:snapToGrid w:val="0"/>
        </w:rPr>
        <w:tab/>
        <w:t>Surrender of head lease to grant new lease not to prejudice under</w:t>
      </w:r>
      <w:r>
        <w:rPr>
          <w:snapToGrid w:val="0"/>
        </w:rPr>
        <w:noBreakHyphen/>
        <w:t>lease</w:t>
      </w:r>
      <w:bookmarkEnd w:id="395"/>
      <w:bookmarkEnd w:id="396"/>
      <w:bookmarkEnd w:id="397"/>
    </w:p>
    <w:p>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rPr>
          <w:snapToGrid w:val="0"/>
        </w:rPr>
      </w:pPr>
      <w:r>
        <w:rPr>
          <w:snapToGrid w:val="0"/>
        </w:rPr>
        <w:tab/>
        <w:t>(6)</w:t>
      </w:r>
      <w:r>
        <w:rPr>
          <w:snapToGrid w:val="0"/>
        </w:rPr>
        <w:tab/>
        <w:t>This section does not affect the powers of the Court to give relief against forfeiture.</w:t>
      </w:r>
    </w:p>
    <w:p>
      <w:pPr>
        <w:pStyle w:val="Heading3"/>
        <w:keepLines/>
      </w:pPr>
      <w:bookmarkStart w:id="398" w:name="_Toc122772997"/>
      <w:bookmarkStart w:id="399" w:name="_Toc123004012"/>
      <w:bookmarkStart w:id="400" w:name="_Toc131413104"/>
      <w:bookmarkStart w:id="401" w:name="_Toc166297476"/>
      <w:bookmarkStart w:id="402" w:name="_Toc166319439"/>
      <w:bookmarkStart w:id="403" w:name="_Toc173212824"/>
      <w:bookmarkStart w:id="404" w:name="_Toc173212991"/>
      <w:bookmarkStart w:id="405" w:name="_Toc173213158"/>
      <w:bookmarkStart w:id="406" w:name="_Toc173213325"/>
      <w:bookmarkStart w:id="407" w:name="_Toc173307787"/>
      <w:bookmarkStart w:id="408" w:name="_Toc173916842"/>
      <w:bookmarkStart w:id="409" w:name="_Toc174350538"/>
      <w:bookmarkStart w:id="410" w:name="_Toc174507926"/>
      <w:bookmarkStart w:id="411" w:name="_Toc176681131"/>
      <w:bookmarkStart w:id="412" w:name="_Toc181504000"/>
      <w:r>
        <w:rPr>
          <w:rStyle w:val="CharDivNo"/>
        </w:rPr>
        <w:t>Division 2</w:t>
      </w:r>
      <w:r>
        <w:rPr>
          <w:snapToGrid w:val="0"/>
        </w:rPr>
        <w:t> — </w:t>
      </w:r>
      <w:r>
        <w:rPr>
          <w:rStyle w:val="CharDivText"/>
        </w:rPr>
        <w:t>Options in leases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keepNext/>
        <w:keepLines/>
        <w:rPr>
          <w:snapToGrid w:val="0"/>
        </w:rPr>
      </w:pPr>
      <w:r>
        <w:rPr>
          <w:snapToGrid w:val="0"/>
        </w:rPr>
        <w:tab/>
        <w:t>[Heading inserted by No. 35 of 1973 s. 3.]</w:t>
      </w:r>
    </w:p>
    <w:p>
      <w:pPr>
        <w:pStyle w:val="Heading5"/>
        <w:spacing w:before="180"/>
        <w:rPr>
          <w:snapToGrid w:val="0"/>
        </w:rPr>
      </w:pPr>
      <w:bookmarkStart w:id="413" w:name="_Toc455284837"/>
      <w:bookmarkStart w:id="414" w:name="_Toc181504001"/>
      <w:bookmarkStart w:id="415" w:name="_Toc176681132"/>
      <w:r>
        <w:rPr>
          <w:rStyle w:val="CharSectno"/>
        </w:rPr>
        <w:t>83A</w:t>
      </w:r>
      <w:r>
        <w:rPr>
          <w:snapToGrid w:val="0"/>
        </w:rPr>
        <w:t>.</w:t>
      </w:r>
      <w:r>
        <w:rPr>
          <w:snapToGrid w:val="0"/>
        </w:rPr>
        <w:tab/>
        <w:t>Interpretation</w:t>
      </w:r>
      <w:bookmarkEnd w:id="413"/>
      <w:bookmarkEnd w:id="414"/>
      <w:bookmarkEnd w:id="415"/>
    </w:p>
    <w:p>
      <w:pPr>
        <w:pStyle w:val="Subsection"/>
        <w:keepNext/>
        <w:keepLines/>
        <w:rPr>
          <w:snapToGrid w:val="0"/>
        </w:rPr>
      </w:pPr>
      <w:r>
        <w:rPr>
          <w:snapToGrid w:val="0"/>
        </w:rPr>
        <w:tab/>
      </w:r>
      <w:r>
        <w:rPr>
          <w:snapToGrid w:val="0"/>
        </w:rPr>
        <w:tab/>
        <w:t>In this Division —</w:t>
      </w:r>
    </w:p>
    <w:p>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[Section 83A inserted by No. 35 of 1973 s. 3.]</w:t>
      </w:r>
    </w:p>
    <w:p>
      <w:pPr>
        <w:pStyle w:val="Heading5"/>
        <w:rPr>
          <w:snapToGrid w:val="0"/>
        </w:rPr>
      </w:pPr>
      <w:bookmarkStart w:id="416" w:name="_Toc455284838"/>
      <w:bookmarkStart w:id="417" w:name="_Toc181504002"/>
      <w:bookmarkStart w:id="418" w:name="_Toc176681133"/>
      <w:r>
        <w:rPr>
          <w:rStyle w:val="CharSectno"/>
        </w:rPr>
        <w:t>83B</w:t>
      </w:r>
      <w:r>
        <w:rPr>
          <w:snapToGrid w:val="0"/>
        </w:rPr>
        <w:t>.</w:t>
      </w:r>
      <w:r>
        <w:rPr>
          <w:snapToGrid w:val="0"/>
        </w:rPr>
        <w:tab/>
        <w:t>Construction and application of Division</w:t>
      </w:r>
      <w:bookmarkEnd w:id="416"/>
      <w:bookmarkEnd w:id="417"/>
      <w:bookmarkEnd w:id="418"/>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[Section 83B inserted by No. 35 of 1973 s. 3.]</w:t>
      </w:r>
    </w:p>
    <w:p>
      <w:pPr>
        <w:pStyle w:val="Heading5"/>
        <w:rPr>
          <w:snapToGrid w:val="0"/>
        </w:rPr>
      </w:pPr>
      <w:bookmarkStart w:id="419" w:name="_Toc455284839"/>
      <w:bookmarkStart w:id="420" w:name="_Toc181504003"/>
      <w:bookmarkStart w:id="421" w:name="_Toc176681134"/>
      <w:r>
        <w:rPr>
          <w:rStyle w:val="CharSectno"/>
        </w:rPr>
        <w:t>83C</w:t>
      </w:r>
      <w:r>
        <w:rPr>
          <w:snapToGrid w:val="0"/>
        </w:rPr>
        <w:t>.</w:t>
      </w:r>
      <w:r>
        <w:rPr>
          <w:snapToGrid w:val="0"/>
        </w:rPr>
        <w:tab/>
        <w:t>Breach of certain obligations not to preclude lessee from exercising option in certain circumstances</w:t>
      </w:r>
      <w:bookmarkEnd w:id="419"/>
      <w:bookmarkEnd w:id="420"/>
      <w:bookmarkEnd w:id="421"/>
    </w:p>
    <w:p>
      <w:pPr>
        <w:pStyle w:val="Subsection"/>
        <w:keepNext/>
        <w:rPr>
          <w:snapToGrid w:val="0"/>
        </w:rPr>
      </w:pPr>
      <w:r>
        <w:rPr>
          <w:snapToGrid w:val="0"/>
        </w:rPr>
        <w:tab/>
        <w:t>(1)</w:t>
      </w:r>
      <w:r>
        <w:rPr>
          <w:snapToGrid w:val="0"/>
        </w:rPr>
        <w:tab/>
        <w:t xml:space="preserve">In this Division </w:t>
      </w:r>
      <w:r>
        <w:rPr>
          <w:b/>
          <w:snapToGrid w:val="0"/>
        </w:rPr>
        <w:t>“</w:t>
      </w:r>
      <w:r>
        <w:rPr>
          <w:rStyle w:val="CharDefText"/>
        </w:rPr>
        <w:t>prescribed notice</w:t>
      </w:r>
      <w:r>
        <w:rPr>
          <w:b/>
          <w:snapToGrid w:val="0"/>
        </w:rPr>
        <w:t>”</w:t>
      </w:r>
      <w:r>
        <w:rPr>
          <w:snapToGrid w:val="0"/>
        </w:rPr>
        <w:t xml:space="preserve"> means a notice in writing that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[Section 83C inserted by No. 35 of 1973 s. 3.]</w:t>
      </w:r>
    </w:p>
    <w:p>
      <w:pPr>
        <w:pStyle w:val="Heading5"/>
        <w:rPr>
          <w:snapToGrid w:val="0"/>
        </w:rPr>
      </w:pPr>
      <w:bookmarkStart w:id="422" w:name="_Toc455284840"/>
      <w:bookmarkStart w:id="423" w:name="_Toc181504004"/>
      <w:bookmarkStart w:id="424" w:name="_Toc176681135"/>
      <w:r>
        <w:rPr>
          <w:rStyle w:val="CharSectno"/>
        </w:rPr>
        <w:t>83D</w:t>
      </w:r>
      <w:r>
        <w:rPr>
          <w:snapToGrid w:val="0"/>
        </w:rPr>
        <w:t>.</w:t>
      </w:r>
      <w:r>
        <w:rPr>
          <w:snapToGrid w:val="0"/>
        </w:rPr>
        <w:tab/>
        <w:t>Court may grant relief from breach of certain obligations</w:t>
      </w:r>
      <w:bookmarkEnd w:id="422"/>
      <w:bookmarkEnd w:id="423"/>
      <w:bookmarkEnd w:id="424"/>
    </w:p>
    <w:p>
      <w:pPr>
        <w:pStyle w:val="Subsection"/>
        <w:rPr>
          <w:snapToGrid w:val="0"/>
        </w:rPr>
      </w:pPr>
      <w:r>
        <w:rPr>
          <w:snapToGrid w:val="0"/>
        </w:rPr>
        <w:tab/>
        <w:t>(1)</w:t>
      </w:r>
      <w:r>
        <w:rPr>
          <w:snapToGrid w:val="0"/>
        </w:rPr>
        <w:tab/>
        <w:t>Relief referred to in section 83C may be sought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[Section 83D inserted by No. 35 of 1973 s. 3.]</w:t>
      </w:r>
    </w:p>
    <w:p>
      <w:pPr>
        <w:pStyle w:val="Heading5"/>
        <w:rPr>
          <w:snapToGrid w:val="0"/>
        </w:rPr>
      </w:pPr>
      <w:bookmarkStart w:id="425" w:name="_Toc455284841"/>
      <w:bookmarkStart w:id="426" w:name="_Toc181504005"/>
      <w:bookmarkStart w:id="427" w:name="_Toc176681136"/>
      <w:r>
        <w:rPr>
          <w:rStyle w:val="CharSectno"/>
        </w:rPr>
        <w:t>83E</w:t>
      </w:r>
      <w:r>
        <w:rPr>
          <w:snapToGrid w:val="0"/>
        </w:rPr>
        <w:t>.</w:t>
      </w:r>
      <w:r>
        <w:rPr>
          <w:snapToGrid w:val="0"/>
        </w:rPr>
        <w:tab/>
        <w:t>Lease to continue in force until issue decided</w:t>
      </w:r>
      <w:bookmarkEnd w:id="425"/>
      <w:bookmarkEnd w:id="426"/>
      <w:bookmarkEnd w:id="427"/>
    </w:p>
    <w:p>
      <w:pPr>
        <w:pStyle w:val="Subsection"/>
        <w:keepNext/>
        <w:rPr>
          <w:snapToGrid w:val="0"/>
        </w:rPr>
      </w:pPr>
      <w:r>
        <w:rPr>
          <w:snapToGrid w:val="0"/>
        </w:rPr>
        <w:tab/>
        <w:t>(1)</w:t>
      </w:r>
      <w:r>
        <w:rPr>
          <w:snapToGrid w:val="0"/>
        </w:rPr>
        <w:tab/>
        <w:t>Subject to any order of the Court and to this section —</w:t>
      </w:r>
    </w:p>
    <w:p>
      <w:pPr>
        <w:pStyle w:val="Indenta"/>
        <w:keepNext/>
        <w:rPr>
          <w:snapToGrid w:val="0"/>
        </w:rPr>
      </w:pPr>
      <w:r>
        <w:rPr>
          <w:snapToGrid w:val="0"/>
        </w:rPr>
        <w:tab/>
        <w:t>(a)</w:t>
      </w:r>
      <w:r>
        <w:rPr>
          <w:snapToGrid w:val="0"/>
        </w:rPr>
        <w:tab/>
        <w:t>where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w:t>
      </w:r>
    </w:p>
    <w:p>
      <w:pPr>
        <w:pStyle w:val="Indenti"/>
        <w:spacing w:before="60"/>
        <w:rPr>
          <w:snapToGrid w:val="0"/>
        </w:rPr>
      </w:pPr>
      <w:r>
        <w:rPr>
          <w:snapToGrid w:val="0"/>
        </w:rPr>
        <w:tab/>
        <w:t>(i)</w:t>
      </w:r>
      <w:r>
        <w:rPr>
          <w:snapToGrid w:val="0"/>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[Section 83E inserted by No. 35 of 1973 s. 3.]</w:t>
      </w:r>
    </w:p>
    <w:p>
      <w:pPr>
        <w:pStyle w:val="Heading2"/>
      </w:pPr>
      <w:bookmarkStart w:id="428" w:name="_Toc122773003"/>
      <w:bookmarkStart w:id="429" w:name="_Toc123004018"/>
      <w:bookmarkStart w:id="430" w:name="_Toc131413110"/>
      <w:bookmarkStart w:id="431" w:name="_Toc166297482"/>
      <w:bookmarkStart w:id="432" w:name="_Toc166319445"/>
      <w:bookmarkStart w:id="433" w:name="_Toc173212830"/>
      <w:bookmarkStart w:id="434" w:name="_Toc173212997"/>
      <w:bookmarkStart w:id="435" w:name="_Toc173213164"/>
      <w:bookmarkStart w:id="436" w:name="_Toc173213331"/>
      <w:bookmarkStart w:id="437" w:name="_Toc173307793"/>
      <w:bookmarkStart w:id="438" w:name="_Toc173916848"/>
      <w:bookmarkStart w:id="439" w:name="_Toc174350544"/>
      <w:bookmarkStart w:id="440" w:name="_Toc174507932"/>
      <w:bookmarkStart w:id="441" w:name="_Toc176681137"/>
      <w:bookmarkStart w:id="442" w:name="_Toc181504006"/>
      <w:r>
        <w:rPr>
          <w:rStyle w:val="CharPartNo"/>
        </w:rPr>
        <w:t>Part VIII</w:t>
      </w:r>
      <w:r>
        <w:rPr>
          <w:rStyle w:val="CharDivNo"/>
        </w:rPr>
        <w:t> </w:t>
      </w:r>
      <w:r>
        <w:t>—</w:t>
      </w:r>
      <w:r>
        <w:rPr>
          <w:rStyle w:val="CharDivText"/>
        </w:rPr>
        <w:t> </w:t>
      </w:r>
      <w:r>
        <w:rPr>
          <w:rStyle w:val="CharPartText"/>
        </w:rPr>
        <w:t>Powers of attorney</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rPr>
          <w:snapToGrid w:val="0"/>
        </w:rPr>
      </w:pPr>
      <w:bookmarkStart w:id="443" w:name="_Toc455284842"/>
      <w:bookmarkStart w:id="444" w:name="_Toc181504007"/>
      <w:bookmarkStart w:id="445" w:name="_Toc176681138"/>
      <w:r>
        <w:rPr>
          <w:rStyle w:val="CharSectno"/>
        </w:rPr>
        <w:t>84</w:t>
      </w:r>
      <w:r>
        <w:rPr>
          <w:snapToGrid w:val="0"/>
        </w:rPr>
        <w:t>.</w:t>
      </w:r>
      <w:r>
        <w:rPr>
          <w:snapToGrid w:val="0"/>
        </w:rPr>
        <w:tab/>
        <w:t>Execution by attorney in his own name</w:t>
      </w:r>
      <w:bookmarkEnd w:id="443"/>
      <w:bookmarkEnd w:id="444"/>
      <w:bookmarkEnd w:id="445"/>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446" w:name="_Toc455284843"/>
      <w:bookmarkStart w:id="447" w:name="_Toc181504008"/>
      <w:bookmarkStart w:id="448" w:name="_Toc176681139"/>
      <w:r>
        <w:rPr>
          <w:rStyle w:val="CharSectno"/>
        </w:rPr>
        <w:t>85</w:t>
      </w:r>
      <w:r>
        <w:rPr>
          <w:snapToGrid w:val="0"/>
        </w:rPr>
        <w:t>.</w:t>
      </w:r>
      <w:r>
        <w:rPr>
          <w:snapToGrid w:val="0"/>
        </w:rPr>
        <w:tab/>
        <w:t>Continuance until notice of death or revocation received</w:t>
      </w:r>
      <w:bookmarkEnd w:id="446"/>
      <w:bookmarkEnd w:id="447"/>
      <w:bookmarkEnd w:id="448"/>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449" w:name="_Toc455284844"/>
      <w:bookmarkStart w:id="450" w:name="_Toc181504009"/>
      <w:bookmarkStart w:id="451" w:name="_Toc176681140"/>
      <w:r>
        <w:rPr>
          <w:rStyle w:val="CharSectno"/>
        </w:rPr>
        <w:t>86</w:t>
      </w:r>
      <w:r>
        <w:rPr>
          <w:snapToGrid w:val="0"/>
        </w:rPr>
        <w:t>.</w:t>
      </w:r>
      <w:r>
        <w:rPr>
          <w:snapToGrid w:val="0"/>
        </w:rPr>
        <w:tab/>
        <w:t>Irrevocable power of attorney for value</w:t>
      </w:r>
      <w:bookmarkEnd w:id="449"/>
      <w:bookmarkEnd w:id="450"/>
      <w:bookmarkEnd w:id="451"/>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452" w:name="_Toc455284845"/>
      <w:bookmarkStart w:id="453" w:name="_Toc181504010"/>
      <w:bookmarkStart w:id="454" w:name="_Toc176681141"/>
      <w:r>
        <w:rPr>
          <w:rStyle w:val="CharSectno"/>
        </w:rPr>
        <w:t>87</w:t>
      </w:r>
      <w:r>
        <w:rPr>
          <w:snapToGrid w:val="0"/>
        </w:rPr>
        <w:t>.</w:t>
      </w:r>
      <w:r>
        <w:rPr>
          <w:snapToGrid w:val="0"/>
        </w:rPr>
        <w:tab/>
        <w:t>Power of attorney made irrevocable for fixed time</w:t>
      </w:r>
      <w:bookmarkEnd w:id="452"/>
      <w:bookmarkEnd w:id="453"/>
      <w:bookmarkEnd w:id="454"/>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455" w:name="_Toc455284846"/>
      <w:bookmarkStart w:id="456" w:name="_Toc181504011"/>
      <w:bookmarkStart w:id="457" w:name="_Toc176681142"/>
      <w:r>
        <w:rPr>
          <w:rStyle w:val="CharSectno"/>
        </w:rPr>
        <w:t>88</w:t>
      </w:r>
      <w:r>
        <w:rPr>
          <w:snapToGrid w:val="0"/>
        </w:rPr>
        <w:t>.</w:t>
      </w:r>
      <w:r>
        <w:rPr>
          <w:snapToGrid w:val="0"/>
        </w:rPr>
        <w:tab/>
        <w:t>Application to corporations</w:t>
      </w:r>
      <w:bookmarkEnd w:id="455"/>
      <w:bookmarkEnd w:id="456"/>
      <w:bookmarkEnd w:id="457"/>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458" w:name="_Toc122773009"/>
      <w:bookmarkStart w:id="459" w:name="_Toc123004024"/>
      <w:bookmarkStart w:id="460" w:name="_Toc131413116"/>
      <w:bookmarkStart w:id="461" w:name="_Toc166297488"/>
      <w:bookmarkStart w:id="462" w:name="_Toc166319451"/>
      <w:bookmarkStart w:id="463" w:name="_Toc173212836"/>
      <w:bookmarkStart w:id="464" w:name="_Toc173213003"/>
      <w:bookmarkStart w:id="465" w:name="_Toc173213170"/>
      <w:bookmarkStart w:id="466" w:name="_Toc173213337"/>
      <w:bookmarkStart w:id="467" w:name="_Toc173307799"/>
      <w:bookmarkStart w:id="468" w:name="_Toc173916854"/>
      <w:bookmarkStart w:id="469" w:name="_Toc174350550"/>
      <w:bookmarkStart w:id="470" w:name="_Toc174507938"/>
      <w:bookmarkStart w:id="471" w:name="_Toc176681143"/>
      <w:bookmarkStart w:id="472" w:name="_Toc181504012"/>
      <w:r>
        <w:rPr>
          <w:rStyle w:val="CharPartNo"/>
        </w:rPr>
        <w:t>Part IX</w:t>
      </w:r>
      <w:r>
        <w:rPr>
          <w:rStyle w:val="CharDivNo"/>
        </w:rPr>
        <w:t> </w:t>
      </w:r>
      <w:r>
        <w:t>—</w:t>
      </w:r>
      <w:r>
        <w:rPr>
          <w:rStyle w:val="CharDivText"/>
        </w:rPr>
        <w:t> </w:t>
      </w:r>
      <w:r>
        <w:rPr>
          <w:rStyle w:val="CharPartText"/>
        </w:rPr>
        <w:t>Voidable dispositions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spacing w:before="180"/>
        <w:rPr>
          <w:snapToGrid w:val="0"/>
        </w:rPr>
      </w:pPr>
      <w:bookmarkStart w:id="473" w:name="_Toc455284847"/>
      <w:bookmarkStart w:id="474" w:name="_Toc181504013"/>
      <w:bookmarkStart w:id="475" w:name="_Toc176681144"/>
      <w:r>
        <w:rPr>
          <w:rStyle w:val="CharSectno"/>
        </w:rPr>
        <w:t>89</w:t>
      </w:r>
      <w:r>
        <w:rPr>
          <w:snapToGrid w:val="0"/>
        </w:rPr>
        <w:t>.</w:t>
      </w:r>
      <w:r>
        <w:rPr>
          <w:snapToGrid w:val="0"/>
        </w:rPr>
        <w:tab/>
        <w:t>Voluntary conveyances to defraud creditors voidable</w:t>
      </w:r>
      <w:bookmarkEnd w:id="473"/>
      <w:bookmarkEnd w:id="474"/>
      <w:bookmarkEnd w:id="475"/>
    </w:p>
    <w:p>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rPr>
          <w:snapToGrid w:val="0"/>
        </w:rPr>
      </w:pPr>
      <w:r>
        <w:rPr>
          <w:snapToGrid w:val="0"/>
        </w:rPr>
        <w:tab/>
        <w:t>(2)</w:t>
      </w:r>
      <w:r>
        <w:rPr>
          <w:snapToGrid w:val="0"/>
        </w:rPr>
        <w:tab/>
        <w:t>This section does not affect the law of bankruptcy for the time being in force.</w:t>
      </w:r>
    </w:p>
    <w:p>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rPr>
          <w:snapToGrid w:val="0"/>
        </w:rPr>
      </w:pPr>
      <w:bookmarkStart w:id="476" w:name="_Toc455284848"/>
      <w:bookmarkStart w:id="477" w:name="_Toc181504014"/>
      <w:bookmarkStart w:id="478" w:name="_Toc176681145"/>
      <w:r>
        <w:rPr>
          <w:rStyle w:val="CharSectno"/>
        </w:rPr>
        <w:t>90</w:t>
      </w:r>
      <w:r>
        <w:rPr>
          <w:snapToGrid w:val="0"/>
        </w:rPr>
        <w:t>.</w:t>
      </w:r>
      <w:r>
        <w:rPr>
          <w:snapToGrid w:val="0"/>
        </w:rPr>
        <w:tab/>
        <w:t>Voluntary disposition to defraud purchasers voidable</w:t>
      </w:r>
      <w:bookmarkEnd w:id="476"/>
      <w:bookmarkEnd w:id="477"/>
      <w:bookmarkEnd w:id="478"/>
    </w:p>
    <w:p>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pPr>
        <w:pStyle w:val="Heading5"/>
        <w:rPr>
          <w:snapToGrid w:val="0"/>
        </w:rPr>
      </w:pPr>
      <w:bookmarkStart w:id="479" w:name="_Toc455284849"/>
      <w:bookmarkStart w:id="480" w:name="_Toc181504015"/>
      <w:bookmarkStart w:id="481" w:name="_Toc176681146"/>
      <w:r>
        <w:rPr>
          <w:rStyle w:val="CharSectno"/>
        </w:rPr>
        <w:t>91</w:t>
      </w:r>
      <w:r>
        <w:rPr>
          <w:snapToGrid w:val="0"/>
        </w:rPr>
        <w:t>.</w:t>
      </w:r>
      <w:r>
        <w:rPr>
          <w:snapToGrid w:val="0"/>
        </w:rPr>
        <w:tab/>
        <w:t>Subsequent conveyance not to be evidence of intent to defraud</w:t>
      </w:r>
      <w:bookmarkEnd w:id="479"/>
      <w:bookmarkEnd w:id="480"/>
      <w:bookmarkEnd w:id="481"/>
    </w:p>
    <w:p>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rPr>
          <w:snapToGrid w:val="0"/>
        </w:rPr>
      </w:pPr>
      <w:bookmarkStart w:id="482" w:name="_Toc455284850"/>
      <w:bookmarkStart w:id="483" w:name="_Toc181504016"/>
      <w:bookmarkStart w:id="484" w:name="_Toc176681147"/>
      <w:r>
        <w:rPr>
          <w:rStyle w:val="CharSectno"/>
        </w:rPr>
        <w:t>92</w:t>
      </w:r>
      <w:r>
        <w:rPr>
          <w:snapToGrid w:val="0"/>
        </w:rPr>
        <w:t>.</w:t>
      </w:r>
      <w:r>
        <w:rPr>
          <w:snapToGrid w:val="0"/>
        </w:rPr>
        <w:tab/>
        <w:t>Acquisitions of reversions at an under value</w:t>
      </w:r>
      <w:bookmarkEnd w:id="482"/>
      <w:bookmarkEnd w:id="483"/>
      <w:bookmarkEnd w:id="484"/>
    </w:p>
    <w:p>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keepNext/>
        <w:keepLines/>
        <w:spacing w:before="140"/>
        <w:rPr>
          <w:snapToGrid w:val="0"/>
        </w:rPr>
      </w:pPr>
      <w:r>
        <w:rPr>
          <w:snapToGrid w:val="0"/>
        </w:rPr>
        <w:tab/>
        <w:t>(2)</w:t>
      </w:r>
      <w:r>
        <w:rPr>
          <w:snapToGrid w:val="0"/>
        </w:rPr>
        <w:tab/>
        <w:t xml:space="preserve">In this section </w:t>
      </w:r>
      <w:r>
        <w:rPr>
          <w:b/>
          <w:bCs/>
          <w:snapToGrid w:val="0"/>
        </w:rPr>
        <w:t>“</w:t>
      </w:r>
      <w:r>
        <w:rPr>
          <w:rStyle w:val="CharDefText"/>
        </w:rPr>
        <w:t>reversionary interest</w:t>
      </w:r>
      <w:r>
        <w:rPr>
          <w:b/>
          <w:bCs/>
          <w:snapToGrid w:val="0"/>
        </w:rPr>
        <w:t>”</w:t>
      </w:r>
      <w:r>
        <w:rPr>
          <w:snapToGrid w:val="0"/>
        </w:rPr>
        <w:t xml:space="preserve"> includes an expectancy or possibility.</w:t>
      </w:r>
    </w:p>
    <w:p>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485" w:name="_Toc122773014"/>
      <w:bookmarkStart w:id="486" w:name="_Toc123004029"/>
      <w:bookmarkStart w:id="487" w:name="_Toc131413121"/>
      <w:bookmarkStart w:id="488" w:name="_Toc166297493"/>
      <w:bookmarkStart w:id="489" w:name="_Toc166319456"/>
      <w:bookmarkStart w:id="490" w:name="_Toc173212841"/>
      <w:bookmarkStart w:id="491" w:name="_Toc173213008"/>
      <w:bookmarkStart w:id="492" w:name="_Toc173213175"/>
      <w:bookmarkStart w:id="493" w:name="_Toc173213342"/>
      <w:bookmarkStart w:id="494" w:name="_Toc173307804"/>
      <w:bookmarkStart w:id="495" w:name="_Toc173916859"/>
      <w:bookmarkStart w:id="496" w:name="_Toc174350555"/>
      <w:bookmarkStart w:id="497" w:name="_Toc174507943"/>
      <w:bookmarkStart w:id="498" w:name="_Toc176681148"/>
      <w:bookmarkStart w:id="499" w:name="_Toc181504017"/>
      <w:r>
        <w:rPr>
          <w:rStyle w:val="CharPartNo"/>
        </w:rPr>
        <w:t>Part X</w:t>
      </w:r>
      <w:r>
        <w:rPr>
          <w:rStyle w:val="CharDivNo"/>
        </w:rPr>
        <w:t> </w:t>
      </w:r>
      <w:r>
        <w:t>—</w:t>
      </w:r>
      <w:r>
        <w:rPr>
          <w:rStyle w:val="CharDivText"/>
        </w:rPr>
        <w:t> </w:t>
      </w:r>
      <w:r>
        <w:rPr>
          <w:rStyle w:val="CharPartText"/>
        </w:rPr>
        <w:t>Powers of appointment</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spacing w:before="180"/>
        <w:rPr>
          <w:snapToGrid w:val="0"/>
        </w:rPr>
      </w:pPr>
      <w:bookmarkStart w:id="500" w:name="_Toc455284851"/>
      <w:bookmarkStart w:id="501" w:name="_Toc181504018"/>
      <w:bookmarkStart w:id="502" w:name="_Toc176681149"/>
      <w:r>
        <w:rPr>
          <w:rStyle w:val="CharSectno"/>
        </w:rPr>
        <w:t>93</w:t>
      </w:r>
      <w:r>
        <w:rPr>
          <w:snapToGrid w:val="0"/>
        </w:rPr>
        <w:t>.</w:t>
      </w:r>
      <w:r>
        <w:rPr>
          <w:snapToGrid w:val="0"/>
        </w:rPr>
        <w:tab/>
        <w:t>Disclaimer etc. of powers</w:t>
      </w:r>
      <w:bookmarkEnd w:id="500"/>
      <w:bookmarkEnd w:id="501"/>
      <w:bookmarkEnd w:id="502"/>
    </w:p>
    <w:p>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rPr>
          <w:snapToGrid w:val="0"/>
        </w:rPr>
      </w:pPr>
      <w:bookmarkStart w:id="503" w:name="_Toc455284852"/>
      <w:bookmarkStart w:id="504" w:name="_Toc181504019"/>
      <w:bookmarkStart w:id="505" w:name="_Toc176681150"/>
      <w:r>
        <w:rPr>
          <w:rStyle w:val="CharSectno"/>
        </w:rPr>
        <w:t>94</w:t>
      </w:r>
      <w:r>
        <w:rPr>
          <w:snapToGrid w:val="0"/>
        </w:rPr>
        <w:t>.</w:t>
      </w:r>
      <w:r>
        <w:rPr>
          <w:snapToGrid w:val="0"/>
        </w:rPr>
        <w:tab/>
        <w:t>Effect of disclaimer etc.</w:t>
      </w:r>
      <w:bookmarkEnd w:id="503"/>
      <w:bookmarkEnd w:id="504"/>
      <w:bookmarkEnd w:id="505"/>
    </w:p>
    <w:p>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rPr>
          <w:snapToGrid w:val="0"/>
        </w:rPr>
      </w:pPr>
      <w:bookmarkStart w:id="506" w:name="_Toc455284853"/>
      <w:bookmarkStart w:id="507" w:name="_Toc181504020"/>
      <w:bookmarkStart w:id="508" w:name="_Toc176681151"/>
      <w:r>
        <w:rPr>
          <w:rStyle w:val="CharSectno"/>
        </w:rPr>
        <w:t>95</w:t>
      </w:r>
      <w:r>
        <w:rPr>
          <w:snapToGrid w:val="0"/>
        </w:rPr>
        <w:t>.</w:t>
      </w:r>
      <w:r>
        <w:rPr>
          <w:snapToGrid w:val="0"/>
        </w:rPr>
        <w:tab/>
        <w:t>Protection of purchasers claiming under certain void appointments</w:t>
      </w:r>
      <w:bookmarkEnd w:id="506"/>
      <w:bookmarkEnd w:id="507"/>
      <w:bookmarkEnd w:id="508"/>
    </w:p>
    <w:p>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rPr>
          <w:snapToGrid w:val="0"/>
        </w:rPr>
      </w:pPr>
      <w:r>
        <w:rPr>
          <w:snapToGrid w:val="0"/>
        </w:rPr>
        <w:tab/>
        <w:t>(3)</w:t>
      </w:r>
      <w:r>
        <w:rPr>
          <w:snapToGrid w:val="0"/>
        </w:rPr>
        <w:tab/>
        <w:t xml:space="preserve">In this section </w:t>
      </w:r>
      <w:r>
        <w:rPr>
          <w:b/>
          <w:snapToGrid w:val="0"/>
        </w:rPr>
        <w:t>“</w:t>
      </w:r>
      <w:r>
        <w:rPr>
          <w:rStyle w:val="CharDefText"/>
        </w:rPr>
        <w:t>a purchaser in good faith</w:t>
      </w:r>
      <w:r>
        <w:rPr>
          <w:b/>
          <w:snapToGrid w:val="0"/>
        </w:rPr>
        <w:t>”</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509" w:name="_Toc455284854"/>
      <w:bookmarkStart w:id="510" w:name="_Toc181504021"/>
      <w:bookmarkStart w:id="511" w:name="_Toc176681152"/>
      <w:r>
        <w:rPr>
          <w:rStyle w:val="CharSectno"/>
        </w:rPr>
        <w:t>96</w:t>
      </w:r>
      <w:r>
        <w:rPr>
          <w:snapToGrid w:val="0"/>
        </w:rPr>
        <w:t>.</w:t>
      </w:r>
      <w:r>
        <w:rPr>
          <w:snapToGrid w:val="0"/>
        </w:rPr>
        <w:tab/>
        <w:t>Validation of appointments where objects are excluded or take illusory shares</w:t>
      </w:r>
      <w:bookmarkEnd w:id="509"/>
      <w:bookmarkEnd w:id="510"/>
      <w:bookmarkEnd w:id="511"/>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512" w:name="_Toc455284855"/>
      <w:bookmarkStart w:id="513" w:name="_Toc181504022"/>
      <w:bookmarkStart w:id="514" w:name="_Toc176681153"/>
      <w:r>
        <w:rPr>
          <w:rStyle w:val="CharSectno"/>
        </w:rPr>
        <w:t>97</w:t>
      </w:r>
      <w:r>
        <w:rPr>
          <w:snapToGrid w:val="0"/>
        </w:rPr>
        <w:t>.</w:t>
      </w:r>
      <w:r>
        <w:rPr>
          <w:snapToGrid w:val="0"/>
        </w:rPr>
        <w:tab/>
        <w:t>Execution of powers not testamentary</w:t>
      </w:r>
      <w:bookmarkEnd w:id="512"/>
      <w:bookmarkEnd w:id="513"/>
      <w:bookmarkEnd w:id="514"/>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515" w:name="_Toc455284856"/>
      <w:bookmarkStart w:id="516" w:name="_Toc181504023"/>
      <w:bookmarkStart w:id="517" w:name="_Toc176681154"/>
      <w:r>
        <w:rPr>
          <w:rStyle w:val="CharSectno"/>
        </w:rPr>
        <w:t>98</w:t>
      </w:r>
      <w:r>
        <w:rPr>
          <w:snapToGrid w:val="0"/>
        </w:rPr>
        <w:t>.</w:t>
      </w:r>
      <w:r>
        <w:rPr>
          <w:snapToGrid w:val="0"/>
        </w:rPr>
        <w:tab/>
        <w:t>Application of this Part to existing powers</w:t>
      </w:r>
      <w:bookmarkEnd w:id="515"/>
      <w:bookmarkEnd w:id="516"/>
      <w:bookmarkEnd w:id="517"/>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518" w:name="_Toc122773021"/>
      <w:bookmarkStart w:id="519" w:name="_Toc123004036"/>
      <w:bookmarkStart w:id="520" w:name="_Toc131413128"/>
      <w:bookmarkStart w:id="521" w:name="_Toc166297500"/>
      <w:bookmarkStart w:id="522" w:name="_Toc166319463"/>
      <w:bookmarkStart w:id="523" w:name="_Toc173212848"/>
      <w:bookmarkStart w:id="524" w:name="_Toc173213015"/>
      <w:bookmarkStart w:id="525" w:name="_Toc173213182"/>
      <w:bookmarkStart w:id="526" w:name="_Toc173213349"/>
      <w:bookmarkStart w:id="527" w:name="_Toc173307811"/>
      <w:bookmarkStart w:id="528" w:name="_Toc173916866"/>
      <w:bookmarkStart w:id="529" w:name="_Toc174350562"/>
      <w:bookmarkStart w:id="530" w:name="_Toc174507950"/>
      <w:bookmarkStart w:id="531" w:name="_Toc176681155"/>
      <w:bookmarkStart w:id="532" w:name="_Toc181504024"/>
      <w:r>
        <w:rPr>
          <w:rStyle w:val="CharPartNo"/>
        </w:rPr>
        <w:t>Part XI</w:t>
      </w:r>
      <w:r>
        <w:rPr>
          <w:rStyle w:val="CharDivNo"/>
        </w:rPr>
        <w:t> </w:t>
      </w:r>
      <w:r>
        <w:t>—</w:t>
      </w:r>
      <w:r>
        <w:rPr>
          <w:rStyle w:val="CharDivText"/>
        </w:rPr>
        <w:t> </w:t>
      </w:r>
      <w:r>
        <w:rPr>
          <w:rStyle w:val="CharPartText"/>
        </w:rPr>
        <w:t>Perpetuities and accumulations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spacing w:before="180"/>
        <w:rPr>
          <w:snapToGrid w:val="0"/>
        </w:rPr>
      </w:pPr>
      <w:bookmarkStart w:id="533" w:name="_Toc455284857"/>
      <w:bookmarkStart w:id="534" w:name="_Toc181504025"/>
      <w:bookmarkStart w:id="535" w:name="_Toc176681156"/>
      <w:r>
        <w:rPr>
          <w:rStyle w:val="CharSectno"/>
        </w:rPr>
        <w:t>99</w:t>
      </w:r>
      <w:r>
        <w:rPr>
          <w:snapToGrid w:val="0"/>
        </w:rPr>
        <w:t>.</w:t>
      </w:r>
      <w:r>
        <w:rPr>
          <w:snapToGrid w:val="0"/>
        </w:rPr>
        <w:tab/>
        <w:t>Application</w:t>
      </w:r>
      <w:bookmarkEnd w:id="533"/>
      <w:bookmarkEnd w:id="534"/>
      <w:bookmarkEnd w:id="535"/>
    </w:p>
    <w:p>
      <w:pPr>
        <w:pStyle w:val="Subsection"/>
        <w:rPr>
          <w:snapToGrid w:val="0"/>
        </w:rPr>
      </w:pPr>
      <w:r>
        <w:rPr>
          <w:snapToGrid w:val="0"/>
        </w:rPr>
        <w:tab/>
        <w:t>(1)</w:t>
      </w:r>
      <w:r>
        <w:rPr>
          <w:snapToGrid w:val="0"/>
        </w:rPr>
        <w:tab/>
        <w:t>Except where otherwise expressly provided in this Part, this Part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rPr>
          <w:snapToGrid w:val="0"/>
        </w:rPr>
      </w:pPr>
      <w:r>
        <w:rPr>
          <w:snapToGrid w:val="0"/>
        </w:rPr>
        <w:tab/>
        <w:t>(2)</w:t>
      </w:r>
      <w:r>
        <w:rPr>
          <w:snapToGrid w:val="0"/>
        </w:rPr>
        <w:tab/>
        <w:t>This Part binds the Crown.</w:t>
      </w:r>
    </w:p>
    <w:p>
      <w:pPr>
        <w:pStyle w:val="Heading5"/>
        <w:rPr>
          <w:snapToGrid w:val="0"/>
        </w:rPr>
      </w:pPr>
      <w:bookmarkStart w:id="536" w:name="_Toc455284858"/>
      <w:bookmarkStart w:id="537" w:name="_Toc181504026"/>
      <w:bookmarkStart w:id="538" w:name="_Toc176681157"/>
      <w:r>
        <w:rPr>
          <w:rStyle w:val="CharSectno"/>
        </w:rPr>
        <w:t>100</w:t>
      </w:r>
      <w:r>
        <w:rPr>
          <w:snapToGrid w:val="0"/>
        </w:rPr>
        <w:t>.</w:t>
      </w:r>
      <w:r>
        <w:rPr>
          <w:snapToGrid w:val="0"/>
        </w:rPr>
        <w:tab/>
      </w:r>
      <w:bookmarkEnd w:id="536"/>
      <w:r>
        <w:rPr>
          <w:snapToGrid w:val="0"/>
        </w:rPr>
        <w:t>Terms used in this Part</w:t>
      </w:r>
      <w:bookmarkEnd w:id="537"/>
      <w:bookmarkEnd w:id="538"/>
    </w:p>
    <w:p>
      <w:pPr>
        <w:pStyle w:val="Subsection"/>
        <w:rPr>
          <w:snapToGrid w:val="0"/>
        </w:rPr>
      </w:pPr>
      <w:r>
        <w:rPr>
          <w:snapToGrid w:val="0"/>
        </w:rPr>
        <w:tab/>
      </w:r>
      <w:r>
        <w:rPr>
          <w:snapToGrid w:val="0"/>
        </w:rPr>
        <w:tab/>
        <w:t>In this Part, unless the context otherwise requires —</w:t>
      </w:r>
    </w:p>
    <w:p>
      <w:pPr>
        <w:pStyle w:val="Defstart"/>
        <w:spacing w:before="60"/>
      </w:pPr>
      <w:r>
        <w:rPr>
          <w:b/>
        </w:rPr>
        <w:tab/>
        <w:t>“</w:t>
      </w:r>
      <w:r>
        <w:rPr>
          <w:rStyle w:val="CharDefText"/>
        </w:rPr>
        <w:t>Court</w:t>
      </w:r>
      <w:r>
        <w:rPr>
          <w:b/>
        </w:rPr>
        <w:t>”</w:t>
      </w:r>
      <w:r>
        <w:t xml:space="preserve"> means the Supreme Court or a Judge;</w:t>
      </w:r>
    </w:p>
    <w:p>
      <w:pPr>
        <w:pStyle w:val="Defstart"/>
        <w:spacing w:before="60"/>
      </w:pPr>
      <w:r>
        <w:rPr>
          <w:b/>
        </w:rPr>
        <w:tab/>
        <w:t>“</w:t>
      </w:r>
      <w:r>
        <w:rPr>
          <w:rStyle w:val="CharDefText"/>
        </w:rPr>
        <w:t>decision of the Court</w:t>
      </w:r>
      <w:r>
        <w:rPr>
          <w:b/>
        </w:rPr>
        <w:t>”</w:t>
      </w:r>
      <w:r>
        <w:t xml:space="preserve"> includes the decision of a court hearing an appeal from the Court;</w:t>
      </w:r>
    </w:p>
    <w:p>
      <w:pPr>
        <w:pStyle w:val="Defstart"/>
        <w:spacing w:before="60"/>
      </w:pPr>
      <w:r>
        <w:rPr>
          <w:b/>
        </w:rPr>
        <w:tab/>
        <w:t>“</w:t>
      </w:r>
      <w:r>
        <w:rPr>
          <w:rStyle w:val="CharDefText"/>
        </w:rPr>
        <w:t>instrument</w:t>
      </w:r>
      <w:r>
        <w:rPr>
          <w:b/>
        </w:rPr>
        <w: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t>“</w:t>
      </w:r>
      <w:r>
        <w:rPr>
          <w:rStyle w:val="CharDefText"/>
        </w:rPr>
        <w:t>limitation</w:t>
      </w:r>
      <w:r>
        <w:rPr>
          <w:b/>
        </w:rPr>
        <w:t>”</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t>“</w:t>
      </w:r>
      <w:r>
        <w:rPr>
          <w:rStyle w:val="CharDefText"/>
        </w:rPr>
        <w:t>property</w:t>
      </w:r>
      <w:r>
        <w:rPr>
          <w:b/>
        </w:rPr>
        <w:t>”</w:t>
      </w:r>
      <w:r>
        <w:t xml:space="preserve"> includes any thing in action, and any interest in real or personal property;</w:t>
      </w:r>
    </w:p>
    <w:p>
      <w:pPr>
        <w:pStyle w:val="Defstart"/>
        <w:spacing w:before="60"/>
      </w:pPr>
      <w:r>
        <w:rPr>
          <w:b/>
        </w:rPr>
        <w:tab/>
        <w:t>“</w:t>
      </w:r>
      <w:r>
        <w:rPr>
          <w:rStyle w:val="CharDefText"/>
        </w:rPr>
        <w:t>trust</w:t>
      </w:r>
      <w:r>
        <w:rPr>
          <w:b/>
        </w:rPr>
        <w:t>”</w:t>
      </w:r>
      <w:r>
        <w:t xml:space="preserve"> and </w:t>
      </w:r>
      <w:r>
        <w:rPr>
          <w:b/>
        </w:rPr>
        <w:t>“</w:t>
      </w:r>
      <w:r>
        <w:rPr>
          <w:rStyle w:val="CharDefText"/>
        </w:rPr>
        <w:t>trustee</w:t>
      </w:r>
      <w:r>
        <w:rPr>
          <w:b/>
        </w:rPr>
        <w:t>”</w:t>
      </w:r>
      <w:r>
        <w:t xml:space="preserve"> have the same meaning as in the </w:t>
      </w:r>
      <w:r>
        <w:rPr>
          <w:i/>
        </w:rPr>
        <w:t>Trustees Act 1962</w:t>
      </w:r>
      <w:r>
        <w:t>;</w:t>
      </w:r>
    </w:p>
    <w:p>
      <w:pPr>
        <w:pStyle w:val="Defstart"/>
        <w:spacing w:before="60"/>
      </w:pPr>
      <w:r>
        <w:rPr>
          <w:b/>
        </w:rPr>
        <w:tab/>
        <w:t>“</w:t>
      </w:r>
      <w:r>
        <w:rPr>
          <w:rStyle w:val="CharDefText"/>
        </w:rPr>
        <w:t>will</w:t>
      </w:r>
      <w:r>
        <w:rPr>
          <w:b/>
        </w:rPr>
        <w:t>”</w:t>
      </w:r>
      <w:r>
        <w:t xml:space="preserve"> includes a codicil.</w:t>
      </w:r>
    </w:p>
    <w:p>
      <w:pPr>
        <w:pStyle w:val="Heading5"/>
        <w:spacing w:before="180"/>
        <w:rPr>
          <w:snapToGrid w:val="0"/>
        </w:rPr>
      </w:pPr>
      <w:bookmarkStart w:id="539" w:name="_Toc455284859"/>
      <w:bookmarkStart w:id="540" w:name="_Toc181504027"/>
      <w:bookmarkStart w:id="541" w:name="_Toc176681158"/>
      <w:r>
        <w:rPr>
          <w:rStyle w:val="CharSectno"/>
        </w:rPr>
        <w:t>101</w:t>
      </w:r>
      <w:r>
        <w:rPr>
          <w:snapToGrid w:val="0"/>
        </w:rPr>
        <w:t>.</w:t>
      </w:r>
      <w:r>
        <w:rPr>
          <w:snapToGrid w:val="0"/>
        </w:rPr>
        <w:tab/>
        <w:t>The perpetuity period</w:t>
      </w:r>
      <w:bookmarkEnd w:id="539"/>
      <w:bookmarkEnd w:id="540"/>
      <w:bookmarkEnd w:id="541"/>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rPr>
          <w:snapToGrid w:val="0"/>
        </w:rPr>
      </w:pPr>
      <w:bookmarkStart w:id="542" w:name="_Toc455284860"/>
      <w:bookmarkStart w:id="543" w:name="_Toc181504028"/>
      <w:bookmarkStart w:id="544" w:name="_Toc176681159"/>
      <w:r>
        <w:rPr>
          <w:rStyle w:val="CharSectno"/>
        </w:rPr>
        <w:t>102</w:t>
      </w:r>
      <w:r>
        <w:rPr>
          <w:snapToGrid w:val="0"/>
        </w:rPr>
        <w:t>.</w:t>
      </w:r>
      <w:r>
        <w:rPr>
          <w:snapToGrid w:val="0"/>
        </w:rPr>
        <w:tab/>
        <w:t>Capacity to procreate or bear a child</w:t>
      </w:r>
      <w:bookmarkEnd w:id="542"/>
      <w:bookmarkEnd w:id="543"/>
      <w:bookmarkEnd w:id="544"/>
    </w:p>
    <w:p>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of child</w:t>
      </w:r>
      <w:r>
        <w:rPr>
          <w:snapToGrid w:val="0"/>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[Section 102 amended by No. 25 of 1972 s. 3; No. 28 of 2003 s. 161.]</w:t>
      </w:r>
    </w:p>
    <w:p>
      <w:pPr>
        <w:pStyle w:val="Heading5"/>
        <w:rPr>
          <w:snapToGrid w:val="0"/>
        </w:rPr>
      </w:pPr>
      <w:bookmarkStart w:id="545" w:name="_Toc455284861"/>
      <w:bookmarkStart w:id="546" w:name="_Toc181504029"/>
      <w:bookmarkStart w:id="547" w:name="_Toc176681160"/>
      <w:r>
        <w:rPr>
          <w:rStyle w:val="CharSectno"/>
        </w:rPr>
        <w:t>103</w:t>
      </w:r>
      <w:r>
        <w:rPr>
          <w:snapToGrid w:val="0"/>
        </w:rPr>
        <w:t>.</w:t>
      </w:r>
      <w:r>
        <w:rPr>
          <w:snapToGrid w:val="0"/>
        </w:rPr>
        <w:tab/>
        <w:t>Wait and see rule</w:t>
      </w:r>
      <w:bookmarkEnd w:id="545"/>
      <w:bookmarkEnd w:id="546"/>
      <w:bookmarkEnd w:id="547"/>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rPr>
          <w:snapToGrid w:val="0"/>
        </w:rPr>
      </w:pPr>
      <w:bookmarkStart w:id="548" w:name="_Toc455284862"/>
      <w:bookmarkStart w:id="549" w:name="_Toc181504030"/>
      <w:bookmarkStart w:id="550" w:name="_Toc176681161"/>
      <w:r>
        <w:rPr>
          <w:rStyle w:val="CharSectno"/>
        </w:rPr>
        <w:t>104</w:t>
      </w:r>
      <w:r>
        <w:rPr>
          <w:snapToGrid w:val="0"/>
        </w:rPr>
        <w:t>.</w:t>
      </w:r>
      <w:r>
        <w:rPr>
          <w:snapToGrid w:val="0"/>
        </w:rPr>
        <w:tab/>
        <w:t>Power of Court to make declaration as to validity of limitations</w:t>
      </w:r>
      <w:bookmarkEnd w:id="548"/>
      <w:bookmarkEnd w:id="549"/>
      <w:bookmarkEnd w:id="550"/>
    </w:p>
    <w:p>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rPr>
          <w:snapToGrid w:val="0"/>
        </w:rPr>
      </w:pPr>
      <w:bookmarkStart w:id="551" w:name="_Toc455284863"/>
      <w:bookmarkStart w:id="552" w:name="_Toc181504031"/>
      <w:bookmarkStart w:id="553" w:name="_Toc176681162"/>
      <w:r>
        <w:rPr>
          <w:rStyle w:val="CharSectno"/>
        </w:rPr>
        <w:t>105</w:t>
      </w:r>
      <w:r>
        <w:rPr>
          <w:snapToGrid w:val="0"/>
        </w:rPr>
        <w:t>.</w:t>
      </w:r>
      <w:r>
        <w:rPr>
          <w:snapToGrid w:val="0"/>
        </w:rPr>
        <w:tab/>
        <w:t>Invalid age contingencies</w:t>
      </w:r>
      <w:bookmarkEnd w:id="551"/>
      <w:bookmarkEnd w:id="552"/>
      <w:bookmarkEnd w:id="553"/>
    </w:p>
    <w:p>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554" w:name="_Toc455284864"/>
      <w:bookmarkStart w:id="555" w:name="_Toc181504032"/>
      <w:bookmarkStart w:id="556" w:name="_Toc176681163"/>
      <w:r>
        <w:rPr>
          <w:rStyle w:val="CharSectno"/>
        </w:rPr>
        <w:t>106</w:t>
      </w:r>
      <w:r>
        <w:rPr>
          <w:snapToGrid w:val="0"/>
        </w:rPr>
        <w:t>.</w:t>
      </w:r>
      <w:r>
        <w:rPr>
          <w:snapToGrid w:val="0"/>
        </w:rPr>
        <w:tab/>
        <w:t>Class gifts</w:t>
      </w:r>
      <w:bookmarkEnd w:id="554"/>
      <w:bookmarkEnd w:id="555"/>
      <w:bookmarkEnd w:id="556"/>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557" w:name="_Toc455284865"/>
      <w:bookmarkStart w:id="558" w:name="_Toc181504033"/>
      <w:bookmarkStart w:id="559" w:name="_Toc176681164"/>
      <w:r>
        <w:rPr>
          <w:rStyle w:val="CharSectno"/>
        </w:rPr>
        <w:t>107</w:t>
      </w:r>
      <w:r>
        <w:rPr>
          <w:snapToGrid w:val="0"/>
        </w:rPr>
        <w:t>.</w:t>
      </w:r>
      <w:r>
        <w:rPr>
          <w:snapToGrid w:val="0"/>
        </w:rPr>
        <w:tab/>
        <w:t>Order of applying rules</w:t>
      </w:r>
      <w:bookmarkEnd w:id="557"/>
      <w:bookmarkEnd w:id="558"/>
      <w:bookmarkEnd w:id="559"/>
    </w:p>
    <w:p>
      <w:pPr>
        <w:pStyle w:val="Subsection"/>
        <w:rPr>
          <w:snapToGrid w:val="0"/>
        </w:rPr>
      </w:pPr>
      <w:r>
        <w:rPr>
          <w:snapToGrid w:val="0"/>
        </w:rPr>
        <w:tab/>
        <w:t>(1)</w:t>
      </w:r>
      <w:r>
        <w:rPr>
          <w:snapToGrid w:val="0"/>
        </w:rPr>
        <w:tab/>
        <w:t>The provisions of section 105 shall not be applied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560" w:name="_Toc455284866"/>
      <w:bookmarkStart w:id="561" w:name="_Toc181504034"/>
      <w:bookmarkStart w:id="562" w:name="_Toc176681165"/>
      <w:r>
        <w:rPr>
          <w:rStyle w:val="CharSectno"/>
        </w:rPr>
        <w:t>108</w:t>
      </w:r>
      <w:r>
        <w:rPr>
          <w:snapToGrid w:val="0"/>
        </w:rPr>
        <w:t>.</w:t>
      </w:r>
      <w:r>
        <w:rPr>
          <w:snapToGrid w:val="0"/>
        </w:rPr>
        <w:tab/>
        <w:t>Unborn spouses</w:t>
      </w:r>
      <w:bookmarkEnd w:id="560"/>
      <w:r>
        <w:rPr>
          <w:snapToGrid w:val="0"/>
        </w:rPr>
        <w:t xml:space="preserve"> or de facto partners</w:t>
      </w:r>
      <w:bookmarkEnd w:id="561"/>
      <w:bookmarkEnd w:id="562"/>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563" w:name="_Toc455284867"/>
      <w:r>
        <w:tab/>
        <w:t>(2)</w:t>
      </w:r>
      <w:r>
        <w:tab/>
        <w:t>The de facto partner of a person who is a life in being for the purpose of the rule against perpetuities shall be deemed a life in being for the purpose of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564" w:name="_Toc181504035"/>
      <w:bookmarkStart w:id="565" w:name="_Toc176681166"/>
      <w:r>
        <w:rPr>
          <w:rStyle w:val="CharSectno"/>
        </w:rPr>
        <w:t>109</w:t>
      </w:r>
      <w:r>
        <w:rPr>
          <w:snapToGrid w:val="0"/>
        </w:rPr>
        <w:t>.</w:t>
      </w:r>
      <w:r>
        <w:rPr>
          <w:snapToGrid w:val="0"/>
        </w:rPr>
        <w:tab/>
        <w:t>Dependent limitations</w:t>
      </w:r>
      <w:bookmarkEnd w:id="563"/>
      <w:bookmarkEnd w:id="564"/>
      <w:bookmarkEnd w:id="565"/>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566" w:name="_Toc455284868"/>
      <w:bookmarkStart w:id="567" w:name="_Toc181504036"/>
      <w:bookmarkStart w:id="568" w:name="_Toc176681167"/>
      <w:r>
        <w:rPr>
          <w:rStyle w:val="CharSectno"/>
        </w:rPr>
        <w:t>110</w:t>
      </w:r>
      <w:r>
        <w:rPr>
          <w:snapToGrid w:val="0"/>
        </w:rPr>
        <w:t>.</w:t>
      </w:r>
      <w:r>
        <w:rPr>
          <w:snapToGrid w:val="0"/>
        </w:rPr>
        <w:tab/>
        <w:t>Options</w:t>
      </w:r>
      <w:bookmarkEnd w:id="566"/>
      <w:bookmarkEnd w:id="567"/>
      <w:bookmarkEnd w:id="568"/>
    </w:p>
    <w:p>
      <w:pPr>
        <w:pStyle w:val="Subsection"/>
        <w:rPr>
          <w:snapToGrid w:val="0"/>
        </w:rPr>
      </w:pPr>
      <w:r>
        <w:rPr>
          <w:snapToGrid w:val="0"/>
        </w:rPr>
        <w:tab/>
        <w:t>(1)</w:t>
      </w:r>
      <w:r>
        <w:rPr>
          <w:snapToGrid w:val="0"/>
        </w:rPr>
        <w:tab/>
        <w:t>The rule against perpetuities does not apply to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569" w:name="_Toc455284869"/>
      <w:bookmarkStart w:id="570" w:name="_Toc181504037"/>
      <w:bookmarkStart w:id="571" w:name="_Toc176681168"/>
      <w:r>
        <w:rPr>
          <w:rStyle w:val="CharSectno"/>
        </w:rPr>
        <w:t>111</w:t>
      </w:r>
      <w:r>
        <w:rPr>
          <w:snapToGrid w:val="0"/>
        </w:rPr>
        <w:t>.</w:t>
      </w:r>
      <w:r>
        <w:rPr>
          <w:snapToGrid w:val="0"/>
        </w:rPr>
        <w:tab/>
        <w:t>Application of the rule to possibilities of reverter, rights of entry and resulting trusts</w:t>
      </w:r>
      <w:bookmarkEnd w:id="569"/>
      <w:bookmarkEnd w:id="570"/>
      <w:bookmarkEnd w:id="571"/>
    </w:p>
    <w:p>
      <w:pPr>
        <w:pStyle w:val="Subsection"/>
        <w:keepNext/>
        <w:rPr>
          <w:snapToGrid w:val="0"/>
        </w:rPr>
      </w:pPr>
      <w:r>
        <w:rPr>
          <w:snapToGrid w:val="0"/>
        </w:rPr>
        <w:tab/>
        <w:t>(1)</w:t>
      </w:r>
      <w:r>
        <w:rPr>
          <w:snapToGrid w:val="0"/>
        </w:rPr>
        <w:tab/>
        <w:t>The rule against perpetuities as amended by this Part applies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572" w:name="_Toc455284870"/>
      <w:bookmarkStart w:id="573" w:name="_Toc181504038"/>
      <w:bookmarkStart w:id="574" w:name="_Toc176681169"/>
      <w:r>
        <w:rPr>
          <w:rStyle w:val="CharSectno"/>
        </w:rPr>
        <w:t>112</w:t>
      </w:r>
      <w:r>
        <w:rPr>
          <w:snapToGrid w:val="0"/>
        </w:rPr>
        <w:t>.</w:t>
      </w:r>
      <w:r>
        <w:rPr>
          <w:snapToGrid w:val="0"/>
        </w:rPr>
        <w:tab/>
        <w:t>Powers of appointment</w:t>
      </w:r>
      <w:bookmarkEnd w:id="572"/>
      <w:bookmarkEnd w:id="573"/>
      <w:bookmarkEnd w:id="574"/>
    </w:p>
    <w:p>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575" w:name="_Toc455284871"/>
      <w:bookmarkStart w:id="576" w:name="_Toc181504039"/>
      <w:bookmarkStart w:id="577" w:name="_Toc176681170"/>
      <w:r>
        <w:rPr>
          <w:rStyle w:val="CharSectno"/>
        </w:rPr>
        <w:t>113</w:t>
      </w:r>
      <w:r>
        <w:rPr>
          <w:snapToGrid w:val="0"/>
        </w:rPr>
        <w:t>.</w:t>
      </w:r>
      <w:r>
        <w:rPr>
          <w:snapToGrid w:val="0"/>
        </w:rPr>
        <w:tab/>
        <w:t>Accumulations of income</w:t>
      </w:r>
      <w:bookmarkEnd w:id="575"/>
      <w:bookmarkEnd w:id="576"/>
      <w:bookmarkEnd w:id="577"/>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578" w:name="_Toc455284872"/>
      <w:bookmarkStart w:id="579" w:name="_Toc181504040"/>
      <w:bookmarkStart w:id="580" w:name="_Toc176681171"/>
      <w:r>
        <w:rPr>
          <w:rStyle w:val="CharSectno"/>
        </w:rPr>
        <w:t>114</w:t>
      </w:r>
      <w:r>
        <w:rPr>
          <w:snapToGrid w:val="0"/>
        </w:rPr>
        <w:t>.</w:t>
      </w:r>
      <w:r>
        <w:rPr>
          <w:snapToGrid w:val="0"/>
        </w:rPr>
        <w:tab/>
        <w:t>Rule in Whitby v. Mitchell abolished</w:t>
      </w:r>
      <w:bookmarkEnd w:id="578"/>
      <w:bookmarkEnd w:id="579"/>
      <w:bookmarkEnd w:id="580"/>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581" w:name="_Toc455284873"/>
      <w:bookmarkStart w:id="582" w:name="_Toc181504041"/>
      <w:bookmarkStart w:id="583" w:name="_Toc176681172"/>
      <w:r>
        <w:rPr>
          <w:rStyle w:val="CharSectno"/>
        </w:rPr>
        <w:t>115</w:t>
      </w:r>
      <w:r>
        <w:rPr>
          <w:snapToGrid w:val="0"/>
        </w:rPr>
        <w:t>.</w:t>
      </w:r>
      <w:r>
        <w:rPr>
          <w:snapToGrid w:val="0"/>
        </w:rPr>
        <w:tab/>
        <w:t>Superannuation funds etc.</w:t>
      </w:r>
      <w:bookmarkEnd w:id="581"/>
      <w:bookmarkEnd w:id="582"/>
      <w:bookmarkEnd w:id="583"/>
    </w:p>
    <w:p>
      <w:pPr>
        <w:pStyle w:val="Subsection"/>
        <w:rPr>
          <w:snapToGrid w:val="0"/>
        </w:rPr>
      </w:pPr>
      <w:r>
        <w:rPr>
          <w:snapToGrid w:val="0"/>
        </w:rPr>
        <w:tab/>
        <w:t>(1)</w:t>
      </w:r>
      <w:r>
        <w:rPr>
          <w:snapToGrid w:val="0"/>
        </w:rPr>
        <w:tab/>
        <w:t>The rule against perpetuities does not apply and shall be deemed never to have applied to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b/>
          <w:snapToGrid w:val="0"/>
        </w:rPr>
        <w:t>“</w:t>
      </w:r>
      <w:r>
        <w:rPr>
          <w:rStyle w:val="CharDefText"/>
        </w:rPr>
        <w:t>employee</w:t>
      </w:r>
      <w:r>
        <w:rPr>
          <w:b/>
          <w:snapToGrid w:val="0"/>
        </w:rPr>
        <w:t>”</w:t>
      </w:r>
      <w:r>
        <w:rPr>
          <w:snapToGrid w:val="0"/>
        </w:rPr>
        <w:t xml:space="preserve"> includes any director, officer, servant or person at any time in the employment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b/>
          <w:snapToGrid w:val="0"/>
        </w:rPr>
        <w:t>“</w:t>
      </w:r>
      <w:r>
        <w:rPr>
          <w:rStyle w:val="CharDefText"/>
        </w:rPr>
        <w:t>employer</w:t>
      </w:r>
      <w:r>
        <w:rPr>
          <w:b/>
          <w:snapToGrid w:val="0"/>
        </w:rPr>
        <w:t>”</w:t>
      </w:r>
      <w:r>
        <w:rPr>
          <w:snapToGrid w:val="0"/>
        </w:rPr>
        <w:t xml:space="preserve"> includes a company.</w:t>
      </w:r>
    </w:p>
    <w:p>
      <w:pPr>
        <w:pStyle w:val="Footnotesection"/>
      </w:pPr>
      <w:r>
        <w:tab/>
        <w:t>[Section 115 amended by No. 28 of 2003 s. 164.]</w:t>
      </w:r>
    </w:p>
    <w:p>
      <w:pPr>
        <w:pStyle w:val="Heading2"/>
      </w:pPr>
      <w:bookmarkStart w:id="584" w:name="_Toc122773039"/>
      <w:bookmarkStart w:id="585" w:name="_Toc123004054"/>
      <w:bookmarkStart w:id="586" w:name="_Toc131413146"/>
      <w:bookmarkStart w:id="587" w:name="_Toc166297518"/>
      <w:bookmarkStart w:id="588" w:name="_Toc166319481"/>
      <w:bookmarkStart w:id="589" w:name="_Toc173212866"/>
      <w:bookmarkStart w:id="590" w:name="_Toc173213033"/>
      <w:bookmarkStart w:id="591" w:name="_Toc173213200"/>
      <w:bookmarkStart w:id="592" w:name="_Toc173213367"/>
      <w:bookmarkStart w:id="593" w:name="_Toc173307829"/>
      <w:bookmarkStart w:id="594" w:name="_Toc173916884"/>
      <w:bookmarkStart w:id="595" w:name="_Toc174350580"/>
      <w:bookmarkStart w:id="596" w:name="_Toc174507968"/>
      <w:bookmarkStart w:id="597" w:name="_Toc176681173"/>
      <w:bookmarkStart w:id="598" w:name="_Toc181504042"/>
      <w:r>
        <w:rPr>
          <w:rStyle w:val="CharPartNo"/>
        </w:rPr>
        <w:t>Part XII</w:t>
      </w:r>
      <w:r>
        <w:rPr>
          <w:rStyle w:val="CharDivNo"/>
        </w:rPr>
        <w:t> </w:t>
      </w:r>
      <w:r>
        <w:t>—</w:t>
      </w:r>
      <w:r>
        <w:rPr>
          <w:rStyle w:val="CharDivText"/>
        </w:rPr>
        <w:t> </w:t>
      </w:r>
      <w:r>
        <w:rPr>
          <w:rStyle w:val="CharPartText"/>
        </w:rPr>
        <w:t>Succession</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Ednotesection"/>
      </w:pPr>
      <w:r>
        <w:t>[</w:t>
      </w:r>
      <w:r>
        <w:rPr>
          <w:b/>
        </w:rPr>
        <w:t>116</w:t>
      </w:r>
      <w:r>
        <w:rPr>
          <w:b/>
        </w:rPr>
        <w:noBreakHyphen/>
        <w:t>117.</w:t>
      </w:r>
      <w:r>
        <w:tab/>
        <w:t>Repealed by No. 12 of 1970 s. 3.]</w:t>
      </w:r>
    </w:p>
    <w:p>
      <w:pPr>
        <w:pStyle w:val="Heading5"/>
        <w:rPr>
          <w:snapToGrid w:val="0"/>
        </w:rPr>
      </w:pPr>
      <w:bookmarkStart w:id="599" w:name="_Toc455284874"/>
      <w:bookmarkStart w:id="600" w:name="_Toc181504043"/>
      <w:bookmarkStart w:id="601" w:name="_Toc176681174"/>
      <w:r>
        <w:rPr>
          <w:rStyle w:val="CharSectno"/>
        </w:rPr>
        <w:t>118</w:t>
      </w:r>
      <w:r>
        <w:rPr>
          <w:snapToGrid w:val="0"/>
        </w:rPr>
        <w:t>.</w:t>
      </w:r>
      <w:r>
        <w:rPr>
          <w:snapToGrid w:val="0"/>
        </w:rPr>
        <w:tab/>
        <w:t>Intermediate income of executory or contingent gifts</w:t>
      </w:r>
      <w:bookmarkEnd w:id="599"/>
      <w:bookmarkEnd w:id="600"/>
      <w:bookmarkEnd w:id="601"/>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602" w:name="_Toc455284875"/>
      <w:bookmarkStart w:id="603" w:name="_Toc181504044"/>
      <w:bookmarkStart w:id="604" w:name="_Toc176681175"/>
      <w:r>
        <w:rPr>
          <w:rStyle w:val="CharSectno"/>
        </w:rPr>
        <w:t>119</w:t>
      </w:r>
      <w:r>
        <w:rPr>
          <w:snapToGrid w:val="0"/>
        </w:rPr>
        <w:t>.</w:t>
      </w:r>
      <w:r>
        <w:rPr>
          <w:snapToGrid w:val="0"/>
        </w:rPr>
        <w:tab/>
        <w:t>Application of section 120</w:t>
      </w:r>
      <w:bookmarkEnd w:id="602"/>
      <w:bookmarkEnd w:id="603"/>
      <w:bookmarkEnd w:id="604"/>
    </w:p>
    <w:p>
      <w:pPr>
        <w:pStyle w:val="Subsection"/>
        <w:keepNext/>
        <w:rPr>
          <w:snapToGrid w:val="0"/>
        </w:rPr>
      </w:pPr>
      <w:r>
        <w:rPr>
          <w:snapToGrid w:val="0"/>
        </w:rPr>
        <w:tab/>
        <w:t>(1)</w:t>
      </w:r>
      <w:r>
        <w:rPr>
          <w:snapToGrid w:val="0"/>
        </w:rPr>
        <w:tab/>
        <w:t>Section 120 applies in respect of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605" w:name="_Toc455284876"/>
      <w:bookmarkStart w:id="606" w:name="_Toc181504045"/>
      <w:bookmarkStart w:id="607" w:name="_Toc176681176"/>
      <w:r>
        <w:rPr>
          <w:rStyle w:val="CharSectno"/>
        </w:rPr>
        <w:t>120</w:t>
      </w:r>
      <w:r>
        <w:rPr>
          <w:snapToGrid w:val="0"/>
        </w:rPr>
        <w:t>.</w:t>
      </w:r>
      <w:r>
        <w:rPr>
          <w:snapToGrid w:val="0"/>
        </w:rPr>
        <w:tab/>
        <w:t>Devolution of property in cases of simultaneous deaths</w:t>
      </w:r>
      <w:bookmarkEnd w:id="605"/>
      <w:bookmarkEnd w:id="606"/>
      <w:bookmarkEnd w:id="607"/>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 instrument, any property is devised or bequeathed or appointed to the survivor of 2 or more of the testator’s children or other issue within the meaning of section 117</w:t>
      </w:r>
      <w:r>
        <w:rPr>
          <w:snapToGrid w:val="0"/>
          <w:vertAlign w:val="superscript"/>
        </w:rPr>
        <w:t> 6</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Heading2"/>
      </w:pPr>
      <w:bookmarkStart w:id="608" w:name="_Toc122773043"/>
      <w:bookmarkStart w:id="609" w:name="_Toc123004058"/>
      <w:bookmarkStart w:id="610" w:name="_Toc131413150"/>
      <w:bookmarkStart w:id="611" w:name="_Toc166297522"/>
      <w:bookmarkStart w:id="612" w:name="_Toc166319485"/>
      <w:bookmarkStart w:id="613" w:name="_Toc173212870"/>
      <w:bookmarkStart w:id="614" w:name="_Toc173213037"/>
      <w:bookmarkStart w:id="615" w:name="_Toc173213204"/>
      <w:bookmarkStart w:id="616" w:name="_Toc173213371"/>
      <w:bookmarkStart w:id="617" w:name="_Toc173307833"/>
      <w:bookmarkStart w:id="618" w:name="_Toc173916888"/>
      <w:bookmarkStart w:id="619" w:name="_Toc174350584"/>
      <w:bookmarkStart w:id="620" w:name="_Toc174507972"/>
      <w:bookmarkStart w:id="621" w:name="_Toc176681177"/>
      <w:bookmarkStart w:id="622" w:name="_Toc181504046"/>
      <w:r>
        <w:rPr>
          <w:rStyle w:val="CharPartNo"/>
        </w:rPr>
        <w:t>Part XIII</w:t>
      </w:r>
      <w:r>
        <w:rPr>
          <w:rStyle w:val="CharDivNo"/>
        </w:rPr>
        <w:t> </w:t>
      </w:r>
      <w:r>
        <w:t>—</w:t>
      </w:r>
      <w:r>
        <w:rPr>
          <w:rStyle w:val="CharDivText"/>
        </w:rPr>
        <w:t> </w:t>
      </w:r>
      <w:r>
        <w:rPr>
          <w:rStyle w:val="CharPartText"/>
        </w:rPr>
        <w:t>Easements, encroachments and mistake</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spacing w:before="180"/>
        <w:rPr>
          <w:snapToGrid w:val="0"/>
        </w:rPr>
      </w:pPr>
      <w:bookmarkStart w:id="623" w:name="_Toc455284877"/>
      <w:bookmarkStart w:id="624" w:name="_Toc181504047"/>
      <w:bookmarkStart w:id="625" w:name="_Toc176681178"/>
      <w:r>
        <w:rPr>
          <w:rStyle w:val="CharSectno"/>
        </w:rPr>
        <w:t>121</w:t>
      </w:r>
      <w:r>
        <w:rPr>
          <w:snapToGrid w:val="0"/>
        </w:rPr>
        <w:t>.</w:t>
      </w:r>
      <w:r>
        <w:rPr>
          <w:snapToGrid w:val="0"/>
        </w:rPr>
        <w:tab/>
        <w:t>Easement of light and air only by registered grant or instrument</w:t>
      </w:r>
      <w:bookmarkEnd w:id="623"/>
      <w:bookmarkEnd w:id="624"/>
      <w:bookmarkEnd w:id="625"/>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626" w:name="_Toc455284878"/>
      <w:bookmarkStart w:id="627" w:name="_Toc181504048"/>
      <w:bookmarkStart w:id="628" w:name="_Toc176681179"/>
      <w:r>
        <w:rPr>
          <w:rStyle w:val="CharSectno"/>
        </w:rPr>
        <w:t>122</w:t>
      </w:r>
      <w:r>
        <w:rPr>
          <w:snapToGrid w:val="0"/>
        </w:rPr>
        <w:t>.</w:t>
      </w:r>
      <w:r>
        <w:rPr>
          <w:snapToGrid w:val="0"/>
        </w:rPr>
        <w:tab/>
        <w:t>Power of Court to grant special relief in cases of encroachment</w:t>
      </w:r>
      <w:bookmarkEnd w:id="626"/>
      <w:bookmarkEnd w:id="627"/>
      <w:bookmarkEnd w:id="628"/>
    </w:p>
    <w:p>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rPr>
          <w:snapToGrid w:val="0"/>
        </w:rPr>
      </w:pPr>
      <w:r>
        <w:rPr>
          <w:snapToGrid w:val="0"/>
        </w:rPr>
        <w:tab/>
        <w:t>(b)</w:t>
      </w:r>
      <w:r>
        <w:rPr>
          <w:snapToGrid w:val="0"/>
        </w:rPr>
        <w:tab/>
        <w:t>For the purposes of this subsection, the Court may, if in its opinion notice of the application or proposal should be given to any person referred to in this subsection,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b/>
          <w:snapToGrid w:val="0"/>
        </w:rPr>
        <w:t>“</w:t>
      </w:r>
      <w:r>
        <w:rPr>
          <w:rStyle w:val="CharDefText"/>
        </w:rPr>
        <w:t>building</w:t>
      </w:r>
      <w:r>
        <w:rPr>
          <w:b/>
          <w:snapToGrid w:val="0"/>
        </w:rPr>
        <w:t>”</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pPr>
      <w:r>
        <w:tab/>
        <w:t>[Section 122 amended by No. 84 of 1994 s. 46(11); No. 14 of 1996 s. 4; No. 38 of 2005 s. 15.]</w:t>
      </w:r>
    </w:p>
    <w:p>
      <w:pPr>
        <w:pStyle w:val="Heading5"/>
        <w:rPr>
          <w:snapToGrid w:val="0"/>
        </w:rPr>
      </w:pPr>
      <w:bookmarkStart w:id="629" w:name="_Toc455284879"/>
      <w:bookmarkStart w:id="630" w:name="_Toc181504049"/>
      <w:bookmarkStart w:id="631" w:name="_Toc176681180"/>
      <w:r>
        <w:rPr>
          <w:rStyle w:val="CharSectno"/>
        </w:rPr>
        <w:t>123</w:t>
      </w:r>
      <w:r>
        <w:rPr>
          <w:snapToGrid w:val="0"/>
        </w:rPr>
        <w:t>.</w:t>
      </w:r>
      <w:r>
        <w:rPr>
          <w:snapToGrid w:val="0"/>
        </w:rPr>
        <w:tab/>
        <w:t>Relief in cases of mistake as to boundaries or identity of land</w:t>
      </w:r>
      <w:bookmarkEnd w:id="629"/>
      <w:bookmarkEnd w:id="630"/>
      <w:bookmarkEnd w:id="631"/>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pPr>
      <w:r>
        <w:tab/>
        <w:t>[Section 123 amended by No. 84 of 1994 s. 46(11); No. 14 of 1996 s. 4; No. 38 of 2005 s. 15.]</w:t>
      </w:r>
    </w:p>
    <w:p>
      <w:pPr>
        <w:pStyle w:val="Heading5"/>
        <w:keepLines w:val="0"/>
        <w:rPr>
          <w:snapToGrid w:val="0"/>
        </w:rPr>
      </w:pPr>
      <w:bookmarkStart w:id="632" w:name="_Toc455284880"/>
      <w:bookmarkStart w:id="633" w:name="_Toc181504050"/>
      <w:bookmarkStart w:id="634" w:name="_Toc176681181"/>
      <w:r>
        <w:rPr>
          <w:rStyle w:val="CharSectno"/>
        </w:rPr>
        <w:t>124</w:t>
      </w:r>
      <w:r>
        <w:rPr>
          <w:snapToGrid w:val="0"/>
        </w:rPr>
        <w:t>.</w:t>
      </w:r>
      <w:r>
        <w:rPr>
          <w:snapToGrid w:val="0"/>
        </w:rPr>
        <w:tab/>
        <w:t>Recovery of payments made under mistake of law</w:t>
      </w:r>
      <w:bookmarkEnd w:id="632"/>
      <w:bookmarkEnd w:id="633"/>
      <w:bookmarkEnd w:id="634"/>
    </w:p>
    <w:p>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Lines w:val="0"/>
        <w:rPr>
          <w:snapToGrid w:val="0"/>
        </w:rPr>
      </w:pPr>
      <w:bookmarkStart w:id="635" w:name="_Toc455284881"/>
      <w:bookmarkStart w:id="636" w:name="_Toc181504051"/>
      <w:bookmarkStart w:id="637" w:name="_Toc176681182"/>
      <w:r>
        <w:rPr>
          <w:rStyle w:val="CharSectno"/>
        </w:rPr>
        <w:t>125</w:t>
      </w:r>
      <w:r>
        <w:rPr>
          <w:snapToGrid w:val="0"/>
        </w:rPr>
        <w:t>.</w:t>
      </w:r>
      <w:r>
        <w:rPr>
          <w:snapToGrid w:val="0"/>
        </w:rPr>
        <w:tab/>
        <w:t>Payments made under mistake of law or fact not always recoverable</w:t>
      </w:r>
      <w:bookmarkEnd w:id="635"/>
      <w:bookmarkEnd w:id="636"/>
      <w:bookmarkEnd w:id="637"/>
    </w:p>
    <w:p>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638" w:name="_Toc122773049"/>
      <w:bookmarkStart w:id="639" w:name="_Toc123004064"/>
      <w:bookmarkStart w:id="640" w:name="_Toc131413156"/>
      <w:bookmarkStart w:id="641" w:name="_Toc166297528"/>
      <w:bookmarkStart w:id="642" w:name="_Toc166319491"/>
      <w:bookmarkStart w:id="643" w:name="_Toc173212876"/>
      <w:bookmarkStart w:id="644" w:name="_Toc173213043"/>
      <w:bookmarkStart w:id="645" w:name="_Toc173213210"/>
      <w:bookmarkStart w:id="646" w:name="_Toc173213377"/>
      <w:bookmarkStart w:id="647" w:name="_Toc173307839"/>
      <w:bookmarkStart w:id="648" w:name="_Toc173916894"/>
      <w:bookmarkStart w:id="649" w:name="_Toc174350590"/>
      <w:bookmarkStart w:id="650" w:name="_Toc174507978"/>
      <w:bookmarkStart w:id="651" w:name="_Toc176681183"/>
      <w:bookmarkStart w:id="652" w:name="_Toc181504052"/>
      <w:r>
        <w:rPr>
          <w:rStyle w:val="CharPartNo"/>
        </w:rPr>
        <w:t>Part XIV</w:t>
      </w:r>
      <w:r>
        <w:rPr>
          <w:rStyle w:val="CharDivNo"/>
        </w:rPr>
        <w:t> </w:t>
      </w:r>
      <w:r>
        <w:t>—</w:t>
      </w:r>
      <w:r>
        <w:rPr>
          <w:rStyle w:val="CharDivText"/>
        </w:rPr>
        <w:t> </w:t>
      </w:r>
      <w:r>
        <w:rPr>
          <w:rStyle w:val="CharPartText"/>
        </w:rPr>
        <w:t>Partition of land and division of chattels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spacing w:before="180"/>
        <w:rPr>
          <w:snapToGrid w:val="0"/>
        </w:rPr>
      </w:pPr>
      <w:bookmarkStart w:id="653" w:name="_Toc455284882"/>
      <w:bookmarkStart w:id="654" w:name="_Toc181504053"/>
      <w:bookmarkStart w:id="655" w:name="_Toc176681184"/>
      <w:r>
        <w:rPr>
          <w:rStyle w:val="CharSectno"/>
        </w:rPr>
        <w:t>126</w:t>
      </w:r>
      <w:r>
        <w:rPr>
          <w:snapToGrid w:val="0"/>
        </w:rPr>
        <w:t>.</w:t>
      </w:r>
      <w:r>
        <w:rPr>
          <w:snapToGrid w:val="0"/>
        </w:rPr>
        <w:tab/>
        <w:t>In action for partition Court may direct land to be sold</w:t>
      </w:r>
      <w:bookmarkEnd w:id="653"/>
      <w:bookmarkEnd w:id="654"/>
      <w:bookmarkEnd w:id="655"/>
    </w:p>
    <w:p>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rPr>
          <w:snapToGrid w:val="0"/>
        </w:rPr>
      </w:pPr>
      <w:bookmarkStart w:id="656" w:name="_Toc455284883"/>
      <w:bookmarkStart w:id="657" w:name="_Toc181504054"/>
      <w:bookmarkStart w:id="658" w:name="_Toc176681185"/>
      <w:r>
        <w:rPr>
          <w:rStyle w:val="CharSectno"/>
        </w:rPr>
        <w:t>127</w:t>
      </w:r>
      <w:r>
        <w:rPr>
          <w:snapToGrid w:val="0"/>
        </w:rPr>
        <w:t>.</w:t>
      </w:r>
      <w:r>
        <w:rPr>
          <w:snapToGrid w:val="0"/>
        </w:rPr>
        <w:tab/>
        <w:t>Proceeds of sale, how applied</w:t>
      </w:r>
      <w:bookmarkEnd w:id="656"/>
      <w:bookmarkEnd w:id="657"/>
      <w:bookmarkEnd w:id="658"/>
    </w:p>
    <w:p>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659" w:name="_Toc455284884"/>
      <w:bookmarkStart w:id="660" w:name="_Toc181504055"/>
      <w:bookmarkStart w:id="661" w:name="_Toc176681186"/>
      <w:r>
        <w:rPr>
          <w:rStyle w:val="CharSectno"/>
        </w:rPr>
        <w:t>128</w:t>
      </w:r>
      <w:r>
        <w:rPr>
          <w:snapToGrid w:val="0"/>
        </w:rPr>
        <w:t>.</w:t>
      </w:r>
      <w:r>
        <w:rPr>
          <w:snapToGrid w:val="0"/>
        </w:rPr>
        <w:tab/>
        <w:t>Costs in partition suits</w:t>
      </w:r>
      <w:bookmarkEnd w:id="659"/>
      <w:bookmarkEnd w:id="660"/>
      <w:bookmarkEnd w:id="661"/>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662" w:name="_Toc455284885"/>
      <w:bookmarkStart w:id="663" w:name="_Toc181504056"/>
      <w:bookmarkStart w:id="664" w:name="_Toc176681187"/>
      <w:r>
        <w:rPr>
          <w:rStyle w:val="CharSectno"/>
        </w:rPr>
        <w:t>129</w:t>
      </w:r>
      <w:r>
        <w:rPr>
          <w:snapToGrid w:val="0"/>
        </w:rPr>
        <w:t>.</w:t>
      </w:r>
      <w:r>
        <w:rPr>
          <w:snapToGrid w:val="0"/>
        </w:rPr>
        <w:tab/>
        <w:t>Division of chattels</w:t>
      </w:r>
      <w:bookmarkEnd w:id="662"/>
      <w:bookmarkEnd w:id="663"/>
      <w:bookmarkEnd w:id="664"/>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665" w:name="_Toc122773054"/>
      <w:bookmarkStart w:id="666" w:name="_Toc123004069"/>
      <w:bookmarkStart w:id="667" w:name="_Toc131413161"/>
      <w:bookmarkStart w:id="668" w:name="_Toc166297533"/>
      <w:bookmarkStart w:id="669" w:name="_Toc166319496"/>
      <w:bookmarkStart w:id="670" w:name="_Toc173212881"/>
      <w:bookmarkStart w:id="671" w:name="_Toc173213048"/>
      <w:bookmarkStart w:id="672" w:name="_Toc173213215"/>
      <w:bookmarkStart w:id="673" w:name="_Toc173213382"/>
      <w:bookmarkStart w:id="674" w:name="_Toc173307844"/>
      <w:bookmarkStart w:id="675" w:name="_Toc173916899"/>
      <w:bookmarkStart w:id="676" w:name="_Toc174350595"/>
      <w:bookmarkStart w:id="677" w:name="_Toc174507983"/>
      <w:bookmarkStart w:id="678" w:name="_Toc176681188"/>
      <w:bookmarkStart w:id="679" w:name="_Toc181504057"/>
      <w:r>
        <w:rPr>
          <w:rStyle w:val="CharPartNo"/>
        </w:rPr>
        <w:t>Part XV</w:t>
      </w:r>
      <w:r>
        <w:rPr>
          <w:rStyle w:val="CharDivNo"/>
        </w:rPr>
        <w:t> </w:t>
      </w:r>
      <w:r>
        <w:t>—</w:t>
      </w:r>
      <w:r>
        <w:rPr>
          <w:rStyle w:val="CharDivText"/>
        </w:rPr>
        <w:t> </w:t>
      </w:r>
      <w:r>
        <w:rPr>
          <w:rStyle w:val="CharPartText"/>
        </w:rPr>
        <w:t>Apportionment</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rPr>
          <w:snapToGrid w:val="0"/>
        </w:rPr>
      </w:pPr>
      <w:bookmarkStart w:id="680" w:name="_Toc455284886"/>
      <w:bookmarkStart w:id="681" w:name="_Toc181504058"/>
      <w:bookmarkStart w:id="682" w:name="_Toc176681189"/>
      <w:r>
        <w:rPr>
          <w:rStyle w:val="CharSectno"/>
        </w:rPr>
        <w:t>130</w:t>
      </w:r>
      <w:r>
        <w:rPr>
          <w:snapToGrid w:val="0"/>
        </w:rPr>
        <w:t>.</w:t>
      </w:r>
      <w:r>
        <w:rPr>
          <w:snapToGrid w:val="0"/>
        </w:rPr>
        <w:tab/>
      </w:r>
      <w:bookmarkEnd w:id="680"/>
      <w:r>
        <w:rPr>
          <w:snapToGrid w:val="0"/>
        </w:rPr>
        <w:t>Terms used in this Part</w:t>
      </w:r>
      <w:bookmarkEnd w:id="681"/>
      <w:bookmarkEnd w:id="682"/>
    </w:p>
    <w:p>
      <w:pPr>
        <w:pStyle w:val="Subsection"/>
        <w:keepNext/>
        <w:rPr>
          <w:snapToGrid w:val="0"/>
        </w:rPr>
      </w:pPr>
      <w:r>
        <w:rPr>
          <w:snapToGrid w:val="0"/>
        </w:rPr>
        <w:tab/>
        <w:t>(1)</w:t>
      </w:r>
      <w:r>
        <w:rPr>
          <w:snapToGrid w:val="0"/>
        </w:rPr>
        <w:tab/>
        <w:t>In this Part, unless the contrary intention appears —</w:t>
      </w:r>
    </w:p>
    <w:p>
      <w:pPr>
        <w:pStyle w:val="Defstart"/>
      </w:pPr>
      <w:r>
        <w:rPr>
          <w:b/>
        </w:rPr>
        <w:tab/>
        <w:t>“</w:t>
      </w:r>
      <w:r>
        <w:rPr>
          <w:rStyle w:val="CharDefText"/>
        </w:rPr>
        <w:t>annuities</w:t>
      </w:r>
      <w:r>
        <w:rPr>
          <w:b/>
        </w:rPr>
        <w:t>”</w:t>
      </w:r>
      <w:r>
        <w:t xml:space="preserve"> includes salaries and pensions;</w:t>
      </w:r>
    </w:p>
    <w:p>
      <w:pPr>
        <w:pStyle w:val="Defstart"/>
      </w:pPr>
      <w:r>
        <w:rPr>
          <w:b/>
        </w:rPr>
        <w:tab/>
        <w:t>“</w:t>
      </w:r>
      <w:r>
        <w:rPr>
          <w:rStyle w:val="CharDefText"/>
        </w:rPr>
        <w:t>dividends</w:t>
      </w:r>
      <w:r>
        <w:rPr>
          <w:b/>
        </w:rPr>
        <w:t>”</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t>“</w:t>
      </w:r>
      <w:r>
        <w:rPr>
          <w:rStyle w:val="CharDefText"/>
        </w:rPr>
        <w:t>rent</w:t>
      </w:r>
      <w:r>
        <w:rPr>
          <w:b/>
        </w:rPr>
        <w: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683" w:name="_Toc455284887"/>
      <w:bookmarkStart w:id="684" w:name="_Toc181504059"/>
      <w:bookmarkStart w:id="685" w:name="_Toc176681190"/>
      <w:r>
        <w:rPr>
          <w:rStyle w:val="CharSectno"/>
        </w:rPr>
        <w:t>131</w:t>
      </w:r>
      <w:r>
        <w:rPr>
          <w:snapToGrid w:val="0"/>
        </w:rPr>
        <w:t>.</w:t>
      </w:r>
      <w:r>
        <w:rPr>
          <w:snapToGrid w:val="0"/>
        </w:rPr>
        <w:tab/>
        <w:t>Income apportionable in respect of time</w:t>
      </w:r>
      <w:bookmarkEnd w:id="683"/>
      <w:bookmarkEnd w:id="684"/>
      <w:bookmarkEnd w:id="685"/>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686" w:name="_Toc455284888"/>
      <w:bookmarkStart w:id="687" w:name="_Toc181504060"/>
      <w:bookmarkStart w:id="688" w:name="_Toc176681191"/>
      <w:r>
        <w:rPr>
          <w:rStyle w:val="CharSectno"/>
        </w:rPr>
        <w:t>132</w:t>
      </w:r>
      <w:r>
        <w:rPr>
          <w:snapToGrid w:val="0"/>
        </w:rPr>
        <w:t>.</w:t>
      </w:r>
      <w:r>
        <w:rPr>
          <w:snapToGrid w:val="0"/>
        </w:rPr>
        <w:tab/>
        <w:t>Time when apportioned part payable</w:t>
      </w:r>
      <w:bookmarkEnd w:id="686"/>
      <w:bookmarkEnd w:id="687"/>
      <w:bookmarkEnd w:id="688"/>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689" w:name="_Toc455284889"/>
      <w:bookmarkStart w:id="690" w:name="_Toc181504061"/>
      <w:bookmarkStart w:id="691" w:name="_Toc176681192"/>
      <w:r>
        <w:rPr>
          <w:rStyle w:val="CharSectno"/>
        </w:rPr>
        <w:t>133</w:t>
      </w:r>
      <w:r>
        <w:rPr>
          <w:snapToGrid w:val="0"/>
        </w:rPr>
        <w:t>.</w:t>
      </w:r>
      <w:r>
        <w:rPr>
          <w:snapToGrid w:val="0"/>
        </w:rPr>
        <w:tab/>
        <w:t>Recovery of apportioned parts</w:t>
      </w:r>
      <w:bookmarkEnd w:id="689"/>
      <w:bookmarkEnd w:id="690"/>
      <w:bookmarkEnd w:id="691"/>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692" w:name="_Toc455284890"/>
      <w:bookmarkStart w:id="693" w:name="_Toc181504062"/>
      <w:bookmarkStart w:id="694" w:name="_Toc176681193"/>
      <w:r>
        <w:rPr>
          <w:rStyle w:val="CharSectno"/>
        </w:rPr>
        <w:t>134</w:t>
      </w:r>
      <w:r>
        <w:rPr>
          <w:snapToGrid w:val="0"/>
        </w:rPr>
        <w:t>.</w:t>
      </w:r>
      <w:r>
        <w:rPr>
          <w:snapToGrid w:val="0"/>
        </w:rPr>
        <w:tab/>
        <w:t>Exceptions and application</w:t>
      </w:r>
      <w:bookmarkEnd w:id="692"/>
      <w:bookmarkEnd w:id="693"/>
      <w:bookmarkEnd w:id="694"/>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695" w:name="_Toc122773060"/>
      <w:bookmarkStart w:id="696" w:name="_Toc123004075"/>
      <w:bookmarkStart w:id="697" w:name="_Toc131413167"/>
      <w:bookmarkStart w:id="698" w:name="_Toc166297539"/>
      <w:bookmarkStart w:id="699" w:name="_Toc166319502"/>
      <w:bookmarkStart w:id="700" w:name="_Toc173212887"/>
      <w:bookmarkStart w:id="701" w:name="_Toc173213054"/>
      <w:bookmarkStart w:id="702" w:name="_Toc173213221"/>
      <w:bookmarkStart w:id="703" w:name="_Toc173213388"/>
      <w:bookmarkStart w:id="704" w:name="_Toc173307850"/>
      <w:bookmarkStart w:id="705" w:name="_Toc173916905"/>
      <w:bookmarkStart w:id="706" w:name="_Toc174350601"/>
      <w:bookmarkStart w:id="707" w:name="_Toc174507989"/>
      <w:bookmarkStart w:id="708" w:name="_Toc176681194"/>
      <w:bookmarkStart w:id="709" w:name="_Toc181504063"/>
      <w:r>
        <w:rPr>
          <w:rStyle w:val="CharPartNo"/>
        </w:rPr>
        <w:t>Part XVI</w:t>
      </w:r>
      <w:r>
        <w:rPr>
          <w:rStyle w:val="CharDivNo"/>
        </w:rPr>
        <w:t> </w:t>
      </w:r>
      <w:r>
        <w:t>—</w:t>
      </w:r>
      <w:r>
        <w:rPr>
          <w:rStyle w:val="CharDivText"/>
        </w:rPr>
        <w:t> </w:t>
      </w:r>
      <w:r>
        <w:rPr>
          <w:rStyle w:val="CharPartText"/>
        </w:rPr>
        <w:t>Service of notices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rPr>
          <w:snapToGrid w:val="0"/>
        </w:rPr>
      </w:pPr>
      <w:bookmarkStart w:id="710" w:name="_Toc455284891"/>
      <w:bookmarkStart w:id="711" w:name="_Toc181504064"/>
      <w:bookmarkStart w:id="712" w:name="_Toc176681195"/>
      <w:r>
        <w:rPr>
          <w:rStyle w:val="CharSectno"/>
        </w:rPr>
        <w:t>135</w:t>
      </w:r>
      <w:r>
        <w:rPr>
          <w:snapToGrid w:val="0"/>
        </w:rPr>
        <w:t>.</w:t>
      </w:r>
      <w:r>
        <w:rPr>
          <w:snapToGrid w:val="0"/>
        </w:rPr>
        <w:tab/>
        <w:t>Mode of service</w:t>
      </w:r>
      <w:bookmarkEnd w:id="710"/>
      <w:bookmarkEnd w:id="711"/>
      <w:bookmarkEnd w:id="712"/>
    </w:p>
    <w:p>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pPr>
        <w:pStyle w:val="Indenta"/>
        <w:rPr>
          <w:snapToGrid w:val="0"/>
        </w:rPr>
      </w:pPr>
      <w:r>
        <w:rPr>
          <w:snapToGrid w:val="0"/>
        </w:rPr>
        <w:tab/>
        <w:t>(i)</w:t>
      </w:r>
      <w:r>
        <w:rPr>
          <w:snapToGrid w:val="0"/>
        </w:rPr>
        <w:tab/>
        <w:t>by delivering the notice to him personally;</w:t>
      </w:r>
    </w:p>
    <w:p>
      <w:pPr>
        <w:pStyle w:val="Indenta"/>
        <w:rPr>
          <w:snapToGrid w:val="0"/>
        </w:rPr>
      </w:pPr>
      <w:r>
        <w:rPr>
          <w:snapToGrid w:val="0"/>
        </w:rPr>
        <w:tab/>
        <w:t>(ii)</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(iii)</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(iv)</w:t>
      </w:r>
      <w:r>
        <w:rPr>
          <w:snapToGrid w:val="0"/>
        </w:rPr>
        <w:tab/>
        <w:t>in the case of a corporation by leaving it or by posting it as a letter addressed in either case to the corporation at its registered office or principal place of business in the State.</w:t>
      </w:r>
    </w:p>
    <w:p>
      <w:pPr>
        <w:pStyle w:val="Subsection"/>
        <w:rPr>
          <w:snapToGrid w:val="0"/>
        </w:rPr>
      </w:pPr>
      <w:r>
        <w:rPr>
          <w:snapToGrid w:val="0"/>
        </w:rPr>
        <w:tab/>
        <w:t>(b)</w:t>
      </w:r>
      <w:r>
        <w:rPr>
          <w:snapToGrid w:val="0"/>
        </w:rPr>
        <w:tab/>
        <w:t>A notice so posted shall be deemed to have been served, unless the contrary is shown, at the time when by the ordinary course of post the notice would be delivered.</w:t>
      </w:r>
    </w:p>
    <w:p>
      <w:pPr>
        <w:pStyle w:val="Subsection"/>
        <w:rPr>
          <w:snapToGrid w:val="0"/>
        </w:rPr>
      </w:pPr>
      <w:r>
        <w:rPr>
          <w:snapToGrid w:val="0"/>
        </w:rPr>
        <w:tab/>
        <w:t>(2)(a)</w:t>
      </w:r>
      <w:r>
        <w:rPr>
          <w:snapToGrid w:val="0"/>
        </w:rPr>
        <w:tab/>
        <w:t>If the person is absent from the State, the notice may be delivered as provided in subsection (1) to his agent in the State.</w:t>
      </w:r>
    </w:p>
    <w:p>
      <w:pPr>
        <w:pStyle w:val="Subsection"/>
        <w:rPr>
          <w:snapToGrid w:val="0"/>
        </w:rPr>
      </w:pPr>
      <w:r>
        <w:rPr>
          <w:snapToGrid w:val="0"/>
        </w:rPr>
        <w:tab/>
        <w:t>(b)</w:t>
      </w:r>
      <w:r>
        <w:rPr>
          <w:snapToGrid w:val="0"/>
        </w:rPr>
        <w:tab/>
        <w:t>If he is deceased, the notice may be so delivered 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713" w:name="_Toc173212889"/>
      <w:bookmarkStart w:id="714" w:name="_Toc173213056"/>
      <w:bookmarkStart w:id="715" w:name="_Toc173213223"/>
      <w:bookmarkStart w:id="716" w:name="_Toc173213390"/>
      <w:bookmarkStart w:id="717" w:name="_Toc173307852"/>
      <w:bookmarkStart w:id="718" w:name="_Toc173916907"/>
      <w:bookmarkStart w:id="719" w:name="_Toc174350603"/>
      <w:bookmarkStart w:id="720" w:name="_Toc174507991"/>
      <w:bookmarkStart w:id="721" w:name="_Toc176681196"/>
      <w:bookmarkStart w:id="722" w:name="_Toc181504065"/>
      <w:r>
        <w:rPr>
          <w:rStyle w:val="CharSchNo"/>
        </w:rPr>
        <w:t>First Schedule</w:t>
      </w:r>
      <w:bookmarkEnd w:id="713"/>
      <w:bookmarkEnd w:id="714"/>
      <w:bookmarkEnd w:id="715"/>
      <w:bookmarkEnd w:id="716"/>
      <w:bookmarkEnd w:id="717"/>
      <w:bookmarkEnd w:id="718"/>
      <w:bookmarkEnd w:id="719"/>
      <w:bookmarkEnd w:id="720"/>
      <w:bookmarkEnd w:id="721"/>
      <w:bookmarkEnd w:id="722"/>
    </w:p>
    <w:p>
      <w:pPr>
        <w:pStyle w:val="yShoulderClause"/>
        <w:rPr>
          <w:snapToGrid w:val="0"/>
        </w:rPr>
      </w:pPr>
      <w:r>
        <w:rPr>
          <w:snapToGrid w:val="0"/>
        </w:rPr>
        <w:t>[Section 4(a)]</w:t>
      </w:r>
    </w:p>
    <w:p>
      <w:pPr>
        <w:pStyle w:val="yHeading2"/>
        <w:spacing w:after="80"/>
      </w:pPr>
      <w:bookmarkStart w:id="723" w:name="_Toc173212890"/>
      <w:bookmarkStart w:id="724" w:name="_Toc173213057"/>
      <w:bookmarkStart w:id="725" w:name="_Toc173213224"/>
      <w:bookmarkStart w:id="726" w:name="_Toc173213391"/>
      <w:bookmarkStart w:id="727" w:name="_Toc173307853"/>
      <w:bookmarkStart w:id="728" w:name="_Toc173916908"/>
      <w:bookmarkStart w:id="729" w:name="_Toc174350604"/>
      <w:bookmarkStart w:id="730" w:name="_Toc174507992"/>
      <w:bookmarkStart w:id="731" w:name="_Toc176681197"/>
      <w:bookmarkStart w:id="732" w:name="_Toc181504066"/>
      <w:r>
        <w:rPr>
          <w:rStyle w:val="CharSchText"/>
        </w:rPr>
        <w:t>Adopted Acts ceasing to have effect</w:t>
      </w:r>
      <w:bookmarkEnd w:id="723"/>
      <w:bookmarkEnd w:id="724"/>
      <w:bookmarkEnd w:id="725"/>
      <w:bookmarkEnd w:id="726"/>
      <w:bookmarkEnd w:id="727"/>
      <w:bookmarkEnd w:id="728"/>
      <w:bookmarkEnd w:id="729"/>
      <w:bookmarkEnd w:id="730"/>
      <w:bookmarkEnd w:id="731"/>
      <w:bookmarkEnd w:id="732"/>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pPr>
              <w:pStyle w:val="yTable"/>
              <w:spacing w:after="60"/>
              <w:jc w:val="center"/>
              <w:rPr>
                <w:b/>
                <w:bCs/>
              </w:rPr>
            </w:pPr>
            <w:r>
              <w:rPr>
                <w:b/>
                <w:bCs/>
              </w:rP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Table"/>
        <w:rPr>
          <w:snapToGrid w:val="0"/>
        </w:rPr>
      </w:pPr>
    </w:p>
    <w:p>
      <w:pPr>
        <w:pStyle w:val="yScheduleHeading"/>
      </w:pPr>
      <w:bookmarkStart w:id="733" w:name="_Toc173212891"/>
      <w:bookmarkStart w:id="734" w:name="_Toc173213058"/>
      <w:bookmarkStart w:id="735" w:name="_Toc173213225"/>
      <w:bookmarkStart w:id="736" w:name="_Toc173213392"/>
      <w:bookmarkStart w:id="737" w:name="_Toc173307854"/>
      <w:bookmarkStart w:id="738" w:name="_Toc173916909"/>
      <w:bookmarkStart w:id="739" w:name="_Toc174350605"/>
      <w:bookmarkStart w:id="740" w:name="_Toc174507993"/>
      <w:bookmarkStart w:id="741" w:name="_Toc176681198"/>
      <w:bookmarkStart w:id="742" w:name="_Toc181504067"/>
      <w:r>
        <w:rPr>
          <w:rStyle w:val="CharSchNo"/>
        </w:rPr>
        <w:t>Second Schedule</w:t>
      </w:r>
      <w:bookmarkEnd w:id="733"/>
      <w:bookmarkEnd w:id="734"/>
      <w:bookmarkEnd w:id="735"/>
      <w:bookmarkEnd w:id="736"/>
      <w:bookmarkEnd w:id="737"/>
      <w:bookmarkEnd w:id="738"/>
      <w:bookmarkEnd w:id="739"/>
      <w:bookmarkEnd w:id="740"/>
      <w:bookmarkEnd w:id="741"/>
      <w:bookmarkEnd w:id="742"/>
      <w:r>
        <w:rPr>
          <w:rStyle w:val="CharSchText"/>
        </w:rPr>
        <w:t xml:space="preserve"> </w:t>
      </w:r>
    </w:p>
    <w:p>
      <w:pPr>
        <w:pStyle w:val="yShoulderClause"/>
        <w:spacing w:after="80"/>
        <w:rPr>
          <w:snapToGrid w:val="0"/>
        </w:rPr>
      </w:pPr>
      <w:r>
        <w:rPr>
          <w:snapToGrid w:val="0"/>
        </w:rPr>
        <w:t>[Section 4(b)]</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spacing w:after="60"/>
              <w:jc w:val="center"/>
              <w:rPr>
                <w:b/>
                <w:bCs/>
              </w:rPr>
            </w:pPr>
            <w:r>
              <w:rPr>
                <w:b/>
                <w:bCs/>
              </w:rPr>
              <w:t>Reference to Act</w:t>
            </w:r>
          </w:p>
        </w:tc>
        <w:tc>
          <w:tcPr>
            <w:tcW w:w="2835" w:type="dxa"/>
            <w:tcBorders>
              <w:top w:val="single" w:sz="4" w:space="0" w:color="auto"/>
              <w:bottom w:val="single" w:sz="4" w:space="0" w:color="auto"/>
            </w:tcBorders>
          </w:tcPr>
          <w:p>
            <w:pPr>
              <w:pStyle w:val="yTable"/>
              <w:spacing w:after="60"/>
              <w:jc w:val="center"/>
              <w:rPr>
                <w:b/>
                <w:bCs/>
              </w:rPr>
            </w:pPr>
            <w:r>
              <w:rPr>
                <w:b/>
                <w:bCs/>
              </w:rPr>
              <w:t>Subject or Title</w:t>
            </w:r>
          </w:p>
        </w:tc>
        <w:tc>
          <w:tcPr>
            <w:tcW w:w="1418" w:type="dxa"/>
            <w:tcBorders>
              <w:top w:val="single" w:sz="4" w:space="0" w:color="auto"/>
              <w:bottom w:val="single" w:sz="4" w:space="0" w:color="auto"/>
            </w:tcBorders>
          </w:tcPr>
          <w:p>
            <w:pPr>
              <w:pStyle w:val="yTable"/>
              <w:spacing w:after="60"/>
              <w:jc w:val="center"/>
              <w:rPr>
                <w:b/>
                <w:bCs/>
              </w:rPr>
            </w:pPr>
            <w:r>
              <w:rPr>
                <w:b/>
                <w:bCs/>
              </w:rPr>
              <w:t>Extent of Repeal</w:t>
            </w:r>
          </w:p>
        </w:tc>
      </w:tr>
      <w:tr>
        <w:tc>
          <w:tcPr>
            <w:tcW w:w="2835" w:type="dxa"/>
          </w:tcPr>
          <w:p>
            <w:pPr>
              <w:pStyle w:val="yTable"/>
            </w:pPr>
            <w:r>
              <w:t>2 Gul. IV No. 7.</w:t>
            </w:r>
          </w:p>
        </w:tc>
        <w:tc>
          <w:tcPr>
            <w:tcW w:w="2835" w:type="dxa"/>
          </w:tcPr>
          <w:p>
            <w:pPr>
              <w:pStyle w:val="yTable"/>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pPr>
      <w:bookmarkStart w:id="743" w:name="_Toc173212892"/>
      <w:bookmarkStart w:id="744" w:name="_Toc173213059"/>
      <w:bookmarkStart w:id="745" w:name="_Toc173213226"/>
      <w:bookmarkStart w:id="746" w:name="_Toc173213393"/>
      <w:bookmarkStart w:id="747" w:name="_Toc173307855"/>
      <w:bookmarkStart w:id="748" w:name="_Toc173916910"/>
      <w:bookmarkStart w:id="749" w:name="_Toc174350606"/>
      <w:bookmarkStart w:id="750" w:name="_Toc174507994"/>
      <w:bookmarkStart w:id="751" w:name="_Toc176681199"/>
      <w:bookmarkStart w:id="752" w:name="_Toc181504068"/>
      <w:r>
        <w:rPr>
          <w:rStyle w:val="CharSchNo"/>
        </w:rPr>
        <w:t>Third Schedule</w:t>
      </w:r>
      <w:bookmarkEnd w:id="743"/>
      <w:bookmarkEnd w:id="744"/>
      <w:bookmarkEnd w:id="745"/>
      <w:bookmarkEnd w:id="746"/>
      <w:bookmarkEnd w:id="747"/>
      <w:bookmarkEnd w:id="748"/>
      <w:bookmarkEnd w:id="749"/>
      <w:bookmarkEnd w:id="750"/>
      <w:bookmarkEnd w:id="751"/>
      <w:bookmarkEnd w:id="752"/>
    </w:p>
    <w:p>
      <w:pPr>
        <w:pStyle w:val="yShoulderClause"/>
      </w:pPr>
      <w:r>
        <w:t>[Section 45]</w:t>
      </w:r>
    </w:p>
    <w:p>
      <w:pPr>
        <w:pStyle w:val="yHeading2"/>
      </w:pPr>
      <w:bookmarkStart w:id="753" w:name="_Toc173212893"/>
      <w:bookmarkStart w:id="754" w:name="_Toc173213060"/>
      <w:bookmarkStart w:id="755" w:name="_Toc173213227"/>
      <w:bookmarkStart w:id="756" w:name="_Toc173213394"/>
      <w:bookmarkStart w:id="757" w:name="_Toc173307856"/>
      <w:bookmarkStart w:id="758" w:name="_Toc173916911"/>
      <w:bookmarkStart w:id="759" w:name="_Toc174350607"/>
      <w:bookmarkStart w:id="760" w:name="_Toc174507995"/>
      <w:bookmarkStart w:id="761" w:name="_Toc176681200"/>
      <w:bookmarkStart w:id="762" w:name="_Toc181504069"/>
      <w:r>
        <w:rPr>
          <w:rStyle w:val="CharSchText"/>
        </w:rPr>
        <w:t>Implied covenants</w:t>
      </w:r>
      <w:bookmarkEnd w:id="753"/>
      <w:bookmarkEnd w:id="754"/>
      <w:bookmarkEnd w:id="755"/>
      <w:bookmarkEnd w:id="756"/>
      <w:bookmarkEnd w:id="757"/>
      <w:bookmarkEnd w:id="758"/>
      <w:bookmarkEnd w:id="759"/>
      <w:bookmarkEnd w:id="760"/>
      <w:bookmarkEnd w:id="761"/>
      <w:bookmarkEnd w:id="762"/>
    </w:p>
    <w:p>
      <w:pPr>
        <w:pStyle w:val="MiscellaneousHeading"/>
        <w:rPr>
          <w:sz w:val="28"/>
        </w:rPr>
      </w:pPr>
      <w:r>
        <w:rPr>
          <w:sz w:val="28"/>
        </w:rPr>
        <w:t>Part I</w:t>
      </w:r>
    </w:p>
    <w:p>
      <w:pPr>
        <w:pStyle w:val="yShoulderClause"/>
      </w:pPr>
      <w:r>
        <w:t>[Section 45(1)(a)]</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w:t>
      </w:r>
    </w:p>
    <w:p>
      <w:pPr>
        <w:pStyle w:val="yShoulderClause"/>
      </w:pPr>
      <w:r>
        <w:t>[Section 45(1)(b)]</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III</w:t>
      </w:r>
    </w:p>
    <w:p>
      <w:pPr>
        <w:pStyle w:val="yShoulderClause"/>
        <w:spacing w:before="80"/>
      </w:pPr>
      <w:r>
        <w:t>[Section 45(1)(c)]</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Heading"/>
        <w:spacing w:before="120"/>
        <w:rPr>
          <w:sz w:val="28"/>
        </w:rPr>
      </w:pPr>
      <w:r>
        <w:rPr>
          <w:sz w:val="28"/>
        </w:rPr>
        <w:t>Part IV</w:t>
      </w:r>
    </w:p>
    <w:p>
      <w:pPr>
        <w:pStyle w:val="yShoulderClause"/>
        <w:spacing w:before="80"/>
      </w:pPr>
      <w:r>
        <w:t>[Section 45(1)(d)]</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MiscellaneousHeading"/>
        <w:rPr>
          <w:sz w:val="28"/>
        </w:rPr>
      </w:pPr>
      <w:r>
        <w:rPr>
          <w:sz w:val="28"/>
        </w:rPr>
        <w:t>Part V</w:t>
      </w:r>
    </w:p>
    <w:p>
      <w:pPr>
        <w:pStyle w:val="yShoulderClause"/>
        <w:spacing w:before="80"/>
      </w:pPr>
      <w:r>
        <w:t>[Section 45(1)(e)]</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MiscellaneousHeading"/>
        <w:rPr>
          <w:sz w:val="28"/>
        </w:rPr>
      </w:pPr>
      <w:r>
        <w:rPr>
          <w:sz w:val="28"/>
        </w:rPr>
        <w:t>Part VI</w:t>
      </w:r>
    </w:p>
    <w:p>
      <w:pPr>
        <w:pStyle w:val="yShoulderClause"/>
      </w:pPr>
      <w:r>
        <w:t>[Section 45(1)(f)]</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Cs/>
        </w:rPr>
        <w:t>Third Schedule</w:t>
      </w:r>
      <w:r>
        <w:rPr>
          <w:b/>
        </w:rPr>
        <w:t xml:space="preserve"> </w:t>
      </w:r>
      <w:r>
        <w:t>amended by No. 24 of 1990 s. 123.]</w:t>
      </w:r>
    </w:p>
    <w:p>
      <w:pPr>
        <w:pStyle w:val="yScheduleHeading"/>
      </w:pPr>
      <w:bookmarkStart w:id="763" w:name="_Toc173212894"/>
      <w:bookmarkStart w:id="764" w:name="_Toc173213061"/>
      <w:bookmarkStart w:id="765" w:name="_Toc173213228"/>
      <w:bookmarkStart w:id="766" w:name="_Toc173213395"/>
      <w:bookmarkStart w:id="767" w:name="_Toc173307857"/>
      <w:bookmarkStart w:id="768" w:name="_Toc173916912"/>
      <w:bookmarkStart w:id="769" w:name="_Toc174350608"/>
      <w:bookmarkStart w:id="770" w:name="_Toc174507996"/>
      <w:bookmarkStart w:id="771" w:name="_Toc176681201"/>
      <w:bookmarkStart w:id="772" w:name="_Toc181504070"/>
      <w:r>
        <w:rPr>
          <w:rStyle w:val="CharSchNo"/>
        </w:rPr>
        <w:t>Fourth Schedule</w:t>
      </w:r>
      <w:bookmarkEnd w:id="763"/>
      <w:bookmarkEnd w:id="764"/>
      <w:bookmarkEnd w:id="765"/>
      <w:bookmarkEnd w:id="766"/>
      <w:bookmarkEnd w:id="767"/>
      <w:bookmarkEnd w:id="768"/>
      <w:bookmarkEnd w:id="769"/>
      <w:bookmarkEnd w:id="770"/>
      <w:bookmarkEnd w:id="771"/>
      <w:bookmarkEnd w:id="772"/>
    </w:p>
    <w:p>
      <w:pPr>
        <w:pStyle w:val="yShoulderClause"/>
      </w:pPr>
      <w:r>
        <w:t>[Section 37]</w:t>
      </w:r>
    </w:p>
    <w:p>
      <w:pPr>
        <w:pStyle w:val="yHeading2"/>
        <w:spacing w:after="60"/>
      </w:pPr>
      <w:bookmarkStart w:id="773" w:name="_Toc173212895"/>
      <w:bookmarkStart w:id="774" w:name="_Toc173213062"/>
      <w:bookmarkStart w:id="775" w:name="_Toc173213229"/>
      <w:bookmarkStart w:id="776" w:name="_Toc173213396"/>
      <w:bookmarkStart w:id="777" w:name="_Toc173307858"/>
      <w:bookmarkStart w:id="778" w:name="_Toc173916913"/>
      <w:bookmarkStart w:id="779" w:name="_Toc174350609"/>
      <w:bookmarkStart w:id="780" w:name="_Toc174507997"/>
      <w:bookmarkStart w:id="781" w:name="_Toc176681202"/>
      <w:bookmarkStart w:id="782" w:name="_Toc181504071"/>
      <w:r>
        <w:rPr>
          <w:rStyle w:val="CharSchText"/>
        </w:rPr>
        <w:t>Conveyance</w:t>
      </w:r>
      <w:bookmarkEnd w:id="773"/>
      <w:bookmarkEnd w:id="774"/>
      <w:bookmarkEnd w:id="775"/>
      <w:bookmarkEnd w:id="776"/>
      <w:bookmarkEnd w:id="777"/>
      <w:bookmarkEnd w:id="778"/>
      <w:bookmarkEnd w:id="779"/>
      <w:bookmarkEnd w:id="780"/>
      <w:bookmarkEnd w:id="781"/>
      <w:bookmarkEnd w:id="782"/>
    </w:p>
    <w:tbl>
      <w:tblPr>
        <w:tblW w:w="0" w:type="auto"/>
        <w:tblInd w:w="708" w:type="dxa"/>
        <w:tblLook w:val="0000" w:firstRow="0" w:lastRow="0" w:firstColumn="0" w:lastColumn="0" w:noHBand="0" w:noVBand="0"/>
      </w:tblPr>
      <w:tblGrid>
        <w:gridCol w:w="2640"/>
        <w:gridCol w:w="3120"/>
      </w:tblGrid>
      <w:tr>
        <w:trPr>
          <w:cantSplit/>
          <w:trHeight w:val="1680"/>
        </w:trPr>
        <w:tc>
          <w:tcPr>
            <w:tcW w:w="5760" w:type="dxa"/>
            <w:gridSpan w:val="2"/>
            <w:tcBorders>
              <w:bottom w:val="nil"/>
            </w:tcBorders>
          </w:tcPr>
          <w:p>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pPr>
              <w:pStyle w:val="MiscellaneousBody"/>
              <w:spacing w:after="120"/>
              <w:jc w:val="center"/>
              <w:rPr>
                <w:sz w:val="22"/>
              </w:rPr>
            </w:pPr>
            <w:r>
              <w:rPr>
                <w:sz w:val="22"/>
              </w:rPr>
              <w:t>(description of land)</w:t>
            </w:r>
          </w:p>
        </w:tc>
      </w:tr>
      <w:tr>
        <w:trPr>
          <w:cantSplit/>
          <w:trHeight w:val="840"/>
        </w:trPr>
        <w:tc>
          <w:tcPr>
            <w:tcW w:w="2640" w:type="dxa"/>
            <w:tcBorders>
              <w:bottom w:val="nil"/>
            </w:tcBorders>
          </w:tcPr>
          <w:p>
            <w:pPr>
              <w:pStyle w:val="MiscellaneousBody"/>
              <w:ind w:left="720" w:hanging="720"/>
              <w:rPr>
                <w:sz w:val="22"/>
              </w:rPr>
            </w:pPr>
            <w:r>
              <w:rPr>
                <w:sz w:val="22"/>
              </w:rPr>
              <w:t>SIGNED by the said A.B. in the presence of:</w:t>
            </w:r>
          </w:p>
        </w:tc>
        <w:tc>
          <w:tcPr>
            <w:tcW w:w="3120" w:type="dxa"/>
            <w:tcBorders>
              <w:bottom w:val="nil"/>
            </w:tcBorders>
          </w:tcPr>
          <w:p>
            <w:pPr>
              <w:pStyle w:val="MiscellaneousBody"/>
              <w:rPr>
                <w:sz w:val="22"/>
              </w:rPr>
            </w:pPr>
            <w:del w:id="783" w:author="svcMRProcess" w:date="2020-02-18T14:05:00Z">
              <w:r>
                <w:rPr>
                  <w:noProof/>
                  <w:sz w:val="22"/>
                  <w:lang w:eastAsia="en-AU"/>
                </w:rPr>
                <w:drawing>
                  <wp:inline distT="0" distB="0" distL="0" distR="0">
                    <wp:extent cx="123825" cy="257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del>
            <w:ins w:id="784" w:author="svcMRProcess" w:date="2020-02-18T14:05:00Z">
              <w:r>
                <w:rPr>
                  <w:noProof/>
                  <w:sz w:val="22"/>
                  <w:lang w:eastAsia="en-AU"/>
                </w:rPr>
                <w:drawing>
                  <wp:inline distT="0" distB="0" distL="0" distR="0">
                    <wp:extent cx="123825" cy="257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ins>
          </w:p>
        </w:tc>
      </w:tr>
    </w:tbl>
    <w:p>
      <w:pPr>
        <w:sectPr>
          <w:headerReference w:type="even" r:id="rId23"/>
          <w:headerReference w:type="default" r:id="rId24"/>
          <w:headerReference w:type="first" r:id="rId25"/>
          <w:pgSz w:w="11906" w:h="16838" w:code="9"/>
          <w:pgMar w:top="2376" w:right="2404" w:bottom="3544" w:left="2404" w:header="709" w:footer="3380" w:gutter="0"/>
          <w:cols w:space="720"/>
          <w:noEndnote/>
          <w:docGrid w:linePitch="326"/>
        </w:sectPr>
      </w:pPr>
    </w:p>
    <w:p>
      <w:pPr>
        <w:pStyle w:val="nHeading2"/>
      </w:pPr>
      <w:bookmarkStart w:id="785" w:name="_Toc122773066"/>
      <w:bookmarkStart w:id="786" w:name="_Toc123004081"/>
      <w:bookmarkStart w:id="787" w:name="_Toc131413173"/>
      <w:bookmarkStart w:id="788" w:name="_Toc166297545"/>
      <w:bookmarkStart w:id="789" w:name="_Toc166319508"/>
      <w:bookmarkStart w:id="790" w:name="_Toc173212896"/>
      <w:bookmarkStart w:id="791" w:name="_Toc173213063"/>
      <w:bookmarkStart w:id="792" w:name="_Toc173213230"/>
      <w:bookmarkStart w:id="793" w:name="_Toc173213397"/>
      <w:bookmarkStart w:id="794" w:name="_Toc173307859"/>
      <w:bookmarkStart w:id="795" w:name="_Toc173916914"/>
      <w:bookmarkStart w:id="796" w:name="_Toc174350610"/>
      <w:bookmarkStart w:id="797" w:name="_Toc174507998"/>
      <w:bookmarkStart w:id="798" w:name="_Toc176681203"/>
      <w:bookmarkStart w:id="799" w:name="_Toc181504072"/>
      <w:r>
        <w:t>Notes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nSubsection"/>
        <w:rPr>
          <w:snapToGrid w:val="0"/>
        </w:rPr>
      </w:pPr>
      <w:r>
        <w:rPr>
          <w:snapToGrid w:val="0"/>
          <w:vertAlign w:val="superscript"/>
        </w:rPr>
        <w:t>1</w:t>
      </w:r>
      <w:r>
        <w:rPr>
          <w:snapToGrid w:val="0"/>
        </w:rPr>
        <w:tab/>
        <w:t xml:space="preserve">This </w:t>
      </w:r>
      <w:del w:id="800" w:author="svcMRProcess" w:date="2020-02-18T14:05:00Z">
        <w:r>
          <w:rPr>
            <w:snapToGrid w:val="0"/>
          </w:rPr>
          <w:delText xml:space="preserve">reprint </w:delText>
        </w:r>
      </w:del>
      <w:r>
        <w:rPr>
          <w:snapToGrid w:val="0"/>
        </w:rPr>
        <w:t>is a compilation</w:t>
      </w:r>
      <w:del w:id="801" w:author="svcMRProcess" w:date="2020-02-18T14:05:00Z">
        <w:r>
          <w:rPr>
            <w:snapToGrid w:val="0"/>
          </w:rPr>
          <w:delText xml:space="preserve"> as at 24 August 2007</w:delText>
        </w:r>
      </w:del>
      <w:r>
        <w:rPr>
          <w:snapToGrid w:val="0"/>
        </w:rPr>
        <w:t xml:space="preserve"> of the </w:t>
      </w:r>
      <w:r>
        <w:rPr>
          <w:i/>
          <w:noProof/>
          <w:snapToGrid w:val="0"/>
        </w:rPr>
        <w:t>Property Law Act 1969</w:t>
      </w:r>
      <w:r>
        <w:rPr>
          <w:snapToGrid w:val="0"/>
        </w:rPr>
        <w:t xml:space="preserve"> and includes the amendments made by the other written laws referred to in the following table </w:t>
      </w:r>
      <w:ins w:id="802" w:author="svcMRProcess" w:date="2020-02-18T14:05:00Z">
        <w:r>
          <w:rPr>
            <w:snapToGrid w:val="0"/>
            <w:vertAlign w:val="superscript"/>
          </w:rPr>
          <w:t>1a,</w:t>
        </w:r>
        <w:r>
          <w:rPr>
            <w:snapToGrid w:val="0"/>
          </w:rPr>
          <w:t> </w:t>
        </w:r>
      </w:ins>
      <w:r>
        <w:rPr>
          <w:snapToGrid w:val="0"/>
          <w:vertAlign w:val="superscript"/>
        </w:rPr>
        <w:t>7</w:t>
      </w:r>
      <w:r>
        <w:rPr>
          <w:snapToGrid w:val="0"/>
        </w:rPr>
        <w:t>.  The table also contains information about any reprint.</w:t>
      </w:r>
    </w:p>
    <w:p>
      <w:pPr>
        <w:pStyle w:val="nHeading3"/>
      </w:pPr>
      <w:bookmarkStart w:id="803" w:name="_Toc181504073"/>
      <w:bookmarkStart w:id="804" w:name="_Toc176681204"/>
      <w:r>
        <w:t>Compilation table</w:t>
      </w:r>
      <w:bookmarkEnd w:id="803"/>
      <w:bookmarkEnd w:id="8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Property Law Act 1969</w:t>
            </w:r>
          </w:p>
        </w:tc>
        <w:tc>
          <w:tcPr>
            <w:tcW w:w="1134" w:type="dxa"/>
            <w:tcBorders>
              <w:top w:val="single" w:sz="8" w:space="0" w:color="auto"/>
            </w:tcBorders>
          </w:tcPr>
          <w:p>
            <w:pPr>
              <w:pStyle w:val="nTable"/>
              <w:spacing w:after="40"/>
              <w:rPr>
                <w:sz w:val="19"/>
              </w:rPr>
            </w:pPr>
            <w:r>
              <w:rPr>
                <w:sz w:val="19"/>
              </w:rPr>
              <w:t>32 of 1969</w:t>
            </w:r>
          </w:p>
        </w:tc>
        <w:tc>
          <w:tcPr>
            <w:tcW w:w="1134" w:type="dxa"/>
            <w:tcBorders>
              <w:top w:val="single" w:sz="8" w:space="0" w:color="auto"/>
            </w:tcBorders>
          </w:tcPr>
          <w:p>
            <w:pPr>
              <w:pStyle w:val="nTable"/>
              <w:spacing w:after="40"/>
              <w:rPr>
                <w:sz w:val="19"/>
              </w:rPr>
            </w:pPr>
            <w:r>
              <w:rPr>
                <w:sz w:val="19"/>
              </w:rPr>
              <w:t>19 May 1969</w:t>
            </w:r>
          </w:p>
        </w:tc>
        <w:tc>
          <w:tcPr>
            <w:tcW w:w="2552" w:type="dxa"/>
            <w:tcBorders>
              <w:top w:val="single" w:sz="8" w:space="0" w:color="auto"/>
            </w:tcBorders>
          </w:tcPr>
          <w:p>
            <w:pPr>
              <w:pStyle w:val="nTable"/>
              <w:spacing w:after="40"/>
              <w:rPr>
                <w:sz w:val="19"/>
              </w:rPr>
            </w:pPr>
            <w:r>
              <w:rPr>
                <w:sz w:val="19"/>
              </w:rPr>
              <w:t xml:space="preserve">1 Aug 1969 (see s. 2 and </w:t>
            </w:r>
            <w:r>
              <w:rPr>
                <w:i/>
                <w:sz w:val="19"/>
              </w:rPr>
              <w:t>Gazette</w:t>
            </w:r>
            <w:r>
              <w:rPr>
                <w:sz w:val="19"/>
              </w:rPr>
              <w:t xml:space="preserve"> 27 Jun 1969 p. 1873)</w:t>
            </w:r>
          </w:p>
        </w:tc>
      </w:tr>
      <w:tr>
        <w:trPr>
          <w:cantSplit/>
        </w:trPr>
        <w:tc>
          <w:tcPr>
            <w:tcW w:w="2268" w:type="dxa"/>
          </w:tcPr>
          <w:p>
            <w:pPr>
              <w:pStyle w:val="nTable"/>
              <w:spacing w:after="40"/>
              <w:ind w:right="170"/>
              <w:rPr>
                <w:sz w:val="19"/>
              </w:rPr>
            </w:pPr>
            <w:r>
              <w:rPr>
                <w:i/>
                <w:sz w:val="19"/>
              </w:rPr>
              <w:t>Wills Act 1970</w:t>
            </w:r>
            <w:r>
              <w:rPr>
                <w:sz w:val="19"/>
              </w:rPr>
              <w:t xml:space="preserve"> s. 3</w:t>
            </w:r>
          </w:p>
        </w:tc>
        <w:tc>
          <w:tcPr>
            <w:tcW w:w="1134" w:type="dxa"/>
          </w:tcPr>
          <w:p>
            <w:pPr>
              <w:pStyle w:val="nTable"/>
              <w:spacing w:after="40"/>
              <w:rPr>
                <w:sz w:val="19"/>
              </w:rPr>
            </w:pPr>
            <w:r>
              <w:rPr>
                <w:sz w:val="19"/>
              </w:rPr>
              <w:t>12 of 1970</w:t>
            </w:r>
          </w:p>
        </w:tc>
        <w:tc>
          <w:tcPr>
            <w:tcW w:w="1134" w:type="dxa"/>
          </w:tcPr>
          <w:p>
            <w:pPr>
              <w:pStyle w:val="nTable"/>
              <w:spacing w:after="40"/>
              <w:rPr>
                <w:sz w:val="19"/>
              </w:rPr>
            </w:pPr>
            <w:r>
              <w:rPr>
                <w:sz w:val="19"/>
              </w:rPr>
              <w:t>29 Apr 1970</w:t>
            </w:r>
          </w:p>
        </w:tc>
        <w:tc>
          <w:tcPr>
            <w:tcW w:w="2552" w:type="dxa"/>
          </w:tcPr>
          <w:p>
            <w:pPr>
              <w:pStyle w:val="nTable"/>
              <w:spacing w:after="40"/>
              <w:rPr>
                <w:sz w:val="19"/>
              </w:rPr>
            </w:pPr>
            <w:r>
              <w:rPr>
                <w:sz w:val="19"/>
              </w:rPr>
              <w:t>1 Jul 1970 (see s. 2 and </w:t>
            </w:r>
            <w:r>
              <w:rPr>
                <w:i/>
                <w:sz w:val="19"/>
              </w:rPr>
              <w:t>Gazette</w:t>
            </w:r>
            <w:r>
              <w:rPr>
                <w:sz w:val="19"/>
              </w:rPr>
              <w:t xml:space="preserve"> 5 Jun 1970 p. 1521)</w:t>
            </w:r>
          </w:p>
        </w:tc>
      </w:tr>
      <w:tr>
        <w:trPr>
          <w:cantSplit/>
        </w:trPr>
        <w:tc>
          <w:tcPr>
            <w:tcW w:w="2268" w:type="dxa"/>
          </w:tcPr>
          <w:p>
            <w:pPr>
              <w:pStyle w:val="nTable"/>
              <w:spacing w:after="40"/>
              <w:ind w:right="170"/>
              <w:rPr>
                <w:sz w:val="19"/>
              </w:rPr>
            </w:pPr>
            <w:r>
              <w:rPr>
                <w:i/>
                <w:sz w:val="19"/>
              </w:rPr>
              <w:t>Property Law Act Amendment Act 1971</w:t>
            </w:r>
          </w:p>
        </w:tc>
        <w:tc>
          <w:tcPr>
            <w:tcW w:w="1134" w:type="dxa"/>
          </w:tcPr>
          <w:p>
            <w:pPr>
              <w:pStyle w:val="nTable"/>
              <w:spacing w:after="40"/>
              <w:rPr>
                <w:sz w:val="19"/>
              </w:rPr>
            </w:pPr>
            <w:r>
              <w:rPr>
                <w:sz w:val="19"/>
              </w:rPr>
              <w:t>19 of 1971</w:t>
            </w:r>
          </w:p>
        </w:tc>
        <w:tc>
          <w:tcPr>
            <w:tcW w:w="1134" w:type="dxa"/>
          </w:tcPr>
          <w:p>
            <w:pPr>
              <w:pStyle w:val="nTable"/>
              <w:spacing w:after="40"/>
              <w:rPr>
                <w:sz w:val="19"/>
              </w:rPr>
            </w:pPr>
            <w:r>
              <w:rPr>
                <w:sz w:val="19"/>
              </w:rPr>
              <w:t>1 Dec 1971</w:t>
            </w:r>
          </w:p>
        </w:tc>
        <w:tc>
          <w:tcPr>
            <w:tcW w:w="2552" w:type="dxa"/>
          </w:tcPr>
          <w:p>
            <w:pPr>
              <w:pStyle w:val="nTable"/>
              <w:spacing w:after="40"/>
              <w:rPr>
                <w:sz w:val="19"/>
              </w:rPr>
            </w:pPr>
            <w:r>
              <w:rPr>
                <w:sz w:val="19"/>
              </w:rPr>
              <w:t>1 Dec 1971</w:t>
            </w:r>
          </w:p>
        </w:tc>
      </w:tr>
      <w:tr>
        <w:trPr>
          <w:cantSplit/>
        </w:trPr>
        <w:tc>
          <w:tcPr>
            <w:tcW w:w="2268" w:type="dxa"/>
          </w:tcPr>
          <w:p>
            <w:pPr>
              <w:pStyle w:val="nTable"/>
              <w:spacing w:after="40"/>
              <w:ind w:right="170"/>
              <w:rPr>
                <w:sz w:val="19"/>
              </w:rPr>
            </w:pPr>
            <w:r>
              <w:rPr>
                <w:i/>
                <w:sz w:val="19"/>
              </w:rPr>
              <w:t>Property Law Act Amendment Act (No. 2) 1971</w:t>
            </w:r>
          </w:p>
        </w:tc>
        <w:tc>
          <w:tcPr>
            <w:tcW w:w="1134" w:type="dxa"/>
          </w:tcPr>
          <w:p>
            <w:pPr>
              <w:pStyle w:val="nTable"/>
              <w:spacing w:after="40"/>
              <w:rPr>
                <w:sz w:val="19"/>
              </w:rPr>
            </w:pPr>
            <w:r>
              <w:rPr>
                <w:sz w:val="19"/>
              </w:rPr>
              <w:t>25 of 1971</w:t>
            </w:r>
          </w:p>
        </w:tc>
        <w:tc>
          <w:tcPr>
            <w:tcW w:w="1134" w:type="dxa"/>
          </w:tcPr>
          <w:p>
            <w:pPr>
              <w:pStyle w:val="nTable"/>
              <w:spacing w:after="40"/>
              <w:rPr>
                <w:sz w:val="19"/>
              </w:rPr>
            </w:pPr>
            <w:r>
              <w:rPr>
                <w:sz w:val="19"/>
              </w:rPr>
              <w:t>1 Dec 1971</w:t>
            </w:r>
          </w:p>
        </w:tc>
        <w:tc>
          <w:tcPr>
            <w:tcW w:w="2552" w:type="dxa"/>
          </w:tcPr>
          <w:p>
            <w:pPr>
              <w:pStyle w:val="nTable"/>
              <w:spacing w:after="40"/>
              <w:rPr>
                <w:sz w:val="19"/>
              </w:rPr>
            </w:pPr>
            <w:r>
              <w:rPr>
                <w:sz w:val="19"/>
              </w:rPr>
              <w:t xml:space="preserve">22 Dec 1972 (see s. 2 and </w:t>
            </w:r>
            <w:r>
              <w:rPr>
                <w:i/>
                <w:sz w:val="19"/>
              </w:rPr>
              <w:t xml:space="preserve">Gazette </w:t>
            </w:r>
            <w:r>
              <w:rPr>
                <w:sz w:val="19"/>
              </w:rPr>
              <w:t>22 Dec 1972 p. 4755)</w:t>
            </w:r>
          </w:p>
        </w:tc>
      </w:tr>
      <w:tr>
        <w:trPr>
          <w:cantSplit/>
        </w:trPr>
        <w:tc>
          <w:tcPr>
            <w:tcW w:w="2268" w:type="dxa"/>
          </w:tcPr>
          <w:p>
            <w:pPr>
              <w:pStyle w:val="nTable"/>
              <w:spacing w:after="40"/>
              <w:ind w:right="170"/>
              <w:rPr>
                <w:sz w:val="19"/>
              </w:rPr>
            </w:pPr>
            <w:r>
              <w:rPr>
                <w:i/>
                <w:sz w:val="19"/>
              </w:rPr>
              <w:t>Property Law Act Amendment Act 1973</w:t>
            </w:r>
          </w:p>
        </w:tc>
        <w:tc>
          <w:tcPr>
            <w:tcW w:w="1134" w:type="dxa"/>
          </w:tcPr>
          <w:p>
            <w:pPr>
              <w:pStyle w:val="nTable"/>
              <w:spacing w:after="40"/>
              <w:rPr>
                <w:sz w:val="19"/>
              </w:rPr>
            </w:pPr>
            <w:r>
              <w:rPr>
                <w:sz w:val="19"/>
              </w:rPr>
              <w:t>35 of 1973</w:t>
            </w:r>
          </w:p>
        </w:tc>
        <w:tc>
          <w:tcPr>
            <w:tcW w:w="1134" w:type="dxa"/>
          </w:tcPr>
          <w:p>
            <w:pPr>
              <w:pStyle w:val="nTable"/>
              <w:spacing w:after="40"/>
              <w:rPr>
                <w:sz w:val="19"/>
              </w:rPr>
            </w:pPr>
            <w:r>
              <w:rPr>
                <w:sz w:val="19"/>
              </w:rPr>
              <w:t>18 Oct 1973</w:t>
            </w:r>
          </w:p>
        </w:tc>
        <w:tc>
          <w:tcPr>
            <w:tcW w:w="2552" w:type="dxa"/>
          </w:tcPr>
          <w:p>
            <w:pPr>
              <w:pStyle w:val="nTable"/>
              <w:spacing w:after="40"/>
              <w:rPr>
                <w:sz w:val="19"/>
              </w:rPr>
            </w:pPr>
            <w:r>
              <w:rPr>
                <w:sz w:val="19"/>
              </w:rPr>
              <w:t>18 Oct 1973</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approved 1 Apr 1976</w:t>
            </w:r>
            <w:r>
              <w:rPr>
                <w:sz w:val="19"/>
              </w:rPr>
              <w:t xml:space="preserve"> (includes amendments listed above)</w:t>
            </w:r>
          </w:p>
        </w:tc>
      </w:tr>
      <w:tr>
        <w:trPr>
          <w:cantSplit/>
        </w:trPr>
        <w:tc>
          <w:tcPr>
            <w:tcW w:w="2268" w:type="dxa"/>
          </w:tcPr>
          <w:p>
            <w:pPr>
              <w:pStyle w:val="nTable"/>
              <w:spacing w:after="40"/>
              <w:ind w:right="170"/>
              <w:rPr>
                <w:sz w:val="19"/>
              </w:rPr>
            </w:pPr>
            <w:r>
              <w:rPr>
                <w:i/>
                <w:sz w:val="19"/>
              </w:rPr>
              <w:t>Property Law Act Amendment Act 1979</w:t>
            </w:r>
          </w:p>
        </w:tc>
        <w:tc>
          <w:tcPr>
            <w:tcW w:w="1134" w:type="dxa"/>
          </w:tcPr>
          <w:p>
            <w:pPr>
              <w:pStyle w:val="nTable"/>
              <w:spacing w:after="40"/>
              <w:rPr>
                <w:sz w:val="19"/>
              </w:rPr>
            </w:pPr>
            <w:r>
              <w:rPr>
                <w:sz w:val="19"/>
              </w:rPr>
              <w:t>102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24 Apr 1980 (see s. 2 and </w:t>
            </w:r>
            <w:r>
              <w:rPr>
                <w:i/>
                <w:sz w:val="19"/>
              </w:rPr>
              <w:t>Gazette</w:t>
            </w:r>
            <w:r>
              <w:rPr>
                <w:sz w:val="19"/>
              </w:rPr>
              <w:t> 24 Apr 1980 p. 1180)</w:t>
            </w:r>
          </w:p>
        </w:tc>
      </w:tr>
      <w:tr>
        <w:trPr>
          <w:cantSplit/>
        </w:trPr>
        <w:tc>
          <w:tcPr>
            <w:tcW w:w="2268" w:type="dxa"/>
          </w:tcPr>
          <w:p>
            <w:pPr>
              <w:pStyle w:val="nTable"/>
              <w:spacing w:after="40"/>
              <w:ind w:right="170"/>
              <w:rPr>
                <w:sz w:val="19"/>
              </w:rPr>
            </w:pPr>
            <w:r>
              <w:rPr>
                <w:i/>
                <w:sz w:val="19"/>
              </w:rPr>
              <w:t>Artificial Conception Act 1985</w:t>
            </w:r>
            <w:r>
              <w:rPr>
                <w:sz w:val="19"/>
              </w:rPr>
              <w:t xml:space="preserve"> 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28 Jun 1985 p. 2291)</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17 Mar 1987</w:t>
            </w:r>
            <w:r>
              <w:rPr>
                <w:sz w:val="19"/>
              </w:rPr>
              <w:t xml:space="preserve"> (includes amendments listed above)</w:t>
            </w:r>
          </w:p>
        </w:tc>
      </w:tr>
      <w:tr>
        <w:trPr>
          <w:cantSplit/>
        </w:trPr>
        <w:tc>
          <w:tcPr>
            <w:tcW w:w="2268" w:type="dxa"/>
          </w:tcPr>
          <w:p>
            <w:pPr>
              <w:pStyle w:val="nTable"/>
              <w:spacing w:after="40"/>
              <w:ind w:right="170"/>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2" w:type="dxa"/>
          </w:tcPr>
          <w:p>
            <w:pPr>
              <w:pStyle w:val="nTable"/>
              <w:spacing w:after="40"/>
              <w:rPr>
                <w:sz w:val="19"/>
              </w:rPr>
            </w:pPr>
            <w:r>
              <w:rPr>
                <w:sz w:val="19"/>
              </w:rPr>
              <w:t xml:space="preserve">1 Oct 1989 (see s. 2 and </w:t>
            </w:r>
            <w:r>
              <w:rPr>
                <w:i/>
                <w:sz w:val="19"/>
              </w:rPr>
              <w:t>Gazette</w:t>
            </w:r>
            <w:r>
              <w:rPr>
                <w:sz w:val="19"/>
              </w:rPr>
              <w:t> 18 Aug 1989 p. 2748)</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spacing w:after="40"/>
              <w:rPr>
                <w:sz w:val="19"/>
              </w:rPr>
            </w:pPr>
            <w:r>
              <w:rPr>
                <w:sz w:val="19"/>
              </w:rPr>
              <w:t>7 Sept 1990</w:t>
            </w:r>
          </w:p>
        </w:tc>
        <w:tc>
          <w:tcPr>
            <w:tcW w:w="2552" w:type="dxa"/>
          </w:tcPr>
          <w:p>
            <w:pPr>
              <w:pStyle w:val="nTable"/>
              <w:spacing w:after="40"/>
              <w:rPr>
                <w:sz w:val="19"/>
              </w:rPr>
            </w:pPr>
            <w:r>
              <w:rPr>
                <w:sz w:val="19"/>
              </w:rPr>
              <w:t xml:space="preserve">20 Oct 1992 (see s. 2 and </w:t>
            </w:r>
            <w:r>
              <w:rPr>
                <w:i/>
                <w:sz w:val="19"/>
              </w:rPr>
              <w:t xml:space="preserve">Gazette </w:t>
            </w:r>
            <w:r>
              <w:rPr>
                <w:sz w:val="19"/>
              </w:rPr>
              <w:t>2 Oct 1992 p. 4811)</w:t>
            </w:r>
          </w:p>
        </w:tc>
      </w:tr>
      <w:tr>
        <w:trPr>
          <w:cantSplit/>
        </w:trPr>
        <w:tc>
          <w:tcPr>
            <w:tcW w:w="2268" w:type="dxa"/>
          </w:tcPr>
          <w:p>
            <w:pPr>
              <w:pStyle w:val="nTable"/>
              <w:spacing w:after="40"/>
              <w:ind w:right="170"/>
              <w:rPr>
                <w:sz w:val="19"/>
              </w:rPr>
            </w:pPr>
            <w:r>
              <w:rPr>
                <w:i/>
                <w:sz w:val="19"/>
              </w:rPr>
              <w:t>Planning Legislation Amendment Act (No. 2) 1994</w:t>
            </w:r>
            <w:r>
              <w:rPr>
                <w:sz w:val="19"/>
              </w:rPr>
              <w:t xml:space="preserve"> s. 46(11)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21 Feb 1995 p. 567)</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21 May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21</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s. 125</w:t>
            </w:r>
            <w:r>
              <w:rPr>
                <w:sz w:val="19"/>
                <w:vertAlign w:val="superscript"/>
              </w:rPr>
              <w:t>8</w:t>
            </w:r>
            <w:r>
              <w:rPr>
                <w:sz w:val="19"/>
              </w:rPr>
              <w:t> and Pt. 49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cantSplit/>
        </w:trPr>
        <w:tc>
          <w:tcPr>
            <w:tcW w:w="7088" w:type="dxa"/>
            <w:gridSpan w:val="4"/>
            <w:tcBorders>
              <w:bottom w:val="single" w:sz="8" w:space="0" w:color="auto"/>
            </w:tcBorders>
          </w:tcPr>
          <w:p>
            <w:pPr>
              <w:pStyle w:val="nTable"/>
              <w:spacing w:after="40"/>
              <w:rPr>
                <w:snapToGrid w:val="0"/>
                <w:sz w:val="19"/>
              </w:rPr>
            </w:pPr>
            <w:r>
              <w:rPr>
                <w:b/>
                <w:bCs/>
                <w:sz w:val="19"/>
              </w:rPr>
              <w:t xml:space="preserve">Reprint 4: The </w:t>
            </w:r>
            <w:r>
              <w:rPr>
                <w:b/>
                <w:bCs/>
                <w:i/>
                <w:sz w:val="19"/>
              </w:rPr>
              <w:t>Property Law Act 1969</w:t>
            </w:r>
            <w:r>
              <w:rPr>
                <w:b/>
                <w:bCs/>
                <w:sz w:val="19"/>
              </w:rPr>
              <w:t xml:space="preserve"> as at 24 Aug 2007</w:t>
            </w:r>
            <w:r>
              <w:rPr>
                <w:sz w:val="19"/>
              </w:rPr>
              <w:t xml:space="preserve"> (includes amendments listed above)</w:t>
            </w:r>
          </w:p>
        </w:tc>
      </w:tr>
    </w:tbl>
    <w:p>
      <w:pPr>
        <w:pStyle w:val="nSubsection"/>
        <w:tabs>
          <w:tab w:val="clear" w:pos="454"/>
          <w:tab w:val="left" w:pos="567"/>
        </w:tabs>
        <w:spacing w:before="120"/>
        <w:ind w:left="567" w:hanging="567"/>
        <w:rPr>
          <w:ins w:id="805" w:author="svcMRProcess" w:date="2020-02-18T14:05:00Z"/>
          <w:snapToGrid w:val="0"/>
        </w:rPr>
      </w:pPr>
      <w:ins w:id="806" w:author="svcMRProcess" w:date="2020-02-18T14: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07" w:author="svcMRProcess" w:date="2020-02-18T14:05:00Z"/>
        </w:rPr>
      </w:pPr>
      <w:bookmarkStart w:id="808" w:name="_Toc7405065"/>
      <w:bookmarkStart w:id="809" w:name="_Toc181500909"/>
      <w:bookmarkStart w:id="810" w:name="_Toc181504074"/>
      <w:ins w:id="811" w:author="svcMRProcess" w:date="2020-02-18T14:05:00Z">
        <w:r>
          <w:t>Provisions that have not come into operation</w:t>
        </w:r>
        <w:bookmarkEnd w:id="808"/>
        <w:bookmarkEnd w:id="809"/>
        <w:bookmarkEnd w:id="810"/>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812" w:author="svcMRProcess" w:date="2020-02-18T14:05:00Z"/>
        </w:trPr>
        <w:tc>
          <w:tcPr>
            <w:tcW w:w="2268" w:type="dxa"/>
            <w:tcBorders>
              <w:top w:val="single" w:sz="8" w:space="0" w:color="auto"/>
              <w:bottom w:val="single" w:sz="8" w:space="0" w:color="auto"/>
            </w:tcBorders>
          </w:tcPr>
          <w:p>
            <w:pPr>
              <w:pStyle w:val="nTable"/>
              <w:spacing w:after="40"/>
              <w:rPr>
                <w:ins w:id="813" w:author="svcMRProcess" w:date="2020-02-18T14:05:00Z"/>
                <w:b/>
                <w:sz w:val="19"/>
              </w:rPr>
            </w:pPr>
            <w:ins w:id="814" w:author="svcMRProcess" w:date="2020-02-18T14:05:00Z">
              <w:r>
                <w:rPr>
                  <w:b/>
                  <w:sz w:val="19"/>
                </w:rPr>
                <w:t>Short title</w:t>
              </w:r>
            </w:ins>
          </w:p>
        </w:tc>
        <w:tc>
          <w:tcPr>
            <w:tcW w:w="1134" w:type="dxa"/>
            <w:tcBorders>
              <w:top w:val="single" w:sz="8" w:space="0" w:color="auto"/>
              <w:bottom w:val="single" w:sz="8" w:space="0" w:color="auto"/>
            </w:tcBorders>
          </w:tcPr>
          <w:p>
            <w:pPr>
              <w:pStyle w:val="nTable"/>
              <w:spacing w:after="40"/>
              <w:rPr>
                <w:ins w:id="815" w:author="svcMRProcess" w:date="2020-02-18T14:05:00Z"/>
                <w:b/>
                <w:sz w:val="19"/>
              </w:rPr>
            </w:pPr>
            <w:ins w:id="816" w:author="svcMRProcess" w:date="2020-02-18T14:05:00Z">
              <w:r>
                <w:rPr>
                  <w:b/>
                  <w:sz w:val="19"/>
                </w:rPr>
                <w:t>Number and year</w:t>
              </w:r>
            </w:ins>
          </w:p>
        </w:tc>
        <w:tc>
          <w:tcPr>
            <w:tcW w:w="1134" w:type="dxa"/>
            <w:tcBorders>
              <w:top w:val="single" w:sz="8" w:space="0" w:color="auto"/>
              <w:bottom w:val="single" w:sz="8" w:space="0" w:color="auto"/>
            </w:tcBorders>
          </w:tcPr>
          <w:p>
            <w:pPr>
              <w:pStyle w:val="nTable"/>
              <w:spacing w:after="40"/>
              <w:rPr>
                <w:ins w:id="817" w:author="svcMRProcess" w:date="2020-02-18T14:05:00Z"/>
                <w:b/>
                <w:sz w:val="19"/>
              </w:rPr>
            </w:pPr>
            <w:ins w:id="818" w:author="svcMRProcess" w:date="2020-02-18T14:05:00Z">
              <w:r>
                <w:rPr>
                  <w:b/>
                  <w:sz w:val="19"/>
                </w:rPr>
                <w:t>Assent</w:t>
              </w:r>
            </w:ins>
          </w:p>
        </w:tc>
        <w:tc>
          <w:tcPr>
            <w:tcW w:w="2552" w:type="dxa"/>
            <w:tcBorders>
              <w:top w:val="single" w:sz="8" w:space="0" w:color="auto"/>
              <w:bottom w:val="single" w:sz="8" w:space="0" w:color="auto"/>
            </w:tcBorders>
          </w:tcPr>
          <w:p>
            <w:pPr>
              <w:pStyle w:val="nTable"/>
              <w:spacing w:after="40"/>
              <w:rPr>
                <w:ins w:id="819" w:author="svcMRProcess" w:date="2020-02-18T14:05:00Z"/>
                <w:b/>
                <w:sz w:val="19"/>
              </w:rPr>
            </w:pPr>
            <w:ins w:id="820" w:author="svcMRProcess" w:date="2020-02-18T14:05:00Z">
              <w:r>
                <w:rPr>
                  <w:b/>
                  <w:sz w:val="19"/>
                </w:rPr>
                <w:t>Commencement</w:t>
              </w:r>
            </w:ins>
          </w:p>
        </w:tc>
      </w:tr>
      <w:tr>
        <w:trPr>
          <w:cantSplit/>
          <w:ins w:id="821" w:author="svcMRProcess" w:date="2020-02-18T14:05:00Z"/>
        </w:trPr>
        <w:tc>
          <w:tcPr>
            <w:tcW w:w="2268" w:type="dxa"/>
            <w:tcBorders>
              <w:top w:val="single" w:sz="8" w:space="0" w:color="auto"/>
              <w:bottom w:val="single" w:sz="4" w:space="0" w:color="auto"/>
            </w:tcBorders>
          </w:tcPr>
          <w:p>
            <w:pPr>
              <w:pStyle w:val="nTable"/>
              <w:spacing w:after="40"/>
              <w:rPr>
                <w:ins w:id="822" w:author="svcMRProcess" w:date="2020-02-18T14:05:00Z"/>
                <w:iCs/>
                <w:sz w:val="19"/>
                <w:vertAlign w:val="superscript"/>
              </w:rPr>
            </w:pPr>
            <w:ins w:id="823" w:author="svcMRProcess" w:date="2020-02-18T14:05:00Z">
              <w:r>
                <w:rPr>
                  <w:i/>
                  <w:sz w:val="19"/>
                </w:rPr>
                <w:t>Wills Amendment Act 2007</w:t>
              </w:r>
              <w:r>
                <w:rPr>
                  <w:iCs/>
                  <w:sz w:val="19"/>
                </w:rPr>
                <w:t xml:space="preserve"> s. 25 </w:t>
              </w:r>
              <w:r>
                <w:rPr>
                  <w:iCs/>
                  <w:sz w:val="19"/>
                  <w:vertAlign w:val="superscript"/>
                </w:rPr>
                <w:t>9</w:t>
              </w:r>
            </w:ins>
          </w:p>
        </w:tc>
        <w:tc>
          <w:tcPr>
            <w:tcW w:w="1134" w:type="dxa"/>
            <w:tcBorders>
              <w:top w:val="single" w:sz="8" w:space="0" w:color="auto"/>
              <w:bottom w:val="single" w:sz="4" w:space="0" w:color="auto"/>
            </w:tcBorders>
          </w:tcPr>
          <w:p>
            <w:pPr>
              <w:pStyle w:val="nTable"/>
              <w:spacing w:after="40"/>
              <w:rPr>
                <w:ins w:id="824" w:author="svcMRProcess" w:date="2020-02-18T14:05:00Z"/>
                <w:sz w:val="19"/>
              </w:rPr>
            </w:pPr>
            <w:ins w:id="825" w:author="svcMRProcess" w:date="2020-02-18T14:05:00Z">
              <w:r>
                <w:rPr>
                  <w:snapToGrid w:val="0"/>
                  <w:sz w:val="19"/>
                  <w:lang w:val="en-US"/>
                </w:rPr>
                <w:t>27 of 2007</w:t>
              </w:r>
            </w:ins>
          </w:p>
        </w:tc>
        <w:tc>
          <w:tcPr>
            <w:tcW w:w="1134" w:type="dxa"/>
            <w:tcBorders>
              <w:top w:val="single" w:sz="8" w:space="0" w:color="auto"/>
              <w:bottom w:val="single" w:sz="4" w:space="0" w:color="auto"/>
            </w:tcBorders>
          </w:tcPr>
          <w:p>
            <w:pPr>
              <w:pStyle w:val="nTable"/>
              <w:spacing w:after="40"/>
              <w:rPr>
                <w:ins w:id="826" w:author="svcMRProcess" w:date="2020-02-18T14:05:00Z"/>
                <w:sz w:val="19"/>
              </w:rPr>
            </w:pPr>
            <w:ins w:id="827" w:author="svcMRProcess" w:date="2020-02-18T14:05:00Z">
              <w:r>
                <w:rPr>
                  <w:snapToGrid w:val="0"/>
                  <w:sz w:val="19"/>
                  <w:lang w:val="en-US"/>
                </w:rPr>
                <w:t>26 Oct 2007</w:t>
              </w:r>
            </w:ins>
          </w:p>
        </w:tc>
        <w:tc>
          <w:tcPr>
            <w:tcW w:w="2552" w:type="dxa"/>
            <w:tcBorders>
              <w:top w:val="single" w:sz="8" w:space="0" w:color="auto"/>
              <w:bottom w:val="single" w:sz="4" w:space="0" w:color="auto"/>
            </w:tcBorders>
          </w:tcPr>
          <w:p>
            <w:pPr>
              <w:pStyle w:val="nTable"/>
              <w:spacing w:after="40"/>
              <w:rPr>
                <w:ins w:id="828" w:author="svcMRProcess" w:date="2020-02-18T14:05:00Z"/>
                <w:sz w:val="19"/>
              </w:rPr>
            </w:pPr>
            <w:ins w:id="829" w:author="svcMRProcess" w:date="2020-02-18T14:05:00Z">
              <w:r>
                <w:rPr>
                  <w:snapToGrid w:val="0"/>
                  <w:sz w:val="19"/>
                  <w:lang w:val="en-US"/>
                </w:rPr>
                <w:t>To be proclaimed (see s. 2)</w:t>
              </w:r>
            </w:ins>
          </w:p>
        </w:tc>
      </w:tr>
    </w:tbl>
    <w:p>
      <w:pPr>
        <w:pStyle w:val="nSubsection"/>
        <w:spacing w:before="120"/>
        <w:rPr>
          <w:ins w:id="830" w:author="svcMRProcess" w:date="2020-02-18T14:05:00Z"/>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snapToGrid w:val="0"/>
        </w:rPr>
        <w:t>Strata Titles Act 1985</w:t>
      </w:r>
      <w:r>
        <w:rPr>
          <w:snapToGrid w:val="0"/>
        </w:rPr>
        <w:t>.</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w:t>
      </w:r>
    </w:p>
    <w:p>
      <w:pPr>
        <w:pStyle w:val="nSubsection"/>
        <w:spacing w:before="120"/>
        <w:rPr>
          <w:snapToGrid w:val="0"/>
        </w:rPr>
      </w:pPr>
      <w:r>
        <w:rPr>
          <w:snapToGrid w:val="0"/>
          <w:vertAlign w:val="superscript"/>
        </w:rPr>
        <w:t>6</w:t>
      </w:r>
      <w:r>
        <w:rPr>
          <w:snapToGrid w:val="0"/>
        </w:rPr>
        <w:tab/>
        <w:t xml:space="preserve">Section 117 repealed by the </w:t>
      </w:r>
      <w:r>
        <w:rPr>
          <w:i/>
          <w:snapToGrid w:val="0"/>
        </w:rPr>
        <w:t>Wills Act 1970</w:t>
      </w:r>
      <w:r>
        <w:rPr>
          <w:snapToGrid w:val="0"/>
        </w:rPr>
        <w:t xml:space="preserve"> s. 3.</w:t>
      </w:r>
    </w:p>
    <w:p>
      <w:pPr>
        <w:pStyle w:val="nSubsection"/>
        <w:spacing w:before="120"/>
        <w:rPr>
          <w:snapToGrid w:val="0"/>
        </w:rPr>
      </w:pPr>
      <w:r>
        <w:rPr>
          <w:snapToGrid w:val="0"/>
          <w:vertAlign w:val="superscript"/>
        </w:rPr>
        <w:t>7</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keepNext/>
        <w:keepLines/>
      </w:pPr>
      <w:r>
        <w:rPr>
          <w:vertAlign w:val="superscript"/>
        </w:rPr>
        <w:t>8</w:t>
      </w:r>
      <w:r>
        <w:tab/>
        <w:t xml:space="preserve">The </w:t>
      </w:r>
      <w:r>
        <w:rPr>
          <w:i/>
        </w:rPr>
        <w:t>Acts Amendment (Equality of Status) Act 2003</w:t>
      </w:r>
      <w:r>
        <w:t xml:space="preserve"> s. 125(3) reads as follows:</w:t>
      </w:r>
    </w:p>
    <w:p>
      <w:pPr>
        <w:pStyle w:val="MiscOpen"/>
      </w:pPr>
      <w:r>
        <w:t>“</w:t>
      </w:r>
    </w:p>
    <w:p>
      <w:pPr>
        <w:pStyle w:val="nzSubsection"/>
      </w:pPr>
      <w:r>
        <w:tab/>
        <w:t>(3)</w:t>
      </w:r>
      <w:r>
        <w:tab/>
        <w:t>A restriction upon anticipation or alienation attached to the enjoyment of any property by a woman which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w:t>
      </w:r>
    </w:p>
    <w:p>
      <w:pPr>
        <w:pStyle w:val="nzSubsection"/>
      </w:pPr>
      <w:r>
        <w:tab/>
      </w:r>
      <w:r>
        <w:tab/>
        <w:t>is of no effect.</w:t>
      </w:r>
    </w:p>
    <w:p>
      <w:pPr>
        <w:pStyle w:val="MiscClose"/>
        <w:keepLines w:val="0"/>
      </w:pPr>
      <w:r>
        <w:t>”.</w:t>
      </w:r>
    </w:p>
    <w:p>
      <w:pPr>
        <w:pStyle w:val="nSubsection"/>
        <w:keepLines/>
        <w:rPr>
          <w:ins w:id="831" w:author="svcMRProcess" w:date="2020-02-18T14:05:00Z"/>
          <w:snapToGrid w:val="0"/>
        </w:rPr>
      </w:pPr>
      <w:ins w:id="832" w:author="svcMRProcess" w:date="2020-02-18T14:05: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iCs/>
            <w:snapToGrid w:val="0"/>
          </w:rPr>
          <w:t>s. 25, which gives effect to Sch. 1 cl. 4,</w:t>
        </w:r>
        <w:r>
          <w:rPr>
            <w:i/>
            <w:snapToGrid w:val="0"/>
          </w:rPr>
          <w:t xml:space="preserve"> </w:t>
        </w:r>
        <w:r>
          <w:rPr>
            <w:snapToGrid w:val="0"/>
          </w:rPr>
          <w:t>had not come into operation.  It reads as follows:</w:t>
        </w:r>
      </w:ins>
    </w:p>
    <w:p>
      <w:pPr>
        <w:pStyle w:val="MiscOpen"/>
        <w:keepNext w:val="0"/>
        <w:spacing w:before="60"/>
        <w:rPr>
          <w:ins w:id="833" w:author="svcMRProcess" w:date="2020-02-18T14:05:00Z"/>
          <w:sz w:val="20"/>
        </w:rPr>
      </w:pPr>
      <w:ins w:id="834" w:author="svcMRProcess" w:date="2020-02-18T14:05:00Z">
        <w:r>
          <w:rPr>
            <w:sz w:val="20"/>
          </w:rPr>
          <w:t>“</w:t>
        </w:r>
      </w:ins>
    </w:p>
    <w:p>
      <w:pPr>
        <w:pStyle w:val="nzHeading5"/>
        <w:rPr>
          <w:ins w:id="835" w:author="svcMRProcess" w:date="2020-02-18T14:05:00Z"/>
        </w:rPr>
      </w:pPr>
      <w:bookmarkStart w:id="836" w:name="_Toc131300269"/>
      <w:bookmarkStart w:id="837" w:name="_Toc180389786"/>
      <w:bookmarkStart w:id="838" w:name="_Toc181435407"/>
      <w:ins w:id="839" w:author="svcMRProcess" w:date="2020-02-18T14:05:00Z">
        <w:r>
          <w:rPr>
            <w:rStyle w:val="CharSectno"/>
          </w:rPr>
          <w:t>25</w:t>
        </w:r>
        <w:r>
          <w:t>.</w:t>
        </w:r>
        <w:r>
          <w:tab/>
          <w:t>Consequential amendments to other Acts</w:t>
        </w:r>
        <w:bookmarkEnd w:id="836"/>
        <w:bookmarkEnd w:id="837"/>
        <w:bookmarkEnd w:id="838"/>
      </w:ins>
    </w:p>
    <w:p>
      <w:pPr>
        <w:pStyle w:val="nzSubsection"/>
        <w:rPr>
          <w:ins w:id="840" w:author="svcMRProcess" w:date="2020-02-18T14:05:00Z"/>
        </w:rPr>
      </w:pPr>
      <w:ins w:id="841" w:author="svcMRProcess" w:date="2020-02-18T14:05:00Z">
        <w:r>
          <w:tab/>
        </w:r>
        <w:r>
          <w:tab/>
          <w:t>Schedule 1 has effect.</w:t>
        </w:r>
      </w:ins>
    </w:p>
    <w:p>
      <w:pPr>
        <w:pStyle w:val="MiscClose"/>
        <w:rPr>
          <w:ins w:id="842" w:author="svcMRProcess" w:date="2020-02-18T14:05:00Z"/>
        </w:rPr>
      </w:pPr>
      <w:ins w:id="843" w:author="svcMRProcess" w:date="2020-02-18T14:05:00Z">
        <w:r>
          <w:t>”.</w:t>
        </w:r>
      </w:ins>
    </w:p>
    <w:p>
      <w:pPr>
        <w:pStyle w:val="nzSubsection"/>
        <w:rPr>
          <w:ins w:id="844" w:author="svcMRProcess" w:date="2020-02-18T14:05:00Z"/>
        </w:rPr>
      </w:pPr>
      <w:ins w:id="845" w:author="svcMRProcess" w:date="2020-02-18T14:05:00Z">
        <w:r>
          <w:t>Schedule 1 cl. 4 reads as follows:</w:t>
        </w:r>
      </w:ins>
    </w:p>
    <w:p>
      <w:pPr>
        <w:pStyle w:val="MiscOpen"/>
        <w:keepNext w:val="0"/>
        <w:spacing w:before="60"/>
        <w:rPr>
          <w:ins w:id="846" w:author="svcMRProcess" w:date="2020-02-18T14:05:00Z"/>
          <w:sz w:val="20"/>
        </w:rPr>
      </w:pPr>
      <w:ins w:id="847" w:author="svcMRProcess" w:date="2020-02-18T14:05:00Z">
        <w:r>
          <w:rPr>
            <w:sz w:val="20"/>
          </w:rPr>
          <w:t>“</w:t>
        </w:r>
      </w:ins>
    </w:p>
    <w:p>
      <w:pPr>
        <w:pStyle w:val="nzHeading2"/>
        <w:rPr>
          <w:ins w:id="848" w:author="svcMRProcess" w:date="2020-02-18T14:05:00Z"/>
        </w:rPr>
      </w:pPr>
      <w:bookmarkStart w:id="849" w:name="_Toc131300270"/>
      <w:bookmarkStart w:id="850" w:name="_Toc131309785"/>
      <w:bookmarkStart w:id="851" w:name="_Toc180389787"/>
      <w:bookmarkStart w:id="852" w:name="_Toc181435408"/>
      <w:ins w:id="853" w:author="svcMRProcess" w:date="2020-02-18T14:05:00Z">
        <w:r>
          <w:rPr>
            <w:rStyle w:val="CharSchNo"/>
          </w:rPr>
          <w:t>Schedule 1</w:t>
        </w:r>
        <w:r>
          <w:rPr>
            <w:rStyle w:val="CharSDivNo"/>
          </w:rPr>
          <w:t> </w:t>
        </w:r>
        <w:r>
          <w:t>—</w:t>
        </w:r>
        <w:r>
          <w:rPr>
            <w:rStyle w:val="CharSDivText"/>
          </w:rPr>
          <w:t> </w:t>
        </w:r>
        <w:r>
          <w:rPr>
            <w:rStyle w:val="CharSchText"/>
          </w:rPr>
          <w:t>Consequential amendments to other Acts</w:t>
        </w:r>
        <w:bookmarkEnd w:id="849"/>
        <w:bookmarkEnd w:id="850"/>
        <w:bookmarkEnd w:id="851"/>
        <w:bookmarkEnd w:id="852"/>
      </w:ins>
    </w:p>
    <w:p>
      <w:pPr>
        <w:pStyle w:val="nzMiscellaneousBody"/>
        <w:jc w:val="right"/>
        <w:rPr>
          <w:ins w:id="854" w:author="svcMRProcess" w:date="2020-02-18T14:05:00Z"/>
        </w:rPr>
      </w:pPr>
      <w:ins w:id="855" w:author="svcMRProcess" w:date="2020-02-18T14:05:00Z">
        <w:r>
          <w:t>[s. 25]</w:t>
        </w:r>
      </w:ins>
    </w:p>
    <w:p>
      <w:pPr>
        <w:pStyle w:val="MiscOpen"/>
        <w:rPr>
          <w:ins w:id="856" w:author="svcMRProcess" w:date="2020-02-18T14:05:00Z"/>
        </w:rPr>
      </w:pPr>
      <w:ins w:id="857" w:author="svcMRProcess" w:date="2020-02-18T14:05:00Z">
        <w:r>
          <w:t>“</w:t>
        </w:r>
      </w:ins>
    </w:p>
    <w:p>
      <w:pPr>
        <w:pStyle w:val="nzHeading5"/>
        <w:rPr>
          <w:ins w:id="858" w:author="svcMRProcess" w:date="2020-02-18T14:05:00Z"/>
        </w:rPr>
      </w:pPr>
      <w:bookmarkStart w:id="859" w:name="_Toc131300274"/>
      <w:bookmarkStart w:id="860" w:name="_Toc180389792"/>
      <w:bookmarkStart w:id="861" w:name="_Toc181435413"/>
      <w:ins w:id="862" w:author="svcMRProcess" w:date="2020-02-18T14:05:00Z">
        <w:r>
          <w:rPr>
            <w:rStyle w:val="CharSClsNo"/>
          </w:rPr>
          <w:t>4</w:t>
        </w:r>
        <w:r>
          <w:t>.</w:t>
        </w:r>
        <w:r>
          <w:tab/>
        </w:r>
        <w:r>
          <w:rPr>
            <w:i/>
            <w:iCs/>
          </w:rPr>
          <w:t>Property Law Act 1969</w:t>
        </w:r>
        <w:r>
          <w:t xml:space="preserve"> amended</w:t>
        </w:r>
        <w:bookmarkEnd w:id="859"/>
        <w:bookmarkEnd w:id="860"/>
        <w:bookmarkEnd w:id="861"/>
      </w:ins>
    </w:p>
    <w:p>
      <w:pPr>
        <w:pStyle w:val="nzSubsection"/>
        <w:rPr>
          <w:ins w:id="863" w:author="svcMRProcess" w:date="2020-02-18T14:05:00Z"/>
        </w:rPr>
      </w:pPr>
      <w:ins w:id="864" w:author="svcMRProcess" w:date="2020-02-18T14:05:00Z">
        <w:r>
          <w:tab/>
          <w:t>(1)</w:t>
        </w:r>
        <w:r>
          <w:tab/>
          <w:t xml:space="preserve">The amendments in this clause are to the </w:t>
        </w:r>
        <w:r>
          <w:rPr>
            <w:i/>
            <w:iCs/>
          </w:rPr>
          <w:t>Property Law Act 1969</w:t>
        </w:r>
        <w:r>
          <w:t>.</w:t>
        </w:r>
      </w:ins>
    </w:p>
    <w:p>
      <w:pPr>
        <w:pStyle w:val="nzSubsection"/>
        <w:keepNext/>
        <w:keepLines/>
        <w:rPr>
          <w:ins w:id="865" w:author="svcMRProcess" w:date="2020-02-18T14:05:00Z"/>
        </w:rPr>
      </w:pPr>
      <w:ins w:id="866" w:author="svcMRProcess" w:date="2020-02-18T14:05:00Z">
        <w:r>
          <w:tab/>
          <w:t>(2)</w:t>
        </w:r>
        <w:r>
          <w:tab/>
          <w:t xml:space="preserve">Section 120(g) is amended by deleting “instrument” and inserting instead — </w:t>
        </w:r>
      </w:ins>
    </w:p>
    <w:p>
      <w:pPr>
        <w:pStyle w:val="nzSubsection"/>
        <w:keepNext/>
        <w:keepLines/>
        <w:rPr>
          <w:ins w:id="867" w:author="svcMRProcess" w:date="2020-02-18T14:05:00Z"/>
          <w:sz w:val="22"/>
        </w:rPr>
      </w:pPr>
      <w:ins w:id="868" w:author="svcMRProcess" w:date="2020-02-18T14:05:00Z">
        <w:r>
          <w:tab/>
        </w:r>
        <w:r>
          <w:tab/>
        </w:r>
        <w:r>
          <w:rPr>
            <w:sz w:val="22"/>
          </w:rPr>
          <w:t>“    disposition    ”.</w:t>
        </w:r>
      </w:ins>
    </w:p>
    <w:p>
      <w:pPr>
        <w:pStyle w:val="MiscClose"/>
        <w:keepNext/>
        <w:rPr>
          <w:ins w:id="869" w:author="svcMRProcess" w:date="2020-02-18T14:05:00Z"/>
        </w:rPr>
      </w:pPr>
      <w:ins w:id="870" w:author="svcMRProcess" w:date="2020-02-18T14:05:00Z">
        <w:r>
          <w:t>”.</w:t>
        </w:r>
      </w:ins>
    </w:p>
    <w:p>
      <w:pPr>
        <w:keepNext/>
        <w:keepLines/>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6</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175" w:type="dxa"/>
          <w:vAlign w:val="bottom"/>
        </w:tcPr>
        <w:p>
          <w:pPr>
            <w:pStyle w:val="HeaderTextRight"/>
          </w:pPr>
          <w:r>
            <w:fldChar w:fldCharType="begin"/>
          </w:r>
          <w:r>
            <w:instrText xml:space="preserve"> styleref CharSchText </w:instrText>
          </w:r>
          <w:r>
            <w:fldChar w:fldCharType="end"/>
          </w:r>
        </w:p>
      </w:tc>
      <w:tc>
        <w:tcPr>
          <w:tcW w:w="2088" w:type="dxa"/>
        </w:tcPr>
        <w:p>
          <w:pPr>
            <w:pStyle w:val="HeaderNumberRight"/>
            <w:ind w:right="17"/>
          </w:pPr>
          <w:r>
            <w:fldChar w:fldCharType="begin"/>
          </w:r>
          <w:r>
            <w:instrText xml:space="preserve"> styleref CharSchno </w:instrText>
          </w:r>
          <w:r>
            <w:fldChar w:fldCharType="end"/>
          </w:r>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714"/>
    <w:docVar w:name="WAFER_20151209084714" w:val="RemoveTrackChanges"/>
    <w:docVar w:name="WAFER_20151209084714_GUID" w:val="38a03388-09c4-4536-b173-61d4d94f9d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29855</Words>
  <Characters>139129</Characters>
  <Application>Microsoft Office Word</Application>
  <DocSecurity>0</DocSecurity>
  <Lines>3312</Lines>
  <Paragraphs>1289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04-a0-02 - 04-b0-02</dc:title>
  <dc:subject/>
  <dc:creator/>
  <cp:keywords/>
  <dc:description/>
  <cp:lastModifiedBy>svcMRProcess</cp:lastModifiedBy>
  <cp:revision>2</cp:revision>
  <cp:lastPrinted>2007-08-30T02:37:00Z</cp:lastPrinted>
  <dcterms:created xsi:type="dcterms:W3CDTF">2020-02-18T06:05:00Z</dcterms:created>
  <dcterms:modified xsi:type="dcterms:W3CDTF">2020-02-18T06:05:00Z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20071026</vt:lpwstr>
  </property>
  <property fmtid="{D5CDD505-2E9C-101B-9397-08002B2CF9AE}" pid="4" name="DocumentType">
    <vt:lpwstr>Act</vt:lpwstr>
  </property>
  <property fmtid="{D5CDD505-2E9C-101B-9397-08002B2CF9AE}" pid="5" name="OwlsUID">
    <vt:i4>636</vt:i4>
  </property>
  <property fmtid="{D5CDD505-2E9C-101B-9397-08002B2CF9AE}" pid="6" name="ReprintNo">
    <vt:lpwstr>4</vt:lpwstr>
  </property>
  <property fmtid="{D5CDD505-2E9C-101B-9397-08002B2CF9AE}" pid="7" name="ReprintedAsAt">
    <vt:filetime>2007-08-23T16:00:00Z</vt:filetime>
  </property>
  <property fmtid="{D5CDD505-2E9C-101B-9397-08002B2CF9AE}" pid="8" name="FromSuffix">
    <vt:lpwstr>04-a0-02</vt:lpwstr>
  </property>
  <property fmtid="{D5CDD505-2E9C-101B-9397-08002B2CF9AE}" pid="9" name="FromAsAtDate">
    <vt:lpwstr>24 Aug 2007</vt:lpwstr>
  </property>
  <property fmtid="{D5CDD505-2E9C-101B-9397-08002B2CF9AE}" pid="10" name="ToSuffix">
    <vt:lpwstr>04-b0-02</vt:lpwstr>
  </property>
  <property fmtid="{D5CDD505-2E9C-101B-9397-08002B2CF9AE}" pid="11" name="ToAsAtDate">
    <vt:lpwstr>26 Oct 2007</vt:lpwstr>
  </property>
</Properties>
</file>