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185654858"/>
      <w:bookmarkStart w:id="7" w:name="_Toc179709272"/>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85654859"/>
      <w:bookmarkStart w:id="16" w:name="_Toc179709273"/>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185654860"/>
      <w:bookmarkStart w:id="24" w:name="_Toc179709274"/>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185654861"/>
      <w:bookmarkStart w:id="32" w:name="_Toc179709275"/>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w:t>
      </w:r>
      <w:del w:id="33" w:author="Master Repository Process" w:date="2021-09-12T09:32:00Z">
        <w:r>
          <w:rPr>
            <w:snapToGrid w:val="0"/>
          </w:rPr>
          <w:delText>115</w:delText>
        </w:r>
      </w:del>
      <w:ins w:id="34" w:author="Master Repository Process" w:date="2021-09-12T09:32:00Z">
        <w:r>
          <w:rPr>
            <w:snapToGrid w:val="0"/>
          </w:rPr>
          <w:t>125</w:t>
        </w:r>
      </w:ins>
      <w:r>
        <w:rPr>
          <w:snapToGrid w:val="0"/>
        </w:rPr>
        <w:t>; and</w:t>
      </w:r>
    </w:p>
    <w:p>
      <w:pPr>
        <w:pStyle w:val="Indenta"/>
        <w:rPr>
          <w:snapToGrid w:val="0"/>
        </w:rPr>
      </w:pPr>
      <w:r>
        <w:rPr>
          <w:snapToGrid w:val="0"/>
        </w:rPr>
        <w:tab/>
        <w:t>(b)</w:t>
      </w:r>
      <w:r>
        <w:rPr>
          <w:snapToGrid w:val="0"/>
        </w:rPr>
        <w:tab/>
        <w:t>for all other appeals, $</w:t>
      </w:r>
      <w:del w:id="35" w:author="Master Repository Process" w:date="2021-09-12T09:32:00Z">
        <w:r>
          <w:rPr>
            <w:snapToGrid w:val="0"/>
          </w:rPr>
          <w:delText>285</w:delText>
        </w:r>
      </w:del>
      <w:ins w:id="36" w:author="Master Repository Process" w:date="2021-09-12T09:32:00Z">
        <w:r>
          <w:rPr>
            <w:snapToGrid w:val="0"/>
          </w:rPr>
          <w:t>305</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37" w:author="Master Repository Process" w:date="2021-09-12T09:32:00Z">
        <w:r>
          <w:rPr>
            <w:snapToGrid w:val="0"/>
          </w:rPr>
          <w:delText>115</w:delText>
        </w:r>
      </w:del>
      <w:ins w:id="38" w:author="Master Repository Process" w:date="2021-09-12T09:32:00Z">
        <w:r>
          <w:rPr>
            <w:snapToGrid w:val="0"/>
          </w:rPr>
          <w:t>125</w:t>
        </w:r>
      </w:ins>
      <w:r>
        <w:rPr>
          <w:snapToGrid w:val="0"/>
        </w:rPr>
        <w:t>; and</w:t>
      </w:r>
    </w:p>
    <w:p>
      <w:pPr>
        <w:pStyle w:val="Indenti"/>
        <w:rPr>
          <w:snapToGrid w:val="0"/>
        </w:rPr>
      </w:pPr>
      <w:r>
        <w:rPr>
          <w:snapToGrid w:val="0"/>
        </w:rPr>
        <w:tab/>
        <w:t>(ii)</w:t>
      </w:r>
      <w:r>
        <w:rPr>
          <w:snapToGrid w:val="0"/>
        </w:rPr>
        <w:tab/>
        <w:t>for all other appeals, $</w:t>
      </w:r>
      <w:del w:id="39" w:author="Master Repository Process" w:date="2021-09-12T09:32:00Z">
        <w:r>
          <w:rPr>
            <w:snapToGrid w:val="0"/>
          </w:rPr>
          <w:delText>285</w:delText>
        </w:r>
      </w:del>
      <w:ins w:id="40" w:author="Master Repository Process" w:date="2021-09-12T09:32:00Z">
        <w:r>
          <w:rPr>
            <w:snapToGrid w:val="0"/>
          </w:rPr>
          <w:t>305</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w:t>
      </w:r>
      <w:del w:id="41" w:author="Master Repository Process" w:date="2021-09-12T09:32:00Z">
        <w:r>
          <w:rPr>
            <w:snapToGrid w:val="0"/>
          </w:rPr>
          <w:delText>55</w:delText>
        </w:r>
      </w:del>
      <w:ins w:id="42" w:author="Master Repository Process" w:date="2021-09-12T09:32:00Z">
        <w:r>
          <w:rPr>
            <w:snapToGrid w:val="0"/>
          </w:rPr>
          <w:t>60</w:t>
        </w:r>
      </w:ins>
      <w:r>
        <w:rPr>
          <w:snapToGrid w:val="0"/>
        </w:rPr>
        <w:t>.</w:t>
      </w:r>
    </w:p>
    <w:p>
      <w:pPr>
        <w:pStyle w:val="Footnotesection"/>
      </w:pPr>
      <w:r>
        <w:tab/>
        <w:t>[Regulation 4 inserted in Gazette 11 Sep 1998 p. 4941; amended in Gazette 14 Oct 2005 p. 4567; 14 Nov 2006 p. 4736</w:t>
      </w:r>
      <w:ins w:id="43" w:author="Master Repository Process" w:date="2021-09-12T09:32:00Z">
        <w:r>
          <w:t>; 9 Oct 2007 p. 5358</w:t>
        </w:r>
      </w:ins>
      <w:r>
        <w:t xml:space="preserve">.] </w:t>
      </w:r>
    </w:p>
    <w:p>
      <w:pPr>
        <w:pStyle w:val="Heading5"/>
        <w:rPr>
          <w:snapToGrid w:val="0"/>
        </w:rPr>
      </w:pPr>
      <w:bookmarkStart w:id="44" w:name="_Toc437662956"/>
      <w:bookmarkStart w:id="45" w:name="_Toc437662992"/>
      <w:bookmarkStart w:id="46" w:name="_Toc437663027"/>
      <w:bookmarkStart w:id="47" w:name="_Toc485544904"/>
      <w:bookmarkStart w:id="48" w:name="_Toc117047319"/>
      <w:bookmarkStart w:id="49" w:name="_Toc124142548"/>
      <w:bookmarkStart w:id="50" w:name="_Toc185654862"/>
      <w:bookmarkStart w:id="51" w:name="_Toc179709276"/>
      <w:r>
        <w:rPr>
          <w:rStyle w:val="CharSectno"/>
        </w:rPr>
        <w:t>5</w:t>
      </w:r>
      <w:r>
        <w:rPr>
          <w:snapToGrid w:val="0"/>
        </w:rPr>
        <w:t>.</w:t>
      </w:r>
      <w:r>
        <w:rPr>
          <w:snapToGrid w:val="0"/>
        </w:rPr>
        <w:tab/>
        <w:t>Notice of representation</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52" w:name="_Toc437662957"/>
      <w:bookmarkStart w:id="53" w:name="_Toc437662993"/>
      <w:bookmarkStart w:id="54" w:name="_Toc437663028"/>
      <w:bookmarkStart w:id="55" w:name="_Toc485544905"/>
      <w:bookmarkStart w:id="56" w:name="_Toc117047320"/>
      <w:bookmarkStart w:id="57" w:name="_Toc124142549"/>
      <w:bookmarkStart w:id="58" w:name="_Toc185654863"/>
      <w:bookmarkStart w:id="59" w:name="_Toc179709277"/>
      <w:r>
        <w:rPr>
          <w:rStyle w:val="CharSectno"/>
        </w:rPr>
        <w:t>6</w:t>
      </w:r>
      <w:r>
        <w:rPr>
          <w:snapToGrid w:val="0"/>
        </w:rPr>
        <w:t>.</w:t>
      </w:r>
      <w:r>
        <w:rPr>
          <w:snapToGrid w:val="0"/>
        </w:rPr>
        <w:tab/>
        <w:t xml:space="preserve">Hearing of evidence </w:t>
      </w:r>
      <w:r>
        <w:rPr>
          <w:i/>
          <w:snapToGrid w:val="0"/>
        </w:rPr>
        <w:t>in camera</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60" w:name="_Toc437662958"/>
      <w:bookmarkStart w:id="61" w:name="_Toc437662994"/>
      <w:bookmarkStart w:id="62" w:name="_Toc437663029"/>
      <w:bookmarkStart w:id="63" w:name="_Toc485544906"/>
      <w:bookmarkStart w:id="64" w:name="_Toc117047321"/>
      <w:bookmarkStart w:id="65" w:name="_Toc124142550"/>
      <w:bookmarkStart w:id="66" w:name="_Toc185654864"/>
      <w:bookmarkStart w:id="67" w:name="_Toc179709278"/>
      <w:r>
        <w:rPr>
          <w:rStyle w:val="CharSectno"/>
        </w:rPr>
        <w:t>7</w:t>
      </w:r>
      <w:r>
        <w:rPr>
          <w:snapToGrid w:val="0"/>
        </w:rPr>
        <w:t>.</w:t>
      </w:r>
      <w:r>
        <w:rPr>
          <w:snapToGrid w:val="0"/>
        </w:rPr>
        <w:tab/>
        <w:t>Fee for transcripts</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w:t>
      </w:r>
      <w:del w:id="68" w:author="Master Repository Process" w:date="2021-09-12T09:32:00Z">
        <w:r>
          <w:rPr>
            <w:snapToGrid w:val="0"/>
          </w:rPr>
          <w:delText>3.50</w:delText>
        </w:r>
      </w:del>
      <w:ins w:id="69" w:author="Master Repository Process" w:date="2021-09-12T09:32:00Z">
        <w:r>
          <w:rPr>
            <w:snapToGrid w:val="0"/>
          </w:rPr>
          <w:t>4</w:t>
        </w:r>
      </w:ins>
      <w:r>
        <w:rPr>
          <w:snapToGrid w:val="0"/>
        </w:rPr>
        <w:t xml:space="preserve"> per page.</w:t>
      </w:r>
    </w:p>
    <w:p>
      <w:pPr>
        <w:pStyle w:val="Footnotesection"/>
      </w:pPr>
      <w:r>
        <w:tab/>
        <w:t>[Regulation 7 amended in Gazette 11 Sep 1998 p. 4942; 12 May 2000 p. 2287; 14 Oct 2005 p. 4567</w:t>
      </w:r>
      <w:ins w:id="70" w:author="Master Repository Process" w:date="2021-09-12T09:32:00Z">
        <w:r>
          <w:t>; 9 Oct 2007 p. 5359</w:t>
        </w:r>
      </w:ins>
      <w:r>
        <w:t xml:space="preserve">.] </w:t>
      </w:r>
    </w:p>
    <w:p>
      <w:pPr>
        <w:pStyle w:val="Heading5"/>
        <w:rPr>
          <w:snapToGrid w:val="0"/>
        </w:rPr>
      </w:pPr>
      <w:bookmarkStart w:id="71" w:name="_Toc437662959"/>
      <w:bookmarkStart w:id="72" w:name="_Toc437662995"/>
      <w:bookmarkStart w:id="73" w:name="_Toc437663030"/>
      <w:bookmarkStart w:id="74" w:name="_Toc485544907"/>
      <w:bookmarkStart w:id="75" w:name="_Toc117047322"/>
      <w:bookmarkStart w:id="76" w:name="_Toc124142551"/>
      <w:bookmarkStart w:id="77" w:name="_Toc185654865"/>
      <w:bookmarkStart w:id="78" w:name="_Toc179709279"/>
      <w:r>
        <w:rPr>
          <w:rStyle w:val="CharSectno"/>
        </w:rPr>
        <w:t>8</w:t>
      </w:r>
      <w:r>
        <w:rPr>
          <w:snapToGrid w:val="0"/>
        </w:rPr>
        <w:t>.</w:t>
      </w:r>
      <w:r>
        <w:rPr>
          <w:snapToGrid w:val="0"/>
        </w:rPr>
        <w:tab/>
        <w:t>Duties of Registrar</w:t>
      </w:r>
      <w:bookmarkEnd w:id="71"/>
      <w:bookmarkEnd w:id="72"/>
      <w:bookmarkEnd w:id="73"/>
      <w:bookmarkEnd w:id="74"/>
      <w:bookmarkEnd w:id="75"/>
      <w:bookmarkEnd w:id="76"/>
      <w:bookmarkEnd w:id="77"/>
      <w:bookmarkEnd w:id="78"/>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9" w:name="_Toc437662960"/>
      <w:bookmarkStart w:id="80" w:name="_Toc437662996"/>
      <w:bookmarkStart w:id="81" w:name="_Toc437663031"/>
      <w:bookmarkStart w:id="82" w:name="_Toc485544908"/>
      <w:bookmarkStart w:id="83" w:name="_Toc117047323"/>
      <w:bookmarkStart w:id="84" w:name="_Toc124142552"/>
      <w:bookmarkStart w:id="85" w:name="_Toc185654866"/>
      <w:bookmarkStart w:id="86" w:name="_Toc179709280"/>
      <w:r>
        <w:rPr>
          <w:rStyle w:val="CharSectno"/>
        </w:rPr>
        <w:t>9</w:t>
      </w:r>
      <w:r>
        <w:rPr>
          <w:snapToGrid w:val="0"/>
        </w:rPr>
        <w:t>.</w:t>
      </w:r>
      <w:r>
        <w:rPr>
          <w:snapToGrid w:val="0"/>
        </w:rPr>
        <w:tab/>
        <w:t>Matters in which Chairperson or member alone may act</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7" w:name="_Toc117047324"/>
      <w:bookmarkStart w:id="88" w:name="_Toc124142553"/>
      <w:bookmarkStart w:id="89" w:name="_Toc124142596"/>
      <w:bookmarkStart w:id="90" w:name="_Toc151199062"/>
      <w:bookmarkStart w:id="91" w:name="_Toc151261279"/>
      <w:bookmarkStart w:id="92" w:name="_Toc155067340"/>
      <w:bookmarkStart w:id="93" w:name="_Toc155085598"/>
      <w:bookmarkStart w:id="94" w:name="_Toc179691879"/>
      <w:bookmarkStart w:id="95" w:name="_Toc179709281"/>
      <w:bookmarkStart w:id="96" w:name="_Toc185654867"/>
      <w:r>
        <w:rPr>
          <w:rStyle w:val="CharSchNo"/>
        </w:rPr>
        <w:t>Schedule 1</w:t>
      </w:r>
      <w:bookmarkEnd w:id="87"/>
      <w:bookmarkEnd w:id="88"/>
      <w:bookmarkEnd w:id="89"/>
      <w:bookmarkEnd w:id="90"/>
      <w:bookmarkEnd w:id="91"/>
      <w:bookmarkEnd w:id="92"/>
      <w:bookmarkEnd w:id="93"/>
      <w:bookmarkEnd w:id="94"/>
      <w:bookmarkEnd w:id="95"/>
      <w:bookmarkEnd w:id="96"/>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97" w:name="_Toc116989864"/>
      <w:bookmarkStart w:id="98" w:name="_Toc117047325"/>
      <w:bookmarkStart w:id="99" w:name="_Toc117047458"/>
      <w:bookmarkStart w:id="100" w:name="_Toc117047489"/>
      <w:bookmarkStart w:id="101" w:name="_Toc124142554"/>
      <w:bookmarkStart w:id="102" w:name="_Toc124142597"/>
      <w:bookmarkStart w:id="103" w:name="_Toc151199063"/>
      <w:bookmarkStart w:id="104" w:name="_Toc151261280"/>
      <w:bookmarkStart w:id="105" w:name="_Toc155067341"/>
      <w:bookmarkStart w:id="106" w:name="_Toc155085599"/>
      <w:bookmarkStart w:id="107" w:name="_Toc179691880"/>
      <w:bookmarkStart w:id="108" w:name="_Toc179709282"/>
      <w:bookmarkStart w:id="109" w:name="_Toc185654868"/>
      <w:r>
        <w:t>Notes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10" w:author="Master Repository Process" w:date="2021-09-12T09:3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1" w:name="_Toc117047326"/>
      <w:bookmarkStart w:id="112" w:name="_Toc124142555"/>
      <w:bookmarkStart w:id="113" w:name="_Toc185654869"/>
      <w:bookmarkStart w:id="114" w:name="_Toc179709283"/>
      <w:r>
        <w:t>Compilation table</w:t>
      </w:r>
      <w:bookmarkEnd w:id="111"/>
      <w:bookmarkEnd w:id="112"/>
      <w:bookmarkEnd w:id="113"/>
      <w:bookmarkEnd w:id="114"/>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Pr>
          <w:p>
            <w:pPr>
              <w:pStyle w:val="nTable"/>
              <w:spacing w:before="80"/>
              <w:rPr>
                <w:i/>
                <w:sz w:val="19"/>
              </w:rPr>
            </w:pPr>
            <w:r>
              <w:rPr>
                <w:i/>
                <w:sz w:val="19"/>
              </w:rPr>
              <w:t>Racing Penalties (Appeals) Amendment Regulations 2005</w:t>
            </w:r>
          </w:p>
        </w:tc>
        <w:tc>
          <w:tcPr>
            <w:tcW w:w="1276" w:type="dxa"/>
          </w:tcPr>
          <w:p>
            <w:pPr>
              <w:pStyle w:val="nTable"/>
              <w:spacing w:before="80"/>
              <w:rPr>
                <w:sz w:val="19"/>
              </w:rPr>
            </w:pPr>
            <w:r>
              <w:rPr>
                <w:sz w:val="19"/>
              </w:rPr>
              <w:t>14 Oct 2005 p. 4566-7</w:t>
            </w:r>
          </w:p>
        </w:tc>
        <w:tc>
          <w:tcPr>
            <w:tcW w:w="2825" w:type="dxa"/>
          </w:tcPr>
          <w:p>
            <w:pPr>
              <w:pStyle w:val="nTable"/>
              <w:spacing w:before="80"/>
              <w:rPr>
                <w:sz w:val="19"/>
              </w:rPr>
            </w:pPr>
            <w:r>
              <w:rPr>
                <w:sz w:val="19"/>
              </w:rPr>
              <w:t>1 Jan 2006 (see r. 2)</w:t>
            </w:r>
          </w:p>
        </w:tc>
      </w:tr>
      <w:tr>
        <w:tc>
          <w:tcPr>
            <w:tcW w:w="3118" w:type="dxa"/>
          </w:tcPr>
          <w:p>
            <w:pPr>
              <w:pStyle w:val="nTable"/>
              <w:spacing w:before="80"/>
              <w:rPr>
                <w:i/>
                <w:sz w:val="19"/>
              </w:rPr>
            </w:pPr>
            <w:r>
              <w:rPr>
                <w:i/>
                <w:sz w:val="19"/>
              </w:rPr>
              <w:t>Racing Penalties (Appeals) Amendment Regulations 2006</w:t>
            </w:r>
          </w:p>
        </w:tc>
        <w:tc>
          <w:tcPr>
            <w:tcW w:w="1276" w:type="dxa"/>
          </w:tcPr>
          <w:p>
            <w:pPr>
              <w:pStyle w:val="nTable"/>
              <w:spacing w:before="80"/>
              <w:rPr>
                <w:sz w:val="19"/>
              </w:rPr>
            </w:pPr>
            <w:r>
              <w:rPr>
                <w:sz w:val="19"/>
              </w:rPr>
              <w:t>14 Nov 2006 p. 4735</w:t>
            </w:r>
            <w:r>
              <w:rPr>
                <w:sz w:val="19"/>
              </w:rPr>
              <w:noBreakHyphen/>
              <w:t>6</w:t>
            </w:r>
          </w:p>
        </w:tc>
        <w:tc>
          <w:tcPr>
            <w:tcW w:w="2825" w:type="dxa"/>
          </w:tcPr>
          <w:p>
            <w:pPr>
              <w:pStyle w:val="nTable"/>
              <w:spacing w:before="80"/>
              <w:rPr>
                <w:sz w:val="19"/>
              </w:rPr>
            </w:pPr>
            <w:r>
              <w:rPr>
                <w:snapToGrid w:val="0"/>
                <w:sz w:val="19"/>
                <w:lang w:val="en-US"/>
              </w:rPr>
              <w:t>1 Jan 2007 (see r. 2)</w:t>
            </w:r>
          </w:p>
        </w:tc>
      </w:tr>
      <w:tr>
        <w:tc>
          <w:tcPr>
            <w:tcW w:w="3118" w:type="dxa"/>
            <w:tcBorders>
              <w:bottom w:val="single" w:sz="4" w:space="0" w:color="auto"/>
            </w:tcBorders>
          </w:tcPr>
          <w:p>
            <w:pPr>
              <w:pStyle w:val="nTable"/>
              <w:spacing w:before="80"/>
              <w:rPr>
                <w:i/>
                <w:sz w:val="19"/>
              </w:rPr>
            </w:pPr>
            <w:r>
              <w:rPr>
                <w:i/>
                <w:sz w:val="19"/>
              </w:rPr>
              <w:t xml:space="preserve">Racing Penalties (Appeals) Amendment Regulations 2007 </w:t>
            </w:r>
            <w:del w:id="115" w:author="Master Repository Process" w:date="2021-09-12T09:32:00Z">
              <w:r>
                <w:rPr>
                  <w:iCs/>
                  <w:sz w:val="19"/>
                </w:rPr>
                <w:delText>r. 1 and 2</w:delText>
              </w:r>
            </w:del>
          </w:p>
        </w:tc>
        <w:tc>
          <w:tcPr>
            <w:tcW w:w="1276" w:type="dxa"/>
            <w:tcBorders>
              <w:bottom w:val="single" w:sz="4" w:space="0" w:color="auto"/>
            </w:tcBorders>
          </w:tcPr>
          <w:p>
            <w:pPr>
              <w:pStyle w:val="nTable"/>
              <w:spacing w:before="80"/>
              <w:rPr>
                <w:sz w:val="19"/>
              </w:rPr>
            </w:pPr>
            <w:r>
              <w:rPr>
                <w:sz w:val="19"/>
              </w:rPr>
              <w:t>9 Oct 2007 p. 5358</w:t>
            </w:r>
            <w:r>
              <w:rPr>
                <w:sz w:val="19"/>
              </w:rPr>
              <w:noBreakHyphen/>
              <w:t>9</w:t>
            </w:r>
          </w:p>
        </w:tc>
        <w:tc>
          <w:tcPr>
            <w:tcW w:w="2825" w:type="dxa"/>
            <w:tcBorders>
              <w:bottom w:val="single" w:sz="4" w:space="0" w:color="auto"/>
            </w:tcBorders>
          </w:tcPr>
          <w:p>
            <w:pPr>
              <w:pStyle w:val="nTable"/>
              <w:spacing w:before="80"/>
              <w:rPr>
                <w:snapToGrid w:val="0"/>
                <w:sz w:val="19"/>
                <w:lang w:val="en-US"/>
              </w:rPr>
            </w:pPr>
            <w:ins w:id="116" w:author="Master Repository Process" w:date="2021-09-12T09:32:00Z">
              <w:r>
                <w:rPr>
                  <w:snapToGrid w:val="0"/>
                  <w:sz w:val="19"/>
                  <w:lang w:val="en-US"/>
                </w:rPr>
                <w:t xml:space="preserve">r. 1 and 2: </w:t>
              </w:r>
            </w:ins>
            <w:r>
              <w:rPr>
                <w:snapToGrid w:val="0"/>
                <w:sz w:val="19"/>
                <w:lang w:val="en-US"/>
              </w:rPr>
              <w:t>9 Oct</w:t>
            </w:r>
            <w:del w:id="117" w:author="Master Repository Process" w:date="2021-09-12T09:32:00Z">
              <w:r>
                <w:rPr>
                  <w:snapToGrid w:val="0"/>
                  <w:sz w:val="19"/>
                  <w:lang w:val="en-US"/>
                </w:rPr>
                <w:delText> </w:delText>
              </w:r>
            </w:del>
            <w:ins w:id="118" w:author="Master Repository Process" w:date="2021-09-12T09:32:00Z">
              <w:r>
                <w:rPr>
                  <w:snapToGrid w:val="0"/>
                  <w:sz w:val="19"/>
                  <w:lang w:val="en-US"/>
                </w:rPr>
                <w:t xml:space="preserve"> </w:t>
              </w:r>
            </w:ins>
            <w:r>
              <w:rPr>
                <w:snapToGrid w:val="0"/>
                <w:sz w:val="19"/>
                <w:lang w:val="en-US"/>
              </w:rPr>
              <w:t>2007 (see r.</w:t>
            </w:r>
            <w:del w:id="119" w:author="Master Repository Process" w:date="2021-09-12T09:32:00Z">
              <w:r>
                <w:rPr>
                  <w:snapToGrid w:val="0"/>
                  <w:sz w:val="19"/>
                  <w:lang w:val="en-US"/>
                </w:rPr>
                <w:delText xml:space="preserve"> </w:delText>
              </w:r>
            </w:del>
            <w:ins w:id="120" w:author="Master Repository Process" w:date="2021-09-12T09:32:00Z">
              <w:r>
                <w:rPr>
                  <w:snapToGrid w:val="0"/>
                  <w:sz w:val="19"/>
                  <w:lang w:val="en-US"/>
                </w:rPr>
                <w:t> </w:t>
              </w:r>
            </w:ins>
            <w:r>
              <w:rPr>
                <w:snapToGrid w:val="0"/>
                <w:sz w:val="19"/>
                <w:lang w:val="en-US"/>
              </w:rPr>
              <w:t>2(a</w:t>
            </w:r>
            <w:ins w:id="121" w:author="Master Repository Process" w:date="2021-09-12T09:32:00Z">
              <w:r>
                <w:rPr>
                  <w:snapToGrid w:val="0"/>
                  <w:sz w:val="19"/>
                  <w:lang w:val="en-US"/>
                </w:rPr>
                <w:t>));</w:t>
              </w:r>
              <w:r>
                <w:rPr>
                  <w:snapToGrid w:val="0"/>
                  <w:sz w:val="19"/>
                  <w:lang w:val="en-US"/>
                </w:rPr>
                <w:br/>
                <w:t>Regulations other than r. 1 and 2: 1 Jan 2008 (see r. 2(b</w:t>
              </w:r>
            </w:ins>
            <w:r>
              <w:rPr>
                <w:snapToGrid w:val="0"/>
                <w:sz w:val="19"/>
                <w:lang w:val="en-US"/>
              </w:rPr>
              <w:t>))</w:t>
            </w:r>
          </w:p>
        </w:tc>
      </w:tr>
    </w:tbl>
    <w:p>
      <w:pPr>
        <w:pStyle w:val="nSubsection"/>
        <w:tabs>
          <w:tab w:val="clear" w:pos="454"/>
          <w:tab w:val="left" w:pos="567"/>
        </w:tabs>
        <w:spacing w:before="120"/>
        <w:ind w:left="567" w:hanging="567"/>
        <w:rPr>
          <w:del w:id="122" w:author="Master Repository Process" w:date="2021-09-12T09:32:00Z"/>
          <w:snapToGrid w:val="0"/>
        </w:rPr>
      </w:pPr>
      <w:del w:id="123" w:author="Master Repository Process" w:date="2021-09-12T09: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4" w:author="Master Repository Process" w:date="2021-09-12T09:32:00Z"/>
        </w:rPr>
      </w:pPr>
      <w:bookmarkStart w:id="125" w:name="_Toc7405065"/>
      <w:bookmarkStart w:id="126" w:name="_Toc179709284"/>
      <w:del w:id="127" w:author="Master Repository Process" w:date="2021-09-12T09:32:00Z">
        <w:r>
          <w:delText>Provisions that have not come into operation</w:delText>
        </w:r>
        <w:bookmarkEnd w:id="125"/>
        <w:bookmarkEnd w:id="12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8" w:author="Master Repository Process" w:date="2021-09-12T09:32:00Z"/>
        </w:trPr>
        <w:tc>
          <w:tcPr>
            <w:tcW w:w="3119" w:type="dxa"/>
            <w:tcBorders>
              <w:top w:val="single" w:sz="8" w:space="0" w:color="auto"/>
              <w:bottom w:val="single" w:sz="8" w:space="0" w:color="auto"/>
            </w:tcBorders>
          </w:tcPr>
          <w:p>
            <w:pPr>
              <w:pStyle w:val="nTable"/>
              <w:spacing w:after="40"/>
              <w:ind w:right="113"/>
              <w:rPr>
                <w:del w:id="129" w:author="Master Repository Process" w:date="2021-09-12T09:32:00Z"/>
                <w:b/>
                <w:sz w:val="19"/>
              </w:rPr>
            </w:pPr>
            <w:del w:id="130" w:author="Master Repository Process" w:date="2021-09-12T09:32:00Z">
              <w:r>
                <w:rPr>
                  <w:b/>
                  <w:sz w:val="19"/>
                </w:rPr>
                <w:delText>Citation</w:delText>
              </w:r>
            </w:del>
          </w:p>
        </w:tc>
        <w:tc>
          <w:tcPr>
            <w:tcW w:w="1276" w:type="dxa"/>
            <w:tcBorders>
              <w:top w:val="single" w:sz="8" w:space="0" w:color="auto"/>
              <w:bottom w:val="single" w:sz="8" w:space="0" w:color="auto"/>
            </w:tcBorders>
          </w:tcPr>
          <w:p>
            <w:pPr>
              <w:pStyle w:val="nTable"/>
              <w:spacing w:after="40"/>
              <w:rPr>
                <w:del w:id="131" w:author="Master Repository Process" w:date="2021-09-12T09:32:00Z"/>
                <w:b/>
                <w:sz w:val="19"/>
              </w:rPr>
            </w:pPr>
            <w:del w:id="132" w:author="Master Repository Process" w:date="2021-09-12T09:32:00Z">
              <w:r>
                <w:rPr>
                  <w:b/>
                  <w:sz w:val="19"/>
                </w:rPr>
                <w:delText>Gazettal</w:delText>
              </w:r>
            </w:del>
          </w:p>
        </w:tc>
        <w:tc>
          <w:tcPr>
            <w:tcW w:w="2693" w:type="dxa"/>
            <w:tcBorders>
              <w:top w:val="single" w:sz="8" w:space="0" w:color="auto"/>
              <w:bottom w:val="single" w:sz="8" w:space="0" w:color="auto"/>
            </w:tcBorders>
          </w:tcPr>
          <w:p>
            <w:pPr>
              <w:pStyle w:val="nTable"/>
              <w:spacing w:after="40"/>
              <w:rPr>
                <w:del w:id="133" w:author="Master Repository Process" w:date="2021-09-12T09:32:00Z"/>
                <w:b/>
                <w:sz w:val="19"/>
              </w:rPr>
            </w:pPr>
            <w:del w:id="134" w:author="Master Repository Process" w:date="2021-09-12T09:32:00Z">
              <w:r>
                <w:rPr>
                  <w:b/>
                  <w:sz w:val="19"/>
                </w:rPr>
                <w:delText>Commencement</w:delText>
              </w:r>
            </w:del>
          </w:p>
        </w:tc>
      </w:tr>
      <w:tr>
        <w:trPr>
          <w:cantSplit/>
          <w:del w:id="135" w:author="Master Repository Process" w:date="2021-09-12T09:32:00Z"/>
        </w:trPr>
        <w:tc>
          <w:tcPr>
            <w:tcW w:w="3119" w:type="dxa"/>
            <w:tcBorders>
              <w:top w:val="single" w:sz="8" w:space="0" w:color="auto"/>
              <w:bottom w:val="single" w:sz="4" w:space="0" w:color="auto"/>
            </w:tcBorders>
          </w:tcPr>
          <w:p>
            <w:pPr>
              <w:pStyle w:val="nTable"/>
              <w:spacing w:after="40"/>
              <w:ind w:right="113"/>
              <w:rPr>
                <w:del w:id="136" w:author="Master Repository Process" w:date="2021-09-12T09:32:00Z"/>
                <w:iCs/>
                <w:sz w:val="19"/>
                <w:vertAlign w:val="superscript"/>
              </w:rPr>
            </w:pPr>
            <w:del w:id="137" w:author="Master Repository Process" w:date="2021-09-12T09:32:00Z">
              <w:r>
                <w:rPr>
                  <w:i/>
                  <w:sz w:val="19"/>
                </w:rPr>
                <w:delText>Racing Penalties (Appeals) Amendment Regulations 2007 </w:delText>
              </w:r>
              <w:r>
                <w:rPr>
                  <w:iCs/>
                  <w:sz w:val="19"/>
                </w:rPr>
                <w:delText>r. 3–5 </w:delText>
              </w:r>
              <w:r>
                <w:rPr>
                  <w:iCs/>
                  <w:sz w:val="19"/>
                  <w:vertAlign w:val="superscript"/>
                </w:rPr>
                <w:delText>2</w:delText>
              </w:r>
            </w:del>
          </w:p>
        </w:tc>
        <w:tc>
          <w:tcPr>
            <w:tcW w:w="1276" w:type="dxa"/>
            <w:tcBorders>
              <w:top w:val="single" w:sz="8" w:space="0" w:color="auto"/>
              <w:bottom w:val="single" w:sz="4" w:space="0" w:color="auto"/>
            </w:tcBorders>
          </w:tcPr>
          <w:p>
            <w:pPr>
              <w:pStyle w:val="nTable"/>
              <w:spacing w:after="40"/>
              <w:rPr>
                <w:del w:id="138" w:author="Master Repository Process" w:date="2021-09-12T09:32:00Z"/>
                <w:sz w:val="19"/>
              </w:rPr>
            </w:pPr>
            <w:del w:id="139" w:author="Master Repository Process" w:date="2021-09-12T09:32:00Z">
              <w:r>
                <w:rPr>
                  <w:sz w:val="19"/>
                </w:rPr>
                <w:delText>9 Oct 2007 p. 5358</w:delText>
              </w:r>
              <w:r>
                <w:rPr>
                  <w:sz w:val="19"/>
                </w:rPr>
                <w:noBreakHyphen/>
                <w:delText>9</w:delText>
              </w:r>
            </w:del>
          </w:p>
        </w:tc>
        <w:tc>
          <w:tcPr>
            <w:tcW w:w="2693" w:type="dxa"/>
            <w:tcBorders>
              <w:top w:val="single" w:sz="8" w:space="0" w:color="auto"/>
              <w:bottom w:val="single" w:sz="4" w:space="0" w:color="auto"/>
            </w:tcBorders>
          </w:tcPr>
          <w:p>
            <w:pPr>
              <w:pStyle w:val="nTable"/>
              <w:spacing w:after="40"/>
              <w:rPr>
                <w:del w:id="140" w:author="Master Repository Process" w:date="2021-09-12T09:32:00Z"/>
                <w:sz w:val="19"/>
              </w:rPr>
            </w:pPr>
            <w:del w:id="141" w:author="Master Repository Process" w:date="2021-09-12T09:32:00Z">
              <w:r>
                <w:rPr>
                  <w:sz w:val="19"/>
                </w:rPr>
                <w:delText>1 Jan 2008 (see r. 2(b))</w:delText>
              </w:r>
            </w:del>
          </w:p>
        </w:tc>
      </w:tr>
    </w:tbl>
    <w:p>
      <w:pPr>
        <w:pStyle w:val="nSubsection"/>
        <w:keepLines/>
        <w:spacing w:before="120"/>
        <w:rPr>
          <w:del w:id="142" w:author="Master Repository Process" w:date="2021-09-12T09:32:00Z"/>
          <w:snapToGrid w:val="0"/>
        </w:rPr>
      </w:pPr>
      <w:del w:id="143" w:author="Master Repository Process" w:date="2021-09-12T09:3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Racing Penalties (Appeals) Amendment Regulations 2007 </w:delText>
        </w:r>
        <w:r>
          <w:rPr>
            <w:iCs/>
          </w:rPr>
          <w:delText>r. 3–5</w:delText>
        </w:r>
        <w:r>
          <w:rPr>
            <w:iCs/>
            <w:snapToGrid w:val="0"/>
          </w:rPr>
          <w:delText xml:space="preserve"> </w:delText>
        </w:r>
        <w:r>
          <w:rPr>
            <w:snapToGrid w:val="0"/>
          </w:rPr>
          <w:delText>had not come into operation.  They read as follows:</w:delText>
        </w:r>
      </w:del>
    </w:p>
    <w:p>
      <w:pPr>
        <w:pStyle w:val="MiscOpen"/>
        <w:keepNext w:val="0"/>
        <w:spacing w:before="60"/>
        <w:rPr>
          <w:del w:id="144" w:author="Master Repository Process" w:date="2021-09-12T09:32:00Z"/>
          <w:sz w:val="20"/>
        </w:rPr>
      </w:pPr>
      <w:del w:id="145" w:author="Master Repository Process" w:date="2021-09-12T09:32:00Z">
        <w:r>
          <w:rPr>
            <w:sz w:val="20"/>
          </w:rPr>
          <w:delText>“</w:delText>
        </w:r>
      </w:del>
    </w:p>
    <w:p>
      <w:pPr>
        <w:pStyle w:val="nzHeading5"/>
        <w:rPr>
          <w:del w:id="146" w:author="Master Repository Process" w:date="2021-09-12T09:32:00Z"/>
          <w:snapToGrid w:val="0"/>
        </w:rPr>
      </w:pPr>
      <w:bookmarkStart w:id="147" w:name="_Toc423332724"/>
      <w:bookmarkStart w:id="148" w:name="_Toc425219443"/>
      <w:bookmarkStart w:id="149" w:name="_Toc426249310"/>
      <w:bookmarkStart w:id="150" w:name="_Toc449924706"/>
      <w:bookmarkStart w:id="151" w:name="_Toc449947724"/>
      <w:bookmarkStart w:id="152" w:name="_Toc454185715"/>
      <w:bookmarkStart w:id="153" w:name="_Toc515958688"/>
      <w:del w:id="154" w:author="Master Repository Process" w:date="2021-09-12T09:32:00Z">
        <w:r>
          <w:rPr>
            <w:rStyle w:val="CharSectno"/>
          </w:rPr>
          <w:delText>3</w:delText>
        </w:r>
        <w:r>
          <w:rPr>
            <w:snapToGrid w:val="0"/>
          </w:rPr>
          <w:delText>.</w:delText>
        </w:r>
        <w:r>
          <w:rPr>
            <w:snapToGrid w:val="0"/>
          </w:rPr>
          <w:tab/>
          <w:delText>The regulations amended</w:delText>
        </w:r>
        <w:bookmarkEnd w:id="147"/>
        <w:bookmarkEnd w:id="148"/>
        <w:bookmarkEnd w:id="149"/>
        <w:bookmarkEnd w:id="150"/>
        <w:bookmarkEnd w:id="151"/>
        <w:bookmarkEnd w:id="152"/>
        <w:bookmarkEnd w:id="153"/>
      </w:del>
    </w:p>
    <w:p>
      <w:pPr>
        <w:pStyle w:val="nzSubsection"/>
        <w:rPr>
          <w:del w:id="155" w:author="Master Repository Process" w:date="2021-09-12T09:32:00Z"/>
        </w:rPr>
      </w:pPr>
      <w:del w:id="156" w:author="Master Repository Process" w:date="2021-09-12T09:32:00Z">
        <w:r>
          <w:tab/>
        </w:r>
        <w:r>
          <w:tab/>
          <w:delText xml:space="preserve">The amendments in </w:delText>
        </w:r>
        <w:r>
          <w:rPr>
            <w:spacing w:val="-2"/>
          </w:rPr>
          <w:delText>these</w:delText>
        </w:r>
        <w:r>
          <w:delText xml:space="preserve"> regulations are to the </w:delText>
        </w:r>
        <w:r>
          <w:rPr>
            <w:i/>
            <w:iCs/>
          </w:rPr>
          <w:delText>Racing Penalties (Appeals) Regulations 1991</w:delText>
        </w:r>
        <w:r>
          <w:delText>.</w:delText>
        </w:r>
      </w:del>
    </w:p>
    <w:p>
      <w:pPr>
        <w:pStyle w:val="nzHeading5"/>
        <w:rPr>
          <w:del w:id="157" w:author="Master Repository Process" w:date="2021-09-12T09:32:00Z"/>
        </w:rPr>
      </w:pPr>
      <w:del w:id="158" w:author="Master Repository Process" w:date="2021-09-12T09:32:00Z">
        <w:r>
          <w:rPr>
            <w:rStyle w:val="CharSectno"/>
          </w:rPr>
          <w:delText>4</w:delText>
        </w:r>
        <w:r>
          <w:delText>.</w:delText>
        </w:r>
        <w:r>
          <w:tab/>
          <w:delText>Regulation 4 amended</w:delText>
        </w:r>
      </w:del>
    </w:p>
    <w:p>
      <w:pPr>
        <w:pStyle w:val="nzSubsection"/>
        <w:rPr>
          <w:del w:id="159" w:author="Master Repository Process" w:date="2021-09-12T09:32:00Z"/>
        </w:rPr>
      </w:pPr>
      <w:del w:id="160" w:author="Master Repository Process" w:date="2021-09-12T09:32:00Z">
        <w:r>
          <w:tab/>
          <w:delText>(1)</w:delText>
        </w:r>
        <w:r>
          <w:tab/>
          <w:delText>Regulation 4(1) is amended as follows:</w:delText>
        </w:r>
      </w:del>
    </w:p>
    <w:p>
      <w:pPr>
        <w:pStyle w:val="nzIndenta"/>
        <w:rPr>
          <w:del w:id="161" w:author="Master Repository Process" w:date="2021-09-12T09:32:00Z"/>
        </w:rPr>
      </w:pPr>
      <w:del w:id="162" w:author="Master Repository Process" w:date="2021-09-12T09:32:00Z">
        <w:r>
          <w:tab/>
          <w:delText>(a)</w:delText>
        </w:r>
        <w:r>
          <w:tab/>
          <w:delText xml:space="preserve">in paragraph (a) by deleting “$115;” and inserting instead — </w:delText>
        </w:r>
      </w:del>
    </w:p>
    <w:p>
      <w:pPr>
        <w:pStyle w:val="nzIndenta"/>
        <w:rPr>
          <w:del w:id="163" w:author="Master Repository Process" w:date="2021-09-12T09:32:00Z"/>
        </w:rPr>
      </w:pPr>
      <w:del w:id="164" w:author="Master Repository Process" w:date="2021-09-12T09:32:00Z">
        <w:r>
          <w:tab/>
        </w:r>
        <w:r>
          <w:tab/>
          <w:delText>“    $125;    ”;</w:delText>
        </w:r>
      </w:del>
    </w:p>
    <w:p>
      <w:pPr>
        <w:pStyle w:val="nzIndenta"/>
        <w:rPr>
          <w:del w:id="165" w:author="Master Repository Process" w:date="2021-09-12T09:32:00Z"/>
        </w:rPr>
      </w:pPr>
      <w:del w:id="166" w:author="Master Repository Process" w:date="2021-09-12T09:32:00Z">
        <w:r>
          <w:tab/>
          <w:delText>(b)</w:delText>
        </w:r>
        <w:r>
          <w:tab/>
          <w:delText xml:space="preserve">in paragraph (b) by deleting “$285.” and inserting instead — </w:delText>
        </w:r>
      </w:del>
    </w:p>
    <w:p>
      <w:pPr>
        <w:pStyle w:val="nzIndenta"/>
        <w:rPr>
          <w:del w:id="167" w:author="Master Repository Process" w:date="2021-09-12T09:32:00Z"/>
        </w:rPr>
      </w:pPr>
      <w:del w:id="168" w:author="Master Repository Process" w:date="2021-09-12T09:32:00Z">
        <w:r>
          <w:tab/>
        </w:r>
        <w:r>
          <w:tab/>
          <w:delText>“    $305.    ”.</w:delText>
        </w:r>
      </w:del>
    </w:p>
    <w:p>
      <w:pPr>
        <w:pStyle w:val="nzSubsection"/>
        <w:rPr>
          <w:del w:id="169" w:author="Master Repository Process" w:date="2021-09-12T09:32:00Z"/>
        </w:rPr>
      </w:pPr>
      <w:del w:id="170" w:author="Master Repository Process" w:date="2021-09-12T09:32:00Z">
        <w:r>
          <w:tab/>
          <w:delText>(2)</w:delText>
        </w:r>
        <w:r>
          <w:tab/>
          <w:delText>Regulation 4(2) is amended as follows:</w:delText>
        </w:r>
      </w:del>
    </w:p>
    <w:p>
      <w:pPr>
        <w:pStyle w:val="nzIndenta"/>
        <w:rPr>
          <w:del w:id="171" w:author="Master Repository Process" w:date="2021-09-12T09:32:00Z"/>
        </w:rPr>
      </w:pPr>
      <w:del w:id="172" w:author="Master Repository Process" w:date="2021-09-12T09:32:00Z">
        <w:r>
          <w:tab/>
          <w:delText>(a)</w:delText>
        </w:r>
        <w:r>
          <w:tab/>
          <w:delText xml:space="preserve">in paragraph (a)(i) by deleting “$115;” and inserting instead — </w:delText>
        </w:r>
      </w:del>
    </w:p>
    <w:p>
      <w:pPr>
        <w:pStyle w:val="nzIndenta"/>
        <w:rPr>
          <w:del w:id="173" w:author="Master Repository Process" w:date="2021-09-12T09:32:00Z"/>
        </w:rPr>
      </w:pPr>
      <w:del w:id="174" w:author="Master Repository Process" w:date="2021-09-12T09:32:00Z">
        <w:r>
          <w:tab/>
        </w:r>
        <w:r>
          <w:tab/>
          <w:delText>“    $125;    ”;</w:delText>
        </w:r>
      </w:del>
    </w:p>
    <w:p>
      <w:pPr>
        <w:pStyle w:val="nzIndenta"/>
        <w:rPr>
          <w:del w:id="175" w:author="Master Repository Process" w:date="2021-09-12T09:32:00Z"/>
        </w:rPr>
      </w:pPr>
      <w:del w:id="176" w:author="Master Repository Process" w:date="2021-09-12T09:32:00Z">
        <w:r>
          <w:tab/>
          <w:delText>(b)</w:delText>
        </w:r>
        <w:r>
          <w:tab/>
          <w:delText xml:space="preserve">in paragraph (a)(ii) by deleting “$285;” and inserting instead — </w:delText>
        </w:r>
      </w:del>
    </w:p>
    <w:p>
      <w:pPr>
        <w:pStyle w:val="nzIndenta"/>
        <w:rPr>
          <w:del w:id="177" w:author="Master Repository Process" w:date="2021-09-12T09:32:00Z"/>
        </w:rPr>
      </w:pPr>
      <w:del w:id="178" w:author="Master Repository Process" w:date="2021-09-12T09:32:00Z">
        <w:r>
          <w:tab/>
        </w:r>
        <w:r>
          <w:tab/>
          <w:delText>“    $305;    ”;</w:delText>
        </w:r>
      </w:del>
    </w:p>
    <w:p>
      <w:pPr>
        <w:pStyle w:val="nzIndenta"/>
        <w:rPr>
          <w:del w:id="179" w:author="Master Repository Process" w:date="2021-09-12T09:32:00Z"/>
        </w:rPr>
      </w:pPr>
      <w:del w:id="180" w:author="Master Repository Process" w:date="2021-09-12T09:32:00Z">
        <w:r>
          <w:tab/>
          <w:delText>(c)</w:delText>
        </w:r>
        <w:r>
          <w:tab/>
          <w:delText xml:space="preserve">by deleting “$55.” and inserting instead — </w:delText>
        </w:r>
      </w:del>
    </w:p>
    <w:p>
      <w:pPr>
        <w:pStyle w:val="nzIndenta"/>
        <w:rPr>
          <w:del w:id="181" w:author="Master Repository Process" w:date="2021-09-12T09:32:00Z"/>
        </w:rPr>
      </w:pPr>
      <w:del w:id="182" w:author="Master Repository Process" w:date="2021-09-12T09:32:00Z">
        <w:r>
          <w:tab/>
        </w:r>
        <w:r>
          <w:tab/>
          <w:delText>“    $60.    ”.</w:delText>
        </w:r>
      </w:del>
    </w:p>
    <w:p>
      <w:pPr>
        <w:pStyle w:val="nzHeading5"/>
        <w:rPr>
          <w:del w:id="183" w:author="Master Repository Process" w:date="2021-09-12T09:32:00Z"/>
        </w:rPr>
      </w:pPr>
      <w:del w:id="184" w:author="Master Repository Process" w:date="2021-09-12T09:32:00Z">
        <w:r>
          <w:rPr>
            <w:rStyle w:val="CharSectno"/>
          </w:rPr>
          <w:delText>5</w:delText>
        </w:r>
        <w:r>
          <w:delText>.</w:delText>
        </w:r>
        <w:r>
          <w:tab/>
          <w:delText>Regulation 7 amended</w:delText>
        </w:r>
      </w:del>
    </w:p>
    <w:p>
      <w:pPr>
        <w:pStyle w:val="nzSubsection"/>
        <w:rPr>
          <w:del w:id="185" w:author="Master Repository Process" w:date="2021-09-12T09:32:00Z"/>
        </w:rPr>
      </w:pPr>
      <w:del w:id="186" w:author="Master Repository Process" w:date="2021-09-12T09:32:00Z">
        <w:r>
          <w:tab/>
        </w:r>
        <w:r>
          <w:tab/>
          <w:delText xml:space="preserve">Regulation 7 is amended by deleting “$3.50” and inserting instead — </w:delText>
        </w:r>
      </w:del>
    </w:p>
    <w:p>
      <w:pPr>
        <w:pStyle w:val="nzSubsection"/>
        <w:rPr>
          <w:del w:id="187" w:author="Master Repository Process" w:date="2021-09-12T09:32:00Z"/>
        </w:rPr>
      </w:pPr>
      <w:del w:id="188" w:author="Master Repository Process" w:date="2021-09-12T09:32:00Z">
        <w:r>
          <w:tab/>
        </w:r>
        <w:r>
          <w:tab/>
          <w:delText>“    $4    ”.</w:delText>
        </w:r>
      </w:del>
    </w:p>
    <w:p>
      <w:pPr>
        <w:pStyle w:val="MiscClose"/>
        <w:rPr>
          <w:del w:id="189" w:author="Master Repository Process" w:date="2021-09-12T09:32:00Z"/>
        </w:rPr>
      </w:pPr>
      <w:del w:id="190" w:author="Master Repository Process" w:date="2021-09-12T09:32: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191" w:name="UpToHere"/>
      <w:bookmarkEnd w:id="191"/>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FA79D7-F144-45F7-86F8-7C756012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1308</Words>
  <Characters>6030</Characters>
  <Application>Microsoft Office Word</Application>
  <DocSecurity>0</DocSecurity>
  <Lines>215</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01-f0-01 - 01-g0-01</dc:title>
  <dc:subject/>
  <dc:creator/>
  <cp:keywords/>
  <dc:description/>
  <cp:lastModifiedBy>Master Repository Process</cp:lastModifiedBy>
  <cp:revision>2</cp:revision>
  <cp:lastPrinted>2003-02-13T03:59:00Z</cp:lastPrinted>
  <dcterms:created xsi:type="dcterms:W3CDTF">2021-09-12T01:32:00Z</dcterms:created>
  <dcterms:modified xsi:type="dcterms:W3CDTF">2021-09-12T01:32:00Z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4728</vt:i4>
  </property>
  <property fmtid="{D5CDD505-2E9C-101B-9397-08002B2CF9AE}" pid="6" name="FromSuffix">
    <vt:lpwstr>01-f0-01</vt:lpwstr>
  </property>
  <property fmtid="{D5CDD505-2E9C-101B-9397-08002B2CF9AE}" pid="7" name="FromAsAtDate">
    <vt:lpwstr>09 Oct 2007</vt:lpwstr>
  </property>
  <property fmtid="{D5CDD505-2E9C-101B-9397-08002B2CF9AE}" pid="8" name="ToSuffix">
    <vt:lpwstr>01-g0-01</vt:lpwstr>
  </property>
  <property fmtid="{D5CDD505-2E9C-101B-9397-08002B2CF9AE}" pid="9" name="ToAsAtDate">
    <vt:lpwstr>01 Jan 2008</vt:lpwstr>
  </property>
</Properties>
</file>