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06-e0-02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720"/>
      </w:pPr>
      <w:r>
        <w:t xml:space="preserve">Mining Act 1978 </w:t>
      </w:r>
    </w:p>
    <w:p>
      <w:pPr>
        <w:pStyle w:val="LongTitle"/>
        <w:spacing w:before="480"/>
        <w:rPr>
          <w:snapToGrid w:val="0"/>
        </w:rPr>
      </w:pPr>
      <w:r>
        <w:rPr>
          <w:snapToGrid w:val="0"/>
        </w:rPr>
        <w:t>A</w:t>
      </w:r>
      <w:bookmarkStart w:id="0" w:name="_GoBack"/>
      <w:bookmarkEnd w:id="0"/>
      <w:r>
        <w:rPr>
          <w:snapToGrid w:val="0"/>
        </w:rPr>
        <w:t xml:space="preserve">n Act to consolidate and amend the law relating to mining and for incidental and other purposes. </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520087879"/>
      <w:bookmarkStart w:id="36" w:name="_Toc523620515"/>
      <w:bookmarkStart w:id="37" w:name="_Toc38853666"/>
      <w:bookmarkStart w:id="38" w:name="_Toc124061025"/>
      <w:bookmarkStart w:id="39" w:name="_Toc188695275"/>
      <w:bookmarkStart w:id="40" w:name="_Toc187053214"/>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41" w:name="_Toc520087880"/>
      <w:bookmarkStart w:id="42" w:name="_Toc523620516"/>
      <w:bookmarkStart w:id="43" w:name="_Toc38853667"/>
      <w:bookmarkStart w:id="44" w:name="_Toc124061026"/>
      <w:bookmarkStart w:id="45" w:name="_Toc188695276"/>
      <w:bookmarkStart w:id="46" w:name="_Toc187053215"/>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47" w:name="_Toc520087882"/>
      <w:r>
        <w:t>[</w:t>
      </w:r>
      <w:r>
        <w:rPr>
          <w:b/>
        </w:rPr>
        <w:t>3.</w:t>
      </w:r>
      <w:r>
        <w:tab/>
        <w:t>Omitted under Reprints Act 1984 s. 7(4)(f).]</w:t>
      </w:r>
    </w:p>
    <w:p>
      <w:pPr>
        <w:pStyle w:val="Heading5"/>
        <w:rPr>
          <w:snapToGrid w:val="0"/>
        </w:rPr>
      </w:pPr>
      <w:bookmarkStart w:id="48" w:name="_Toc523620517"/>
      <w:bookmarkStart w:id="49" w:name="_Toc38853668"/>
      <w:bookmarkStart w:id="50" w:name="_Toc124061027"/>
      <w:bookmarkStart w:id="51" w:name="_Toc188695277"/>
      <w:bookmarkStart w:id="52" w:name="_Toc187053216"/>
      <w:r>
        <w:rPr>
          <w:snapToGrid w:val="0"/>
        </w:rPr>
        <w:t>4.</w:t>
      </w:r>
      <w:r>
        <w:rPr>
          <w:snapToGrid w:val="0"/>
        </w:rPr>
        <w:tab/>
        <w:t>Transitional provisions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 xml:space="preserve">[Section 4 inserted by No. 100 of 1985 s. 3.] </w:t>
      </w:r>
    </w:p>
    <w:p>
      <w:pPr>
        <w:pStyle w:val="Heading5"/>
        <w:rPr>
          <w:snapToGrid w:val="0"/>
        </w:rPr>
      </w:pPr>
      <w:bookmarkStart w:id="53" w:name="_Toc520087883"/>
      <w:bookmarkStart w:id="54" w:name="_Toc523620518"/>
      <w:bookmarkStart w:id="55" w:name="_Toc38853669"/>
      <w:bookmarkStart w:id="56" w:name="_Toc124061028"/>
      <w:bookmarkStart w:id="57" w:name="_Toc188695278"/>
      <w:bookmarkStart w:id="58" w:name="_Toc187053217"/>
      <w:r>
        <w:rPr>
          <w:snapToGrid w:val="0"/>
        </w:rPr>
        <w:t>5.</w:t>
      </w:r>
      <w:r>
        <w:rPr>
          <w:snapToGrid w:val="0"/>
        </w:rPr>
        <w:tab/>
        <w:t>Saving</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 xml:space="preserve">[Section 5 amended by No. 69 of 1981 s. 5.] </w:t>
      </w:r>
    </w:p>
    <w:p>
      <w:pPr>
        <w:pStyle w:val="Heading5"/>
        <w:rPr>
          <w:snapToGrid w:val="0"/>
        </w:rPr>
      </w:pPr>
      <w:bookmarkStart w:id="59" w:name="_Toc520087884"/>
      <w:bookmarkStart w:id="60" w:name="_Toc523620519"/>
      <w:bookmarkStart w:id="61" w:name="_Toc38853670"/>
      <w:bookmarkStart w:id="62" w:name="_Toc124061029"/>
      <w:bookmarkStart w:id="63" w:name="_Toc188695279"/>
      <w:bookmarkStart w:id="64" w:name="_Toc187053218"/>
      <w:r>
        <w:rPr>
          <w:rStyle w:val="CharSectno"/>
        </w:rPr>
        <w:t>6</w:t>
      </w:r>
      <w:r>
        <w:rPr>
          <w:snapToGrid w:val="0"/>
        </w:rPr>
        <w:t>.</w:t>
      </w:r>
      <w:r>
        <w:rPr>
          <w:snapToGrid w:val="0"/>
        </w:rPr>
        <w:tab/>
        <w:t>Operation of this Act</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xml:space="preserve">, in the case of an application for a mining lease accompanied by the documentation referred to in section 74(1)(ca)(ii) —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 xml:space="preserve">In subsection (1a) — </w:t>
      </w:r>
    </w:p>
    <w:p>
      <w:pPr>
        <w:pStyle w:val="Defstart"/>
      </w:pPr>
      <w:r>
        <w:rPr>
          <w:b/>
        </w:rPr>
        <w:tab/>
        <w:t>“</w:t>
      </w:r>
      <w:r>
        <w:rPr>
          <w:rStyle w:val="CharDefText"/>
        </w:rPr>
        <w:t>proposal</w:t>
      </w:r>
      <w:r>
        <w:rPr>
          <w:b/>
        </w:rPr>
        <w:t>”</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 xml:space="preserve">to —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 </w:t>
      </w:r>
    </w:p>
    <w:p>
      <w:pPr>
        <w:pStyle w:val="Indenta"/>
        <w:rPr>
          <w:snapToGrid w:val="0"/>
        </w:rPr>
      </w:pPr>
      <w:r>
        <w:rPr>
          <w:snapToGrid w:val="0"/>
        </w:rPr>
        <w:tab/>
        <w:t>(a)</w:t>
      </w:r>
      <w:r>
        <w:rPr>
          <w:snapToGrid w:val="0"/>
        </w:rPr>
        <w:tab/>
        <w:t>a local government is not required to hold a mining tenement to —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 xml:space="preserve">[Section 6 amended by No. 100 of 1985 s. 4; No. 77 of 1986 s. 8; No. 14 of 1996 s. 4; No. 39 of 2004 s. 26.] </w:t>
      </w:r>
    </w:p>
    <w:p>
      <w:pPr>
        <w:pStyle w:val="Ednotesection"/>
        <w:spacing w:before="200"/>
        <w:ind w:left="890" w:hanging="890"/>
      </w:pPr>
      <w:r>
        <w:t>[</w:t>
      </w:r>
      <w:r>
        <w:rPr>
          <w:b/>
        </w:rPr>
        <w:t>7.</w:t>
      </w:r>
      <w:r>
        <w:tab/>
        <w:t xml:space="preserve">Repealed by No. 122 of 1982 s. 4.] </w:t>
      </w:r>
    </w:p>
    <w:p>
      <w:pPr>
        <w:pStyle w:val="Heading5"/>
        <w:spacing w:before="200"/>
        <w:rPr>
          <w:snapToGrid w:val="0"/>
        </w:rPr>
      </w:pPr>
      <w:bookmarkStart w:id="65" w:name="_Toc520087885"/>
      <w:bookmarkStart w:id="66" w:name="_Toc523620520"/>
      <w:bookmarkStart w:id="67" w:name="_Toc38853671"/>
      <w:bookmarkStart w:id="68" w:name="_Toc124061030"/>
      <w:bookmarkStart w:id="69" w:name="_Toc188695280"/>
      <w:bookmarkStart w:id="70" w:name="_Toc187053219"/>
      <w:r>
        <w:rPr>
          <w:rStyle w:val="CharSectno"/>
        </w:rPr>
        <w:t>8</w:t>
      </w:r>
      <w:r>
        <w:rPr>
          <w:snapToGrid w:val="0"/>
        </w:rPr>
        <w:t>.</w:t>
      </w:r>
      <w:r>
        <w:rPr>
          <w:snapToGrid w:val="0"/>
        </w:rPr>
        <w:tab/>
        <w:t>Interpretation</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agricultural</w:t>
      </w:r>
      <w:r>
        <w:rPr>
          <w:b/>
        </w:rPr>
        <w:t>”</w:t>
      </w:r>
      <w:r>
        <w:t xml:space="preserve"> used in relation to the purposes for which land is occupied, includes cropping or pasturing purposes;</w:t>
      </w:r>
    </w:p>
    <w:p>
      <w:pPr>
        <w:pStyle w:val="Defstart"/>
      </w:pPr>
      <w:r>
        <w:rPr>
          <w:b/>
        </w:rPr>
        <w:tab/>
        <w:t>“</w:t>
      </w:r>
      <w:r>
        <w:rPr>
          <w:rStyle w:val="CharDefText"/>
        </w:rPr>
        <w:t>burial ground</w:t>
      </w:r>
      <w:r>
        <w:rPr>
          <w:b/>
        </w:rPr>
        <w:t>”</w:t>
      </w:r>
      <w:r>
        <w:t xml:space="preserve"> means an area of land reserved or demarcated exclusively for the purpose of burials;</w:t>
      </w:r>
    </w:p>
    <w:p>
      <w:pPr>
        <w:pStyle w:val="Defstart"/>
      </w:pPr>
      <w:r>
        <w:rPr>
          <w:b/>
        </w:rPr>
        <w:tab/>
        <w:t>“</w:t>
      </w:r>
      <w:r>
        <w:rPr>
          <w:rStyle w:val="CharDefText"/>
        </w:rPr>
        <w:t>commencing date</w:t>
      </w:r>
      <w:r>
        <w:rPr>
          <w:b/>
        </w:rPr>
        <w:t>”</w:t>
      </w:r>
      <w:r>
        <w:t xml:space="preserve"> means the date of the coming into operation of the provisions of this Act referred to in section 2(2)</w:t>
      </w:r>
      <w:r>
        <w:rPr>
          <w:vertAlign w:val="superscript"/>
        </w:rPr>
        <w:t xml:space="preserve"> 1</w:t>
      </w:r>
      <w:r>
        <w:t>;</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means all land in the State, except — </w:t>
      </w:r>
    </w:p>
    <w:p>
      <w:pPr>
        <w:pStyle w:val="Defpara"/>
        <w:keepNext/>
      </w:pPr>
      <w:r>
        <w:tab/>
        <w:t>(a)</w:t>
      </w:r>
      <w:r>
        <w:tab/>
        <w:t>land that has been reserved for or dedicated to any public purpose other than —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t>“</w:t>
      </w:r>
      <w:r>
        <w:rPr>
          <w:rStyle w:val="CharDefText"/>
        </w:rPr>
        <w:t>dam</w:t>
      </w:r>
      <w:r>
        <w:rPr>
          <w:b/>
        </w:rPr>
        <w:t>”</w:t>
      </w:r>
      <w:r>
        <w:t xml:space="preserve"> means any accumulation or storage of water, whether natural or artificial;</w:t>
      </w:r>
    </w:p>
    <w:p>
      <w:pPr>
        <w:pStyle w:val="Defstart"/>
      </w:pPr>
      <w:r>
        <w:rPr>
          <w:b/>
        </w:rPr>
        <w:tab/>
        <w:t>“</w:t>
      </w:r>
      <w:r>
        <w:rPr>
          <w:rStyle w:val="CharDefText"/>
        </w:rPr>
        <w:t>damage</w:t>
      </w:r>
      <w:r>
        <w:rPr>
          <w:b/>
        </w:rPr>
        <w:t>”</w:t>
      </w:r>
      <w:r>
        <w:t>, in relation to agricultural land, includes the disturbance of stock and any proper cost reasonably incurred for the purpose of rectifying that disturbance;</w:t>
      </w:r>
    </w:p>
    <w:p>
      <w:pPr>
        <w:pStyle w:val="Defstart"/>
      </w:pPr>
      <w:r>
        <w:tab/>
      </w:r>
      <w:r>
        <w:rPr>
          <w:b/>
        </w:rPr>
        <w:t>“</w:t>
      </w:r>
      <w:r>
        <w:rPr>
          <w:rStyle w:val="CharDefText"/>
        </w:rPr>
        <w:t>dealing</w:t>
      </w:r>
      <w:r>
        <w:rPr>
          <w:b/>
        </w:rPr>
        <w:t>”</w:t>
      </w:r>
      <w:r>
        <w:t xml:space="preserve"> means a transfer or mortgage of a legal interest in a mining tenement;</w:t>
      </w:r>
    </w:p>
    <w:p>
      <w:pPr>
        <w:pStyle w:val="Defstart"/>
      </w:pPr>
      <w:r>
        <w:rPr>
          <w:b/>
        </w:rPr>
        <w:tab/>
        <w:t>“</w:t>
      </w:r>
      <w:r>
        <w:rPr>
          <w:rStyle w:val="CharDefText"/>
        </w:rPr>
        <w:t>Director General of Mines</w:t>
      </w:r>
      <w:r>
        <w:rPr>
          <w:b/>
        </w:rPr>
        <w:t>”</w:t>
      </w:r>
      <w:r>
        <w:t xml:space="preserve"> means the person for the time being holding or acting in the office of chief executive officer of the Department;</w:t>
      </w:r>
    </w:p>
    <w:p>
      <w:pPr>
        <w:pStyle w:val="Defstart"/>
      </w:pPr>
      <w:r>
        <w:rPr>
          <w:b/>
        </w:rPr>
        <w:tab/>
        <w:t>“</w:t>
      </w:r>
      <w:r>
        <w:rPr>
          <w:rStyle w:val="CharDefText"/>
        </w:rPr>
        <w:t>Director, Geological Survey</w:t>
      </w:r>
      <w:r>
        <w:rPr>
          <w:b/>
        </w:rPr>
        <w:t>”</w:t>
      </w:r>
      <w:r>
        <w:t xml:space="preserve"> means the person for the time being holding or acting in the office of Director, Geological Survey in the Department;</w:t>
      </w:r>
    </w:p>
    <w:p>
      <w:pPr>
        <w:pStyle w:val="Defstart"/>
      </w:pPr>
      <w:r>
        <w:rPr>
          <w:b/>
        </w:rPr>
        <w:tab/>
        <w:t>“</w:t>
      </w:r>
      <w:r>
        <w:rPr>
          <w:rStyle w:val="CharDefText"/>
        </w:rPr>
        <w:t>expenditure conditions</w:t>
      </w:r>
      <w:r>
        <w:rPr>
          <w:b/>
        </w:rPr>
        <w:t>”</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t>“</w:t>
      </w:r>
      <w:r>
        <w:rPr>
          <w:rStyle w:val="CharDefText"/>
        </w:rPr>
        <w:t>fossick</w:t>
      </w:r>
      <w:r>
        <w:rPr>
          <w:b/>
        </w:rPr>
        <w:t>”</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t>“</w:t>
      </w:r>
      <w:r>
        <w:rPr>
          <w:rStyle w:val="CharDefText"/>
        </w:rPr>
        <w:t>geological sample</w:t>
      </w:r>
      <w:r>
        <w:rPr>
          <w:b/>
        </w:rPr>
        <w:t>”</w:t>
      </w:r>
      <w:r>
        <w:t xml:space="preserve"> includes a drill core;</w:t>
      </w:r>
    </w:p>
    <w:p>
      <w:pPr>
        <w:pStyle w:val="Defstart"/>
      </w:pPr>
      <w:r>
        <w:rPr>
          <w:b/>
        </w:rPr>
        <w:tab/>
        <w:t>“</w:t>
      </w:r>
      <w:r>
        <w:rPr>
          <w:rStyle w:val="CharDefText"/>
        </w:rPr>
        <w:t>ground disturbing equipment</w:t>
      </w:r>
      <w:r>
        <w:rPr>
          <w:b/>
        </w:rPr>
        <w:t>”</w:t>
      </w:r>
      <w:r>
        <w:t xml:space="preserve"> means —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t>“</w:t>
      </w:r>
      <w:r>
        <w:rPr>
          <w:rStyle w:val="CharDefText"/>
        </w:rPr>
        <w:t>identified mineral resource</w:t>
      </w:r>
      <w:r>
        <w:rPr>
          <w:b/>
        </w:rPr>
        <w:t>”</w:t>
      </w:r>
      <w:r>
        <w:t xml:space="preserve"> means a deposit of minerals identified in the prescribed manner;</w:t>
      </w:r>
    </w:p>
    <w:p>
      <w:pPr>
        <w:pStyle w:val="Defstart"/>
      </w:pPr>
      <w:r>
        <w:rPr>
          <w:b/>
        </w:rPr>
        <w:tab/>
        <w:t>“</w:t>
      </w:r>
      <w:r>
        <w:rPr>
          <w:rStyle w:val="CharDefText"/>
        </w:rPr>
        <w:t>land</w:t>
      </w:r>
      <w:r>
        <w:rPr>
          <w:b/>
        </w:rPr>
        <w:t>”</w:t>
      </w:r>
      <w:r>
        <w:t xml:space="preserve"> includes water; and also includes the foreshore and the sea bed within the meaning of section 25;</w:t>
      </w:r>
    </w:p>
    <w:p>
      <w:pPr>
        <w:pStyle w:val="Defstart"/>
      </w:pPr>
      <w:r>
        <w:rPr>
          <w:b/>
        </w:rPr>
        <w:tab/>
        <w:t>“</w:t>
      </w:r>
      <w:r>
        <w:rPr>
          <w:rStyle w:val="CharDefText"/>
        </w:rPr>
        <w:t>land under cultivation</w:t>
      </w:r>
      <w:r>
        <w:rPr>
          <w:b/>
        </w:rPr>
        <w:t>”</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spacing w:before="120"/>
      </w:pPr>
      <w:r>
        <w:rPr>
          <w:b/>
        </w:rPr>
        <w:tab/>
        <w:t>“</w:t>
      </w:r>
      <w:r>
        <w:rPr>
          <w:rStyle w:val="CharDefText"/>
        </w:rPr>
        <w:t>lapidary work</w:t>
      </w:r>
      <w:r>
        <w:rPr>
          <w:b/>
        </w:rPr>
        <w:t>”</w:t>
      </w:r>
      <w:r>
        <w:t xml:space="preserve"> includes the selection, cutting, polishing, engraving and setting of rock or other minerals;</w:t>
      </w:r>
    </w:p>
    <w:p>
      <w:pPr>
        <w:pStyle w:val="Defstart"/>
        <w:spacing w:before="120"/>
      </w:pPr>
      <w:r>
        <w:rPr>
          <w:b/>
        </w:rPr>
        <w:tab/>
        <w:t>“</w:t>
      </w:r>
      <w:r>
        <w:rPr>
          <w:rStyle w:val="CharDefText"/>
        </w:rPr>
        <w:t>listed public company</w:t>
      </w:r>
      <w:r>
        <w:rPr>
          <w:b/>
        </w:rPr>
        <w:t>”</w:t>
      </w:r>
      <w:r>
        <w:t xml:space="preserve"> means a corporation that is a listed corporation within the meaning of that expression in the Corporations Act;</w:t>
      </w:r>
    </w:p>
    <w:p>
      <w:pPr>
        <w:pStyle w:val="Defstart"/>
        <w:spacing w:before="120"/>
      </w:pPr>
      <w:r>
        <w:rPr>
          <w:b/>
        </w:rPr>
        <w:tab/>
        <w:t>“</w:t>
      </w:r>
      <w:r>
        <w:rPr>
          <w:rStyle w:val="CharDefText"/>
        </w:rPr>
        <w:t>local government</w:t>
      </w:r>
      <w:r>
        <w:rPr>
          <w:b/>
        </w:rPr>
        <w:t>”</w:t>
      </w:r>
      <w:r>
        <w:t xml:space="preserve"> means the local government of the district in which the matter in relation to which the term is used, arose or is situated;</w:t>
      </w:r>
    </w:p>
    <w:p>
      <w:pPr>
        <w:pStyle w:val="Defstart"/>
        <w:spacing w:before="120"/>
      </w:pPr>
      <w:r>
        <w:rPr>
          <w:b/>
        </w:rPr>
        <w:tab/>
        <w:t>“</w:t>
      </w:r>
      <w:r>
        <w:rPr>
          <w:rStyle w:val="CharDefText"/>
        </w:rPr>
        <w:t>machinery</w:t>
      </w:r>
      <w:r>
        <w:rPr>
          <w:b/>
        </w:rPr>
        <w:t>”</w:t>
      </w:r>
      <w:r>
        <w:t xml:space="preserve"> includes all mechanical appliances of whatever kind used or intended to be used for any mining purpose;</w:t>
      </w:r>
    </w:p>
    <w:p>
      <w:pPr>
        <w:pStyle w:val="Defstart"/>
        <w:spacing w:before="120"/>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Defstart"/>
        <w:spacing w:before="120"/>
      </w:pPr>
      <w:r>
        <w:rPr>
          <w:b/>
        </w:rPr>
        <w:tab/>
        <w:t>“</w:t>
      </w:r>
      <w:r>
        <w:rPr>
          <w:rStyle w:val="CharDefText"/>
        </w:rPr>
        <w:t>mine</w:t>
      </w:r>
      <w:r>
        <w:rPr>
          <w:b/>
        </w:rPr>
        <w:t>”</w:t>
      </w:r>
      <w:r>
        <w:t>, as a noun, means any place in, on or under which mining operations are carried on;</w:t>
      </w:r>
    </w:p>
    <w:p>
      <w:pPr>
        <w:pStyle w:val="Defstart"/>
        <w:spacing w:before="120"/>
      </w:pPr>
      <w:r>
        <w:rPr>
          <w:b/>
        </w:rPr>
        <w:tab/>
        <w:t>“</w:t>
      </w:r>
      <w:r>
        <w:rPr>
          <w:rStyle w:val="CharDefText"/>
        </w:rPr>
        <w:t>mine</w:t>
      </w:r>
      <w:r>
        <w:rPr>
          <w:b/>
        </w:rPr>
        <w:t>”</w:t>
      </w:r>
      <w:r>
        <w:t>, as a verb, includes any manner or method of mining operations;</w:t>
      </w:r>
    </w:p>
    <w:p>
      <w:pPr>
        <w:pStyle w:val="Defstart"/>
        <w:keepNext/>
      </w:pPr>
      <w:r>
        <w:tab/>
      </w:r>
      <w:r>
        <w:rPr>
          <w:b/>
        </w:rPr>
        <w:t>“</w:t>
      </w:r>
      <w:r>
        <w:rPr>
          <w:rStyle w:val="CharDefText"/>
        </w:rPr>
        <w:t>minerals</w:t>
      </w:r>
      <w:r>
        <w:rPr>
          <w:b/>
        </w:rPr>
        <w:t>”</w:t>
      </w:r>
      <w:r>
        <w:t xml:space="preserve"> means naturally occurring substances obtained or obtainable from any land by mining operations carried out on or under the surface of the land, but does not include —</w:t>
      </w:r>
    </w:p>
    <w:p>
      <w:pPr>
        <w:pStyle w:val="Defpara"/>
      </w:pPr>
      <w:r>
        <w:tab/>
        <w:t>(a)</w:t>
      </w:r>
      <w:r>
        <w:tab/>
        <w:t>soil;</w:t>
      </w:r>
      <w:ins w:id="71" w:author="svcMRProcess" w:date="2020-02-19T00:00:00Z">
        <w:r>
          <w:t xml:space="preserve"> or</w:t>
        </w:r>
      </w:ins>
    </w:p>
    <w:p>
      <w:pPr>
        <w:pStyle w:val="Defpara"/>
      </w:pPr>
      <w:r>
        <w:tab/>
        <w:t>(b)</w:t>
      </w:r>
      <w:r>
        <w:tab/>
        <w:t xml:space="preserve">a substance the recovery of which is governed by the </w:t>
      </w:r>
      <w:r>
        <w:rPr>
          <w:i/>
          <w:iCs/>
        </w:rPr>
        <w:t xml:space="preserve">Petroleum </w:t>
      </w:r>
      <w:ins w:id="72" w:author="svcMRProcess" w:date="2020-02-19T00:00:00Z">
        <w:r>
          <w:rPr>
            <w:i/>
            <w:iCs/>
          </w:rPr>
          <w:t xml:space="preserve">and Geothermal Energy Resources </w:t>
        </w:r>
      </w:ins>
      <w:r>
        <w:rPr>
          <w:i/>
          <w:iCs/>
        </w:rPr>
        <w:t xml:space="preserve">Act 1967 </w:t>
      </w:r>
      <w:r>
        <w:t xml:space="preserve">or the </w:t>
      </w:r>
      <w:r>
        <w:rPr>
          <w:i/>
        </w:rPr>
        <w:t>Petroleum (Submerged Lands) Act 1982</w:t>
      </w:r>
      <w:r>
        <w:t>;</w:t>
      </w:r>
      <w:ins w:id="73" w:author="svcMRProcess" w:date="2020-02-19T00:00:00Z">
        <w:r>
          <w:t xml:space="preserve"> or</w:t>
        </w:r>
      </w:ins>
    </w:p>
    <w:p>
      <w:pPr>
        <w:pStyle w:val="Defpara"/>
        <w:rPr>
          <w:ins w:id="74" w:author="svcMRProcess" w:date="2020-02-19T00:00:00Z"/>
        </w:rPr>
      </w:pPr>
      <w:ins w:id="75" w:author="svcMRProcess" w:date="2020-02-19T00:00:00Z">
        <w:r>
          <w:tab/>
          <w:t>(ba)</w:t>
        </w:r>
        <w:r>
          <w:tab/>
          <w:t xml:space="preserve">without limiting paragraph (b), geothermal energy resources as defined in the </w:t>
        </w:r>
        <w:r>
          <w:rPr>
            <w:i/>
            <w:iCs/>
          </w:rPr>
          <w:t>Petroleum and Geothermal Energy Resources Act 1967</w:t>
        </w:r>
        <w:r>
          <w:t xml:space="preserve"> section 5(1); or</w:t>
        </w:r>
      </w:ins>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w:t>
      </w:r>
      <w:ins w:id="76" w:author="svcMRProcess" w:date="2020-02-19T00:00:00Z">
        <w:r>
          <w:t xml:space="preserve"> or</w:t>
        </w:r>
      </w:ins>
    </w:p>
    <w:p>
      <w:pPr>
        <w:pStyle w:val="Defsubpara"/>
      </w:pPr>
      <w:r>
        <w:tab/>
        <w:t>(ii)</w:t>
      </w:r>
      <w:r>
        <w:tab/>
        <w:t>shale, other than oil shale;</w:t>
      </w:r>
      <w:ins w:id="77" w:author="svcMRProcess" w:date="2020-02-19T00:00:00Z">
        <w:r>
          <w:t xml:space="preserve"> or</w:t>
        </w:r>
      </w:ins>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t>“</w:t>
      </w:r>
      <w:r>
        <w:rPr>
          <w:rStyle w:val="CharDefText"/>
        </w:rPr>
        <w:t>mineral field</w:t>
      </w:r>
      <w:r>
        <w:rPr>
          <w:b/>
        </w:rPr>
        <w:t>”</w:t>
      </w:r>
      <w:r>
        <w:t xml:space="preserve"> means a mineral field constituted under this Act or deemed so to be;</w:t>
      </w:r>
    </w:p>
    <w:p>
      <w:pPr>
        <w:pStyle w:val="Defstart"/>
      </w:pPr>
      <w:r>
        <w:rPr>
          <w:b/>
        </w:rPr>
        <w:tab/>
        <w:t>“</w:t>
      </w:r>
      <w:r>
        <w:rPr>
          <w:rStyle w:val="CharDefText"/>
        </w:rPr>
        <w:t>mining</w:t>
      </w:r>
      <w:r>
        <w:rPr>
          <w:b/>
        </w:rPr>
        <w:t>”</w:t>
      </w:r>
      <w:r>
        <w:t xml:space="preserve"> includes fossicking, prospecting and exploring for minerals, and mining operations;</w:t>
      </w:r>
    </w:p>
    <w:p>
      <w:pPr>
        <w:pStyle w:val="Defstart"/>
      </w:pPr>
      <w:r>
        <w:rPr>
          <w:b/>
        </w:rPr>
        <w:tab/>
        <w:t>“</w:t>
      </w:r>
      <w:r>
        <w:rPr>
          <w:rStyle w:val="CharDefText"/>
        </w:rPr>
        <w:t>mining operations</w:t>
      </w:r>
      <w:r>
        <w:rPr>
          <w:b/>
        </w:rPr>
        <w:t>”</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t>“</w:t>
      </w:r>
      <w:r>
        <w:rPr>
          <w:rStyle w:val="CharDefText"/>
        </w:rPr>
        <w:t>mining product</w:t>
      </w:r>
      <w:r>
        <w:rPr>
          <w:b/>
        </w:rPr>
        <w:t>”</w:t>
      </w:r>
      <w:r>
        <w:t xml:space="preserve"> means any material won from land by mining;</w:t>
      </w:r>
    </w:p>
    <w:p>
      <w:pPr>
        <w:pStyle w:val="Defstart"/>
      </w:pPr>
      <w:r>
        <w:rPr>
          <w:b/>
        </w:rPr>
        <w:tab/>
        <w:t>“</w:t>
      </w:r>
      <w:r>
        <w:rPr>
          <w:rStyle w:val="CharDefText"/>
        </w:rPr>
        <w:t>mining registrar</w:t>
      </w:r>
      <w:r>
        <w:rPr>
          <w:b/>
        </w:rPr>
        <w:t>”</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t>“</w:t>
      </w:r>
      <w:r>
        <w:rPr>
          <w:rStyle w:val="CharDefText"/>
        </w:rPr>
        <w:t>mining tenement</w:t>
      </w:r>
      <w:r>
        <w:rPr>
          <w:b/>
        </w:rPr>
        <w: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t>“</w:t>
      </w:r>
      <w:r>
        <w:rPr>
          <w:rStyle w:val="CharDefText"/>
        </w:rPr>
        <w:t>occupier</w:t>
      </w:r>
      <w:r>
        <w:rPr>
          <w:b/>
        </w:rPr>
        <w:t>”</w:t>
      </w:r>
      <w:r>
        <w:t xml:space="preserve"> in relation to any land includes any person in actual occupation of the land under any lawful title granted by or derived from the owner of the land;</w:t>
      </w:r>
    </w:p>
    <w:p>
      <w:pPr>
        <w:pStyle w:val="Defstart"/>
      </w:pPr>
      <w:r>
        <w:rPr>
          <w:b/>
        </w:rPr>
        <w:tab/>
        <w:t>“</w:t>
      </w:r>
      <w:r>
        <w:rPr>
          <w:rStyle w:val="CharDefText"/>
        </w:rPr>
        <w:t>oil shale</w:t>
      </w:r>
      <w:r>
        <w:rPr>
          <w:b/>
        </w:rPr>
        <w:t>”</w:t>
      </w:r>
      <w:r>
        <w:t xml:space="preserve"> includes naturally occurring hydrocarbons that are or may be contained in rocks from which they cannot be recovered otherwise than by mining those rocks as oil shale;</w:t>
      </w:r>
    </w:p>
    <w:p>
      <w:pPr>
        <w:pStyle w:val="Defstart"/>
        <w:keepNext/>
      </w:pPr>
      <w:r>
        <w:rPr>
          <w:b/>
        </w:rPr>
        <w:tab/>
        <w:t>“</w:t>
      </w:r>
      <w:r>
        <w:rPr>
          <w:rStyle w:val="CharDefText"/>
        </w:rPr>
        <w:t>owner</w:t>
      </w:r>
      <w:r>
        <w:rPr>
          <w:b/>
        </w:rPr>
        <w:t>”</w:t>
      </w:r>
      <w:r>
        <w:t xml:space="preserve"> in relation to any land means —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t>“</w:t>
      </w:r>
      <w:r>
        <w:rPr>
          <w:rStyle w:val="CharDefText"/>
        </w:rPr>
        <w:t>prescribed official</w:t>
      </w:r>
      <w:r>
        <w:rPr>
          <w:b/>
        </w:rPr>
        <w:t>”</w:t>
      </w:r>
      <w:r>
        <w:t xml:space="preserve"> means the holder of an office in the Department that is prescribed, or is of a class prescribed, for the purposes of the provision in which the term is used;</w:t>
      </w:r>
    </w:p>
    <w:p>
      <w:pPr>
        <w:pStyle w:val="Defstart"/>
      </w:pPr>
      <w:r>
        <w:rPr>
          <w:b/>
        </w:rPr>
        <w:tab/>
        <w:t>“</w:t>
      </w:r>
      <w:r>
        <w:rPr>
          <w:rStyle w:val="CharDefText"/>
        </w:rPr>
        <w:t>private land</w:t>
      </w:r>
      <w:r>
        <w:rPr>
          <w:b/>
        </w:rPr>
        <w:t>”</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t>“</w:t>
      </w:r>
      <w:r>
        <w:rPr>
          <w:rStyle w:val="CharDefText"/>
        </w:rPr>
        <w:t>public purpose</w:t>
      </w:r>
      <w:r>
        <w:rPr>
          <w:b/>
        </w:rPr>
        <w:t>”</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b/>
        </w:rPr>
        <w:t>“</w:t>
      </w:r>
      <w:r>
        <w:rPr>
          <w:rStyle w:val="CharDefText"/>
        </w:rPr>
        <w:t>register</w:t>
      </w:r>
      <w:r>
        <w:rPr>
          <w:b/>
        </w:rPr>
        <w:t>”</w:t>
      </w:r>
      <w:r>
        <w:t xml:space="preserve"> means the register kept under section 103F;</w:t>
      </w:r>
    </w:p>
    <w:p>
      <w:pPr>
        <w:pStyle w:val="Defstart"/>
      </w:pPr>
      <w:r>
        <w:tab/>
      </w:r>
      <w:r>
        <w:rPr>
          <w:b/>
        </w:rPr>
        <w:t>“</w:t>
      </w:r>
      <w:r>
        <w:rPr>
          <w:rStyle w:val="CharDefText"/>
        </w:rPr>
        <w:t>registration</w:t>
      </w:r>
      <w:r>
        <w:rPr>
          <w:b/>
        </w:rPr>
        <w:t>”</w:t>
      </w:r>
      <w:r>
        <w:t xml:space="preserve"> means registration under section 103C;</w:t>
      </w:r>
    </w:p>
    <w:p>
      <w:pPr>
        <w:pStyle w:val="Defstart"/>
      </w:pPr>
      <w:r>
        <w:tab/>
      </w:r>
      <w:r>
        <w:rPr>
          <w:b/>
        </w:rPr>
        <w:t>“</w:t>
      </w:r>
      <w:r>
        <w:rPr>
          <w:rStyle w:val="CharDefText"/>
        </w:rPr>
        <w:t>related</w:t>
      </w:r>
      <w:r>
        <w:rPr>
          <w:b/>
        </w:rPr>
        <w:t>”</w:t>
      </w:r>
      <w:r>
        <w:t xml:space="preserve"> has a meaning affected by subsection (4);</w:t>
      </w:r>
    </w:p>
    <w:p>
      <w:pPr>
        <w:pStyle w:val="Defstart"/>
      </w:pPr>
      <w:r>
        <w:rPr>
          <w:b/>
        </w:rPr>
        <w:tab/>
        <w:t>“</w:t>
      </w:r>
      <w:r>
        <w:rPr>
          <w:rStyle w:val="CharDefText"/>
        </w:rPr>
        <w:t>retention status</w:t>
      </w:r>
      <w:r>
        <w:rPr>
          <w:b/>
        </w:rPr>
        <w:t>”</w:t>
      </w:r>
      <w:r>
        <w:t xml:space="preserve"> has a meaning affected by subsection (5);</w:t>
      </w:r>
    </w:p>
    <w:p>
      <w:pPr>
        <w:pStyle w:val="Defstart"/>
      </w:pPr>
      <w:r>
        <w:rPr>
          <w:b/>
        </w:rPr>
        <w:tab/>
        <w:t>“</w:t>
      </w:r>
      <w:r>
        <w:rPr>
          <w:rStyle w:val="CharDefText"/>
        </w:rPr>
        <w:t>reversion licence application</w:t>
      </w:r>
      <w:r>
        <w:rPr>
          <w:b/>
        </w:rPr>
        <w:t>”</w:t>
      </w:r>
      <w:r>
        <w:t xml:space="preserve"> means a reversion licence application authorised by an order under section 120AA(2);</w:t>
      </w:r>
    </w:p>
    <w:p>
      <w:pPr>
        <w:pStyle w:val="Defstart"/>
      </w:pPr>
      <w:r>
        <w:rPr>
          <w:b/>
        </w:rPr>
        <w:tab/>
        <w:t>“</w:t>
      </w:r>
      <w:r>
        <w:rPr>
          <w:rStyle w:val="CharDefText"/>
        </w:rPr>
        <w:t>the 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the office of the mining registrar</w:t>
      </w:r>
      <w:r>
        <w:rPr>
          <w:b/>
        </w:rPr>
        <w:t>”</w:t>
      </w:r>
      <w:r>
        <w:t xml:space="preserve"> means —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t>“</w:t>
      </w:r>
      <w:r>
        <w:rPr>
          <w:rStyle w:val="CharDefText"/>
        </w:rPr>
        <w:t>the repealed Act</w:t>
      </w:r>
      <w:r>
        <w:rPr>
          <w:b/>
        </w:rPr>
        <w:t>”</w:t>
      </w:r>
      <w:r>
        <w:t xml:space="preserve"> means the </w:t>
      </w:r>
      <w:r>
        <w:rPr>
          <w:i/>
        </w:rPr>
        <w:t>Mining Act 1904</w:t>
      </w:r>
      <w:r>
        <w:t xml:space="preserve"> </w:t>
      </w:r>
      <w:r>
        <w:rPr>
          <w:vertAlign w:val="superscript"/>
        </w:rPr>
        <w:t>3</w:t>
      </w:r>
      <w:r>
        <w:t>;</w:t>
      </w:r>
    </w:p>
    <w:p>
      <w:pPr>
        <w:pStyle w:val="Defstart"/>
      </w:pPr>
      <w:r>
        <w:rPr>
          <w:b/>
        </w:rPr>
        <w:tab/>
        <w:t>“</w:t>
      </w:r>
      <w:r>
        <w:rPr>
          <w:rStyle w:val="CharDefText"/>
        </w:rPr>
        <w:t>the warden</w:t>
      </w:r>
      <w:r>
        <w:rPr>
          <w:b/>
        </w:rPr>
        <w:t>”</w:t>
      </w:r>
      <w:r>
        <w:t xml:space="preserve"> or </w:t>
      </w:r>
      <w:r>
        <w:rPr>
          <w:b/>
        </w:rPr>
        <w:t>“</w:t>
      </w:r>
      <w:r>
        <w:rPr>
          <w:rStyle w:val="CharDefText"/>
        </w:rPr>
        <w:t>the mining registrar</w:t>
      </w:r>
      <w:r>
        <w:rPr>
          <w:b/>
        </w:rPr>
        <w:t>”</w:t>
      </w:r>
      <w:r>
        <w:t xml:space="preserve"> means the warden or the mining registrar of the mineral field or district thereof in which the subject matter in relation to which the term is used arose or is;</w:t>
      </w:r>
    </w:p>
    <w:p>
      <w:pPr>
        <w:pStyle w:val="Defstart"/>
      </w:pPr>
      <w:r>
        <w:rPr>
          <w:b/>
        </w:rPr>
        <w:tab/>
        <w:t>“</w:t>
      </w:r>
      <w:r>
        <w:rPr>
          <w:rStyle w:val="CharDefText"/>
        </w:rPr>
        <w:t>vehicle</w:t>
      </w:r>
      <w:r>
        <w:rPr>
          <w:b/>
        </w:rPr>
        <w:t>”</w:t>
      </w:r>
      <w:r>
        <w:t xml:space="preserve"> includes an aircraft, helicopter or air cushion vehicle;</w:t>
      </w:r>
    </w:p>
    <w:p>
      <w:pPr>
        <w:pStyle w:val="Defstart"/>
      </w:pPr>
      <w:r>
        <w:rPr>
          <w:b/>
        </w:rPr>
        <w:tab/>
        <w:t>“</w:t>
      </w:r>
      <w:r>
        <w:rPr>
          <w:rStyle w:val="CharDefText"/>
        </w:rPr>
        <w:t>warden</w:t>
      </w:r>
      <w:r>
        <w:rPr>
          <w:b/>
        </w:rPr>
        <w:t>”</w:t>
      </w:r>
      <w:r>
        <w:t xml:space="preserve"> means a warden of mines appointed in accordance with this Act;</w:t>
      </w:r>
    </w:p>
    <w:p>
      <w:pPr>
        <w:pStyle w:val="Defstart"/>
      </w:pPr>
      <w:r>
        <w:rPr>
          <w:b/>
        </w:rPr>
        <w:tab/>
        <w:t>“</w:t>
      </w:r>
      <w:r>
        <w:rPr>
          <w:rStyle w:val="CharDefText"/>
        </w:rPr>
        <w:t>warden’s court</w:t>
      </w:r>
      <w:r>
        <w:rPr>
          <w:b/>
        </w:rPr>
        <w:t>”</w:t>
      </w:r>
      <w:r>
        <w:t xml:space="preserve"> means the warden’s court constituted under this Act or deemed so to be for the mineral field or district thereof in which the subject matter in relation to which the term is used arose or is.</w:t>
      </w:r>
    </w:p>
    <w:p>
      <w:pPr>
        <w:pStyle w:val="Subsection"/>
        <w:spacing w:before="120"/>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 xml:space="preserve">Petroleum </w:t>
      </w:r>
      <w:ins w:id="78" w:author="svcMRProcess" w:date="2020-02-19T00:00:00Z">
        <w:r>
          <w:rPr>
            <w:i/>
            <w:iCs/>
          </w:rPr>
          <w:t xml:space="preserve">and Geothermal Energy Resources </w:t>
        </w:r>
      </w:ins>
      <w:r>
        <w:rPr>
          <w:i/>
          <w:iCs/>
        </w:rPr>
        <w:t>Act 1967</w:t>
      </w:r>
      <w:r>
        <w:t xml:space="preserve"> </w:t>
      </w:r>
      <w:r>
        <w:rPr>
          <w:snapToGrid w:val="0"/>
        </w:rPr>
        <w:t>and his decision in the matter shall be final.</w:t>
      </w:r>
    </w:p>
    <w:p>
      <w:pPr>
        <w:pStyle w:val="Subsection"/>
        <w:spacing w:before="120"/>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spacing w:before="120"/>
      </w:pPr>
      <w:r>
        <w:tab/>
        <w:t>(4)</w:t>
      </w:r>
      <w:r>
        <w:tab/>
        <w:t>For the purposes of this Act a person is related to —</w:t>
      </w:r>
    </w:p>
    <w:p>
      <w:pPr>
        <w:pStyle w:val="Indenta"/>
      </w:pPr>
      <w:r>
        <w:tab/>
        <w:t>(a)</w:t>
      </w:r>
      <w:r>
        <w:tab/>
        <w:t xml:space="preserve">an individual, if the person is —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spacing w:before="120"/>
      </w:pPr>
      <w:r>
        <w:tab/>
        <w:t>(5)</w:t>
      </w:r>
      <w:r>
        <w:tab/>
        <w:t xml:space="preserve">For the purposes of this Act —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w:t>
      </w:r>
      <w:del w:id="79" w:author="svcMRProcess" w:date="2020-02-19T00:00:00Z">
        <w:r>
          <w:delText>4.]</w:delText>
        </w:r>
      </w:del>
      <w:ins w:id="80" w:author="svcMRProcess" w:date="2020-02-19T00:00:00Z">
        <w:r>
          <w:t>4; No. 35 of 2007 s. 100(2) and (3).]</w:t>
        </w:r>
      </w:ins>
      <w:r>
        <w:t xml:space="preserve"> </w:t>
      </w:r>
    </w:p>
    <w:p>
      <w:pPr>
        <w:pStyle w:val="Heading5"/>
        <w:rPr>
          <w:snapToGrid w:val="0"/>
        </w:rPr>
      </w:pPr>
      <w:bookmarkStart w:id="81" w:name="_Toc520087886"/>
      <w:bookmarkStart w:id="82" w:name="_Toc523620521"/>
      <w:bookmarkStart w:id="83" w:name="_Toc38853672"/>
      <w:bookmarkStart w:id="84" w:name="_Toc124061031"/>
      <w:bookmarkStart w:id="85" w:name="_Toc188695281"/>
      <w:bookmarkStart w:id="86" w:name="_Toc187053220"/>
      <w:r>
        <w:rPr>
          <w:rStyle w:val="CharSectno"/>
        </w:rPr>
        <w:t>8A</w:t>
      </w:r>
      <w:r>
        <w:rPr>
          <w:snapToGrid w:val="0"/>
        </w:rPr>
        <w:t>.</w:t>
      </w:r>
      <w:r>
        <w:rPr>
          <w:snapToGrid w:val="0"/>
        </w:rPr>
        <w:tab/>
        <w:t>Rights in respect of oil shale or coal</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 xml:space="preserve">Petroleum </w:t>
      </w:r>
      <w:ins w:id="87" w:author="svcMRProcess" w:date="2020-02-19T00:00:00Z">
        <w:r>
          <w:rPr>
            <w:i/>
            <w:iCs/>
          </w:rPr>
          <w:t xml:space="preserve">and Geothermal Energy Resources </w:t>
        </w:r>
      </w:ins>
      <w:r>
        <w:rPr>
          <w:i/>
          <w:iCs/>
        </w:rPr>
        <w:t>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w:t>
      </w:r>
      <w:del w:id="88" w:author="svcMRProcess" w:date="2020-02-19T00:00:00Z">
        <w:r>
          <w:delText>7.]</w:delText>
        </w:r>
      </w:del>
      <w:ins w:id="89" w:author="svcMRProcess" w:date="2020-02-19T00:00:00Z">
        <w:r>
          <w:t>7; amended by No. 35 of 2007 s. 100(4).]</w:t>
        </w:r>
      </w:ins>
      <w:r>
        <w:t xml:space="preserve"> </w:t>
      </w:r>
    </w:p>
    <w:p>
      <w:pPr>
        <w:pStyle w:val="Heading5"/>
        <w:rPr>
          <w:snapToGrid w:val="0"/>
        </w:rPr>
      </w:pPr>
      <w:bookmarkStart w:id="90" w:name="_Toc520087887"/>
      <w:bookmarkStart w:id="91" w:name="_Toc523620522"/>
      <w:bookmarkStart w:id="92" w:name="_Toc38853673"/>
      <w:bookmarkStart w:id="93" w:name="_Toc124061032"/>
      <w:bookmarkStart w:id="94" w:name="_Toc188695282"/>
      <w:bookmarkStart w:id="95" w:name="_Toc187053221"/>
      <w:r>
        <w:rPr>
          <w:rStyle w:val="CharSectno"/>
        </w:rPr>
        <w:t>9</w:t>
      </w:r>
      <w:r>
        <w:rPr>
          <w:snapToGrid w:val="0"/>
        </w:rPr>
        <w:t>.</w:t>
      </w:r>
      <w:r>
        <w:rPr>
          <w:snapToGrid w:val="0"/>
        </w:rPr>
        <w:tab/>
        <w:t>Gold and silver and other precious metals property of the Crown</w:t>
      </w:r>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spacing w:before="100"/>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6" w:name="_Toc520087888"/>
      <w:bookmarkStart w:id="97" w:name="_Toc523620523"/>
      <w:bookmarkStart w:id="98" w:name="_Toc38853674"/>
      <w:bookmarkStart w:id="99" w:name="_Toc124061033"/>
      <w:bookmarkStart w:id="100" w:name="_Toc188695283"/>
      <w:bookmarkStart w:id="101" w:name="_Toc187053222"/>
      <w:r>
        <w:rPr>
          <w:rStyle w:val="CharSectno"/>
        </w:rPr>
        <w:t>9B</w:t>
      </w:r>
      <w:r>
        <w:t>.</w:t>
      </w:r>
      <w:r>
        <w:tab/>
        <w:t>Position on the Earth’s surface</w:t>
      </w:r>
      <w:bookmarkEnd w:id="96"/>
      <w:bookmarkEnd w:id="97"/>
      <w:bookmarkEnd w:id="98"/>
      <w:bookmarkEnd w:id="99"/>
      <w:bookmarkEnd w:id="100"/>
      <w:bookmarkEnd w:id="101"/>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02" w:name="_Toc87427543"/>
      <w:bookmarkStart w:id="103" w:name="_Toc87851118"/>
      <w:bookmarkStart w:id="104" w:name="_Toc88295341"/>
      <w:bookmarkStart w:id="105" w:name="_Toc89519000"/>
      <w:bookmarkStart w:id="106" w:name="_Toc90869125"/>
      <w:bookmarkStart w:id="107" w:name="_Toc91407897"/>
      <w:bookmarkStart w:id="108" w:name="_Toc92863641"/>
      <w:bookmarkStart w:id="109" w:name="_Toc95015009"/>
      <w:bookmarkStart w:id="110" w:name="_Toc95106716"/>
      <w:bookmarkStart w:id="111" w:name="_Toc97018516"/>
      <w:bookmarkStart w:id="112" w:name="_Toc101693469"/>
      <w:bookmarkStart w:id="113" w:name="_Toc103130339"/>
      <w:bookmarkStart w:id="114" w:name="_Toc104710989"/>
      <w:bookmarkStart w:id="115" w:name="_Toc121559974"/>
      <w:bookmarkStart w:id="116" w:name="_Toc122328415"/>
      <w:bookmarkStart w:id="117" w:name="_Toc124061034"/>
      <w:bookmarkStart w:id="118" w:name="_Toc124139889"/>
      <w:bookmarkStart w:id="119" w:name="_Toc127174634"/>
      <w:bookmarkStart w:id="120" w:name="_Toc127348978"/>
      <w:bookmarkStart w:id="121" w:name="_Toc127762162"/>
      <w:bookmarkStart w:id="122" w:name="_Toc127842224"/>
      <w:bookmarkStart w:id="123" w:name="_Toc128379835"/>
      <w:bookmarkStart w:id="124" w:name="_Toc130106451"/>
      <w:bookmarkStart w:id="125" w:name="_Toc130106731"/>
      <w:bookmarkStart w:id="126" w:name="_Toc130110628"/>
      <w:bookmarkStart w:id="127" w:name="_Toc130276839"/>
      <w:bookmarkStart w:id="128" w:name="_Toc131408364"/>
      <w:bookmarkStart w:id="129" w:name="_Toc132530131"/>
      <w:bookmarkStart w:id="130" w:name="_Toc142194188"/>
      <w:bookmarkStart w:id="131" w:name="_Toc162778273"/>
      <w:bookmarkStart w:id="132" w:name="_Toc162840857"/>
      <w:bookmarkStart w:id="133" w:name="_Toc162932694"/>
      <w:bookmarkStart w:id="134" w:name="_Toc187053223"/>
      <w:bookmarkStart w:id="135" w:name="_Toc188695284"/>
      <w:r>
        <w:rPr>
          <w:rStyle w:val="CharPartNo"/>
        </w:rPr>
        <w:t>Part II</w:t>
      </w:r>
      <w:r>
        <w:rPr>
          <w:rStyle w:val="CharDivNo"/>
        </w:rPr>
        <w:t> </w:t>
      </w:r>
      <w:r>
        <w:t>—</w:t>
      </w:r>
      <w:r>
        <w:rPr>
          <w:rStyle w:val="CharDivText"/>
        </w:rPr>
        <w:t> </w:t>
      </w:r>
      <w:r>
        <w:rPr>
          <w:rStyle w:val="CharPartText"/>
        </w:rPr>
        <w:t>Administration, mineral fields and courts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260"/>
        <w:rPr>
          <w:snapToGrid w:val="0"/>
        </w:rPr>
      </w:pPr>
      <w:bookmarkStart w:id="136" w:name="_Toc520087889"/>
      <w:bookmarkStart w:id="137" w:name="_Toc523620524"/>
      <w:bookmarkStart w:id="138" w:name="_Toc38853675"/>
      <w:bookmarkStart w:id="139" w:name="_Toc124061035"/>
      <w:bookmarkStart w:id="140" w:name="_Toc188695285"/>
      <w:bookmarkStart w:id="141" w:name="_Toc187053224"/>
      <w:r>
        <w:rPr>
          <w:rStyle w:val="CharSectno"/>
        </w:rPr>
        <w:t>10</w:t>
      </w:r>
      <w:r>
        <w:rPr>
          <w:snapToGrid w:val="0"/>
        </w:rPr>
        <w:t>.</w:t>
      </w:r>
      <w:r>
        <w:rPr>
          <w:snapToGrid w:val="0"/>
        </w:rPr>
        <w:tab/>
        <w:t>Administration of Act</w:t>
      </w:r>
      <w:bookmarkEnd w:id="136"/>
      <w:bookmarkEnd w:id="137"/>
      <w:bookmarkEnd w:id="138"/>
      <w:bookmarkEnd w:id="139"/>
      <w:bookmarkEnd w:id="140"/>
      <w:bookmarkEnd w:id="141"/>
      <w:r>
        <w:rPr>
          <w:snapToGrid w:val="0"/>
        </w:rPr>
        <w:t xml:space="preserve"> </w:t>
      </w:r>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42" w:name="_Toc520087890"/>
      <w:bookmarkStart w:id="143" w:name="_Toc523620525"/>
      <w:bookmarkStart w:id="144" w:name="_Toc38853676"/>
      <w:bookmarkStart w:id="145" w:name="_Toc124061036"/>
      <w:bookmarkStart w:id="146" w:name="_Toc188695286"/>
      <w:bookmarkStart w:id="147" w:name="_Toc187053225"/>
      <w:r>
        <w:rPr>
          <w:rStyle w:val="CharSectno"/>
        </w:rPr>
        <w:t>11</w:t>
      </w:r>
      <w:r>
        <w:rPr>
          <w:snapToGrid w:val="0"/>
        </w:rPr>
        <w:t>.</w:t>
      </w:r>
      <w:r>
        <w:rPr>
          <w:snapToGrid w:val="0"/>
        </w:rPr>
        <w:tab/>
        <w:t>Chief executive officer and other officers</w:t>
      </w:r>
      <w:bookmarkEnd w:id="142"/>
      <w:bookmarkEnd w:id="143"/>
      <w:bookmarkEnd w:id="144"/>
      <w:bookmarkEnd w:id="145"/>
      <w:bookmarkEnd w:id="146"/>
      <w:bookmarkEnd w:id="147"/>
      <w:r>
        <w:rPr>
          <w:snapToGrid w:val="0"/>
        </w:rPr>
        <w:t xml:space="preserve"> </w:t>
      </w:r>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 xml:space="preserve">[Section 11 amended by No. 113 of 1987 s. 32; No. 32 of 1994 s. 19.] </w:t>
      </w:r>
    </w:p>
    <w:p>
      <w:pPr>
        <w:pStyle w:val="Heading5"/>
        <w:spacing w:before="260"/>
        <w:rPr>
          <w:snapToGrid w:val="0"/>
        </w:rPr>
      </w:pPr>
      <w:bookmarkStart w:id="148" w:name="_Toc520087891"/>
      <w:bookmarkStart w:id="149" w:name="_Toc523620526"/>
      <w:bookmarkStart w:id="150" w:name="_Toc38853677"/>
      <w:bookmarkStart w:id="151" w:name="_Toc124061037"/>
      <w:bookmarkStart w:id="152" w:name="_Toc188695287"/>
      <w:bookmarkStart w:id="153" w:name="_Toc187053226"/>
      <w:r>
        <w:rPr>
          <w:rStyle w:val="CharSectno"/>
        </w:rPr>
        <w:t>12</w:t>
      </w:r>
      <w:r>
        <w:rPr>
          <w:snapToGrid w:val="0"/>
        </w:rPr>
        <w:t>.</w:t>
      </w:r>
      <w:r>
        <w:rPr>
          <w:snapToGrid w:val="0"/>
        </w:rPr>
        <w:tab/>
        <w:t>Delegation</w:t>
      </w:r>
      <w:bookmarkEnd w:id="148"/>
      <w:bookmarkEnd w:id="149"/>
      <w:bookmarkEnd w:id="150"/>
      <w:bookmarkEnd w:id="151"/>
      <w:bookmarkEnd w:id="152"/>
      <w:bookmarkEnd w:id="153"/>
      <w:r>
        <w:rPr>
          <w:snapToGrid w:val="0"/>
        </w:rPr>
        <w:t xml:space="preserve"> </w:t>
      </w:r>
    </w:p>
    <w:p>
      <w:pPr>
        <w:pStyle w:val="Subsection"/>
        <w:spacing w:before="220"/>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by instrument in writing delegate any of his powers and functions (except this power of delegation) to —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 xml:space="preserve">[Section 12 amended by No. 100 of 1985 s. 6.] </w:t>
      </w:r>
    </w:p>
    <w:p>
      <w:pPr>
        <w:pStyle w:val="Heading5"/>
        <w:rPr>
          <w:snapToGrid w:val="0"/>
        </w:rPr>
      </w:pPr>
      <w:bookmarkStart w:id="154" w:name="_Toc520087892"/>
      <w:bookmarkStart w:id="155" w:name="_Toc523620527"/>
      <w:bookmarkStart w:id="156" w:name="_Toc38853678"/>
      <w:bookmarkStart w:id="157" w:name="_Toc124061038"/>
      <w:bookmarkStart w:id="158" w:name="_Toc188695288"/>
      <w:bookmarkStart w:id="159" w:name="_Toc187053227"/>
      <w:r>
        <w:rPr>
          <w:rStyle w:val="CharSectno"/>
        </w:rPr>
        <w:t>13</w:t>
      </w:r>
      <w:r>
        <w:rPr>
          <w:snapToGrid w:val="0"/>
        </w:rPr>
        <w:t>.</w:t>
      </w:r>
      <w:r>
        <w:rPr>
          <w:snapToGrid w:val="0"/>
        </w:rPr>
        <w:tab/>
        <w:t>Wardens of mines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repealed]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 xml:space="preserve">[Section 13 amended by No. 100 of 1985 s. 7; No. 32 of 1994 s. 19; No. 39 of 2004 s. 48; No. 59 of 2004 s. 116.] </w:t>
      </w:r>
    </w:p>
    <w:p>
      <w:pPr>
        <w:pStyle w:val="Ednotesection"/>
      </w:pPr>
      <w:r>
        <w:t>[</w:t>
      </w:r>
      <w:r>
        <w:rPr>
          <w:b/>
          <w:bCs/>
        </w:rPr>
        <w:t>14.</w:t>
      </w:r>
      <w:r>
        <w:tab/>
        <w:t>Repealed by No. 39 of 2004 s. 49.]</w:t>
      </w:r>
    </w:p>
    <w:p>
      <w:pPr>
        <w:pStyle w:val="Heading5"/>
        <w:spacing w:before="260"/>
        <w:rPr>
          <w:snapToGrid w:val="0"/>
        </w:rPr>
      </w:pPr>
      <w:bookmarkStart w:id="160" w:name="_Toc520087894"/>
      <w:bookmarkStart w:id="161" w:name="_Toc523620529"/>
      <w:bookmarkStart w:id="162" w:name="_Toc38853680"/>
      <w:bookmarkStart w:id="163" w:name="_Toc124061040"/>
      <w:bookmarkStart w:id="164" w:name="_Toc188695289"/>
      <w:bookmarkStart w:id="165" w:name="_Toc187053228"/>
      <w:r>
        <w:rPr>
          <w:rStyle w:val="CharSectno"/>
        </w:rPr>
        <w:t>15</w:t>
      </w:r>
      <w:r>
        <w:rPr>
          <w:snapToGrid w:val="0"/>
        </w:rPr>
        <w:t>.</w:t>
      </w:r>
      <w:r>
        <w:rPr>
          <w:snapToGrid w:val="0"/>
        </w:rPr>
        <w:tab/>
        <w:t>Warden prohibited from adjudicating in certain matters and officer prohibited from using information</w:t>
      </w:r>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 xml:space="preserve">[Section 15 amended by No. 100 of 1985 s. 9; No. 70 of 2004 s. 82.] </w:t>
      </w:r>
    </w:p>
    <w:p>
      <w:pPr>
        <w:pStyle w:val="Heading5"/>
        <w:spacing w:before="260"/>
        <w:rPr>
          <w:snapToGrid w:val="0"/>
        </w:rPr>
      </w:pPr>
      <w:bookmarkStart w:id="166" w:name="_Toc520087895"/>
      <w:bookmarkStart w:id="167" w:name="_Toc523620530"/>
      <w:bookmarkStart w:id="168" w:name="_Toc38853681"/>
      <w:bookmarkStart w:id="169" w:name="_Toc124061041"/>
      <w:bookmarkStart w:id="170" w:name="_Toc188695290"/>
      <w:bookmarkStart w:id="171" w:name="_Toc187053229"/>
      <w:r>
        <w:rPr>
          <w:rStyle w:val="CharSectno"/>
        </w:rPr>
        <w:t>16</w:t>
      </w:r>
      <w:r>
        <w:rPr>
          <w:snapToGrid w:val="0"/>
        </w:rPr>
        <w:t>.</w:t>
      </w:r>
      <w:r>
        <w:rPr>
          <w:snapToGrid w:val="0"/>
        </w:rPr>
        <w:tab/>
        <w:t>Power to proclaim mineral fields</w:t>
      </w:r>
      <w:bookmarkEnd w:id="166"/>
      <w:bookmarkEnd w:id="167"/>
      <w:bookmarkEnd w:id="168"/>
      <w:bookmarkEnd w:id="169"/>
      <w:bookmarkEnd w:id="170"/>
      <w:bookmarkEnd w:id="171"/>
      <w:r>
        <w:rPr>
          <w:snapToGrid w:val="0"/>
        </w:rPr>
        <w:t xml:space="preserve"> </w:t>
      </w:r>
    </w:p>
    <w:p>
      <w:pPr>
        <w:pStyle w:val="Subsection"/>
        <w:spacing w:before="200"/>
        <w:rPr>
          <w:snapToGrid w:val="0"/>
        </w:rPr>
      </w:pPr>
      <w:r>
        <w:rPr>
          <w:snapToGrid w:val="0"/>
        </w:rPr>
        <w:tab/>
        <w:t>(1)</w:t>
      </w:r>
      <w:r>
        <w:rPr>
          <w:snapToGrid w:val="0"/>
        </w:rPr>
        <w:tab/>
        <w:t>The Governor may, by proclamation —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 xml:space="preserve">Repealed by No. 100 of 1985 s. 10.] </w:t>
      </w:r>
    </w:p>
    <w:p>
      <w:pPr>
        <w:pStyle w:val="Heading2"/>
      </w:pPr>
      <w:bookmarkStart w:id="172" w:name="_Toc87427551"/>
      <w:bookmarkStart w:id="173" w:name="_Toc87851126"/>
      <w:bookmarkStart w:id="174" w:name="_Toc88295349"/>
      <w:bookmarkStart w:id="175" w:name="_Toc89519008"/>
      <w:bookmarkStart w:id="176" w:name="_Toc90869133"/>
      <w:bookmarkStart w:id="177" w:name="_Toc91407905"/>
      <w:bookmarkStart w:id="178" w:name="_Toc92863649"/>
      <w:bookmarkStart w:id="179" w:name="_Toc95015017"/>
      <w:bookmarkStart w:id="180" w:name="_Toc95106724"/>
      <w:bookmarkStart w:id="181" w:name="_Toc97018524"/>
      <w:bookmarkStart w:id="182" w:name="_Toc101693477"/>
      <w:bookmarkStart w:id="183" w:name="_Toc103130347"/>
      <w:bookmarkStart w:id="184" w:name="_Toc104710997"/>
      <w:bookmarkStart w:id="185" w:name="_Toc121559982"/>
      <w:bookmarkStart w:id="186" w:name="_Toc122328423"/>
      <w:bookmarkStart w:id="187" w:name="_Toc124061042"/>
      <w:bookmarkStart w:id="188" w:name="_Toc124139897"/>
      <w:bookmarkStart w:id="189" w:name="_Toc127174642"/>
      <w:bookmarkStart w:id="190" w:name="_Toc127348986"/>
      <w:bookmarkStart w:id="191" w:name="_Toc127762170"/>
      <w:bookmarkStart w:id="192" w:name="_Toc127842232"/>
      <w:bookmarkStart w:id="193" w:name="_Toc128379843"/>
      <w:bookmarkStart w:id="194" w:name="_Toc130106459"/>
      <w:bookmarkStart w:id="195" w:name="_Toc130106739"/>
      <w:bookmarkStart w:id="196" w:name="_Toc130110636"/>
      <w:bookmarkStart w:id="197" w:name="_Toc130276847"/>
      <w:bookmarkStart w:id="198" w:name="_Toc131408372"/>
      <w:bookmarkStart w:id="199" w:name="_Toc132530139"/>
      <w:bookmarkStart w:id="200" w:name="_Toc142194196"/>
      <w:bookmarkStart w:id="201" w:name="_Toc162778281"/>
      <w:bookmarkStart w:id="202" w:name="_Toc162840865"/>
      <w:bookmarkStart w:id="203" w:name="_Toc162932701"/>
      <w:bookmarkStart w:id="204" w:name="_Toc187053230"/>
      <w:bookmarkStart w:id="205" w:name="_Toc188695291"/>
      <w:r>
        <w:rPr>
          <w:rStyle w:val="CharPartNo"/>
        </w:rPr>
        <w:t>Part III</w:t>
      </w:r>
      <w:r>
        <w:t> — </w:t>
      </w:r>
      <w:r>
        <w:rPr>
          <w:rStyle w:val="CharPartText"/>
        </w:rPr>
        <w:t>Land open for mining</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3"/>
        <w:rPr>
          <w:snapToGrid w:val="0"/>
        </w:rPr>
      </w:pPr>
      <w:bookmarkStart w:id="206" w:name="_Toc87427552"/>
      <w:bookmarkStart w:id="207" w:name="_Toc87851127"/>
      <w:bookmarkStart w:id="208" w:name="_Toc88295350"/>
      <w:bookmarkStart w:id="209" w:name="_Toc89519009"/>
      <w:bookmarkStart w:id="210" w:name="_Toc90869134"/>
      <w:bookmarkStart w:id="211" w:name="_Toc91407906"/>
      <w:bookmarkStart w:id="212" w:name="_Toc92863650"/>
      <w:bookmarkStart w:id="213" w:name="_Toc95015018"/>
      <w:bookmarkStart w:id="214" w:name="_Toc95106725"/>
      <w:bookmarkStart w:id="215" w:name="_Toc97018525"/>
      <w:bookmarkStart w:id="216" w:name="_Toc101693478"/>
      <w:bookmarkStart w:id="217" w:name="_Toc103130348"/>
      <w:bookmarkStart w:id="218" w:name="_Toc104710998"/>
      <w:bookmarkStart w:id="219" w:name="_Toc121559983"/>
      <w:bookmarkStart w:id="220" w:name="_Toc122328424"/>
      <w:bookmarkStart w:id="221" w:name="_Toc124061043"/>
      <w:bookmarkStart w:id="222" w:name="_Toc124139898"/>
      <w:bookmarkStart w:id="223" w:name="_Toc127174643"/>
      <w:bookmarkStart w:id="224" w:name="_Toc127348987"/>
      <w:bookmarkStart w:id="225" w:name="_Toc127762171"/>
      <w:bookmarkStart w:id="226" w:name="_Toc127842233"/>
      <w:bookmarkStart w:id="227" w:name="_Toc128379844"/>
      <w:bookmarkStart w:id="228" w:name="_Toc130106460"/>
      <w:bookmarkStart w:id="229" w:name="_Toc130106740"/>
      <w:bookmarkStart w:id="230" w:name="_Toc130110637"/>
      <w:bookmarkStart w:id="231" w:name="_Toc130276848"/>
      <w:bookmarkStart w:id="232" w:name="_Toc131408373"/>
      <w:bookmarkStart w:id="233" w:name="_Toc132530140"/>
      <w:bookmarkStart w:id="234" w:name="_Toc142194197"/>
      <w:bookmarkStart w:id="235" w:name="_Toc162778282"/>
      <w:bookmarkStart w:id="236" w:name="_Toc162840866"/>
      <w:bookmarkStart w:id="237" w:name="_Toc162932702"/>
      <w:bookmarkStart w:id="238" w:name="_Toc187053231"/>
      <w:bookmarkStart w:id="239" w:name="_Toc188695292"/>
      <w:r>
        <w:rPr>
          <w:rStyle w:val="CharDivNo"/>
        </w:rPr>
        <w:t>Division 1</w:t>
      </w:r>
      <w:r>
        <w:rPr>
          <w:snapToGrid w:val="0"/>
        </w:rPr>
        <w:t> — </w:t>
      </w:r>
      <w:r>
        <w:rPr>
          <w:rStyle w:val="CharDivText"/>
        </w:rPr>
        <w:t>Crown land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rPr>
        <w:t xml:space="preserve"> </w:t>
      </w:r>
    </w:p>
    <w:p>
      <w:pPr>
        <w:pStyle w:val="Heading5"/>
        <w:rPr>
          <w:snapToGrid w:val="0"/>
        </w:rPr>
      </w:pPr>
      <w:bookmarkStart w:id="240" w:name="_Toc520087896"/>
      <w:bookmarkStart w:id="241" w:name="_Toc523620531"/>
      <w:bookmarkStart w:id="242" w:name="_Toc38853682"/>
      <w:bookmarkStart w:id="243" w:name="_Toc124061044"/>
      <w:bookmarkStart w:id="244" w:name="_Toc188695293"/>
      <w:bookmarkStart w:id="245" w:name="_Toc187053232"/>
      <w:r>
        <w:rPr>
          <w:rStyle w:val="CharSectno"/>
        </w:rPr>
        <w:t>18</w:t>
      </w:r>
      <w:r>
        <w:rPr>
          <w:snapToGrid w:val="0"/>
        </w:rPr>
        <w:t>.</w:t>
      </w:r>
      <w:r>
        <w:rPr>
          <w:snapToGrid w:val="0"/>
        </w:rPr>
        <w:tab/>
        <w:t>Crown land open for mining</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All Crown land, not being Crown land that is the subject of a mining tenement, is open for mining and as such is land —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 xml:space="preserve">[Section 18 amended by No. 100 of 1985 s. 11.] </w:t>
      </w:r>
    </w:p>
    <w:p>
      <w:pPr>
        <w:pStyle w:val="Heading5"/>
        <w:rPr>
          <w:snapToGrid w:val="0"/>
        </w:rPr>
      </w:pPr>
      <w:bookmarkStart w:id="246" w:name="_Toc520087897"/>
      <w:bookmarkStart w:id="247" w:name="_Toc523620532"/>
      <w:bookmarkStart w:id="248" w:name="_Toc38853683"/>
      <w:bookmarkStart w:id="249" w:name="_Toc124061045"/>
      <w:bookmarkStart w:id="250" w:name="_Toc188695294"/>
      <w:bookmarkStart w:id="251" w:name="_Toc187053233"/>
      <w:r>
        <w:rPr>
          <w:rStyle w:val="CharSectno"/>
        </w:rPr>
        <w:t>19</w:t>
      </w:r>
      <w:r>
        <w:rPr>
          <w:snapToGrid w:val="0"/>
        </w:rPr>
        <w:t>.</w:t>
      </w:r>
      <w:r>
        <w:rPr>
          <w:snapToGrid w:val="0"/>
        </w:rPr>
        <w:tab/>
        <w:t>Power to set aside land for mining or exempt it therefrom</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t>(1)</w:t>
      </w:r>
      <w:r>
        <w:rPr>
          <w:snapToGrid w:val="0"/>
        </w:rPr>
        <w:tab/>
        <w:t>The Minister may from time to time by instrument in writing under his hand — </w:t>
      </w:r>
    </w:p>
    <w:p>
      <w:pPr>
        <w:pStyle w:val="Indenta"/>
        <w:rPr>
          <w:snapToGrid w:val="0"/>
        </w:rPr>
      </w:pPr>
      <w:r>
        <w:rPr>
          <w:snapToGrid w:val="0"/>
        </w:rPr>
        <w:tab/>
        <w:t>(a)</w:t>
      </w:r>
      <w:r>
        <w:rPr>
          <w:snapToGrid w:val="0"/>
        </w:rPr>
        <w:tab/>
        <w:t>exempt any land, not being private land or land that is the subject of a mining tenement or of an application therefor, from —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r>
        <w:rPr>
          <w:snapToGrid w:val="0"/>
        </w:rPr>
        <w:t xml:space="preserve"> </w:t>
      </w:r>
    </w:p>
    <w:p>
      <w:pPr>
        <w:pStyle w:val="Subsection"/>
        <w:rPr>
          <w:snapToGrid w:val="0"/>
        </w:rPr>
      </w:pPr>
      <w:r>
        <w:rPr>
          <w:snapToGrid w:val="0"/>
        </w:rPr>
        <w:tab/>
        <w:t>(2d)</w:t>
      </w:r>
      <w:r>
        <w:rPr>
          <w:snapToGrid w:val="0"/>
        </w:rPr>
        <w:tab/>
        <w:t xml:space="preserve">In subsections (2a) and (2b) </w:t>
      </w:r>
      <w:r>
        <w:rPr>
          <w:b/>
          <w:snapToGrid w:val="0"/>
        </w:rPr>
        <w:t>“</w:t>
      </w:r>
      <w:r>
        <w:rPr>
          <w:rStyle w:val="CharDefText"/>
        </w:rPr>
        <w:t>the prescribed day</w:t>
      </w:r>
      <w:r>
        <w:rPr>
          <w:b/>
          <w:snapToGrid w:val="0"/>
        </w:rPr>
        <w:t>”</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 xml:space="preserve">[Section 19 amended by No. 69 of 1981 s. 8; No. 100 of 1985 s. 12; No. 21 of 1993 s. 45; No. 58 of 1994 s. 4; No. 52 of 1995 s. 20; No. 5 of 1997 s. 41(2).] </w:t>
      </w:r>
    </w:p>
    <w:p>
      <w:pPr>
        <w:pStyle w:val="Heading5"/>
        <w:spacing w:before="260"/>
        <w:rPr>
          <w:snapToGrid w:val="0"/>
        </w:rPr>
      </w:pPr>
      <w:bookmarkStart w:id="252" w:name="_Toc520087898"/>
      <w:bookmarkStart w:id="253" w:name="_Toc523620533"/>
      <w:bookmarkStart w:id="254" w:name="_Toc38853684"/>
      <w:bookmarkStart w:id="255" w:name="_Toc124061046"/>
      <w:bookmarkStart w:id="256" w:name="_Toc188695295"/>
      <w:bookmarkStart w:id="257" w:name="_Toc187053234"/>
      <w:r>
        <w:rPr>
          <w:rStyle w:val="CharSectno"/>
        </w:rPr>
        <w:t>20</w:t>
      </w:r>
      <w:r>
        <w:rPr>
          <w:snapToGrid w:val="0"/>
        </w:rPr>
        <w:t>.</w:t>
      </w:r>
      <w:r>
        <w:rPr>
          <w:snapToGrid w:val="0"/>
        </w:rPr>
        <w:tab/>
        <w:t>General rights to prospect and protection of certain Crown land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utilize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 xml:space="preserve">repealed] </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 xml:space="preserve">unless —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 </w:t>
      </w:r>
    </w:p>
    <w:p>
      <w:pPr>
        <w:pStyle w:val="Indenta"/>
        <w:rPr>
          <w:snapToGrid w:val="0"/>
        </w:rPr>
      </w:pPr>
      <w:r>
        <w:rPr>
          <w:snapToGrid w:val="0"/>
        </w:rPr>
        <w:tab/>
        <w:t>(f)</w:t>
      </w:r>
      <w:r>
        <w:rPr>
          <w:snapToGrid w:val="0"/>
        </w:rPr>
        <w:tab/>
        <w:t>100 metres of any Crown land that is —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28</w:t>
      </w:r>
      <w:r>
        <w:t xml:space="preserve"> amended by No. 122 of 1982 s. 6; No. 100 of 1985 s. 13; No. 22 of 1990 s. 5; No. 31 of 1997 s. 141; No. 63 of 2000 s. 4; No. 15 of 2002 s. 5; No. 39 of 2004 s. 50 and 88.] </w:t>
      </w:r>
    </w:p>
    <w:p>
      <w:pPr>
        <w:pStyle w:val="Heading5"/>
      </w:pPr>
      <w:bookmarkStart w:id="258" w:name="_Toc520087899"/>
      <w:bookmarkStart w:id="259" w:name="_Toc523620534"/>
      <w:bookmarkStart w:id="260" w:name="_Toc38853685"/>
      <w:bookmarkStart w:id="261" w:name="_Toc124061047"/>
      <w:bookmarkStart w:id="262" w:name="_Toc188695296"/>
      <w:bookmarkStart w:id="263" w:name="_Toc187053235"/>
      <w:r>
        <w:rPr>
          <w:rStyle w:val="CharSectno"/>
        </w:rPr>
        <w:t>20A</w:t>
      </w:r>
      <w:r>
        <w:t>.</w:t>
      </w:r>
      <w:r>
        <w:tab/>
        <w:t xml:space="preserve">Permit to prospect on Crown land the subject of an exploration </w:t>
      </w:r>
      <w:bookmarkEnd w:id="258"/>
      <w:r>
        <w:t>licence</w:t>
      </w:r>
      <w:bookmarkEnd w:id="259"/>
      <w:bookmarkEnd w:id="260"/>
      <w:bookmarkEnd w:id="261"/>
      <w:bookmarkEnd w:id="262"/>
      <w:bookmarkEnd w:id="263"/>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264" w:name="_Toc520087900"/>
      <w:bookmarkStart w:id="265" w:name="_Toc523620535"/>
      <w:bookmarkStart w:id="266" w:name="_Toc38853686"/>
      <w:bookmarkStart w:id="267" w:name="_Toc124061048"/>
      <w:bookmarkStart w:id="268" w:name="_Toc188695297"/>
      <w:bookmarkStart w:id="269" w:name="_Toc187053236"/>
      <w:r>
        <w:rPr>
          <w:rStyle w:val="CharSectno"/>
        </w:rPr>
        <w:t>20B</w:t>
      </w:r>
      <w:r>
        <w:t>.</w:t>
      </w:r>
      <w:r>
        <w:tab/>
        <w:t>Power to remove Crown land from the operation of section 20A</w:t>
      </w:r>
      <w:bookmarkEnd w:id="264"/>
      <w:bookmarkEnd w:id="265"/>
      <w:bookmarkEnd w:id="266"/>
      <w:bookmarkEnd w:id="267"/>
      <w:bookmarkEnd w:id="268"/>
      <w:bookmarkEnd w:id="269"/>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270" w:name="_Toc520087901"/>
      <w:bookmarkStart w:id="271" w:name="_Toc523620536"/>
      <w:bookmarkStart w:id="272" w:name="_Toc38853687"/>
      <w:bookmarkStart w:id="273" w:name="_Toc124061049"/>
      <w:bookmarkStart w:id="274" w:name="_Toc188695298"/>
      <w:bookmarkStart w:id="275" w:name="_Toc187053237"/>
      <w:r>
        <w:rPr>
          <w:rStyle w:val="CharSectno"/>
        </w:rPr>
        <w:t>20C</w:t>
      </w:r>
      <w:r>
        <w:t>.</w:t>
      </w:r>
      <w:r>
        <w:tab/>
        <w:t>Limitation on actions in tort</w:t>
      </w:r>
      <w:bookmarkEnd w:id="270"/>
      <w:bookmarkEnd w:id="271"/>
      <w:bookmarkEnd w:id="272"/>
      <w:bookmarkEnd w:id="273"/>
      <w:bookmarkEnd w:id="274"/>
      <w:bookmarkEnd w:id="275"/>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pPr>
      <w:r>
        <w:tab/>
      </w:r>
      <w:r>
        <w:rPr>
          <w:b/>
        </w:rPr>
        <w:t>“</w:t>
      </w:r>
      <w:r>
        <w:rPr>
          <w:rStyle w:val="CharDefText"/>
        </w:rPr>
        <w:t>permit</w:t>
      </w:r>
      <w:r>
        <w:rPr>
          <w:b/>
        </w:rPr>
        <w:t>”</w:t>
      </w:r>
      <w:r>
        <w:t xml:space="preserve"> means a permit under section 20A;</w:t>
      </w:r>
    </w:p>
    <w:p>
      <w:pPr>
        <w:pStyle w:val="Defstart"/>
      </w:pPr>
      <w:r>
        <w:tab/>
      </w:r>
      <w:r>
        <w:rPr>
          <w:b/>
        </w:rPr>
        <w:t>“</w:t>
      </w:r>
      <w:r>
        <w:rPr>
          <w:rStyle w:val="CharDefText"/>
        </w:rPr>
        <w:t>permit land</w:t>
      </w:r>
      <w:r>
        <w:rPr>
          <w:b/>
        </w:rPr>
        <w:t>”</w:t>
      </w:r>
      <w:r>
        <w:t xml:space="preserve"> means land that is the subject of both the permit and the exploration licence concerned.</w:t>
      </w:r>
    </w:p>
    <w:p>
      <w:pPr>
        <w:pStyle w:val="Footnotesection"/>
        <w:ind w:left="890" w:hanging="890"/>
      </w:pPr>
      <w:r>
        <w:tab/>
        <w:t>[Section 20C inserted by No. 63 of 2000 s. 5.]</w:t>
      </w:r>
    </w:p>
    <w:p>
      <w:pPr>
        <w:pStyle w:val="Heading5"/>
        <w:spacing w:before="160"/>
        <w:rPr>
          <w:snapToGrid w:val="0"/>
        </w:rPr>
      </w:pPr>
      <w:bookmarkStart w:id="276" w:name="_Toc520087902"/>
      <w:bookmarkStart w:id="277" w:name="_Toc523620537"/>
      <w:bookmarkStart w:id="278" w:name="_Toc38853688"/>
      <w:bookmarkStart w:id="279" w:name="_Toc124061050"/>
      <w:bookmarkStart w:id="280" w:name="_Toc188695299"/>
      <w:bookmarkStart w:id="281" w:name="_Toc187053238"/>
      <w:r>
        <w:rPr>
          <w:rStyle w:val="CharSectno"/>
        </w:rPr>
        <w:t>21</w:t>
      </w:r>
      <w:r>
        <w:rPr>
          <w:snapToGrid w:val="0"/>
        </w:rPr>
        <w:t>.</w:t>
      </w:r>
      <w:r>
        <w:rPr>
          <w:snapToGrid w:val="0"/>
        </w:rPr>
        <w:tab/>
        <w:t>Power to resume land</w:t>
      </w:r>
      <w:bookmarkEnd w:id="276"/>
      <w:bookmarkEnd w:id="277"/>
      <w:bookmarkEnd w:id="278"/>
      <w:bookmarkEnd w:id="279"/>
      <w:bookmarkEnd w:id="280"/>
      <w:bookmarkEnd w:id="281"/>
      <w:r>
        <w:rPr>
          <w:snapToGrid w:val="0"/>
        </w:rPr>
        <w:t xml:space="preserve"> </w:t>
      </w:r>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spacing w:before="140"/>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spacing w:before="14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 xml:space="preserve">(6); No. 55 of 2004 s. 570.] </w:t>
      </w:r>
    </w:p>
    <w:p>
      <w:pPr>
        <w:pStyle w:val="Heading5"/>
        <w:keepNext w:val="0"/>
        <w:keepLines w:val="0"/>
        <w:spacing w:before="180"/>
        <w:rPr>
          <w:snapToGrid w:val="0"/>
        </w:rPr>
      </w:pPr>
      <w:bookmarkStart w:id="282" w:name="_Toc520087903"/>
      <w:bookmarkStart w:id="283" w:name="_Toc523620538"/>
      <w:bookmarkStart w:id="284" w:name="_Toc38853689"/>
      <w:bookmarkStart w:id="285" w:name="_Toc124061051"/>
      <w:bookmarkStart w:id="286" w:name="_Toc188695300"/>
      <w:bookmarkStart w:id="287" w:name="_Toc187053239"/>
      <w:r>
        <w:rPr>
          <w:rStyle w:val="CharSectno"/>
        </w:rPr>
        <w:t>22</w:t>
      </w:r>
      <w:r>
        <w:rPr>
          <w:snapToGrid w:val="0"/>
        </w:rPr>
        <w:t>.</w:t>
      </w:r>
      <w:r>
        <w:rPr>
          <w:snapToGrid w:val="0"/>
        </w:rPr>
        <w:tab/>
        <w:t>Effect of resumption</w:t>
      </w:r>
      <w:bookmarkEnd w:id="282"/>
      <w:bookmarkEnd w:id="283"/>
      <w:bookmarkEnd w:id="284"/>
      <w:bookmarkEnd w:id="285"/>
      <w:bookmarkEnd w:id="286"/>
      <w:bookmarkEnd w:id="287"/>
      <w:r>
        <w:rPr>
          <w:snapToGrid w:val="0"/>
        </w:rPr>
        <w:t xml:space="preserve"> </w:t>
      </w:r>
    </w:p>
    <w:p>
      <w:pPr>
        <w:pStyle w:val="Subsection"/>
        <w:spacing w:before="140"/>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 xml:space="preserve">[Section 22 amended by No. 100 of 1985 s. 15; No. 31 of 1997 s. 71(7).] </w:t>
      </w:r>
    </w:p>
    <w:p>
      <w:pPr>
        <w:pStyle w:val="Heading3"/>
        <w:rPr>
          <w:snapToGrid w:val="0"/>
        </w:rPr>
      </w:pPr>
      <w:bookmarkStart w:id="288" w:name="_Toc87427561"/>
      <w:bookmarkStart w:id="289" w:name="_Toc87851136"/>
      <w:bookmarkStart w:id="290" w:name="_Toc88295359"/>
      <w:bookmarkStart w:id="291" w:name="_Toc89519018"/>
      <w:bookmarkStart w:id="292" w:name="_Toc90869143"/>
      <w:bookmarkStart w:id="293" w:name="_Toc91407915"/>
      <w:bookmarkStart w:id="294" w:name="_Toc92863659"/>
      <w:bookmarkStart w:id="295" w:name="_Toc95015027"/>
      <w:bookmarkStart w:id="296" w:name="_Toc95106734"/>
      <w:bookmarkStart w:id="297" w:name="_Toc97018534"/>
      <w:bookmarkStart w:id="298" w:name="_Toc101693487"/>
      <w:bookmarkStart w:id="299" w:name="_Toc103130357"/>
      <w:bookmarkStart w:id="300" w:name="_Toc104711007"/>
      <w:bookmarkStart w:id="301" w:name="_Toc121559992"/>
      <w:bookmarkStart w:id="302" w:name="_Toc122328433"/>
      <w:bookmarkStart w:id="303" w:name="_Toc124061052"/>
      <w:bookmarkStart w:id="304" w:name="_Toc124139907"/>
      <w:bookmarkStart w:id="305" w:name="_Toc127174652"/>
      <w:bookmarkStart w:id="306" w:name="_Toc127348996"/>
      <w:bookmarkStart w:id="307" w:name="_Toc127762180"/>
      <w:bookmarkStart w:id="308" w:name="_Toc127842242"/>
      <w:bookmarkStart w:id="309" w:name="_Toc128379853"/>
      <w:bookmarkStart w:id="310" w:name="_Toc130106469"/>
      <w:bookmarkStart w:id="311" w:name="_Toc130106749"/>
      <w:bookmarkStart w:id="312" w:name="_Toc130110646"/>
      <w:bookmarkStart w:id="313" w:name="_Toc130276857"/>
      <w:bookmarkStart w:id="314" w:name="_Toc131408382"/>
      <w:bookmarkStart w:id="315" w:name="_Toc132530149"/>
      <w:bookmarkStart w:id="316" w:name="_Toc142194206"/>
      <w:bookmarkStart w:id="317" w:name="_Toc162778291"/>
      <w:bookmarkStart w:id="318" w:name="_Toc162840875"/>
      <w:bookmarkStart w:id="319" w:name="_Toc162932711"/>
      <w:bookmarkStart w:id="320" w:name="_Toc187053240"/>
      <w:bookmarkStart w:id="321" w:name="_Toc188695301"/>
      <w:r>
        <w:rPr>
          <w:rStyle w:val="CharDivNo"/>
        </w:rPr>
        <w:t>Division 2</w:t>
      </w:r>
      <w:r>
        <w:rPr>
          <w:snapToGrid w:val="0"/>
        </w:rPr>
        <w:t> — </w:t>
      </w:r>
      <w:r>
        <w:rPr>
          <w:rStyle w:val="CharDivText"/>
        </w:rPr>
        <w:t>Public reserves, etc.</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520087904"/>
      <w:bookmarkStart w:id="323" w:name="_Toc523620539"/>
      <w:bookmarkStart w:id="324" w:name="_Toc38853690"/>
      <w:bookmarkStart w:id="325" w:name="_Toc124061053"/>
      <w:bookmarkStart w:id="326" w:name="_Toc188695302"/>
      <w:bookmarkStart w:id="327" w:name="_Toc187053241"/>
      <w:r>
        <w:rPr>
          <w:rStyle w:val="CharSectno"/>
        </w:rPr>
        <w:t>23</w:t>
      </w:r>
      <w:r>
        <w:rPr>
          <w:snapToGrid w:val="0"/>
        </w:rPr>
        <w:t>.</w:t>
      </w:r>
      <w:r>
        <w:rPr>
          <w:snapToGrid w:val="0"/>
        </w:rPr>
        <w:tab/>
        <w:t>Mining on public reserves, etc.</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 xml:space="preserve">[Section 23 inserted by No. 100 of 1985 s. 16; amended by No. 5 of 1997 s. 41(2).] </w:t>
      </w:r>
    </w:p>
    <w:p>
      <w:pPr>
        <w:pStyle w:val="Heading5"/>
        <w:rPr>
          <w:snapToGrid w:val="0"/>
        </w:rPr>
      </w:pPr>
      <w:bookmarkStart w:id="328" w:name="_Toc520087905"/>
      <w:bookmarkStart w:id="329" w:name="_Toc523620540"/>
      <w:bookmarkStart w:id="330" w:name="_Toc38853691"/>
      <w:bookmarkStart w:id="331" w:name="_Toc124061054"/>
      <w:bookmarkStart w:id="332" w:name="_Toc188695303"/>
      <w:bookmarkStart w:id="333" w:name="_Toc187053242"/>
      <w:r>
        <w:rPr>
          <w:rStyle w:val="CharSectno"/>
        </w:rPr>
        <w:t>24</w:t>
      </w:r>
      <w:r>
        <w:rPr>
          <w:snapToGrid w:val="0"/>
        </w:rPr>
        <w:t>.</w:t>
      </w:r>
      <w:r>
        <w:rPr>
          <w:snapToGrid w:val="0"/>
        </w:rPr>
        <w:tab/>
        <w:t>Classification of reserves</w:t>
      </w:r>
      <w:bookmarkEnd w:id="328"/>
      <w:bookmarkEnd w:id="329"/>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(b)</w:t>
      </w:r>
      <w:r>
        <w:rPr>
          <w:snapToGrid w:val="0"/>
        </w:rPr>
        <w:tab/>
        <w:t>The Minister shall cause an order in council made pursuant to paragraph (a)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with, and obtain the concurrence thereto, of the responsible Minister.</w:t>
      </w:r>
    </w:p>
    <w:p>
      <w:pPr>
        <w:pStyle w:val="Subsection"/>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rPr>
          <w:snapToGrid w:val="0"/>
        </w:rPr>
      </w:pPr>
      <w:r>
        <w:rPr>
          <w:snapToGrid w:val="0"/>
        </w:rPr>
        <w:tab/>
        <w:t>(b)</w:t>
      </w:r>
      <w:r>
        <w:rPr>
          <w:snapToGrid w:val="0"/>
        </w:rPr>
        <w:tab/>
        <w:t>Before giving his consent, whether conditionally or unconditionally, the Minister shall first consult the responsible Minister with respect thereto and obtain his recommendation thereon.</w:t>
      </w:r>
    </w:p>
    <w:p>
      <w:pPr>
        <w:pStyle w:val="Subsection"/>
        <w:keepLines/>
        <w:rPr>
          <w:snapToGrid w:val="0"/>
        </w:rPr>
      </w:pPr>
      <w:r>
        <w:rPr>
          <w:snapToGrid w:val="0"/>
        </w:rPr>
        <w:tab/>
        <w:t>(c)</w:t>
      </w:r>
      <w:r>
        <w:rPr>
          <w:snapToGrid w:val="0"/>
        </w:rPr>
        <w:tab/>
        <w:t xml:space="preserve">The giving by the Minister of his consent under this subsection 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 xml:space="preserve">(11).] </w:t>
      </w:r>
    </w:p>
    <w:p>
      <w:pPr>
        <w:pStyle w:val="Heading5"/>
        <w:rPr>
          <w:snapToGrid w:val="0"/>
        </w:rPr>
      </w:pPr>
      <w:bookmarkStart w:id="334" w:name="_Toc520087906"/>
      <w:bookmarkStart w:id="335" w:name="_Toc523620541"/>
      <w:bookmarkStart w:id="336" w:name="_Toc38853692"/>
      <w:bookmarkStart w:id="337" w:name="_Toc124061055"/>
      <w:bookmarkStart w:id="338" w:name="_Toc188695304"/>
      <w:bookmarkStart w:id="339" w:name="_Toc187053243"/>
      <w:r>
        <w:rPr>
          <w:rStyle w:val="CharSectno"/>
        </w:rPr>
        <w:t>24A</w:t>
      </w:r>
      <w:r>
        <w:rPr>
          <w:snapToGrid w:val="0"/>
        </w:rPr>
        <w:t>.</w:t>
      </w:r>
      <w:r>
        <w:rPr>
          <w:snapToGrid w:val="0"/>
        </w:rPr>
        <w:tab/>
        <w:t>Mining in marine reserves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 </w:t>
      </w:r>
    </w:p>
    <w:p>
      <w:pPr>
        <w:pStyle w:val="Indenta"/>
        <w:rPr>
          <w:snapToGrid w:val="0"/>
        </w:rPr>
      </w:pPr>
      <w:r>
        <w:rPr>
          <w:snapToGrid w:val="0"/>
        </w:rPr>
        <w:tab/>
        <w:t>(a)</w:t>
      </w:r>
      <w:r>
        <w:rPr>
          <w:snapToGrid w:val="0"/>
        </w:rPr>
        <w:tab/>
        <w:t>prevents a mining tenement from being —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conservation Minister</w:t>
      </w:r>
      <w:r>
        <w:rPr>
          <w:b/>
        </w:rPr>
        <w:t>”</w:t>
      </w:r>
      <w:r>
        <w:t xml:space="preserve"> means the Minister for the time being charged with the administration of the </w:t>
      </w:r>
      <w:r>
        <w:rPr>
          <w:i/>
        </w:rPr>
        <w:t>Conservation and Land Management Act 1984</w:t>
      </w:r>
      <w:r>
        <w:t>;</w:t>
      </w:r>
    </w:p>
    <w:p>
      <w:pPr>
        <w:pStyle w:val="Defstart"/>
      </w:pPr>
      <w:r>
        <w:rPr>
          <w:b/>
        </w:rPr>
        <w:tab/>
        <w:t>“</w:t>
      </w:r>
      <w:r>
        <w:rPr>
          <w:rStyle w:val="CharDefText"/>
        </w:rPr>
        <w:t>fisheries Minister</w:t>
      </w:r>
      <w:r>
        <w:rPr>
          <w:b/>
        </w:rPr>
        <w:t>”</w:t>
      </w:r>
      <w:r>
        <w:t xml:space="preserve"> means the Minister for the time being charged with the administration of the </w:t>
      </w:r>
      <w:r>
        <w:rPr>
          <w:i/>
        </w:rPr>
        <w:t>Fish Resources Management Act 1994</w:t>
      </w:r>
      <w:r>
        <w:t>;</w:t>
      </w:r>
    </w:p>
    <w:p>
      <w:pPr>
        <w:pStyle w:val="Defstart"/>
      </w:pPr>
      <w:r>
        <w:rPr>
          <w:b/>
        </w:rPr>
        <w:tab/>
        <w:t>“</w:t>
      </w:r>
      <w:r>
        <w:rPr>
          <w:rStyle w:val="CharDefText"/>
        </w:rPr>
        <w:t>marine Minister</w:t>
      </w:r>
      <w:r>
        <w:rPr>
          <w:b/>
        </w:rPr>
        <w:t>”</w:t>
      </w:r>
      <w:r>
        <w:t xml:space="preserve"> means the Minister for the time being charged with the administration of the </w:t>
      </w:r>
      <w:r>
        <w:rPr>
          <w:i/>
        </w:rPr>
        <w:t>Marine and Harbours Act 1981</w:t>
      </w:r>
      <w:r>
        <w:t>;</w:t>
      </w:r>
    </w:p>
    <w:p>
      <w:pPr>
        <w:pStyle w:val="Defstart"/>
      </w:pPr>
      <w:r>
        <w:rPr>
          <w:b/>
        </w:rPr>
        <w:tab/>
        <w:t>“</w:t>
      </w:r>
      <w:r>
        <w:rPr>
          <w:rStyle w:val="CharDefText"/>
        </w:rPr>
        <w:t>restricted area</w:t>
      </w:r>
      <w:r>
        <w:rPr>
          <w:b/>
        </w:rPr>
        <w:t>”</w:t>
      </w:r>
      <w:r>
        <w:t xml:space="preserve"> means —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 xml:space="preserve">[Section 24A inserted by No. 5 of 1997 s. 41(1); amended by No. 10 of 1998 s. 52.] </w:t>
      </w:r>
    </w:p>
    <w:p>
      <w:pPr>
        <w:pStyle w:val="Heading5"/>
        <w:rPr>
          <w:snapToGrid w:val="0"/>
        </w:rPr>
      </w:pPr>
      <w:bookmarkStart w:id="340" w:name="_Toc520087907"/>
      <w:bookmarkStart w:id="341" w:name="_Toc523620542"/>
      <w:bookmarkStart w:id="342" w:name="_Toc38853693"/>
      <w:bookmarkStart w:id="343" w:name="_Toc124061056"/>
      <w:bookmarkStart w:id="344" w:name="_Toc188695305"/>
      <w:bookmarkStart w:id="345" w:name="_Toc187053244"/>
      <w:r>
        <w:rPr>
          <w:rStyle w:val="CharSectno"/>
        </w:rPr>
        <w:t>25</w:t>
      </w:r>
      <w:r>
        <w:rPr>
          <w:snapToGrid w:val="0"/>
        </w:rPr>
        <w:t>.</w:t>
      </w:r>
      <w:r>
        <w:rPr>
          <w:snapToGrid w:val="0"/>
        </w:rPr>
        <w:tab/>
        <w:t>Mining on foreshore, sea bed, navigable waters or townsite</w:t>
      </w:r>
      <w:bookmarkEnd w:id="340"/>
      <w:bookmarkEnd w:id="341"/>
      <w:bookmarkEnd w:id="342"/>
      <w:bookmarkEnd w:id="343"/>
      <w:bookmarkEnd w:id="344"/>
      <w:bookmarkEnd w:id="345"/>
      <w:r>
        <w:rPr>
          <w:snapToGrid w:val="0"/>
        </w:rPr>
        <w:t xml:space="preserve"> </w:t>
      </w:r>
    </w:p>
    <w:p>
      <w:pPr>
        <w:pStyle w:val="Subsection"/>
        <w:keepNext/>
        <w:rPr>
          <w:snapToGrid w:val="0"/>
        </w:rPr>
      </w:pPr>
      <w:r>
        <w:rPr>
          <w:snapToGrid w:val="0"/>
        </w:rPr>
        <w:tab/>
        <w:t>(1)</w:t>
      </w:r>
      <w:r>
        <w:rPr>
          <w:snapToGrid w:val="0"/>
        </w:rPr>
        <w:tab/>
        <w:t>The classes of land to which this section applies are —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Minister to whom the administration of the </w:t>
      </w:r>
      <w:r>
        <w:rPr>
          <w:i/>
          <w:snapToGrid w:val="0"/>
        </w:rPr>
        <w:t>Land Administration Act 1997</w:t>
      </w:r>
      <w:r>
        <w:rPr>
          <w:snapToGrid w:val="0"/>
        </w:rPr>
        <w:t xml:space="preserve"> is for the time being committed by the Governor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(b)</w:t>
      </w:r>
      <w:r>
        <w:rPr>
          <w:snapToGrid w:val="0"/>
        </w:rPr>
        <w:tab/>
        <w:t xml:space="preserve">Before giving his consent whether conditionally or unconditionally the Minister shall first consult the Minister to whom the administration of the </w:t>
      </w:r>
      <w:r>
        <w:rPr>
          <w:i/>
          <w:snapToGrid w:val="0"/>
        </w:rPr>
        <w:t>Land Administration Act 1997</w:t>
      </w:r>
      <w:r>
        <w:rPr>
          <w:snapToGrid w:val="0"/>
        </w:rPr>
        <w:t xml:space="preserve"> is for the time being committed by the Governor and the local government, in respect thereto and obtain their recommendations thereon.</w:t>
      </w:r>
    </w:p>
    <w:p>
      <w:pPr>
        <w:pStyle w:val="Footnotesection"/>
        <w:spacing w:before="80"/>
        <w:ind w:left="890" w:hanging="890"/>
      </w:pPr>
      <w:r>
        <w:tab/>
        <w:t xml:space="preserve">[Section 25 amended by No. 77 of 1986 s. 9; No. 22 of 1990 s. 7; No. 37 of 1993 s. 4; No. 14 of 1996 s. 4; No. 5 of 1997 s. 42; No. 31 of 1997 s. 71(12) and 141; No. 24 of 2000 s. 26(1).] </w:t>
      </w:r>
    </w:p>
    <w:p>
      <w:pPr>
        <w:pStyle w:val="Heading5"/>
        <w:keepNext w:val="0"/>
        <w:keepLines w:val="0"/>
        <w:rPr>
          <w:snapToGrid w:val="0"/>
        </w:rPr>
      </w:pPr>
      <w:bookmarkStart w:id="346" w:name="_Toc520087908"/>
      <w:bookmarkStart w:id="347" w:name="_Toc523620543"/>
      <w:bookmarkStart w:id="348" w:name="_Toc38853694"/>
      <w:bookmarkStart w:id="349" w:name="_Toc124061057"/>
      <w:bookmarkStart w:id="350" w:name="_Toc188695306"/>
      <w:bookmarkStart w:id="351" w:name="_Toc187053245"/>
      <w:r>
        <w:rPr>
          <w:rStyle w:val="CharSectno"/>
        </w:rPr>
        <w:t>26</w:t>
      </w:r>
      <w:r>
        <w:rPr>
          <w:snapToGrid w:val="0"/>
        </w:rPr>
        <w:t>.</w:t>
      </w:r>
      <w:r>
        <w:rPr>
          <w:snapToGrid w:val="0"/>
        </w:rPr>
        <w:tab/>
        <w:t>Terms and conditions</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The terms and conditions that may be imposed pursuant to sections 24, 24A and 25 may include among others a condition that —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 xml:space="preserve">[Section 26 amended by No. 100 of 1985 s. 18; No. 5 of 1997 s. 41(2); No. 17 of 1999 s. 4.] </w:t>
      </w:r>
    </w:p>
    <w:p>
      <w:pPr>
        <w:pStyle w:val="Heading5"/>
        <w:keepNext w:val="0"/>
        <w:keepLines w:val="0"/>
        <w:rPr>
          <w:snapToGrid w:val="0"/>
        </w:rPr>
      </w:pPr>
      <w:bookmarkStart w:id="352" w:name="_Toc520087909"/>
      <w:bookmarkStart w:id="353" w:name="_Toc523620544"/>
      <w:bookmarkStart w:id="354" w:name="_Toc38853695"/>
      <w:bookmarkStart w:id="355" w:name="_Toc124061058"/>
      <w:bookmarkStart w:id="356" w:name="_Toc188695307"/>
      <w:bookmarkStart w:id="357" w:name="_Toc187053246"/>
      <w:r>
        <w:rPr>
          <w:rStyle w:val="CharSectno"/>
        </w:rPr>
        <w:t>26A</w:t>
      </w:r>
      <w:r>
        <w:rPr>
          <w:snapToGrid w:val="0"/>
        </w:rPr>
        <w:t>.</w:t>
      </w:r>
      <w:r>
        <w:rPr>
          <w:snapToGrid w:val="0"/>
        </w:rPr>
        <w:tab/>
        <w:t>Mining tenements within townsites</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 xml:space="preserve">(16).] </w:t>
      </w:r>
    </w:p>
    <w:p>
      <w:pPr>
        <w:pStyle w:val="Heading3"/>
        <w:rPr>
          <w:snapToGrid w:val="0"/>
        </w:rPr>
      </w:pPr>
      <w:bookmarkStart w:id="358" w:name="_Toc87427568"/>
      <w:bookmarkStart w:id="359" w:name="_Toc87851143"/>
      <w:bookmarkStart w:id="360" w:name="_Toc88295366"/>
      <w:bookmarkStart w:id="361" w:name="_Toc89519025"/>
      <w:bookmarkStart w:id="362" w:name="_Toc90869150"/>
      <w:bookmarkStart w:id="363" w:name="_Toc91407922"/>
      <w:bookmarkStart w:id="364" w:name="_Toc92863666"/>
      <w:bookmarkStart w:id="365" w:name="_Toc95015034"/>
      <w:bookmarkStart w:id="366" w:name="_Toc95106741"/>
      <w:bookmarkStart w:id="367" w:name="_Toc97018541"/>
      <w:bookmarkStart w:id="368" w:name="_Toc101693494"/>
      <w:bookmarkStart w:id="369" w:name="_Toc103130364"/>
      <w:bookmarkStart w:id="370" w:name="_Toc104711014"/>
      <w:bookmarkStart w:id="371" w:name="_Toc121559999"/>
      <w:bookmarkStart w:id="372" w:name="_Toc122328440"/>
      <w:bookmarkStart w:id="373" w:name="_Toc124061059"/>
      <w:bookmarkStart w:id="374" w:name="_Toc124139914"/>
      <w:bookmarkStart w:id="375" w:name="_Toc127174659"/>
      <w:bookmarkStart w:id="376" w:name="_Toc127349003"/>
      <w:bookmarkStart w:id="377" w:name="_Toc127762187"/>
      <w:bookmarkStart w:id="378" w:name="_Toc127842249"/>
      <w:bookmarkStart w:id="379" w:name="_Toc128379860"/>
      <w:bookmarkStart w:id="380" w:name="_Toc130106476"/>
      <w:bookmarkStart w:id="381" w:name="_Toc130106756"/>
      <w:bookmarkStart w:id="382" w:name="_Toc130110653"/>
      <w:bookmarkStart w:id="383" w:name="_Toc130276864"/>
      <w:bookmarkStart w:id="384" w:name="_Toc131408389"/>
      <w:bookmarkStart w:id="385" w:name="_Toc132530156"/>
      <w:bookmarkStart w:id="386" w:name="_Toc142194213"/>
      <w:bookmarkStart w:id="387" w:name="_Toc162778298"/>
      <w:bookmarkStart w:id="388" w:name="_Toc162840882"/>
      <w:bookmarkStart w:id="389" w:name="_Toc162932718"/>
      <w:bookmarkStart w:id="390" w:name="_Toc187053247"/>
      <w:bookmarkStart w:id="391" w:name="_Toc188695308"/>
      <w:r>
        <w:rPr>
          <w:rStyle w:val="CharDivNo"/>
        </w:rPr>
        <w:t>Division 3</w:t>
      </w:r>
      <w:r>
        <w:rPr>
          <w:snapToGrid w:val="0"/>
        </w:rPr>
        <w:t> — </w:t>
      </w:r>
      <w:r>
        <w:rPr>
          <w:rStyle w:val="CharDivText"/>
        </w:rPr>
        <w:t>Private land</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520087910"/>
      <w:bookmarkStart w:id="393" w:name="_Toc523620545"/>
      <w:bookmarkStart w:id="394" w:name="_Toc38853696"/>
      <w:bookmarkStart w:id="395" w:name="_Toc124061060"/>
      <w:bookmarkStart w:id="396" w:name="_Toc188695309"/>
      <w:bookmarkStart w:id="397" w:name="_Toc187053248"/>
      <w:r>
        <w:rPr>
          <w:rStyle w:val="CharSectno"/>
        </w:rPr>
        <w:t>27</w:t>
      </w:r>
      <w:r>
        <w:rPr>
          <w:snapToGrid w:val="0"/>
        </w:rPr>
        <w:t>.</w:t>
      </w:r>
      <w:r>
        <w:rPr>
          <w:snapToGrid w:val="0"/>
        </w:rPr>
        <w:tab/>
        <w:t>Private land open for mining</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 xml:space="preserve">[Section 27 amended by No. 100 of 1985 s. 19; No. 37 of 1993 s. 12(2).] </w:t>
      </w:r>
    </w:p>
    <w:p>
      <w:pPr>
        <w:pStyle w:val="Heading5"/>
        <w:keepLines w:val="0"/>
        <w:rPr>
          <w:snapToGrid w:val="0"/>
        </w:rPr>
      </w:pPr>
      <w:bookmarkStart w:id="398" w:name="_Toc520087911"/>
      <w:bookmarkStart w:id="399" w:name="_Toc523620546"/>
      <w:bookmarkStart w:id="400" w:name="_Toc38853697"/>
      <w:bookmarkStart w:id="401" w:name="_Toc124061061"/>
      <w:bookmarkStart w:id="402" w:name="_Toc188695310"/>
      <w:bookmarkStart w:id="403" w:name="_Toc187053249"/>
      <w:r>
        <w:rPr>
          <w:rStyle w:val="CharSectno"/>
        </w:rPr>
        <w:t>28</w:t>
      </w:r>
      <w:r>
        <w:rPr>
          <w:snapToGrid w:val="0"/>
        </w:rPr>
        <w:t>.</w:t>
      </w:r>
      <w:r>
        <w:rPr>
          <w:snapToGrid w:val="0"/>
        </w:rPr>
        <w:tab/>
        <w:t>Unlawful entry on private land</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04" w:name="_Toc520087912"/>
      <w:bookmarkStart w:id="405" w:name="_Toc523620547"/>
      <w:bookmarkStart w:id="406" w:name="_Toc38853698"/>
      <w:bookmarkStart w:id="407" w:name="_Toc124061062"/>
      <w:bookmarkStart w:id="408" w:name="_Toc188695311"/>
      <w:bookmarkStart w:id="409" w:name="_Toc187053250"/>
      <w:r>
        <w:rPr>
          <w:rStyle w:val="CharSectno"/>
        </w:rPr>
        <w:t>29</w:t>
      </w:r>
      <w:r>
        <w:rPr>
          <w:snapToGrid w:val="0"/>
        </w:rPr>
        <w:t>.</w:t>
      </w:r>
      <w:r>
        <w:rPr>
          <w:snapToGrid w:val="0"/>
        </w:rPr>
        <w:tab/>
        <w:t>Granting of mining tenements in respect of private land</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 xml:space="preserve">repealed] </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b/>
          <w:snapToGrid w:val="0"/>
        </w:rPr>
        <w:t>“</w:t>
      </w:r>
      <w:r>
        <w:rPr>
          <w:rStyle w:val="CharDefText"/>
        </w:rPr>
        <w:t>the relevant portion</w:t>
      </w:r>
      <w:r>
        <w:rPr>
          <w:b/>
          <w:snapToGrid w:val="0"/>
        </w:rPr>
        <w:t>”</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rPr>
          <w:snapToGrid w:val="0"/>
        </w:rPr>
      </w:pPr>
      <w:r>
        <w:rPr>
          <w:snapToGrid w:val="0"/>
        </w:rPr>
        <w:tab/>
        <w:t>(7)</w:t>
      </w:r>
      <w:r>
        <w:rPr>
          <w:snapToGrid w:val="0"/>
        </w:rPr>
        <w:tab/>
        <w:t>A mining tenement granted under this Division in respect of any private land — </w:t>
      </w:r>
    </w:p>
    <w:p>
      <w:pPr>
        <w:pStyle w:val="Indenta"/>
        <w:rPr>
          <w:snapToGrid w:val="0"/>
        </w:rPr>
      </w:pPr>
      <w:r>
        <w:rPr>
          <w:snapToGrid w:val="0"/>
        </w:rPr>
        <w:tab/>
        <w:t>(a)</w:t>
      </w:r>
      <w:r>
        <w:rPr>
          <w:snapToGrid w:val="0"/>
        </w:rPr>
        <w:tab/>
        <w:t>shall, subject to this Act, authorise the holder of that mining tenement — </w:t>
      </w:r>
    </w:p>
    <w:p>
      <w:pPr>
        <w:pStyle w:val="Indenti"/>
        <w:rPr>
          <w:snapToGrid w:val="0"/>
        </w:rPr>
      </w:pPr>
      <w:r>
        <w:rPr>
          <w:snapToGrid w:val="0"/>
        </w:rPr>
        <w:tab/>
        <w:t>(i)</w:t>
      </w:r>
      <w:r>
        <w:rPr>
          <w:snapToGrid w:val="0"/>
        </w:rPr>
        <w:tab/>
        <w:t>to carry out mining on the natural surface of the private land and at any depth thereunder; or</w:t>
      </w:r>
    </w:p>
    <w:p>
      <w:pPr>
        <w:pStyle w:val="Indenti"/>
        <w:rPr>
          <w:snapToGrid w:val="0"/>
        </w:rPr>
      </w:pPr>
      <w:r>
        <w:rPr>
          <w:snapToGrid w:val="0"/>
        </w:rPr>
        <w:tab/>
        <w:t>(ii)</w:t>
      </w:r>
      <w:r>
        <w:rPr>
          <w:snapToGrid w:val="0"/>
        </w:rPr>
        <w:tab/>
        <w:t>to carry out mining at a depth of not less than 30 metres from the lowest part of the natural surface of the private land;</w:t>
      </w:r>
    </w:p>
    <w:p>
      <w:pPr>
        <w:pStyle w:val="Indenta"/>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 xml:space="preserve">[Section 29 inserted by No. 69 of 1981 s. 9; amended by No. 100 of 1985 s. 20; No. 105 of 1986 s. 9; No. 58 of 1994 s. 6; No. 39 of 2004 s. 52.] </w:t>
      </w:r>
    </w:p>
    <w:p>
      <w:pPr>
        <w:pStyle w:val="Heading5"/>
        <w:rPr>
          <w:snapToGrid w:val="0"/>
        </w:rPr>
      </w:pPr>
      <w:bookmarkStart w:id="410" w:name="_Toc520087913"/>
      <w:bookmarkStart w:id="411" w:name="_Toc523620548"/>
      <w:bookmarkStart w:id="412" w:name="_Toc38853699"/>
      <w:bookmarkStart w:id="413" w:name="_Toc124061063"/>
      <w:bookmarkStart w:id="414" w:name="_Toc188695312"/>
      <w:bookmarkStart w:id="415" w:name="_Toc187053251"/>
      <w:r>
        <w:rPr>
          <w:rStyle w:val="CharSectno"/>
        </w:rPr>
        <w:t>30</w:t>
      </w:r>
      <w:r>
        <w:rPr>
          <w:snapToGrid w:val="0"/>
        </w:rPr>
        <w:t>.</w:t>
      </w:r>
      <w:r>
        <w:rPr>
          <w:snapToGrid w:val="0"/>
        </w:rPr>
        <w:tab/>
        <w:t>Granting of permits in respect of private land</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spacing w:before="120"/>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spacing w:before="120"/>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 xml:space="preserve">If an order is made under subsection (6a) that part of the sum be paid to the applicant, the Director General of Mines shall —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 xml:space="preserve">If —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spacing w:before="120"/>
        <w:rPr>
          <w:snapToGrid w:val="0"/>
        </w:rPr>
      </w:pPr>
      <w:r>
        <w:rPr>
          <w:snapToGrid w:val="0"/>
        </w:rPr>
        <w:tab/>
        <w:t>(7)</w:t>
      </w:r>
      <w:r>
        <w:rPr>
          <w:snapToGrid w:val="0"/>
        </w:rPr>
        <w:tab/>
        <w:t>A permit under subsection (3) shall be deemed to be held subject to the condition that the holder is liable —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 xml:space="preserve">In this section — </w:t>
      </w:r>
    </w:p>
    <w:p>
      <w:pPr>
        <w:pStyle w:val="Defstart"/>
      </w:pPr>
      <w:r>
        <w:rPr>
          <w:b/>
        </w:rPr>
        <w:tab/>
        <w:t>“</w:t>
      </w:r>
      <w:r>
        <w:rPr>
          <w:rStyle w:val="CharDefText"/>
        </w:rPr>
        <w:t>prescribed official</w:t>
      </w:r>
      <w:r>
        <w:rPr>
          <w:b/>
        </w:rPr>
        <w:t>”</w:t>
      </w:r>
      <w:r>
        <w:t xml:space="preserve"> means a person who holds or acts in an office or position in the Department that is prescribed for the purposes of this section.</w:t>
      </w:r>
    </w:p>
    <w:p>
      <w:pPr>
        <w:pStyle w:val="Footnotesection"/>
        <w:keepLines w:val="0"/>
        <w:spacing w:before="80"/>
        <w:ind w:left="890" w:hanging="890"/>
      </w:pPr>
      <w:r>
        <w:tab/>
        <w:t xml:space="preserve">[Section 30 inserted by No. 69 of 1981 s. 10; amended by No. 100 of 1985 s. 21; No. 22 of 1990 s. 9; No. 39 of 2004 s. 53.] </w:t>
      </w:r>
    </w:p>
    <w:p>
      <w:pPr>
        <w:pStyle w:val="Heading5"/>
        <w:rPr>
          <w:snapToGrid w:val="0"/>
        </w:rPr>
      </w:pPr>
      <w:bookmarkStart w:id="416" w:name="_Toc520087914"/>
      <w:bookmarkStart w:id="417" w:name="_Toc523620549"/>
      <w:bookmarkStart w:id="418" w:name="_Toc38853700"/>
      <w:bookmarkStart w:id="419" w:name="_Toc124061064"/>
      <w:bookmarkStart w:id="420" w:name="_Toc188695313"/>
      <w:bookmarkStart w:id="421" w:name="_Toc187053252"/>
      <w:r>
        <w:rPr>
          <w:rStyle w:val="CharSectno"/>
        </w:rPr>
        <w:t>31</w:t>
      </w:r>
      <w:r>
        <w:rPr>
          <w:snapToGrid w:val="0"/>
        </w:rPr>
        <w:t>.</w:t>
      </w:r>
      <w:r>
        <w:rPr>
          <w:snapToGrid w:val="0"/>
        </w:rPr>
        <w:tab/>
        <w:t>Holder of permit to give notice to owner and occupier</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 xml:space="preserve">[Section 31 amended by No. 100 of 1985 s. 22; No. 22 of 1990 s. 10.] </w:t>
      </w:r>
    </w:p>
    <w:p>
      <w:pPr>
        <w:pStyle w:val="Heading5"/>
        <w:rPr>
          <w:snapToGrid w:val="0"/>
        </w:rPr>
      </w:pPr>
      <w:bookmarkStart w:id="422" w:name="_Toc520087915"/>
      <w:bookmarkStart w:id="423" w:name="_Toc523620550"/>
      <w:bookmarkStart w:id="424" w:name="_Toc38853701"/>
      <w:bookmarkStart w:id="425" w:name="_Toc124061065"/>
      <w:bookmarkStart w:id="426" w:name="_Toc188695314"/>
      <w:bookmarkStart w:id="427" w:name="_Toc187053253"/>
      <w:r>
        <w:rPr>
          <w:rStyle w:val="CharSectno"/>
        </w:rPr>
        <w:t>32</w:t>
      </w:r>
      <w:r>
        <w:rPr>
          <w:snapToGrid w:val="0"/>
        </w:rPr>
        <w:t>.</w:t>
      </w:r>
      <w:r>
        <w:rPr>
          <w:snapToGrid w:val="0"/>
        </w:rPr>
        <w:tab/>
        <w:t>Rights conferred by a permit</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holder of a permit issued under section 30 or his duly authorised employee or agent is thereby authorised —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 xml:space="preserve">[Section 32 amended by No. 69 of 1981 s. 11; No. 100 of 1985 s. 23; No. 39 of 2004 s. 54.] </w:t>
      </w:r>
    </w:p>
    <w:p>
      <w:pPr>
        <w:pStyle w:val="Heading5"/>
        <w:rPr>
          <w:snapToGrid w:val="0"/>
        </w:rPr>
      </w:pPr>
      <w:bookmarkStart w:id="428" w:name="_Toc520087916"/>
      <w:bookmarkStart w:id="429" w:name="_Toc523620551"/>
      <w:bookmarkStart w:id="430" w:name="_Toc38853702"/>
      <w:bookmarkStart w:id="431" w:name="_Toc124061066"/>
      <w:bookmarkStart w:id="432" w:name="_Toc188695315"/>
      <w:bookmarkStart w:id="433" w:name="_Toc187053254"/>
      <w:r>
        <w:rPr>
          <w:rStyle w:val="CharSectno"/>
        </w:rPr>
        <w:t>33</w:t>
      </w:r>
      <w:r>
        <w:rPr>
          <w:snapToGrid w:val="0"/>
        </w:rPr>
        <w:t>.</w:t>
      </w:r>
      <w:r>
        <w:rPr>
          <w:snapToGrid w:val="0"/>
        </w:rPr>
        <w:tab/>
        <w:t>Application for mining tenement by permit holder</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 xml:space="preserve">[Section 33 amended by No. 100 of 1985 s. 24; No. 14 of 1996 s. 4; No. 39 of 2004 s. 55.] </w:t>
      </w:r>
    </w:p>
    <w:p>
      <w:pPr>
        <w:pStyle w:val="Ednotesection"/>
      </w:pPr>
      <w:r>
        <w:t>[</w:t>
      </w:r>
      <w:r>
        <w:rPr>
          <w:b/>
        </w:rPr>
        <w:t>34.</w:t>
      </w:r>
      <w:r>
        <w:tab/>
        <w:t xml:space="preserve">Repealed by No. 69 of 1981 s. 12.] </w:t>
      </w:r>
    </w:p>
    <w:p>
      <w:pPr>
        <w:pStyle w:val="Heading5"/>
        <w:rPr>
          <w:snapToGrid w:val="0"/>
        </w:rPr>
      </w:pPr>
      <w:bookmarkStart w:id="434" w:name="_Toc520087917"/>
      <w:bookmarkStart w:id="435" w:name="_Toc523620552"/>
      <w:bookmarkStart w:id="436" w:name="_Toc38853703"/>
      <w:bookmarkStart w:id="437" w:name="_Toc124061067"/>
      <w:bookmarkStart w:id="438" w:name="_Toc188695316"/>
      <w:bookmarkStart w:id="439" w:name="_Toc187053255"/>
      <w:r>
        <w:rPr>
          <w:rStyle w:val="CharSectno"/>
        </w:rPr>
        <w:t>35</w:t>
      </w:r>
      <w:r>
        <w:rPr>
          <w:snapToGrid w:val="0"/>
        </w:rPr>
        <w:t>.</w:t>
      </w:r>
      <w:r>
        <w:rPr>
          <w:snapToGrid w:val="0"/>
        </w:rPr>
        <w:tab/>
        <w:t>Compensation to be agreed upon or determined before mining operation commences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 xml:space="preserve">[Section 35 amended by No. 69 of 1981 s. 13; No. 100 of 1985 s. 25.] </w:t>
      </w:r>
    </w:p>
    <w:p>
      <w:pPr>
        <w:pStyle w:val="Ednotesection"/>
      </w:pPr>
      <w:r>
        <w:t>[</w:t>
      </w:r>
      <w:r>
        <w:rPr>
          <w:b/>
        </w:rPr>
        <w:t>36.</w:t>
      </w:r>
      <w:r>
        <w:tab/>
        <w:t xml:space="preserve">Repealed by No. 69 of 1981 s. 14.] </w:t>
      </w:r>
    </w:p>
    <w:p>
      <w:pPr>
        <w:pStyle w:val="Heading5"/>
        <w:rPr>
          <w:snapToGrid w:val="0"/>
        </w:rPr>
      </w:pPr>
      <w:bookmarkStart w:id="440" w:name="_Toc520087918"/>
      <w:bookmarkStart w:id="441" w:name="_Toc523620553"/>
      <w:bookmarkStart w:id="442" w:name="_Toc38853704"/>
      <w:bookmarkStart w:id="443" w:name="_Toc124061068"/>
      <w:bookmarkStart w:id="444" w:name="_Toc188695317"/>
      <w:bookmarkStart w:id="445" w:name="_Toc187053256"/>
      <w:r>
        <w:rPr>
          <w:rStyle w:val="CharSectno"/>
        </w:rPr>
        <w:t>37</w:t>
      </w:r>
      <w:r>
        <w:rPr>
          <w:snapToGrid w:val="0"/>
        </w:rPr>
        <w:t>.</w:t>
      </w:r>
      <w:r>
        <w:rPr>
          <w:snapToGrid w:val="0"/>
        </w:rPr>
        <w:tab/>
        <w:t>Application to bring certain private land under this Division</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(3)(a)</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(b)</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Heading5"/>
        <w:spacing w:before="260"/>
        <w:rPr>
          <w:snapToGrid w:val="0"/>
        </w:rPr>
      </w:pPr>
      <w:bookmarkStart w:id="446" w:name="_Toc520087919"/>
      <w:bookmarkStart w:id="447" w:name="_Toc523620554"/>
      <w:bookmarkStart w:id="448" w:name="_Toc38853705"/>
      <w:bookmarkStart w:id="449" w:name="_Toc124061069"/>
      <w:bookmarkStart w:id="450" w:name="_Toc188695318"/>
      <w:bookmarkStart w:id="451" w:name="_Toc187053257"/>
      <w:r>
        <w:rPr>
          <w:rStyle w:val="CharSectno"/>
        </w:rPr>
        <w:t>38</w:t>
      </w:r>
      <w:r>
        <w:rPr>
          <w:snapToGrid w:val="0"/>
        </w:rPr>
        <w:t>.</w:t>
      </w:r>
      <w:r>
        <w:rPr>
          <w:snapToGrid w:val="0"/>
        </w:rPr>
        <w:tab/>
        <w:t>Right of owner to apply for mining tenement</w:t>
      </w:r>
      <w:bookmarkEnd w:id="446"/>
      <w:bookmarkEnd w:id="447"/>
      <w:bookmarkEnd w:id="448"/>
      <w:bookmarkEnd w:id="449"/>
      <w:bookmarkEnd w:id="450"/>
      <w:bookmarkEnd w:id="451"/>
      <w:r>
        <w:rPr>
          <w:snapToGrid w:val="0"/>
        </w:rPr>
        <w:t xml:space="preserve"> </w:t>
      </w:r>
    </w:p>
    <w:p>
      <w:pPr>
        <w:pStyle w:val="Subsection"/>
        <w:spacing w:before="200"/>
        <w:rPr>
          <w:snapToGrid w:val="0"/>
        </w:rPr>
      </w:pPr>
      <w:r>
        <w:rPr>
          <w:snapToGrid w:val="0"/>
        </w:rPr>
        <w:tab/>
        <w:t>(1)</w:t>
      </w:r>
      <w:r>
        <w:rPr>
          <w:snapToGrid w:val="0"/>
        </w:rPr>
        <w:tab/>
        <w:t>The owner of the private land to which section 37 refers may, at any time within the period referred to in subsection (3)(a) of that section, 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 xml:space="preserve">[Section 38 amended by No. 69 of 1981 s. 15; No. 100 of 1985 s. 26.] </w:t>
      </w:r>
    </w:p>
    <w:p>
      <w:pPr>
        <w:pStyle w:val="Heading5"/>
        <w:rPr>
          <w:snapToGrid w:val="0"/>
        </w:rPr>
      </w:pPr>
      <w:bookmarkStart w:id="452" w:name="_Toc520087920"/>
      <w:bookmarkStart w:id="453" w:name="_Toc523620555"/>
      <w:bookmarkStart w:id="454" w:name="_Toc38853706"/>
      <w:bookmarkStart w:id="455" w:name="_Toc124061070"/>
      <w:bookmarkStart w:id="456" w:name="_Toc188695319"/>
      <w:bookmarkStart w:id="457" w:name="_Toc187053258"/>
      <w:r>
        <w:rPr>
          <w:rStyle w:val="CharSectno"/>
        </w:rPr>
        <w:t>39</w:t>
      </w:r>
      <w:r>
        <w:rPr>
          <w:snapToGrid w:val="0"/>
        </w:rPr>
        <w:t>.</w:t>
      </w:r>
      <w:r>
        <w:rPr>
          <w:snapToGrid w:val="0"/>
        </w:rPr>
        <w:tab/>
        <w:t>Owner to comply with mining tenement conditions</w:t>
      </w:r>
      <w:bookmarkEnd w:id="452"/>
      <w:bookmarkEnd w:id="453"/>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458" w:name="_Toc87427580"/>
      <w:bookmarkStart w:id="459" w:name="_Toc87851155"/>
      <w:bookmarkStart w:id="460" w:name="_Toc88295378"/>
      <w:bookmarkStart w:id="461" w:name="_Toc89519037"/>
      <w:bookmarkStart w:id="462" w:name="_Toc90869162"/>
      <w:bookmarkStart w:id="463" w:name="_Toc91407934"/>
      <w:bookmarkStart w:id="464" w:name="_Toc92863678"/>
      <w:bookmarkStart w:id="465" w:name="_Toc95015046"/>
      <w:bookmarkStart w:id="466" w:name="_Toc95106753"/>
      <w:bookmarkStart w:id="467" w:name="_Toc97018553"/>
      <w:bookmarkStart w:id="468" w:name="_Toc101693506"/>
      <w:bookmarkStart w:id="469" w:name="_Toc103130376"/>
      <w:bookmarkStart w:id="470" w:name="_Toc104711026"/>
      <w:bookmarkStart w:id="471" w:name="_Toc121560011"/>
      <w:bookmarkStart w:id="472" w:name="_Toc122328452"/>
      <w:bookmarkStart w:id="473" w:name="_Toc124061071"/>
      <w:bookmarkStart w:id="474" w:name="_Toc124139926"/>
      <w:bookmarkStart w:id="475" w:name="_Toc127174671"/>
      <w:bookmarkStart w:id="476" w:name="_Toc127349015"/>
      <w:bookmarkStart w:id="477" w:name="_Toc127762199"/>
      <w:bookmarkStart w:id="478" w:name="_Toc127842261"/>
      <w:bookmarkStart w:id="479" w:name="_Toc128379872"/>
      <w:bookmarkStart w:id="480" w:name="_Toc130106488"/>
      <w:bookmarkStart w:id="481" w:name="_Toc130106768"/>
      <w:bookmarkStart w:id="482" w:name="_Toc130110665"/>
      <w:bookmarkStart w:id="483" w:name="_Toc130276876"/>
      <w:bookmarkStart w:id="484" w:name="_Toc131408401"/>
      <w:bookmarkStart w:id="485" w:name="_Toc132530168"/>
      <w:bookmarkStart w:id="486" w:name="_Toc142194225"/>
      <w:bookmarkStart w:id="487" w:name="_Toc162778310"/>
      <w:bookmarkStart w:id="488" w:name="_Toc162840894"/>
      <w:bookmarkStart w:id="489" w:name="_Toc162932730"/>
      <w:bookmarkStart w:id="490" w:name="_Toc187053259"/>
      <w:bookmarkStart w:id="491" w:name="_Toc188695320"/>
      <w:r>
        <w:rPr>
          <w:rStyle w:val="CharPartNo"/>
        </w:rPr>
        <w:t>Part IV</w:t>
      </w:r>
      <w:r>
        <w:t> — </w:t>
      </w:r>
      <w:r>
        <w:rPr>
          <w:rStyle w:val="CharPartText"/>
        </w:rPr>
        <w:t>Mining tenements</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3"/>
        <w:rPr>
          <w:snapToGrid w:val="0"/>
        </w:rPr>
      </w:pPr>
      <w:bookmarkStart w:id="492" w:name="_Toc87427581"/>
      <w:bookmarkStart w:id="493" w:name="_Toc87851156"/>
      <w:bookmarkStart w:id="494" w:name="_Toc88295379"/>
      <w:bookmarkStart w:id="495" w:name="_Toc89519038"/>
      <w:bookmarkStart w:id="496" w:name="_Toc90869163"/>
      <w:bookmarkStart w:id="497" w:name="_Toc91407935"/>
      <w:bookmarkStart w:id="498" w:name="_Toc92863679"/>
      <w:bookmarkStart w:id="499" w:name="_Toc95015047"/>
      <w:bookmarkStart w:id="500" w:name="_Toc95106754"/>
      <w:bookmarkStart w:id="501" w:name="_Toc97018554"/>
      <w:bookmarkStart w:id="502" w:name="_Toc101693507"/>
      <w:bookmarkStart w:id="503" w:name="_Toc103130377"/>
      <w:bookmarkStart w:id="504" w:name="_Toc104711027"/>
      <w:bookmarkStart w:id="505" w:name="_Toc121560012"/>
      <w:bookmarkStart w:id="506" w:name="_Toc122328453"/>
      <w:bookmarkStart w:id="507" w:name="_Toc124061072"/>
      <w:bookmarkStart w:id="508" w:name="_Toc124139927"/>
      <w:bookmarkStart w:id="509" w:name="_Toc127174672"/>
      <w:bookmarkStart w:id="510" w:name="_Toc127349016"/>
      <w:bookmarkStart w:id="511" w:name="_Toc127762200"/>
      <w:bookmarkStart w:id="512" w:name="_Toc127842262"/>
      <w:bookmarkStart w:id="513" w:name="_Toc128379873"/>
      <w:bookmarkStart w:id="514" w:name="_Toc130106489"/>
      <w:bookmarkStart w:id="515" w:name="_Toc130106769"/>
      <w:bookmarkStart w:id="516" w:name="_Toc130110666"/>
      <w:bookmarkStart w:id="517" w:name="_Toc130276877"/>
      <w:bookmarkStart w:id="518" w:name="_Toc131408402"/>
      <w:bookmarkStart w:id="519" w:name="_Toc132530169"/>
      <w:bookmarkStart w:id="520" w:name="_Toc142194226"/>
      <w:bookmarkStart w:id="521" w:name="_Toc162778311"/>
      <w:bookmarkStart w:id="522" w:name="_Toc162840895"/>
      <w:bookmarkStart w:id="523" w:name="_Toc162932731"/>
      <w:bookmarkStart w:id="524" w:name="_Toc187053260"/>
      <w:bookmarkStart w:id="525" w:name="_Toc188695321"/>
      <w:r>
        <w:rPr>
          <w:rStyle w:val="CharDivNo"/>
        </w:rPr>
        <w:t>Division 1</w:t>
      </w:r>
      <w:r>
        <w:rPr>
          <w:snapToGrid w:val="0"/>
        </w:rPr>
        <w:t> — </w:t>
      </w:r>
      <w:r>
        <w:rPr>
          <w:rStyle w:val="CharDivText"/>
        </w:rPr>
        <w:t>Prospecting licence</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DivText"/>
        </w:rPr>
        <w:t xml:space="preserve"> </w:t>
      </w:r>
    </w:p>
    <w:p>
      <w:pPr>
        <w:pStyle w:val="Ednotesection"/>
      </w:pPr>
      <w:r>
        <w:t>[</w:t>
      </w:r>
      <w:r>
        <w:rPr>
          <w:b/>
        </w:rPr>
        <w:t>39A.</w:t>
      </w:r>
      <w:r>
        <w:rPr>
          <w:b/>
        </w:rPr>
        <w:tab/>
      </w:r>
      <w:r>
        <w:t xml:space="preserve">Repealed by No. 52 of 1995 s. 21.] </w:t>
      </w:r>
    </w:p>
    <w:p>
      <w:pPr>
        <w:pStyle w:val="Heading5"/>
        <w:rPr>
          <w:snapToGrid w:val="0"/>
        </w:rPr>
      </w:pPr>
      <w:bookmarkStart w:id="526" w:name="_Toc520087921"/>
      <w:bookmarkStart w:id="527" w:name="_Toc523620556"/>
      <w:bookmarkStart w:id="528" w:name="_Toc38853707"/>
      <w:bookmarkStart w:id="529" w:name="_Toc124061073"/>
      <w:bookmarkStart w:id="530" w:name="_Toc188695322"/>
      <w:bookmarkStart w:id="531" w:name="_Toc187053261"/>
      <w:r>
        <w:rPr>
          <w:rStyle w:val="CharSectno"/>
        </w:rPr>
        <w:t>40</w:t>
      </w:r>
      <w:r>
        <w:rPr>
          <w:snapToGrid w:val="0"/>
        </w:rPr>
        <w:t>.</w:t>
      </w:r>
      <w:r>
        <w:rPr>
          <w:snapToGrid w:val="0"/>
        </w:rPr>
        <w:tab/>
        <w:t xml:space="preserve">Grant of prospecting </w:t>
      </w:r>
      <w:bookmarkEnd w:id="526"/>
      <w:r>
        <w:rPr>
          <w:snapToGrid w:val="0"/>
        </w:rPr>
        <w:t>licence</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 xml:space="preserve">[Section 40 amended by No. 122 of 1982 s. 8; No. 100 of 1985 s. 27; No. 58 of 1994 s. 7; No. 5 of 1997 s. 41(2).] </w:t>
      </w:r>
    </w:p>
    <w:p>
      <w:pPr>
        <w:pStyle w:val="Heading5"/>
        <w:rPr>
          <w:snapToGrid w:val="0"/>
        </w:rPr>
      </w:pPr>
      <w:bookmarkStart w:id="532" w:name="_Toc520087922"/>
      <w:bookmarkStart w:id="533" w:name="_Toc523620557"/>
      <w:bookmarkStart w:id="534" w:name="_Toc38853708"/>
      <w:bookmarkStart w:id="535" w:name="_Toc124061074"/>
      <w:bookmarkStart w:id="536" w:name="_Toc188695323"/>
      <w:bookmarkStart w:id="537" w:name="_Toc187053262"/>
      <w:r>
        <w:rPr>
          <w:rStyle w:val="CharSectno"/>
        </w:rPr>
        <w:t>41</w:t>
      </w:r>
      <w:r>
        <w:rPr>
          <w:snapToGrid w:val="0"/>
        </w:rPr>
        <w:t>.</w:t>
      </w:r>
      <w:r>
        <w:rPr>
          <w:snapToGrid w:val="0"/>
        </w:rPr>
        <w:tab/>
        <w:t xml:space="preserve">Application for prospecting </w:t>
      </w:r>
      <w:bookmarkEnd w:id="532"/>
      <w:r>
        <w:rPr>
          <w:snapToGrid w:val="0"/>
        </w:rPr>
        <w:t>licence</w:t>
      </w:r>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An application for a prospecting licence —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 xml:space="preserve">[Section 41 amended by No. 122 of 1982 s. 9; No. 52 of 1983 s. 3; No. 100 of 1985 s. 28; No. 37 of 1993 s. 26; No. 58 of 1994 s. 8.] </w:t>
      </w:r>
    </w:p>
    <w:p>
      <w:pPr>
        <w:pStyle w:val="Heading5"/>
        <w:rPr>
          <w:snapToGrid w:val="0"/>
        </w:rPr>
      </w:pPr>
      <w:bookmarkStart w:id="538" w:name="_Toc520087923"/>
      <w:bookmarkStart w:id="539" w:name="_Toc523620558"/>
      <w:bookmarkStart w:id="540" w:name="_Toc38853709"/>
      <w:bookmarkStart w:id="541" w:name="_Toc124061075"/>
      <w:bookmarkStart w:id="542" w:name="_Toc188695324"/>
      <w:bookmarkStart w:id="543" w:name="_Toc187053263"/>
      <w:r>
        <w:rPr>
          <w:rStyle w:val="CharSectno"/>
        </w:rPr>
        <w:t>42</w:t>
      </w:r>
      <w:r>
        <w:rPr>
          <w:snapToGrid w:val="0"/>
        </w:rPr>
        <w:t>.</w:t>
      </w:r>
      <w:r>
        <w:rPr>
          <w:snapToGrid w:val="0"/>
        </w:rPr>
        <w:tab/>
        <w:t xml:space="preserve">Determination of application for prospecting </w:t>
      </w:r>
      <w:bookmarkEnd w:id="538"/>
      <w:r>
        <w:rPr>
          <w:snapToGrid w:val="0"/>
        </w:rPr>
        <w:t>licence</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 xml:space="preserve">[Section 42 inserted by No. 58 of 1994 s. 9(1); amended by No. 39 of 2004 s. 56.] </w:t>
      </w:r>
    </w:p>
    <w:p>
      <w:pPr>
        <w:pStyle w:val="Heading5"/>
      </w:pPr>
      <w:bookmarkStart w:id="544" w:name="_Toc38853710"/>
      <w:bookmarkStart w:id="545" w:name="_Toc124061076"/>
      <w:bookmarkStart w:id="546" w:name="_Toc188695325"/>
      <w:bookmarkStart w:id="547" w:name="_Toc187053264"/>
      <w:bookmarkStart w:id="548" w:name="_Toc520087924"/>
      <w:bookmarkStart w:id="549" w:name="_Toc523620559"/>
      <w:r>
        <w:rPr>
          <w:rStyle w:val="CharSectno"/>
        </w:rPr>
        <w:t>43</w:t>
      </w:r>
      <w:r>
        <w:t>.</w:t>
      </w:r>
      <w:r>
        <w:tab/>
        <w:t>Prospecting licence not to include land already the subject of a mining tenement</w:t>
      </w:r>
      <w:bookmarkEnd w:id="544"/>
      <w:bookmarkEnd w:id="545"/>
      <w:bookmarkEnd w:id="546"/>
      <w:bookmarkEnd w:id="547"/>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550" w:name="_Toc38853711"/>
      <w:bookmarkStart w:id="551" w:name="_Toc124061077"/>
      <w:bookmarkStart w:id="552" w:name="_Toc188695326"/>
      <w:bookmarkStart w:id="553" w:name="_Toc187053265"/>
      <w:r>
        <w:rPr>
          <w:rStyle w:val="CharSectno"/>
        </w:rPr>
        <w:t>44</w:t>
      </w:r>
      <w:r>
        <w:rPr>
          <w:snapToGrid w:val="0"/>
        </w:rPr>
        <w:t>.</w:t>
      </w:r>
      <w:r>
        <w:rPr>
          <w:snapToGrid w:val="0"/>
        </w:rPr>
        <w:tab/>
        <w:t>Power to grant prospecting licence over all or part of land in application</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 xml:space="preserve">[Section 44 amended by No. 100 of 1985 s. 30; No. 15 of 2002 s. 7.] </w:t>
      </w:r>
    </w:p>
    <w:p>
      <w:pPr>
        <w:pStyle w:val="Heading5"/>
        <w:rPr>
          <w:snapToGrid w:val="0"/>
        </w:rPr>
      </w:pPr>
      <w:bookmarkStart w:id="554" w:name="_Toc520087925"/>
      <w:bookmarkStart w:id="555" w:name="_Toc523620560"/>
      <w:bookmarkStart w:id="556" w:name="_Toc38853712"/>
      <w:bookmarkStart w:id="557" w:name="_Toc124061078"/>
      <w:bookmarkStart w:id="558" w:name="_Toc188695327"/>
      <w:bookmarkStart w:id="559" w:name="_Toc187053266"/>
      <w:r>
        <w:rPr>
          <w:rStyle w:val="CharSectno"/>
        </w:rPr>
        <w:t>45</w:t>
      </w:r>
      <w:r>
        <w:rPr>
          <w:snapToGrid w:val="0"/>
        </w:rPr>
        <w:t>.</w:t>
      </w:r>
      <w:r>
        <w:rPr>
          <w:snapToGrid w:val="0"/>
        </w:rPr>
        <w:tab/>
        <w:t xml:space="preserve">Term of prospecting </w:t>
      </w:r>
      <w:bookmarkEnd w:id="554"/>
      <w:r>
        <w:rPr>
          <w:snapToGrid w:val="0"/>
        </w:rPr>
        <w:t>licence</w:t>
      </w:r>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 xml:space="preserve">Notwithstanding subsection (1) the Minister may, if satisfied that a prescribed ground for extension exists, extend the term of a prospecting licence —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b/>
        </w:rPr>
        <w:t>“</w:t>
      </w:r>
      <w:r>
        <w:rPr>
          <w:rStyle w:val="CharDefText"/>
        </w:rPr>
        <w:t>extension application</w:t>
      </w:r>
      <w:r>
        <w:rPr>
          <w:b/>
        </w:rPr>
        <w:t>”</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 xml:space="preserve">If — </w:t>
      </w:r>
    </w:p>
    <w:p>
      <w:pPr>
        <w:pStyle w:val="Indenta"/>
      </w:pPr>
      <w:r>
        <w:tab/>
        <w:t>(a)</w:t>
      </w:r>
      <w:r>
        <w:tab/>
        <w:t>an extension application is made in respect of a prospecting licence the term of which has been extended under subsection (1a)(a); and</w:t>
      </w:r>
    </w:p>
    <w:p>
      <w:pPr>
        <w:pStyle w:val="Indenta"/>
      </w:pPr>
      <w:r>
        <w:tab/>
        <w:t>(b)</w:t>
      </w:r>
      <w:r>
        <w:tab/>
        <w:t xml:space="preserve">an application for retention status in respect of the prospecting licence —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 </w:t>
      </w:r>
    </w:p>
    <w:p>
      <w:pPr>
        <w:pStyle w:val="Indenta"/>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pPr>
      <w:r>
        <w:rPr>
          <w:snapToGrid w:val="0"/>
        </w:rPr>
        <w:tab/>
        <w:t>(b)</w:t>
      </w:r>
      <w:r>
        <w:rPr>
          <w:snapToGrid w:val="0"/>
        </w:rPr>
        <w:tab/>
        <w:t>by or on behalf of any person who had an interest in the prospecting licence immediately prior to that date</w:t>
      </w:r>
      <w:r>
        <w:t>; or</w:t>
      </w:r>
    </w:p>
    <w:p>
      <w:pPr>
        <w:pStyle w:val="Indenta"/>
      </w:pPr>
      <w:r>
        <w:tab/>
        <w:t>(c)</w:t>
      </w:r>
      <w:r>
        <w:tab/>
        <w:t>by or on behalf of any person who is related to a person referred to in paragraph (a) or (b),</w:t>
      </w:r>
    </w:p>
    <w:p>
      <w:pPr>
        <w:pStyle w:val="Subsection"/>
        <w:spacing w:before="200"/>
        <w:rPr>
          <w:snapToGrid w:val="0"/>
        </w:rPr>
      </w:pPr>
      <w:r>
        <w:rPr>
          <w:snapToGrid w:val="0"/>
        </w:rPr>
        <w:tab/>
      </w:r>
      <w:r>
        <w:rPr>
          <w:snapToGrid w:val="0"/>
        </w:rPr>
        <w:tab/>
        <w:t>within a period of 3 months from and including that date.</w:t>
      </w:r>
    </w:p>
    <w:p>
      <w:pPr>
        <w:pStyle w:val="Subsection"/>
        <w:spacing w:before="200"/>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 xml:space="preserve">[Section 45 amended by No. 122 of 1982 s. 11; No. 100 of 1985 s. 31; No. 22 of 1990 s. 11; No. 37 of 1993 s. 5; No. 15 of 2002 s. 8; No. 39 of 2004 s. 5(1).] </w:t>
      </w:r>
    </w:p>
    <w:p>
      <w:pPr>
        <w:pStyle w:val="Heading5"/>
        <w:spacing w:before="260"/>
        <w:rPr>
          <w:snapToGrid w:val="0"/>
        </w:rPr>
      </w:pPr>
      <w:bookmarkStart w:id="560" w:name="_Toc520087926"/>
      <w:bookmarkStart w:id="561" w:name="_Toc523620561"/>
      <w:bookmarkStart w:id="562" w:name="_Toc38853713"/>
      <w:bookmarkStart w:id="563" w:name="_Toc124061079"/>
      <w:bookmarkStart w:id="564" w:name="_Toc188695328"/>
      <w:bookmarkStart w:id="565" w:name="_Toc187053267"/>
      <w:r>
        <w:rPr>
          <w:rStyle w:val="CharSectno"/>
        </w:rPr>
        <w:t>46</w:t>
      </w:r>
      <w:r>
        <w:rPr>
          <w:snapToGrid w:val="0"/>
        </w:rPr>
        <w:t>.</w:t>
      </w:r>
      <w:r>
        <w:rPr>
          <w:snapToGrid w:val="0"/>
        </w:rPr>
        <w:tab/>
        <w:t xml:space="preserve">Conditions attached to every prospecting </w:t>
      </w:r>
      <w:bookmarkEnd w:id="560"/>
      <w:r>
        <w:rPr>
          <w:snapToGrid w:val="0"/>
        </w:rPr>
        <w:t>licence</w:t>
      </w:r>
      <w:bookmarkEnd w:id="561"/>
      <w:bookmarkEnd w:id="562"/>
      <w:bookmarkEnd w:id="563"/>
      <w:bookmarkEnd w:id="564"/>
      <w:bookmarkEnd w:id="565"/>
      <w:r>
        <w:rPr>
          <w:snapToGrid w:val="0"/>
        </w:rPr>
        <w:t xml:space="preserve"> </w:t>
      </w:r>
    </w:p>
    <w:p>
      <w:pPr>
        <w:pStyle w:val="Subsection"/>
        <w:spacing w:before="200"/>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 </w:t>
      </w:r>
    </w:p>
    <w:p>
      <w:pPr>
        <w:pStyle w:val="Indenta"/>
        <w:spacing w:before="12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 xml:space="preserve">that no ground disturbing equipment will be used by the holder when prospecting on the land the subject of the prospecting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 xml:space="preserve">[Section 46 amended by No. 69 of 1981 s. 16; No. 100 of 1985 s. 32; No. 57 of 1997 s. 89(1); No. 39 of 2004 s. 6(1).] </w:t>
      </w:r>
    </w:p>
    <w:p>
      <w:pPr>
        <w:pStyle w:val="Heading5"/>
        <w:rPr>
          <w:snapToGrid w:val="0"/>
        </w:rPr>
      </w:pPr>
      <w:bookmarkStart w:id="566" w:name="_Toc520087927"/>
      <w:bookmarkStart w:id="567" w:name="_Toc523620562"/>
      <w:bookmarkStart w:id="568" w:name="_Toc38853714"/>
      <w:bookmarkStart w:id="569" w:name="_Toc124061080"/>
      <w:bookmarkStart w:id="570" w:name="_Toc188695329"/>
      <w:bookmarkStart w:id="571" w:name="_Toc187053268"/>
      <w:r>
        <w:rPr>
          <w:rStyle w:val="CharSectno"/>
        </w:rPr>
        <w:t>46A</w:t>
      </w:r>
      <w:r>
        <w:rPr>
          <w:snapToGrid w:val="0"/>
        </w:rPr>
        <w:t>.</w:t>
      </w:r>
      <w:r>
        <w:rPr>
          <w:snapToGrid w:val="0"/>
        </w:rPr>
        <w:tab/>
        <w:t>Conditions for prevention or reduction of injury to land</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46A inserted by No. 22 of 1990 s. 12; amended by No. 58 of 1994 s. 9(2).] </w:t>
      </w:r>
    </w:p>
    <w:p>
      <w:pPr>
        <w:pStyle w:val="Heading5"/>
        <w:rPr>
          <w:snapToGrid w:val="0"/>
        </w:rPr>
      </w:pPr>
      <w:bookmarkStart w:id="572" w:name="_Toc520087928"/>
      <w:bookmarkStart w:id="573" w:name="_Toc523620563"/>
      <w:bookmarkStart w:id="574" w:name="_Toc38853715"/>
      <w:bookmarkStart w:id="575" w:name="_Toc124061081"/>
      <w:bookmarkStart w:id="576" w:name="_Toc188695330"/>
      <w:bookmarkStart w:id="577" w:name="_Toc187053269"/>
      <w:r>
        <w:rPr>
          <w:rStyle w:val="CharSectno"/>
        </w:rPr>
        <w:t>47</w:t>
      </w:r>
      <w:r>
        <w:rPr>
          <w:snapToGrid w:val="0"/>
        </w:rPr>
        <w:t>.</w:t>
      </w:r>
      <w:r>
        <w:rPr>
          <w:snapToGrid w:val="0"/>
        </w:rPr>
        <w:tab/>
        <w:t>Survey of area of prospecting licence not required in first instance</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 xml:space="preserve">[Section 47 amended by No. 100 of 1985 s. 33; No. 37 of 1993 s. 28(1); No. 39 of 2004 s. 57.] </w:t>
      </w:r>
    </w:p>
    <w:p>
      <w:pPr>
        <w:pStyle w:val="Heading5"/>
        <w:rPr>
          <w:snapToGrid w:val="0"/>
        </w:rPr>
      </w:pPr>
      <w:bookmarkStart w:id="578" w:name="_Toc520087929"/>
      <w:bookmarkStart w:id="579" w:name="_Toc523620564"/>
      <w:bookmarkStart w:id="580" w:name="_Toc38853716"/>
      <w:bookmarkStart w:id="581" w:name="_Toc124061082"/>
      <w:bookmarkStart w:id="582" w:name="_Toc188695331"/>
      <w:bookmarkStart w:id="583" w:name="_Toc187053270"/>
      <w:r>
        <w:rPr>
          <w:rStyle w:val="CharSectno"/>
        </w:rPr>
        <w:t>48</w:t>
      </w:r>
      <w:r>
        <w:rPr>
          <w:snapToGrid w:val="0"/>
        </w:rPr>
        <w:t>.</w:t>
      </w:r>
      <w:r>
        <w:rPr>
          <w:snapToGrid w:val="0"/>
        </w:rPr>
        <w:tab/>
        <w:t xml:space="preserve">Rights conferred by prospecting </w:t>
      </w:r>
      <w:bookmarkEnd w:id="578"/>
      <w:r>
        <w:rPr>
          <w:snapToGrid w:val="0"/>
        </w:rPr>
        <w:t>licence</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 xml:space="preserve">[Section 48 amended by No. 100 of 1985 s. 34 (as amended by No. 105 of 1986 s. 4); No. 22 of 1990 s. 13; No. 5 of 1997 s. 41(2).] </w:t>
      </w:r>
    </w:p>
    <w:p>
      <w:pPr>
        <w:pStyle w:val="Heading5"/>
        <w:rPr>
          <w:snapToGrid w:val="0"/>
        </w:rPr>
      </w:pPr>
      <w:bookmarkStart w:id="584" w:name="_Toc520087930"/>
      <w:bookmarkStart w:id="585" w:name="_Toc523620565"/>
      <w:bookmarkStart w:id="586" w:name="_Toc38853717"/>
      <w:bookmarkStart w:id="587" w:name="_Toc124061083"/>
      <w:bookmarkStart w:id="588" w:name="_Toc188695332"/>
      <w:bookmarkStart w:id="589" w:name="_Toc187053271"/>
      <w:r>
        <w:rPr>
          <w:rStyle w:val="CharSectno"/>
        </w:rPr>
        <w:t>49</w:t>
      </w:r>
      <w:r>
        <w:rPr>
          <w:snapToGrid w:val="0"/>
        </w:rPr>
        <w:t>.</w:t>
      </w:r>
      <w:r>
        <w:rPr>
          <w:snapToGrid w:val="0"/>
        </w:rPr>
        <w:tab/>
        <w:t>Holder of prospecting licence to have priority for grant of mining leases or general purpose leases</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The holder of a prospecting licence has —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prospecting licence —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 xml:space="preserve">[Section 49 inserted by No. 122 of 1982 s. 12; amended by No. 100 of 1985 s. 35; No. 21 of 1993 s. 45; No. 58 of 1994 s. 29(2); No. 52 of 1995 s. 22; No. 17 of 1999 s. 5.] </w:t>
      </w:r>
    </w:p>
    <w:p>
      <w:pPr>
        <w:pStyle w:val="Heading5"/>
        <w:rPr>
          <w:snapToGrid w:val="0"/>
        </w:rPr>
      </w:pPr>
      <w:bookmarkStart w:id="590" w:name="_Toc520087931"/>
      <w:bookmarkStart w:id="591" w:name="_Toc523620566"/>
      <w:bookmarkStart w:id="592" w:name="_Toc38853718"/>
      <w:bookmarkStart w:id="593" w:name="_Toc124061084"/>
      <w:bookmarkStart w:id="594" w:name="_Toc188695333"/>
      <w:bookmarkStart w:id="595" w:name="_Toc187053272"/>
      <w:r>
        <w:rPr>
          <w:rStyle w:val="CharSectno"/>
        </w:rPr>
        <w:t>50</w:t>
      </w:r>
      <w:r>
        <w:rPr>
          <w:snapToGrid w:val="0"/>
        </w:rPr>
        <w:t>.</w:t>
      </w:r>
      <w:r>
        <w:rPr>
          <w:snapToGrid w:val="0"/>
        </w:rPr>
        <w:tab/>
        <w:t>Compliance with expenditure conditions</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596" w:name="_Toc520087932"/>
      <w:bookmarkStart w:id="597" w:name="_Toc523620567"/>
      <w:bookmarkStart w:id="598" w:name="_Toc38853719"/>
      <w:bookmarkStart w:id="599" w:name="_Toc124061085"/>
      <w:r>
        <w:tab/>
        <w:t>(2)</w:t>
      </w:r>
      <w:r>
        <w:tab/>
        <w:t xml:space="preserve">In the case of a prospecting licence that has retention status, expenditure conditions prescribed for the purposes of subsection (1) —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00" w:name="_Toc188695334"/>
      <w:bookmarkStart w:id="601" w:name="_Toc187053273"/>
      <w:r>
        <w:rPr>
          <w:rStyle w:val="CharSectno"/>
        </w:rPr>
        <w:t>51</w:t>
      </w:r>
      <w:r>
        <w:rPr>
          <w:snapToGrid w:val="0"/>
        </w:rPr>
        <w:t>.</w:t>
      </w:r>
      <w:r>
        <w:rPr>
          <w:snapToGrid w:val="0"/>
        </w:rPr>
        <w:tab/>
        <w:t>Reports of work and expenditure</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 xml:space="preserve">[Section 51 amended by No. 58 of 1994 s. 10.] </w:t>
      </w:r>
    </w:p>
    <w:p>
      <w:pPr>
        <w:pStyle w:val="Heading5"/>
      </w:pPr>
      <w:bookmarkStart w:id="602" w:name="_Toc188695335"/>
      <w:bookmarkStart w:id="603" w:name="_Toc187053274"/>
      <w:bookmarkStart w:id="604" w:name="_Toc520087933"/>
      <w:bookmarkStart w:id="605" w:name="_Toc523620568"/>
      <w:bookmarkStart w:id="606" w:name="_Toc38853720"/>
      <w:bookmarkStart w:id="607" w:name="_Toc124061086"/>
      <w:r>
        <w:rPr>
          <w:rStyle w:val="CharSectno"/>
        </w:rPr>
        <w:t>51A</w:t>
      </w:r>
      <w:r>
        <w:t>.</w:t>
      </w:r>
      <w:r>
        <w:tab/>
        <w:t>Geological samples</w:t>
      </w:r>
      <w:bookmarkEnd w:id="602"/>
      <w:bookmarkEnd w:id="603"/>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08" w:name="_Toc188695336"/>
      <w:bookmarkStart w:id="609" w:name="_Toc187053275"/>
      <w:r>
        <w:rPr>
          <w:rStyle w:val="CharSectno"/>
        </w:rPr>
        <w:t>52</w:t>
      </w:r>
      <w:r>
        <w:rPr>
          <w:snapToGrid w:val="0"/>
        </w:rPr>
        <w:t>.</w:t>
      </w:r>
      <w:r>
        <w:rPr>
          <w:snapToGrid w:val="0"/>
        </w:rPr>
        <w:tab/>
        <w:t xml:space="preserve">Security relating to prospecting </w:t>
      </w:r>
      <w:bookmarkEnd w:id="604"/>
      <w:r>
        <w:rPr>
          <w:snapToGrid w:val="0"/>
        </w:rPr>
        <w:t>licence</w:t>
      </w:r>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 xml:space="preserve">[Section 52 amended by No. 122 of 1982 s. 13; No. 100 of 1985 s. 36; No. 37 of 1993 s. 26; No. 58 of 1994 s. 11; No. 17 of 1999 s. 6(1) and (2).] </w:t>
      </w:r>
    </w:p>
    <w:p>
      <w:pPr>
        <w:pStyle w:val="Heading5"/>
      </w:pPr>
      <w:bookmarkStart w:id="610" w:name="_Toc188695337"/>
      <w:bookmarkStart w:id="611" w:name="_Toc187053276"/>
      <w:bookmarkStart w:id="612" w:name="_Toc520087934"/>
      <w:bookmarkStart w:id="613" w:name="_Toc523620569"/>
      <w:bookmarkStart w:id="614" w:name="_Toc38853721"/>
      <w:bookmarkStart w:id="615" w:name="_Toc124061087"/>
      <w:r>
        <w:rPr>
          <w:rStyle w:val="CharSectno"/>
        </w:rPr>
        <w:t>53</w:t>
      </w:r>
      <w:r>
        <w:t>.</w:t>
      </w:r>
      <w:r>
        <w:tab/>
        <w:t>Application for retention status</w:t>
      </w:r>
      <w:bookmarkEnd w:id="610"/>
      <w:bookmarkEnd w:id="611"/>
    </w:p>
    <w:p>
      <w:pPr>
        <w:pStyle w:val="Subsection"/>
      </w:pPr>
      <w:r>
        <w:tab/>
        <w:t>(1)</w:t>
      </w:r>
      <w:r>
        <w:tab/>
        <w:t xml:space="preserve">In this section — </w:t>
      </w:r>
    </w:p>
    <w:p>
      <w:pPr>
        <w:pStyle w:val="Defstart"/>
      </w:pPr>
      <w:r>
        <w:rPr>
          <w:b/>
        </w:rPr>
        <w:tab/>
        <w:t>“</w:t>
      </w:r>
      <w:r>
        <w:rPr>
          <w:rStyle w:val="CharDefText"/>
        </w:rPr>
        <w:t>prospecting licence</w:t>
      </w:r>
      <w:r>
        <w:rPr>
          <w:b/>
        </w:rPr>
        <w:t>”</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 xml:space="preserve">An application under subsection (2) — </w:t>
      </w:r>
    </w:p>
    <w:p>
      <w:pPr>
        <w:pStyle w:val="Indenta"/>
        <w:keepNext/>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16" w:name="_Toc188695338"/>
      <w:bookmarkStart w:id="617" w:name="_Toc187053277"/>
      <w:r>
        <w:rPr>
          <w:rStyle w:val="CharSectno"/>
        </w:rPr>
        <w:t>54</w:t>
      </w:r>
      <w:r>
        <w:t>.</w:t>
      </w:r>
      <w:r>
        <w:tab/>
        <w:t>Approval of retention status</w:t>
      </w:r>
      <w:bookmarkEnd w:id="616"/>
      <w:bookmarkEnd w:id="617"/>
    </w:p>
    <w:p>
      <w:pPr>
        <w:pStyle w:val="Subsection"/>
      </w:pPr>
      <w:r>
        <w:tab/>
        <w:t>(1)</w:t>
      </w:r>
      <w:r>
        <w:tab/>
        <w:t xml:space="preserve">The Minister may approve retention status for the whole or any part of the land the subject of a prospecting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shall be an area that, in the opinion of the Minister, is sufficient to include —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18" w:name="_Toc188695339"/>
      <w:bookmarkStart w:id="619" w:name="_Toc187053278"/>
      <w:r>
        <w:rPr>
          <w:rStyle w:val="CharSectno"/>
        </w:rPr>
        <w:t>55</w:t>
      </w:r>
      <w:r>
        <w:t>.</w:t>
      </w:r>
      <w:r>
        <w:tab/>
        <w:t>Consultation with other Ministers</w:t>
      </w:r>
      <w:bookmarkEnd w:id="618"/>
      <w:bookmarkEnd w:id="619"/>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w:t>
      </w:r>
    </w:p>
    <w:p>
      <w:pPr>
        <w:pStyle w:val="Heading5"/>
      </w:pPr>
      <w:bookmarkStart w:id="620" w:name="_Toc188695340"/>
      <w:bookmarkStart w:id="621" w:name="_Toc187053279"/>
      <w:r>
        <w:rPr>
          <w:rStyle w:val="CharSectno"/>
        </w:rPr>
        <w:t>55A</w:t>
      </w:r>
      <w:r>
        <w:t>.</w:t>
      </w:r>
      <w:r>
        <w:tab/>
        <w:t>Programme of work</w:t>
      </w:r>
      <w:bookmarkEnd w:id="620"/>
      <w:bookmarkEnd w:id="621"/>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200"/>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keepLines w:val="0"/>
        <w:ind w:left="890" w:hanging="890"/>
      </w:pPr>
      <w:r>
        <w:tab/>
        <w:t>[Section 55A inserted by No. 39 of 2004 s. 22.]</w:t>
      </w:r>
    </w:p>
    <w:p>
      <w:pPr>
        <w:pStyle w:val="Heading5"/>
      </w:pPr>
      <w:bookmarkStart w:id="622" w:name="_Toc188695341"/>
      <w:bookmarkStart w:id="623" w:name="_Toc187053280"/>
      <w:r>
        <w:rPr>
          <w:rStyle w:val="CharSectno"/>
        </w:rPr>
        <w:t>55B</w:t>
      </w:r>
      <w:r>
        <w:t>.</w:t>
      </w:r>
      <w:r>
        <w:tab/>
        <w:t>Holder of prospecting licence with retention status may be required to apply for mining lease</w:t>
      </w:r>
      <w:bookmarkEnd w:id="622"/>
      <w:bookmarkEnd w:id="623"/>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 xml:space="preserve">Where —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24" w:name="_Toc188695342"/>
      <w:bookmarkStart w:id="625" w:name="_Toc187053281"/>
      <w:r>
        <w:rPr>
          <w:rStyle w:val="CharSectno"/>
        </w:rPr>
        <w:t>56</w:t>
      </w:r>
      <w:r>
        <w:rPr>
          <w:snapToGrid w:val="0"/>
        </w:rPr>
        <w:t>.</w:t>
      </w:r>
      <w:r>
        <w:rPr>
          <w:snapToGrid w:val="0"/>
        </w:rPr>
        <w:tab/>
        <w:t xml:space="preserve">Appeal against refusal to grant prospecting </w:t>
      </w:r>
      <w:bookmarkEnd w:id="612"/>
      <w:r>
        <w:rPr>
          <w:snapToGrid w:val="0"/>
        </w:rPr>
        <w:t>licence</w:t>
      </w:r>
      <w:bookmarkEnd w:id="613"/>
      <w:bookmarkEnd w:id="614"/>
      <w:bookmarkEnd w:id="615"/>
      <w:bookmarkEnd w:id="624"/>
      <w:bookmarkEnd w:id="625"/>
      <w:r>
        <w:rPr>
          <w:snapToGrid w:val="0"/>
        </w:rPr>
        <w:t xml:space="preserve"> </w:t>
      </w:r>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56 inserted by No. 122 of 1982 s. 15; amended by No. 21 of 1993 s. 45; No. 58 of 1994 s. 9(3) and (4); No. 52 of 1995 s. 23.] </w:t>
      </w:r>
    </w:p>
    <w:p>
      <w:pPr>
        <w:pStyle w:val="Heading5"/>
        <w:rPr>
          <w:snapToGrid w:val="0"/>
        </w:rPr>
      </w:pPr>
      <w:bookmarkStart w:id="626" w:name="_Toc520087935"/>
      <w:bookmarkStart w:id="627" w:name="_Toc523620570"/>
      <w:bookmarkStart w:id="628" w:name="_Toc38853722"/>
      <w:bookmarkStart w:id="629" w:name="_Toc124061088"/>
      <w:bookmarkStart w:id="630" w:name="_Toc188695343"/>
      <w:bookmarkStart w:id="631" w:name="_Toc187053282"/>
      <w:r>
        <w:rPr>
          <w:rStyle w:val="CharSectno"/>
        </w:rPr>
        <w:t>56A</w:t>
      </w:r>
      <w:r>
        <w:rPr>
          <w:snapToGrid w:val="0"/>
        </w:rPr>
        <w:t>.</w:t>
      </w:r>
      <w:r>
        <w:rPr>
          <w:snapToGrid w:val="0"/>
        </w:rPr>
        <w:tab/>
        <w:t>Special prospecting licences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Where any land is the subject of a prospecting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 </w:t>
      </w:r>
    </w:p>
    <w:p>
      <w:pPr>
        <w:pStyle w:val="Indenta"/>
        <w:rPr>
          <w:snapToGrid w:val="0"/>
        </w:rPr>
      </w:pPr>
      <w:r>
        <w:rPr>
          <w:snapToGrid w:val="0"/>
        </w:rPr>
        <w:tab/>
        <w:t>(a)</w:t>
      </w:r>
      <w:r>
        <w:rPr>
          <w:snapToGrid w:val="0"/>
        </w:rPr>
        <w:tab/>
        <w:t>refuse that application; or</w:t>
      </w:r>
    </w:p>
    <w:p>
      <w:pPr>
        <w:pStyle w:val="Indenta"/>
        <w:rPr>
          <w:snapToGrid w:val="0"/>
        </w:rPr>
      </w:pPr>
      <w:r>
        <w:rPr>
          <w:snapToGrid w:val="0"/>
        </w:rPr>
        <w:tab/>
        <w:t>(b)</w:t>
      </w:r>
      <w:r>
        <w:rPr>
          <w:snapToGrid w:val="0"/>
        </w:rPr>
        <w:tab/>
        <w:t>subject to this Act, grant that application as provided in subsection (6),</w:t>
      </w:r>
    </w:p>
    <w:p>
      <w:pPr>
        <w:pStyle w:val="Subsection"/>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 xml:space="preserve">If at the time when an applicant for a special prospecting licence marked out the land to which his application relates — </w:t>
      </w:r>
    </w:p>
    <w:p>
      <w:pPr>
        <w:pStyle w:val="Indenta"/>
      </w:pPr>
      <w:r>
        <w:tab/>
        <w:t>(a)</w:t>
      </w:r>
      <w:r>
        <w:tab/>
        <w:t>a special prospecting licence was in force in respect of land the subject of the primary tenement; or</w:t>
      </w:r>
    </w:p>
    <w:p>
      <w:pPr>
        <w:pStyle w:val="Indenta"/>
      </w:pPr>
      <w:r>
        <w:tab/>
        <w:t>(b)</w:t>
      </w:r>
      <w: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 xml:space="preserve">[Section 56A inserted by No. 122 of 1982 s. 16; amended by No. 100 of 1985 s. 37; No. 22 of 1990 s. 14; No. 21 of 1993 s. 45; No. 37 of 1993 s. 6, 10(2) and 27; No. 58 of 1994 s. 12; No. 52 of 1995 s. 24; No. 54 of 1996 s. 7 and 23; No. 10 of 2001 s. 131; No. 15 of 2002 s. 9; No. 39 of 2004 s. 8; No. 27 of 2005 s. 6.] </w:t>
      </w:r>
    </w:p>
    <w:p>
      <w:pPr>
        <w:pStyle w:val="Heading5"/>
      </w:pPr>
      <w:bookmarkStart w:id="632" w:name="_Toc188695344"/>
      <w:bookmarkStart w:id="633" w:name="_Toc187053283"/>
      <w:bookmarkStart w:id="634" w:name="_Toc87427598"/>
      <w:bookmarkStart w:id="635" w:name="_Toc87851173"/>
      <w:bookmarkStart w:id="636" w:name="_Toc88295396"/>
      <w:bookmarkStart w:id="637" w:name="_Toc89519055"/>
      <w:bookmarkStart w:id="638" w:name="_Toc90869180"/>
      <w:bookmarkStart w:id="639" w:name="_Toc91407952"/>
      <w:bookmarkStart w:id="640" w:name="_Toc92863696"/>
      <w:bookmarkStart w:id="641" w:name="_Toc95015064"/>
      <w:bookmarkStart w:id="642" w:name="_Toc95106771"/>
      <w:bookmarkStart w:id="643" w:name="_Toc97018571"/>
      <w:bookmarkStart w:id="644" w:name="_Toc101693524"/>
      <w:bookmarkStart w:id="645" w:name="_Toc103130394"/>
      <w:bookmarkStart w:id="646" w:name="_Toc104711044"/>
      <w:bookmarkStart w:id="647" w:name="_Toc121560029"/>
      <w:bookmarkStart w:id="648" w:name="_Toc122328470"/>
      <w:bookmarkStart w:id="649" w:name="_Toc124061089"/>
      <w:bookmarkStart w:id="650" w:name="_Toc124139944"/>
      <w:r>
        <w:rPr>
          <w:rStyle w:val="CharSectno"/>
        </w:rPr>
        <w:t>56B</w:t>
      </w:r>
      <w:r>
        <w:t>.</w:t>
      </w:r>
      <w:r>
        <w:tab/>
        <w:t>Certain licence holders to have right to apply for further prospecting licence</w:t>
      </w:r>
      <w:bookmarkEnd w:id="632"/>
      <w:bookmarkEnd w:id="633"/>
    </w:p>
    <w:p>
      <w:pPr>
        <w:pStyle w:val="Subsection"/>
      </w:pPr>
      <w:r>
        <w:tab/>
        <w:t>(1)</w:t>
      </w:r>
      <w:r>
        <w:tab/>
        <w:t xml:space="preserve">In this section — </w:t>
      </w:r>
    </w:p>
    <w:p>
      <w:pPr>
        <w:pStyle w:val="Defstart"/>
      </w:pPr>
      <w:r>
        <w:rPr>
          <w:b/>
        </w:rPr>
        <w:tab/>
        <w:t>“</w:t>
      </w:r>
      <w:r>
        <w:rPr>
          <w:rStyle w:val="CharDefText"/>
        </w:rPr>
        <w:t>relevant licence</w:t>
      </w:r>
      <w:r>
        <w:rPr>
          <w:b/>
        </w:rPr>
        <w:t>”</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rPr>
          <w:snapToGrid w:val="0"/>
        </w:rPr>
      </w:pPr>
      <w:bookmarkStart w:id="651" w:name="_Toc127174696"/>
      <w:bookmarkStart w:id="652" w:name="_Toc127349040"/>
      <w:bookmarkStart w:id="653" w:name="_Toc127762224"/>
      <w:bookmarkStart w:id="654" w:name="_Toc127842286"/>
      <w:bookmarkStart w:id="655" w:name="_Toc128379897"/>
      <w:bookmarkStart w:id="656" w:name="_Toc130106513"/>
      <w:bookmarkStart w:id="657" w:name="_Toc130106793"/>
      <w:bookmarkStart w:id="658" w:name="_Toc130110690"/>
      <w:bookmarkStart w:id="659" w:name="_Toc130276901"/>
      <w:bookmarkStart w:id="660" w:name="_Toc131408426"/>
      <w:bookmarkStart w:id="661" w:name="_Toc132530193"/>
      <w:bookmarkStart w:id="662" w:name="_Toc142194250"/>
      <w:bookmarkStart w:id="663" w:name="_Toc162778335"/>
      <w:bookmarkStart w:id="664" w:name="_Toc162840919"/>
      <w:bookmarkStart w:id="665" w:name="_Toc162932755"/>
      <w:bookmarkStart w:id="666" w:name="_Toc187053284"/>
      <w:bookmarkStart w:id="667" w:name="_Toc188695345"/>
      <w:r>
        <w:rPr>
          <w:rStyle w:val="CharDivNo"/>
        </w:rPr>
        <w:t>Division 2</w:t>
      </w:r>
      <w:r>
        <w:rPr>
          <w:snapToGrid w:val="0"/>
        </w:rPr>
        <w:t> — </w:t>
      </w:r>
      <w:r>
        <w:rPr>
          <w:rStyle w:val="CharDivText"/>
        </w:rPr>
        <w:t>Exploration licence</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r>
        <w:rPr>
          <w:rStyle w:val="CharDivText"/>
        </w:rPr>
        <w:t xml:space="preserve"> </w:t>
      </w:r>
    </w:p>
    <w:p>
      <w:pPr>
        <w:pStyle w:val="Ednotesection"/>
        <w:spacing w:before="180"/>
        <w:ind w:left="890" w:hanging="890"/>
      </w:pPr>
      <w:r>
        <w:t>[</w:t>
      </w:r>
      <w:r>
        <w:rPr>
          <w:b/>
        </w:rPr>
        <w:t>56AA.</w:t>
      </w:r>
      <w:r>
        <w:tab/>
        <w:t xml:space="preserve">Repealed by No. 52 of 1995 s. 25.] </w:t>
      </w:r>
    </w:p>
    <w:p>
      <w:pPr>
        <w:pStyle w:val="Heading5"/>
        <w:keepNext w:val="0"/>
        <w:keepLines w:val="0"/>
        <w:spacing w:before="180"/>
        <w:rPr>
          <w:snapToGrid w:val="0"/>
        </w:rPr>
      </w:pPr>
      <w:bookmarkStart w:id="668" w:name="_Toc520087936"/>
      <w:bookmarkStart w:id="669" w:name="_Toc523620571"/>
      <w:bookmarkStart w:id="670" w:name="_Toc38853723"/>
      <w:bookmarkStart w:id="671" w:name="_Toc124061090"/>
      <w:bookmarkStart w:id="672" w:name="_Toc188695346"/>
      <w:bookmarkStart w:id="673" w:name="_Toc187053285"/>
      <w:r>
        <w:rPr>
          <w:rStyle w:val="CharSectno"/>
        </w:rPr>
        <w:t>56C</w:t>
      </w:r>
      <w:r>
        <w:rPr>
          <w:snapToGrid w:val="0"/>
        </w:rPr>
        <w:t>.</w:t>
      </w:r>
      <w:r>
        <w:rPr>
          <w:snapToGrid w:val="0"/>
        </w:rPr>
        <w:tab/>
        <w:t>Graticular sections</w:t>
      </w:r>
      <w:bookmarkEnd w:id="668"/>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For the purposes of this Division, the surface of the Earth shall be deemed to be divided —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b/>
          <w:snapToGrid w:val="0"/>
        </w:rPr>
        <w:t>“</w:t>
      </w:r>
      <w:r>
        <w:rPr>
          <w:rStyle w:val="CharDefText"/>
        </w:rPr>
        <w:t>graticular sections</w:t>
      </w:r>
      <w:r>
        <w:rPr>
          <w:b/>
          <w:snapToGrid w:val="0"/>
        </w:rPr>
        <w:t>”</w:t>
      </w:r>
      <w:r>
        <w:rPr>
          <w:snapToGrid w:val="0"/>
        </w:rPr>
        <w:t>), each of which is bounded —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 xml:space="preserve">[Section 56C inserted by No. 22 of 1990 s. 15.] </w:t>
      </w:r>
    </w:p>
    <w:p>
      <w:pPr>
        <w:pStyle w:val="Heading5"/>
        <w:keepLines w:val="0"/>
        <w:spacing w:before="200"/>
        <w:rPr>
          <w:snapToGrid w:val="0"/>
        </w:rPr>
      </w:pPr>
      <w:bookmarkStart w:id="674" w:name="_Toc520087937"/>
      <w:bookmarkStart w:id="675" w:name="_Toc523620572"/>
      <w:bookmarkStart w:id="676" w:name="_Toc38853724"/>
      <w:bookmarkStart w:id="677" w:name="_Toc124061091"/>
      <w:bookmarkStart w:id="678" w:name="_Toc188695347"/>
      <w:bookmarkStart w:id="679" w:name="_Toc187053286"/>
      <w:r>
        <w:rPr>
          <w:rStyle w:val="CharSectno"/>
        </w:rPr>
        <w:t>57</w:t>
      </w:r>
      <w:r>
        <w:rPr>
          <w:snapToGrid w:val="0"/>
        </w:rPr>
        <w:t>.</w:t>
      </w:r>
      <w:r>
        <w:rPr>
          <w:snapToGrid w:val="0"/>
        </w:rPr>
        <w:tab/>
        <w:t xml:space="preserve">Grant of exploration </w:t>
      </w:r>
      <w:bookmarkEnd w:id="674"/>
      <w:r>
        <w:rPr>
          <w:snapToGrid w:val="0"/>
        </w:rPr>
        <w:t>licence</w:t>
      </w:r>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 xml:space="preserve">[Section 57 amended by No. 69 of 1981 s. 17; No. 122 of 1982 s. 17; No. 100 of 1985 s. 38; No. 22 of 1990 s. 16; No. 37 of 1993 s. 7; No. 58 of 1994 s. 13 and 15(2) and (3); No. 15 of 2002 s. 10; No. 39 of 2004 s. 12; No. 27 of 2005 s. 7.] </w:t>
      </w:r>
    </w:p>
    <w:p>
      <w:pPr>
        <w:pStyle w:val="Heading5"/>
      </w:pPr>
      <w:bookmarkStart w:id="680" w:name="_Toc188695348"/>
      <w:bookmarkStart w:id="681" w:name="_Toc187053287"/>
      <w:bookmarkStart w:id="682" w:name="_Toc520087938"/>
      <w:bookmarkStart w:id="683" w:name="_Toc523620573"/>
      <w:bookmarkStart w:id="684" w:name="_Toc38853725"/>
      <w:bookmarkStart w:id="685" w:name="_Toc124061092"/>
      <w:r>
        <w:rPr>
          <w:rStyle w:val="CharSectno"/>
        </w:rPr>
        <w:t>57A</w:t>
      </w:r>
      <w:r>
        <w:t>.</w:t>
      </w:r>
      <w:r>
        <w:tab/>
        <w:t>Designation of areas for purposes of s. 57(2aa)</w:t>
      </w:r>
      <w:bookmarkEnd w:id="680"/>
      <w:bookmarkEnd w:id="68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 xml:space="preserve">If — </w:t>
      </w:r>
    </w:p>
    <w:p>
      <w:pPr>
        <w:pStyle w:val="Indenta"/>
      </w:pPr>
      <w:r>
        <w:tab/>
        <w:t>(a)</w:t>
      </w:r>
      <w:r>
        <w:tab/>
        <w:t xml:space="preserve">an application for an exploration licence is made in respect of an area of land that is in an area of the State designated under subsection (1) (a </w:t>
      </w:r>
      <w:r>
        <w:rPr>
          <w:b/>
        </w:rPr>
        <w:t>“</w:t>
      </w:r>
      <w:r>
        <w:rPr>
          <w:rStyle w:val="CharDefText"/>
        </w:rPr>
        <w:t>designated area</w:t>
      </w:r>
      <w:r>
        <w:rPr>
          <w:b/>
        </w:rPr>
        <w:t>”</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686" w:name="_Toc188695349"/>
      <w:bookmarkStart w:id="687" w:name="_Toc187053288"/>
      <w:r>
        <w:rPr>
          <w:rStyle w:val="CharSectno"/>
        </w:rPr>
        <w:t>58</w:t>
      </w:r>
      <w:r>
        <w:rPr>
          <w:snapToGrid w:val="0"/>
        </w:rPr>
        <w:t>.</w:t>
      </w:r>
      <w:r>
        <w:rPr>
          <w:snapToGrid w:val="0"/>
        </w:rPr>
        <w:tab/>
        <w:t xml:space="preserve">Application for exploration </w:t>
      </w:r>
      <w:bookmarkEnd w:id="682"/>
      <w:r>
        <w:rPr>
          <w:snapToGrid w:val="0"/>
        </w:rPr>
        <w:t>licence</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An application for an exploration licence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a statement specifying —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 xml:space="preserve">A survey required under subsection (2a)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 xml:space="preserve">[Section 58 amended by No. 100 of 1985 s. 39; No. 22 of 1990 s. 17; No. 37 of 1993 s. 26 and 28(1); No. 58 of 1994 s. 14; No. 15 of 2002 s. 11; No. 39 of 2004 s. 58.] </w:t>
      </w:r>
    </w:p>
    <w:p>
      <w:pPr>
        <w:pStyle w:val="Heading5"/>
        <w:keepLines w:val="0"/>
        <w:rPr>
          <w:snapToGrid w:val="0"/>
        </w:rPr>
      </w:pPr>
      <w:bookmarkStart w:id="688" w:name="_Toc520087939"/>
      <w:bookmarkStart w:id="689" w:name="_Toc523620574"/>
      <w:bookmarkStart w:id="690" w:name="_Toc38853726"/>
      <w:bookmarkStart w:id="691" w:name="_Toc124061093"/>
      <w:bookmarkStart w:id="692" w:name="_Toc188695350"/>
      <w:bookmarkStart w:id="693" w:name="_Toc187053289"/>
      <w:r>
        <w:rPr>
          <w:rStyle w:val="CharSectno"/>
        </w:rPr>
        <w:t>59</w:t>
      </w:r>
      <w:r>
        <w:rPr>
          <w:snapToGrid w:val="0"/>
        </w:rPr>
        <w:t>.</w:t>
      </w:r>
      <w:r>
        <w:rPr>
          <w:snapToGrid w:val="0"/>
        </w:rPr>
        <w:tab/>
        <w:t xml:space="preserve">Determination of application for exploration </w:t>
      </w:r>
      <w:bookmarkEnd w:id="688"/>
      <w:r>
        <w:rPr>
          <w:snapToGrid w:val="0"/>
        </w:rPr>
        <w:t>licence</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pPr>
      <w:r>
        <w:tab/>
        <w:t xml:space="preserve">[Section 59 inserted by No. 58 of 1994 s. 15(1); amended by No. 39 of 2004 s. 59.] </w:t>
      </w:r>
    </w:p>
    <w:p>
      <w:pPr>
        <w:pStyle w:val="Heading5"/>
        <w:rPr>
          <w:snapToGrid w:val="0"/>
        </w:rPr>
      </w:pPr>
      <w:bookmarkStart w:id="694" w:name="_Toc520087940"/>
      <w:bookmarkStart w:id="695" w:name="_Toc523620575"/>
      <w:bookmarkStart w:id="696" w:name="_Toc38853727"/>
      <w:bookmarkStart w:id="697" w:name="_Toc124061094"/>
      <w:bookmarkStart w:id="698" w:name="_Toc188695351"/>
      <w:bookmarkStart w:id="699" w:name="_Toc187053290"/>
      <w:r>
        <w:rPr>
          <w:rStyle w:val="CharSectno"/>
        </w:rPr>
        <w:t>60</w:t>
      </w:r>
      <w:r>
        <w:rPr>
          <w:snapToGrid w:val="0"/>
        </w:rPr>
        <w:t>.</w:t>
      </w:r>
      <w:r>
        <w:rPr>
          <w:snapToGrid w:val="0"/>
        </w:rPr>
        <w:tab/>
        <w:t xml:space="preserve">Security relating to exploration </w:t>
      </w:r>
      <w:bookmarkEnd w:id="694"/>
      <w:r>
        <w:rPr>
          <w:snapToGrid w:val="0"/>
        </w:rPr>
        <w:t>licence</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 xml:space="preserve">[Section 60 amended by No. 100 of 1985 s. 41; No. 37 of 1993 s. 26; No. 58 of 1994 s. 16; No. 17 of 1999 s. 7(1) and (2).] </w:t>
      </w:r>
    </w:p>
    <w:p>
      <w:pPr>
        <w:pStyle w:val="Heading5"/>
        <w:spacing w:before="200"/>
        <w:rPr>
          <w:snapToGrid w:val="0"/>
        </w:rPr>
      </w:pPr>
      <w:bookmarkStart w:id="700" w:name="_Toc520087941"/>
      <w:bookmarkStart w:id="701" w:name="_Toc523620576"/>
      <w:bookmarkStart w:id="702" w:name="_Toc38853728"/>
      <w:bookmarkStart w:id="703" w:name="_Toc124061095"/>
      <w:bookmarkStart w:id="704" w:name="_Toc188695352"/>
      <w:bookmarkStart w:id="705" w:name="_Toc187053291"/>
      <w:r>
        <w:rPr>
          <w:rStyle w:val="CharSectno"/>
        </w:rPr>
        <w:t>61</w:t>
      </w:r>
      <w:r>
        <w:rPr>
          <w:snapToGrid w:val="0"/>
        </w:rPr>
        <w:t>.</w:t>
      </w:r>
      <w:r>
        <w:rPr>
          <w:snapToGrid w:val="0"/>
        </w:rPr>
        <w:tab/>
        <w:t xml:space="preserve">Term of exploration </w:t>
      </w:r>
      <w:bookmarkEnd w:id="700"/>
      <w:r>
        <w:rPr>
          <w:snapToGrid w:val="0"/>
        </w:rPr>
        <w:t>licence</w:t>
      </w:r>
      <w:bookmarkEnd w:id="701"/>
      <w:bookmarkEnd w:id="702"/>
      <w:bookmarkEnd w:id="703"/>
      <w:bookmarkEnd w:id="704"/>
      <w:bookmarkEnd w:id="705"/>
      <w:r>
        <w:rPr>
          <w:snapToGrid w:val="0"/>
        </w:rPr>
        <w:t xml:space="preserve"> </w:t>
      </w:r>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 xml:space="preserve">[Section 61 amended by No. 122 of 1982 s. 18; No. 12 of 1987 s. 4; No. 37 of 1993 s. 26; No. 58 of 1994 s. 17; No. 17 of 1999 s. 8; No. 39 of 2004 s. 14.] </w:t>
      </w:r>
    </w:p>
    <w:p>
      <w:pPr>
        <w:pStyle w:val="Heading5"/>
        <w:keepNext w:val="0"/>
        <w:keepLines w:val="0"/>
        <w:rPr>
          <w:snapToGrid w:val="0"/>
        </w:rPr>
      </w:pPr>
      <w:bookmarkStart w:id="706" w:name="_Toc520087942"/>
      <w:bookmarkStart w:id="707" w:name="_Toc523620577"/>
      <w:bookmarkStart w:id="708" w:name="_Toc38853729"/>
      <w:bookmarkStart w:id="709" w:name="_Toc124061096"/>
      <w:bookmarkStart w:id="710" w:name="_Toc188695353"/>
      <w:bookmarkStart w:id="711" w:name="_Toc187053292"/>
      <w:r>
        <w:rPr>
          <w:rStyle w:val="CharSectno"/>
        </w:rPr>
        <w:t>62</w:t>
      </w:r>
      <w:r>
        <w:rPr>
          <w:snapToGrid w:val="0"/>
        </w:rPr>
        <w:t>.</w:t>
      </w:r>
      <w:r>
        <w:rPr>
          <w:snapToGrid w:val="0"/>
        </w:rPr>
        <w:tab/>
        <w:t>Expenditure conditions</w:t>
      </w:r>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12" w:name="_Toc520087943"/>
      <w:bookmarkStart w:id="713" w:name="_Toc523620578"/>
      <w:bookmarkStart w:id="714" w:name="_Toc38853730"/>
      <w:bookmarkStart w:id="715" w:name="_Toc124061097"/>
      <w:r>
        <w:tab/>
        <w:t>(2)</w:t>
      </w:r>
      <w:r>
        <w:tab/>
        <w:t xml:space="preserve">In the case of an exploration licence that has retention status, expenditure conditions prescribed for the purposes of subsection (1) —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16" w:name="_Toc188695354"/>
      <w:bookmarkStart w:id="717" w:name="_Toc187053293"/>
      <w:r>
        <w:rPr>
          <w:rStyle w:val="CharSectno"/>
        </w:rPr>
        <w:t>63</w:t>
      </w:r>
      <w:r>
        <w:rPr>
          <w:snapToGrid w:val="0"/>
        </w:rPr>
        <w:t>.</w:t>
      </w:r>
      <w:r>
        <w:rPr>
          <w:snapToGrid w:val="0"/>
        </w:rPr>
        <w:tab/>
        <w:t xml:space="preserve">Condition attached to exploration </w:t>
      </w:r>
      <w:bookmarkEnd w:id="712"/>
      <w:r>
        <w:rPr>
          <w:snapToGrid w:val="0"/>
        </w:rPr>
        <w:t>licence</w:t>
      </w:r>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 xml:space="preserve">will not use ground disturbing equipment when exploring for minerals on the land the subject of the exploration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 xml:space="preserve">[Section 63 amended by No. 69 of 1981 s. 18; No. 100 of 1985 s. 42; No. 39 of 2004 s. 15(1).] </w:t>
      </w:r>
    </w:p>
    <w:p>
      <w:pPr>
        <w:pStyle w:val="Heading5"/>
        <w:rPr>
          <w:snapToGrid w:val="0"/>
        </w:rPr>
      </w:pPr>
      <w:bookmarkStart w:id="718" w:name="_Toc520087944"/>
      <w:bookmarkStart w:id="719" w:name="_Toc523620579"/>
      <w:bookmarkStart w:id="720" w:name="_Toc38853731"/>
      <w:bookmarkStart w:id="721" w:name="_Toc124061098"/>
      <w:bookmarkStart w:id="722" w:name="_Toc188695355"/>
      <w:bookmarkStart w:id="723" w:name="_Toc187053294"/>
      <w:r>
        <w:rPr>
          <w:rStyle w:val="CharSectno"/>
        </w:rPr>
        <w:t>63AA</w:t>
      </w:r>
      <w:r>
        <w:rPr>
          <w:snapToGrid w:val="0"/>
        </w:rPr>
        <w:t>.</w:t>
      </w:r>
      <w:r>
        <w:rPr>
          <w:snapToGrid w:val="0"/>
        </w:rPr>
        <w:tab/>
        <w:t>Conditions for prevention or reduction of injury to land</w:t>
      </w:r>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 xml:space="preserve">[Section 63AA inserted by No. 22 of 1990 s. 18.] </w:t>
      </w:r>
    </w:p>
    <w:p>
      <w:pPr>
        <w:pStyle w:val="Heading5"/>
        <w:rPr>
          <w:snapToGrid w:val="0"/>
        </w:rPr>
      </w:pPr>
      <w:bookmarkStart w:id="724" w:name="_Toc520087945"/>
      <w:bookmarkStart w:id="725" w:name="_Toc523620580"/>
      <w:bookmarkStart w:id="726" w:name="_Toc38853732"/>
      <w:bookmarkStart w:id="727" w:name="_Toc124061099"/>
      <w:bookmarkStart w:id="728" w:name="_Toc188695356"/>
      <w:bookmarkStart w:id="729" w:name="_Toc187053295"/>
      <w:r>
        <w:rPr>
          <w:rStyle w:val="CharSectno"/>
        </w:rPr>
        <w:t>63A</w:t>
      </w:r>
      <w:r>
        <w:rPr>
          <w:snapToGrid w:val="0"/>
        </w:rPr>
        <w:t>.</w:t>
      </w:r>
      <w:r>
        <w:rPr>
          <w:snapToGrid w:val="0"/>
        </w:rPr>
        <w:tab/>
        <w:t>When exploration licence liable to forfeiture</w:t>
      </w:r>
      <w:bookmarkEnd w:id="724"/>
      <w:bookmarkEnd w:id="725"/>
      <w:bookmarkEnd w:id="726"/>
      <w:bookmarkEnd w:id="727"/>
      <w:bookmarkEnd w:id="728"/>
      <w:bookmarkEnd w:id="729"/>
      <w:r>
        <w:rPr>
          <w:snapToGrid w:val="0"/>
        </w:rPr>
        <w:t xml:space="preserve"> </w:t>
      </w:r>
    </w:p>
    <w:p>
      <w:pPr>
        <w:pStyle w:val="Subsection"/>
        <w:spacing w:before="200"/>
        <w:rPr>
          <w:snapToGrid w:val="0"/>
        </w:rPr>
      </w:pPr>
      <w:r>
        <w:rPr>
          <w:snapToGrid w:val="0"/>
        </w:rPr>
        <w:tab/>
      </w:r>
      <w:r>
        <w:rPr>
          <w:snapToGrid w:val="0"/>
        </w:rPr>
        <w:tab/>
        <w:t>An exploration licence is liable to forfeiture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 xml:space="preserve">[Section 63A inserted by No. 69 of 1981 s. 19; amended by No. 100 of 1985 s. 43; No. 58 of 1994 s. 18; No. 17 of 1999 s. 7(3); No. 39 of 2004 s. 89; No. 27 of 2005 s. 8.] </w:t>
      </w:r>
    </w:p>
    <w:p>
      <w:pPr>
        <w:pStyle w:val="Heading5"/>
        <w:spacing w:before="260"/>
        <w:rPr>
          <w:snapToGrid w:val="0"/>
        </w:rPr>
      </w:pPr>
      <w:bookmarkStart w:id="730" w:name="_Toc520087946"/>
      <w:bookmarkStart w:id="731" w:name="_Toc523620581"/>
      <w:bookmarkStart w:id="732" w:name="_Toc38853733"/>
      <w:bookmarkStart w:id="733" w:name="_Toc124061100"/>
      <w:bookmarkStart w:id="734" w:name="_Toc188695357"/>
      <w:bookmarkStart w:id="735" w:name="_Toc187053296"/>
      <w:r>
        <w:rPr>
          <w:rStyle w:val="CharSectno"/>
        </w:rPr>
        <w:t>64</w:t>
      </w:r>
      <w:r>
        <w:rPr>
          <w:snapToGrid w:val="0"/>
        </w:rPr>
        <w:t>.</w:t>
      </w:r>
      <w:r>
        <w:rPr>
          <w:snapToGrid w:val="0"/>
        </w:rPr>
        <w:tab/>
        <w:t xml:space="preserve">Consent to dealing in exploration </w:t>
      </w:r>
      <w:bookmarkEnd w:id="730"/>
      <w:r>
        <w:rPr>
          <w:snapToGrid w:val="0"/>
        </w:rPr>
        <w:t>licence</w:t>
      </w:r>
      <w:bookmarkEnd w:id="731"/>
      <w:bookmarkEnd w:id="732"/>
      <w:bookmarkEnd w:id="733"/>
      <w:bookmarkEnd w:id="734"/>
      <w:bookmarkEnd w:id="735"/>
      <w:r>
        <w:rPr>
          <w:snapToGrid w:val="0"/>
        </w:rPr>
        <w:t xml:space="preserve"> </w:t>
      </w:r>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 xml:space="preserve">[Section 64 inserted by No. 100 of 1985 s. 44; amended by No. 37 of 1993 s. 27; No. 54 of 1996 s. 8; No. 10 of 2001 s. 132.] </w:t>
      </w:r>
    </w:p>
    <w:p>
      <w:pPr>
        <w:pStyle w:val="Heading5"/>
        <w:spacing w:before="260"/>
        <w:rPr>
          <w:snapToGrid w:val="0"/>
        </w:rPr>
      </w:pPr>
      <w:bookmarkStart w:id="736" w:name="_Toc520087947"/>
      <w:bookmarkStart w:id="737" w:name="_Toc523620582"/>
      <w:bookmarkStart w:id="738" w:name="_Toc38853734"/>
      <w:bookmarkStart w:id="739" w:name="_Toc124061101"/>
      <w:bookmarkStart w:id="740" w:name="_Toc188695358"/>
      <w:bookmarkStart w:id="741" w:name="_Toc187053297"/>
      <w:r>
        <w:rPr>
          <w:rStyle w:val="CharSectno"/>
        </w:rPr>
        <w:t>65</w:t>
      </w:r>
      <w:r>
        <w:rPr>
          <w:snapToGrid w:val="0"/>
        </w:rPr>
        <w:t>.</w:t>
      </w:r>
      <w:r>
        <w:rPr>
          <w:snapToGrid w:val="0"/>
        </w:rPr>
        <w:tab/>
        <w:t xml:space="preserve">Surrender of certain areas subject to the exploration </w:t>
      </w:r>
      <w:bookmarkEnd w:id="736"/>
      <w:r>
        <w:rPr>
          <w:snapToGrid w:val="0"/>
        </w:rPr>
        <w:t>licence</w:t>
      </w:r>
      <w:bookmarkEnd w:id="737"/>
      <w:bookmarkEnd w:id="738"/>
      <w:bookmarkEnd w:id="739"/>
      <w:bookmarkEnd w:id="740"/>
      <w:bookmarkEnd w:id="741"/>
      <w:r>
        <w:rPr>
          <w:snapToGrid w:val="0"/>
        </w:rPr>
        <w:t xml:space="preserve"> </w:t>
      </w:r>
    </w:p>
    <w:p>
      <w:pPr>
        <w:pStyle w:val="Subsection"/>
        <w:keepNext/>
        <w:spacing w:before="200"/>
      </w:pPr>
      <w:r>
        <w:tab/>
        <w:t>(1)</w:t>
      </w:r>
      <w:r>
        <w:tab/>
        <w:t xml:space="preserve">In this section — </w:t>
      </w:r>
    </w:p>
    <w:p>
      <w:pPr>
        <w:pStyle w:val="Defstart"/>
      </w:pPr>
      <w:r>
        <w:rPr>
          <w:b/>
        </w:rPr>
        <w:tab/>
        <w:t>“</w:t>
      </w:r>
      <w:r>
        <w:rPr>
          <w:rStyle w:val="CharDefText"/>
        </w:rPr>
        <w:t>end day</w:t>
      </w:r>
      <w:r>
        <w:rPr>
          <w:b/>
        </w:rPr>
        <w:t>”</w:t>
      </w:r>
      <w:r>
        <w:t xml:space="preserve"> means the day on which the 5 year period referred to in section 61(1) ends;</w:t>
      </w:r>
    </w:p>
    <w:p>
      <w:pPr>
        <w:pStyle w:val="Defstart"/>
      </w:pPr>
      <w:r>
        <w:rPr>
          <w:b/>
        </w:rPr>
        <w:tab/>
        <w:t>“</w:t>
      </w:r>
      <w:r>
        <w:rPr>
          <w:rStyle w:val="CharDefText"/>
        </w:rPr>
        <w:t>surrender day</w:t>
      </w:r>
      <w:r>
        <w:rPr>
          <w:b/>
        </w:rPr>
        <w:t>”</w:t>
      </w:r>
      <w:r>
        <w:t xml:space="preserve">, in relation to a surrender, means —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 xml:space="preserve">This section applies in relation to an exploration licence if —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 xml:space="preserve">Subject to subsection (3a), on or before the end day the holder of an exploration licence granted in respect of more than one block shall lodge a surrender for registration in respect of —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 xml:space="preserve">Subsection (3) does not apply if —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 xml:space="preserve">If —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 xml:space="preserve">The blocks that remain subject to an exploration licence after a surrender under this section are to form not more than 3 discrete areas each consisting of —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 xml:space="preserve">If, before the surrender day, the holder of an exploration licence — </w:t>
      </w:r>
    </w:p>
    <w:p>
      <w:pPr>
        <w:pStyle w:val="Indenta"/>
      </w:pPr>
      <w:r>
        <w:tab/>
        <w:t>(a)</w:t>
      </w:r>
      <w:r>
        <w:tab/>
        <w:t xml:space="preserve">is granted a mining lease or general purpose lease in respect of a part of the land the subject of the exploration licence (the </w:t>
      </w:r>
      <w:r>
        <w:rPr>
          <w:b/>
        </w:rPr>
        <w:t>“</w:t>
      </w:r>
      <w:r>
        <w:rPr>
          <w:rStyle w:val="CharDefText"/>
        </w:rPr>
        <w:t>granted land</w:t>
      </w:r>
      <w:r>
        <w:rPr>
          <w:b/>
        </w:rPr>
        <w:t>”</w:t>
      </w:r>
      <w:r>
        <w:t>); or</w:t>
      </w:r>
    </w:p>
    <w:p>
      <w:pPr>
        <w:pStyle w:val="Indenta"/>
      </w:pPr>
      <w:r>
        <w:tab/>
        <w:t>(b)</w:t>
      </w:r>
      <w:r>
        <w:tab/>
        <w:t xml:space="preserve">surrenders a part of the land the subject of the exploration licence (the </w:t>
      </w:r>
      <w:r>
        <w:rPr>
          <w:b/>
        </w:rPr>
        <w:t>“</w:t>
      </w:r>
      <w:r>
        <w:rPr>
          <w:rStyle w:val="CharDefText"/>
        </w:rPr>
        <w:t>surrendered land</w:t>
      </w:r>
      <w:r>
        <w:rPr>
          <w:b/>
        </w:rPr>
        <w:t>”</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 xml:space="preserve">[Section 65 amended by No. 69 of 1981 s. 20; No. 100 of 1985 s. 45; No. 12 of 1987 s. 5; No. 22 of 1990 s. 19; No. 57 of 1997 s. 89(2); No. 15 of 2002 s. 12; No. 39 of 2004 s. 16; No. 27 of 2005 s. 9.] </w:t>
      </w:r>
    </w:p>
    <w:p>
      <w:pPr>
        <w:pStyle w:val="Heading5"/>
        <w:rPr>
          <w:snapToGrid w:val="0"/>
        </w:rPr>
      </w:pPr>
      <w:bookmarkStart w:id="742" w:name="_Toc520087948"/>
      <w:bookmarkStart w:id="743" w:name="_Toc523620583"/>
      <w:bookmarkStart w:id="744" w:name="_Toc38853735"/>
      <w:bookmarkStart w:id="745" w:name="_Toc124061102"/>
      <w:bookmarkStart w:id="746" w:name="_Toc188695359"/>
      <w:bookmarkStart w:id="747" w:name="_Toc187053298"/>
      <w:r>
        <w:rPr>
          <w:rStyle w:val="CharSectno"/>
        </w:rPr>
        <w:t>66</w:t>
      </w:r>
      <w:r>
        <w:rPr>
          <w:snapToGrid w:val="0"/>
        </w:rPr>
        <w:t>.</w:t>
      </w:r>
      <w:r>
        <w:rPr>
          <w:snapToGrid w:val="0"/>
        </w:rPr>
        <w:tab/>
        <w:t xml:space="preserve">Rights conferred by exploration </w:t>
      </w:r>
      <w:bookmarkEnd w:id="742"/>
      <w:r>
        <w:rPr>
          <w:snapToGrid w:val="0"/>
        </w:rPr>
        <w:t>licence</w:t>
      </w:r>
      <w:bookmarkEnd w:id="743"/>
      <w:bookmarkEnd w:id="744"/>
      <w:bookmarkEnd w:id="745"/>
      <w:bookmarkEnd w:id="746"/>
      <w:bookmarkEnd w:id="747"/>
      <w:r>
        <w:rPr>
          <w:snapToGrid w:val="0"/>
        </w:rPr>
        <w:t xml:space="preserve"> </w:t>
      </w:r>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 xml:space="preserve">[Section 66 amended by No. 100 of 1985 s. 46; No. 22 of 1990 s. 20; No. 5 of 1997 s. 41(2).] </w:t>
      </w:r>
    </w:p>
    <w:p>
      <w:pPr>
        <w:pStyle w:val="Heading5"/>
        <w:rPr>
          <w:snapToGrid w:val="0"/>
        </w:rPr>
      </w:pPr>
      <w:bookmarkStart w:id="748" w:name="_Toc520087949"/>
      <w:bookmarkStart w:id="749" w:name="_Toc523620584"/>
      <w:bookmarkStart w:id="750" w:name="_Toc38853736"/>
      <w:bookmarkStart w:id="751" w:name="_Toc124061103"/>
      <w:bookmarkStart w:id="752" w:name="_Toc188695360"/>
      <w:bookmarkStart w:id="753" w:name="_Toc187053299"/>
      <w:r>
        <w:rPr>
          <w:rStyle w:val="CharSectno"/>
        </w:rPr>
        <w:t>67</w:t>
      </w:r>
      <w:r>
        <w:rPr>
          <w:snapToGrid w:val="0"/>
        </w:rPr>
        <w:t>.</w:t>
      </w:r>
      <w:r>
        <w:rPr>
          <w:snapToGrid w:val="0"/>
        </w:rPr>
        <w:tab/>
        <w:t>Holder of exploration licence to have priority for grant of mining leases or general purpose leases</w:t>
      </w:r>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holder of an exploration licence has —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an exploration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67 inserted by No. 122 of 1982 s. 19; amended by No. 100 of 1985 s. 47; No. 105 of 1986 s. 10; No. 21 of 1993 s. 45; No. 58 of 1994 s. 29(2); No. 52 of 1995 s. 26; No. 17 of 1999 s. 9.] </w:t>
      </w:r>
    </w:p>
    <w:p>
      <w:pPr>
        <w:pStyle w:val="Heading5"/>
        <w:rPr>
          <w:snapToGrid w:val="0"/>
        </w:rPr>
      </w:pPr>
      <w:bookmarkStart w:id="754" w:name="_Toc520087950"/>
      <w:bookmarkStart w:id="755" w:name="_Toc523620585"/>
      <w:bookmarkStart w:id="756" w:name="_Toc38853737"/>
      <w:bookmarkStart w:id="757" w:name="_Toc124061104"/>
      <w:bookmarkStart w:id="758" w:name="_Toc188695361"/>
      <w:bookmarkStart w:id="759" w:name="_Toc187053300"/>
      <w:r>
        <w:rPr>
          <w:rStyle w:val="CharSectno"/>
        </w:rPr>
        <w:t>67A</w:t>
      </w:r>
      <w:r>
        <w:rPr>
          <w:snapToGrid w:val="0"/>
        </w:rPr>
        <w:t>.</w:t>
      </w:r>
      <w:r>
        <w:rPr>
          <w:snapToGrid w:val="0"/>
        </w:rPr>
        <w:tab/>
        <w:t>Holder of exploration licence may apply to amalgamate secondary tenement</w:t>
      </w:r>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 </w:t>
      </w:r>
    </w:p>
    <w:p>
      <w:pPr>
        <w:pStyle w:val="Defstart"/>
        <w:keepNext/>
      </w:pPr>
      <w:r>
        <w:rPr>
          <w:b/>
        </w:rPr>
        <w:tab/>
        <w:t>“</w:t>
      </w:r>
      <w:r>
        <w:rPr>
          <w:rStyle w:val="CharDefText"/>
        </w:rPr>
        <w:t>secondary tenement</w:t>
      </w:r>
      <w:r>
        <w:rPr>
          <w:b/>
        </w:rPr>
        <w:t>”</w:t>
      </w:r>
      <w:r>
        <w:t>, in relation to an exploration licence —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ind w:left="890" w:hanging="890"/>
      </w:pPr>
      <w:r>
        <w:tab/>
        <w:t xml:space="preserve">[Section 67A inserted by No. 37 of 1993 s. 8; amended by No. 58 of 1994 s. 19; No. 15 of 2002 s. 13; No. 39 of 2004 s. 60.] </w:t>
      </w:r>
    </w:p>
    <w:p>
      <w:pPr>
        <w:pStyle w:val="Heading5"/>
        <w:rPr>
          <w:snapToGrid w:val="0"/>
        </w:rPr>
      </w:pPr>
      <w:bookmarkStart w:id="760" w:name="_Toc520087951"/>
      <w:bookmarkStart w:id="761" w:name="_Toc523620586"/>
      <w:bookmarkStart w:id="762" w:name="_Toc38853738"/>
      <w:bookmarkStart w:id="763" w:name="_Toc124061105"/>
      <w:bookmarkStart w:id="764" w:name="_Toc188695362"/>
      <w:bookmarkStart w:id="765" w:name="_Toc187053301"/>
      <w:r>
        <w:rPr>
          <w:rStyle w:val="CharSectno"/>
        </w:rPr>
        <w:t>68</w:t>
      </w:r>
      <w:r>
        <w:rPr>
          <w:snapToGrid w:val="0"/>
        </w:rPr>
        <w:t>.</w:t>
      </w:r>
      <w:r>
        <w:rPr>
          <w:snapToGrid w:val="0"/>
        </w:rPr>
        <w:tab/>
        <w:t>Holder of exploration licence to keep geological records</w:t>
      </w:r>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 xml:space="preserve">[Section 68 amended by No. 58 of 1994 s. 20; No. 39 of 2004 s. 17.] </w:t>
      </w:r>
    </w:p>
    <w:p>
      <w:pPr>
        <w:pStyle w:val="Heading5"/>
        <w:keepNext w:val="0"/>
        <w:keepLines w:val="0"/>
        <w:rPr>
          <w:snapToGrid w:val="0"/>
        </w:rPr>
      </w:pPr>
      <w:bookmarkStart w:id="766" w:name="_Toc520087952"/>
      <w:bookmarkStart w:id="767" w:name="_Toc523620587"/>
      <w:bookmarkStart w:id="768" w:name="_Toc38853739"/>
      <w:bookmarkStart w:id="769" w:name="_Toc124061106"/>
      <w:bookmarkStart w:id="770" w:name="_Toc188695363"/>
      <w:bookmarkStart w:id="771" w:name="_Toc187053302"/>
      <w:r>
        <w:rPr>
          <w:rStyle w:val="CharSectno"/>
        </w:rPr>
        <w:t>69</w:t>
      </w:r>
      <w:r>
        <w:rPr>
          <w:snapToGrid w:val="0"/>
        </w:rPr>
        <w:t>.</w:t>
      </w:r>
      <w:r>
        <w:rPr>
          <w:snapToGrid w:val="0"/>
        </w:rPr>
        <w:tab/>
        <w:t>Land the subject of exploration licence not to be again marked out for a certain period</w:t>
      </w:r>
      <w:bookmarkEnd w:id="766"/>
      <w:bookmarkEnd w:id="767"/>
      <w:bookmarkEnd w:id="768"/>
      <w:bookmarkEnd w:id="769"/>
      <w:bookmarkEnd w:id="770"/>
      <w:bookmarkEnd w:id="771"/>
      <w:r>
        <w:rPr>
          <w:snapToGrid w:val="0"/>
        </w:rPr>
        <w:t xml:space="preserve"> </w:t>
      </w:r>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 xml:space="preserve">[Section 69 amended by No. 100 of 1985 s. 48; No. 22 of 1990 s. 21; No. 15 of 2002 s. 14; No. 39 of 2004 s. 18.] </w:t>
      </w:r>
    </w:p>
    <w:p>
      <w:pPr>
        <w:pStyle w:val="Heading5"/>
      </w:pPr>
      <w:bookmarkStart w:id="772" w:name="_Toc188695364"/>
      <w:bookmarkStart w:id="773" w:name="_Toc187053303"/>
      <w:bookmarkStart w:id="774" w:name="_Toc520087953"/>
      <w:bookmarkStart w:id="775" w:name="_Toc523620588"/>
      <w:bookmarkStart w:id="776" w:name="_Toc38853740"/>
      <w:bookmarkStart w:id="777" w:name="_Toc124061107"/>
      <w:r>
        <w:rPr>
          <w:rStyle w:val="CharSectno"/>
        </w:rPr>
        <w:t>69A</w:t>
      </w:r>
      <w:r>
        <w:t>.</w:t>
      </w:r>
      <w:r>
        <w:tab/>
        <w:t>Application for retention status</w:t>
      </w:r>
      <w:bookmarkEnd w:id="772"/>
      <w:bookmarkEnd w:id="773"/>
    </w:p>
    <w:p>
      <w:pPr>
        <w:pStyle w:val="Subsection"/>
      </w:pPr>
      <w:r>
        <w:tab/>
        <w:t>(1)</w:t>
      </w:r>
      <w:r>
        <w:tab/>
        <w:t xml:space="preserve">In this section — </w:t>
      </w:r>
    </w:p>
    <w:p>
      <w:pPr>
        <w:pStyle w:val="Defstart"/>
      </w:pPr>
      <w:r>
        <w:rPr>
          <w:b/>
        </w:rPr>
        <w:tab/>
        <w:t>“</w:t>
      </w:r>
      <w:r>
        <w:rPr>
          <w:rStyle w:val="CharDefText"/>
        </w:rPr>
        <w:t>exploration licence</w:t>
      </w:r>
      <w:r>
        <w:rPr>
          <w:b/>
        </w:rPr>
        <w:t>”</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 xml:space="preserve">An application under subsection (2) —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778" w:name="_Toc188695365"/>
      <w:bookmarkStart w:id="779" w:name="_Toc187053304"/>
      <w:r>
        <w:rPr>
          <w:rStyle w:val="CharSectno"/>
        </w:rPr>
        <w:t>69B</w:t>
      </w:r>
      <w:r>
        <w:t>.</w:t>
      </w:r>
      <w:r>
        <w:tab/>
        <w:t>Approval of retention status</w:t>
      </w:r>
      <w:bookmarkEnd w:id="778"/>
      <w:bookmarkEnd w:id="779"/>
    </w:p>
    <w:p>
      <w:pPr>
        <w:pStyle w:val="Subsection"/>
      </w:pPr>
      <w:r>
        <w:tab/>
        <w:t>(1)</w:t>
      </w:r>
      <w:r>
        <w:tab/>
        <w:t xml:space="preserve">The Minister may approve retention status for the whole or any part of the land the subject of an exploration licence if satisfied that — </w:t>
      </w:r>
    </w:p>
    <w:p>
      <w:pPr>
        <w:pStyle w:val="Indenta"/>
      </w:pPr>
      <w:r>
        <w:tab/>
        <w:t>(a)</w:t>
      </w:r>
      <w:r>
        <w:tab/>
        <w:t>there is an identified mineral resource located in, on or under that land; and</w:t>
      </w:r>
    </w:p>
    <w:p>
      <w:pPr>
        <w:pStyle w:val="Indenta"/>
      </w:pPr>
      <w:r>
        <w:tab/>
        <w:t>(b)</w:t>
      </w:r>
      <w:r>
        <w:tab/>
        <w:t xml:space="preserve">the mining of that identified mineral resource is impracticable because —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 xml:space="preserve">The area of land to which an approval applies — </w:t>
      </w:r>
    </w:p>
    <w:p>
      <w:pPr>
        <w:pStyle w:val="Indenta"/>
      </w:pPr>
      <w:r>
        <w:tab/>
        <w:t>(a)</w:t>
      </w:r>
      <w:r>
        <w:tab/>
        <w:t>shall be a block or blocks; and</w:t>
      </w:r>
    </w:p>
    <w:p>
      <w:pPr>
        <w:pStyle w:val="Indenta"/>
      </w:pPr>
      <w:r>
        <w:tab/>
        <w:t>(b)</w:t>
      </w:r>
      <w:r>
        <w:tab/>
        <w:t xml:space="preserve">shall be an area that, in the opinion of the Minister, is sufficient to include —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780" w:name="_Toc188695366"/>
      <w:bookmarkStart w:id="781" w:name="_Toc187053305"/>
      <w:r>
        <w:rPr>
          <w:rStyle w:val="CharSectno"/>
        </w:rPr>
        <w:t>69C</w:t>
      </w:r>
      <w:r>
        <w:t>.</w:t>
      </w:r>
      <w:r>
        <w:tab/>
        <w:t>Consultation with other Ministers</w:t>
      </w:r>
      <w:bookmarkEnd w:id="780"/>
      <w:bookmarkEnd w:id="78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w:t>
      </w:r>
    </w:p>
    <w:p>
      <w:pPr>
        <w:pStyle w:val="Heading5"/>
      </w:pPr>
      <w:bookmarkStart w:id="782" w:name="_Toc188695367"/>
      <w:bookmarkStart w:id="783" w:name="_Toc187053306"/>
      <w:r>
        <w:rPr>
          <w:rStyle w:val="CharSectno"/>
        </w:rPr>
        <w:t>69D</w:t>
      </w:r>
      <w:r>
        <w:t>.</w:t>
      </w:r>
      <w:r>
        <w:tab/>
        <w:t>Programme of work</w:t>
      </w:r>
      <w:bookmarkEnd w:id="782"/>
      <w:bookmarkEnd w:id="78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 xml:space="preserve">A condition imposed under subsection (1) —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 xml:space="preserve">In subsection (1) — </w:t>
      </w:r>
    </w:p>
    <w:p>
      <w:pPr>
        <w:pStyle w:val="Defstart"/>
      </w:pPr>
      <w:r>
        <w:rPr>
          <w:b/>
        </w:rPr>
        <w:tab/>
        <w:t>“</w:t>
      </w:r>
      <w:r>
        <w:rPr>
          <w:rStyle w:val="CharDefText"/>
        </w:rPr>
        <w:t>specified</w:t>
      </w:r>
      <w:r>
        <w:rPr>
          <w:b/>
        </w:rPr>
        <w:t>”</w:t>
      </w:r>
      <w:r>
        <w:t xml:space="preserve"> means specified in writing by the Minister.</w:t>
      </w:r>
    </w:p>
    <w:p>
      <w:pPr>
        <w:pStyle w:val="Footnotesection"/>
        <w:ind w:left="890" w:hanging="890"/>
      </w:pPr>
      <w:r>
        <w:tab/>
        <w:t>[Section 69D inserted by No. 39 of 2004 s. 24.]</w:t>
      </w:r>
    </w:p>
    <w:p>
      <w:pPr>
        <w:pStyle w:val="Heading5"/>
      </w:pPr>
      <w:bookmarkStart w:id="784" w:name="_Toc188695368"/>
      <w:bookmarkStart w:id="785" w:name="_Toc187053307"/>
      <w:r>
        <w:rPr>
          <w:rStyle w:val="CharSectno"/>
        </w:rPr>
        <w:t>69E</w:t>
      </w:r>
      <w:r>
        <w:t>.</w:t>
      </w:r>
      <w:r>
        <w:tab/>
        <w:t>Holder of exploration licence with retention status may be required to apply for mining lease</w:t>
      </w:r>
      <w:bookmarkEnd w:id="784"/>
      <w:bookmarkEnd w:id="78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 xml:space="preserve">Where —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786" w:name="_Toc188695369"/>
      <w:bookmarkStart w:id="787" w:name="_Toc187053308"/>
      <w:r>
        <w:rPr>
          <w:rStyle w:val="CharSectno"/>
        </w:rPr>
        <w:t>70</w:t>
      </w:r>
      <w:r>
        <w:rPr>
          <w:snapToGrid w:val="0"/>
        </w:rPr>
        <w:t>.</w:t>
      </w:r>
      <w:r>
        <w:rPr>
          <w:snapToGrid w:val="0"/>
        </w:rPr>
        <w:tab/>
        <w:t xml:space="preserve">Special prospecting licence on an </w:t>
      </w:r>
      <w:bookmarkEnd w:id="774"/>
      <w:bookmarkEnd w:id="775"/>
      <w:bookmarkEnd w:id="776"/>
      <w:bookmarkEnd w:id="777"/>
      <w:r>
        <w:t>exploration licence</w:t>
      </w:r>
      <w:bookmarkEnd w:id="786"/>
      <w:bookmarkEnd w:id="787"/>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b/>
          <w:snapToGrid w:val="0"/>
        </w:rPr>
        <w:t>“</w:t>
      </w:r>
      <w:r>
        <w:rPr>
          <w:rStyle w:val="CharDefText"/>
        </w:rPr>
        <w:t>the primary tenement</w:t>
      </w:r>
      <w:r>
        <w:rPr>
          <w:b/>
          <w:snapToGrid w:val="0"/>
        </w:rPr>
        <w:t>”</w:t>
      </w:r>
      <w:r>
        <w:rPr>
          <w:snapToGrid w:val="0"/>
        </w:rPr>
        <w:t>) then, notwithstanding section 117, a person may at any time after the expiry of 12 months from —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 xml:space="preserve">[Section 70 amended by No. 100 of 1985 s. 49; No. 22 of 1990 s. 22; No. 21 of 1993 s. 45; No. 37 of 1993 s. 9, 10(2) and 27; No. 73 of 1994 s. 4; No. 58 of 1994 s. 21; No. 52 of 1995 s. 27; No. 54 of 1996 s. 10 and 23; No. 10 of 2001 s. 133; No. 15 of 2002 s. 15; No. 39 of 2004 s. 9; No. 27 of 2005 s. 10.] </w:t>
      </w:r>
    </w:p>
    <w:p>
      <w:pPr>
        <w:pStyle w:val="Heading3"/>
        <w:rPr>
          <w:snapToGrid w:val="0"/>
        </w:rPr>
      </w:pPr>
      <w:bookmarkStart w:id="788" w:name="_Toc87427617"/>
      <w:bookmarkStart w:id="789" w:name="_Toc87851192"/>
      <w:bookmarkStart w:id="790" w:name="_Toc88295415"/>
      <w:bookmarkStart w:id="791" w:name="_Toc89519074"/>
      <w:bookmarkStart w:id="792" w:name="_Toc90869199"/>
      <w:bookmarkStart w:id="793" w:name="_Toc91407971"/>
      <w:bookmarkStart w:id="794" w:name="_Toc92863715"/>
      <w:bookmarkStart w:id="795" w:name="_Toc95015083"/>
      <w:bookmarkStart w:id="796" w:name="_Toc95106790"/>
      <w:bookmarkStart w:id="797" w:name="_Toc97018590"/>
      <w:bookmarkStart w:id="798" w:name="_Toc101693543"/>
      <w:bookmarkStart w:id="799" w:name="_Toc103130413"/>
      <w:bookmarkStart w:id="800" w:name="_Toc104711063"/>
      <w:bookmarkStart w:id="801" w:name="_Toc121560048"/>
      <w:bookmarkStart w:id="802" w:name="_Toc122328489"/>
      <w:bookmarkStart w:id="803" w:name="_Toc124061108"/>
      <w:bookmarkStart w:id="804" w:name="_Toc124139963"/>
      <w:bookmarkStart w:id="805" w:name="_Toc127174721"/>
      <w:bookmarkStart w:id="806" w:name="_Toc127349065"/>
      <w:bookmarkStart w:id="807" w:name="_Toc127762249"/>
      <w:bookmarkStart w:id="808" w:name="_Toc127842311"/>
      <w:bookmarkStart w:id="809" w:name="_Toc128379922"/>
      <w:bookmarkStart w:id="810" w:name="_Toc130106538"/>
      <w:bookmarkStart w:id="811" w:name="_Toc130106818"/>
      <w:bookmarkStart w:id="812" w:name="_Toc130110715"/>
      <w:bookmarkStart w:id="813" w:name="_Toc130276926"/>
      <w:bookmarkStart w:id="814" w:name="_Toc131408451"/>
      <w:bookmarkStart w:id="815" w:name="_Toc132530218"/>
      <w:bookmarkStart w:id="816" w:name="_Toc142194275"/>
      <w:bookmarkStart w:id="817" w:name="_Toc162778360"/>
      <w:bookmarkStart w:id="818" w:name="_Toc162840944"/>
      <w:bookmarkStart w:id="819" w:name="_Toc162932780"/>
      <w:bookmarkStart w:id="820" w:name="_Toc187053309"/>
      <w:bookmarkStart w:id="821" w:name="_Toc188695370"/>
      <w:r>
        <w:rPr>
          <w:rStyle w:val="CharDivNo"/>
        </w:rPr>
        <w:t>Division 2A</w:t>
      </w:r>
      <w:r>
        <w:rPr>
          <w:snapToGrid w:val="0"/>
        </w:rPr>
        <w:t> — </w:t>
      </w:r>
      <w:r>
        <w:rPr>
          <w:rStyle w:val="CharDivText"/>
        </w:rPr>
        <w:t>Retention licence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r>
        <w:rPr>
          <w:rStyle w:val="CharDivText"/>
        </w:rPr>
        <w:t xml:space="preserve"> </w:t>
      </w:r>
    </w:p>
    <w:p>
      <w:pPr>
        <w:pStyle w:val="Footnoteheading"/>
        <w:rPr>
          <w:snapToGrid w:val="0"/>
        </w:rPr>
      </w:pPr>
      <w:r>
        <w:rPr>
          <w:snapToGrid w:val="0"/>
        </w:rPr>
        <w:tab/>
        <w:t xml:space="preserve">[Heading inserted by No. 37 of 1993 s. 10(1).] </w:t>
      </w:r>
    </w:p>
    <w:p>
      <w:pPr>
        <w:pStyle w:val="Heading5"/>
      </w:pPr>
      <w:bookmarkStart w:id="822" w:name="_Toc188695371"/>
      <w:bookmarkStart w:id="823" w:name="_Toc187053310"/>
      <w:bookmarkStart w:id="824" w:name="_Toc520087955"/>
      <w:bookmarkStart w:id="825" w:name="_Toc523620590"/>
      <w:bookmarkStart w:id="826" w:name="_Toc38853742"/>
      <w:bookmarkStart w:id="827" w:name="_Toc124061110"/>
      <w:r>
        <w:rPr>
          <w:rStyle w:val="CharSectno"/>
        </w:rPr>
        <w:t>70A</w:t>
      </w:r>
      <w:r>
        <w:t>.</w:t>
      </w:r>
      <w:r>
        <w:tab/>
        <w:t>Meaning of “primary tenement”</w:t>
      </w:r>
      <w:bookmarkEnd w:id="822"/>
      <w:bookmarkEnd w:id="823"/>
    </w:p>
    <w:p>
      <w:pPr>
        <w:pStyle w:val="Subsection"/>
      </w:pPr>
      <w:r>
        <w:tab/>
      </w:r>
      <w:r>
        <w:tab/>
        <w:t xml:space="preserve">In this Division — </w:t>
      </w:r>
    </w:p>
    <w:p>
      <w:pPr>
        <w:pStyle w:val="Defstart"/>
      </w:pPr>
      <w:r>
        <w:rPr>
          <w:b/>
        </w:rPr>
        <w:tab/>
        <w:t>“</w:t>
      </w:r>
      <w:r>
        <w:rPr>
          <w:rStyle w:val="CharDefText"/>
        </w:rPr>
        <w:t>primary tenement</w:t>
      </w:r>
      <w:r>
        <w:rPr>
          <w:b/>
        </w:rPr>
        <w:t>”</w:t>
      </w:r>
      <w:r>
        <w:t xml:space="preserve"> means — </w:t>
      </w:r>
    </w:p>
    <w:p>
      <w:pPr>
        <w:pStyle w:val="Defpara"/>
      </w:pPr>
      <w:r>
        <w:tab/>
        <w:t>(a)</w:t>
      </w:r>
      <w:r>
        <w:tab/>
        <w:t xml:space="preserve">a prospecting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 xml:space="preserve">an exploration licence that —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828" w:name="_Toc188695372"/>
      <w:bookmarkStart w:id="829" w:name="_Toc187053311"/>
      <w:r>
        <w:rPr>
          <w:rStyle w:val="CharSectno"/>
        </w:rPr>
        <w:t>70B</w:t>
      </w:r>
      <w:r>
        <w:rPr>
          <w:snapToGrid w:val="0"/>
        </w:rPr>
        <w:t>.</w:t>
      </w:r>
      <w:r>
        <w:rPr>
          <w:snapToGrid w:val="0"/>
        </w:rPr>
        <w:tab/>
        <w:t xml:space="preserve">Grant of retention </w:t>
      </w:r>
      <w:bookmarkEnd w:id="824"/>
      <w:r>
        <w:rPr>
          <w:snapToGrid w:val="0"/>
        </w:rPr>
        <w:t>licence</w:t>
      </w:r>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rPr>
          <w:snapToGrid w:val="0"/>
        </w:rPr>
      </w:pPr>
      <w:r>
        <w:rPr>
          <w:snapToGrid w:val="0"/>
        </w:rPr>
        <w:tab/>
        <w:t>(4)</w:t>
      </w:r>
      <w:r>
        <w:rPr>
          <w:snapToGrid w:val="0"/>
        </w:rPr>
        <w:tab/>
        <w:t>The land in respect of which a retention licence is granted — </w:t>
      </w:r>
    </w:p>
    <w:p>
      <w:pPr>
        <w:pStyle w:val="Indenta"/>
        <w:rPr>
          <w:snapToGrid w:val="0"/>
        </w:rPr>
      </w:pPr>
      <w:r>
        <w:rPr>
          <w:snapToGrid w:val="0"/>
        </w:rPr>
        <w:tab/>
        <w:t>(a)</w:t>
      </w:r>
      <w:r>
        <w:rPr>
          <w:snapToGrid w:val="0"/>
        </w:rPr>
        <w:tab/>
        <w:t>shall be of an area that, in the opinion of the Minister, is sufficient to include —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 xml:space="preserve">[Section 70B inserted by No. 37 of 1993 s. 10(1); amended by No. 58 of 1994 s. 24(2).] </w:t>
      </w:r>
    </w:p>
    <w:p>
      <w:pPr>
        <w:pStyle w:val="Heading5"/>
        <w:rPr>
          <w:snapToGrid w:val="0"/>
        </w:rPr>
      </w:pPr>
      <w:bookmarkStart w:id="830" w:name="_Toc520087956"/>
      <w:bookmarkStart w:id="831" w:name="_Toc523620591"/>
      <w:bookmarkStart w:id="832" w:name="_Toc38853743"/>
      <w:bookmarkStart w:id="833" w:name="_Toc124061111"/>
      <w:bookmarkStart w:id="834" w:name="_Toc188695373"/>
      <w:bookmarkStart w:id="835" w:name="_Toc187053312"/>
      <w:r>
        <w:rPr>
          <w:rStyle w:val="CharSectno"/>
        </w:rPr>
        <w:t>70C</w:t>
      </w:r>
      <w:r>
        <w:rPr>
          <w:snapToGrid w:val="0"/>
        </w:rPr>
        <w:t>.</w:t>
      </w:r>
      <w:r>
        <w:rPr>
          <w:snapToGrid w:val="0"/>
        </w:rPr>
        <w:tab/>
        <w:t xml:space="preserve">Application for retention </w:t>
      </w:r>
      <w:bookmarkEnd w:id="830"/>
      <w:r>
        <w:rPr>
          <w:snapToGrid w:val="0"/>
        </w:rPr>
        <w:t>licence</w:t>
      </w:r>
      <w:bookmarkEnd w:id="831"/>
      <w:bookmarkEnd w:id="832"/>
      <w:bookmarkEnd w:id="833"/>
      <w:bookmarkEnd w:id="834"/>
      <w:bookmarkEnd w:id="835"/>
      <w:r>
        <w:rPr>
          <w:snapToGrid w:val="0"/>
        </w:rPr>
        <w:t xml:space="preserve"> </w:t>
      </w:r>
    </w:p>
    <w:p>
      <w:pPr>
        <w:pStyle w:val="Subsection"/>
        <w:keepNext/>
        <w:rPr>
          <w:snapToGrid w:val="0"/>
        </w:rPr>
      </w:pPr>
      <w:r>
        <w:rPr>
          <w:snapToGrid w:val="0"/>
        </w:rPr>
        <w:tab/>
        <w:t>(1)</w:t>
      </w:r>
      <w:r>
        <w:rPr>
          <w:snapToGrid w:val="0"/>
        </w:rPr>
        <w:tab/>
        <w:t>An application for a retention licence — </w:t>
      </w:r>
    </w:p>
    <w:p>
      <w:pPr>
        <w:pStyle w:val="Indenta"/>
        <w:keepNext/>
        <w:rPr>
          <w:snapToGrid w:val="0"/>
        </w:rPr>
      </w:pPr>
      <w:r>
        <w:rPr>
          <w:snapToGrid w:val="0"/>
        </w:rPr>
        <w:tab/>
        <w:t>(a)</w:t>
      </w:r>
      <w:r>
        <w:rPr>
          <w:snapToGrid w:val="0"/>
        </w:rPr>
        <w:tab/>
        <w:t>shall be in the prescribed form;</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(c)</w:t>
      </w:r>
      <w:r>
        <w:rPr>
          <w:snapToGrid w:val="0"/>
        </w:rPr>
        <w:tab/>
        <w:t>shall be accompanied by the prescribed application fee;</w:t>
      </w:r>
    </w:p>
    <w:p>
      <w:pPr>
        <w:pStyle w:val="Indenta"/>
        <w:rPr>
          <w:snapToGrid w:val="0"/>
        </w:rPr>
      </w:pPr>
      <w:r>
        <w:rPr>
          <w:snapToGrid w:val="0"/>
        </w:rPr>
        <w:tab/>
        <w:t>(d)</w:t>
      </w:r>
      <w:r>
        <w:rPr>
          <w:snapToGrid w:val="0"/>
        </w:rPr>
        <w:tab/>
        <w:t>shall be lodged at the office of the mining registrar;</w:t>
      </w:r>
    </w:p>
    <w:p>
      <w:pPr>
        <w:pStyle w:val="Indenta"/>
        <w:rPr>
          <w:snapToGrid w:val="0"/>
        </w:rPr>
      </w:pPr>
      <w:r>
        <w:rPr>
          <w:snapToGrid w:val="0"/>
        </w:rPr>
        <w:tab/>
        <w:t>(e)</w:t>
      </w:r>
      <w:r>
        <w:rPr>
          <w:snapToGrid w:val="0"/>
        </w:rPr>
        <w:tab/>
        <w:t>shall be accompanied by a statement specifying —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Next/>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 xml:space="preserve">If, after an application is made under subsection (1) in respect of land the subject of a primary tenement —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 xml:space="preserve">[Section 70C inserted by No. 37 of 1993 s. 10(1); amended by No. 58 of 1994 s. 23; No. 17 of 1999 s. 10.] </w:t>
      </w:r>
    </w:p>
    <w:p>
      <w:pPr>
        <w:pStyle w:val="Heading5"/>
        <w:rPr>
          <w:snapToGrid w:val="0"/>
        </w:rPr>
      </w:pPr>
      <w:bookmarkStart w:id="836" w:name="_Toc520087957"/>
      <w:bookmarkStart w:id="837" w:name="_Toc523620592"/>
      <w:bookmarkStart w:id="838" w:name="_Toc38853744"/>
      <w:bookmarkStart w:id="839" w:name="_Toc124061112"/>
      <w:bookmarkStart w:id="840" w:name="_Toc188695374"/>
      <w:bookmarkStart w:id="841" w:name="_Toc187053313"/>
      <w:r>
        <w:rPr>
          <w:rStyle w:val="CharSectno"/>
        </w:rPr>
        <w:t>70D</w:t>
      </w:r>
      <w:r>
        <w:rPr>
          <w:snapToGrid w:val="0"/>
        </w:rPr>
        <w:t>.</w:t>
      </w:r>
      <w:r>
        <w:rPr>
          <w:snapToGrid w:val="0"/>
        </w:rPr>
        <w:tab/>
        <w:t xml:space="preserve">Determination of application for retention </w:t>
      </w:r>
      <w:bookmarkEnd w:id="836"/>
      <w:r>
        <w:rPr>
          <w:snapToGrid w:val="0"/>
        </w:rPr>
        <w:t>licence</w:t>
      </w:r>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 xml:space="preserve">[Section 70D inserted by No. 58 of 1994 s. 24(1); amended by No. 39 of 2004 s. 61.] </w:t>
      </w:r>
    </w:p>
    <w:p>
      <w:pPr>
        <w:pStyle w:val="Heading5"/>
        <w:rPr>
          <w:snapToGrid w:val="0"/>
        </w:rPr>
      </w:pPr>
      <w:bookmarkStart w:id="842" w:name="_Toc520087958"/>
      <w:bookmarkStart w:id="843" w:name="_Toc523620593"/>
      <w:bookmarkStart w:id="844" w:name="_Toc38853745"/>
      <w:bookmarkStart w:id="845" w:name="_Toc124061113"/>
      <w:bookmarkStart w:id="846" w:name="_Toc188695375"/>
      <w:bookmarkStart w:id="847" w:name="_Toc187053314"/>
      <w:r>
        <w:rPr>
          <w:rStyle w:val="CharSectno"/>
        </w:rPr>
        <w:t>70E</w:t>
      </w:r>
      <w:r>
        <w:rPr>
          <w:snapToGrid w:val="0"/>
        </w:rPr>
        <w:t>.</w:t>
      </w:r>
      <w:r>
        <w:rPr>
          <w:snapToGrid w:val="0"/>
        </w:rPr>
        <w:tab/>
        <w:t>Term of retention licence and renewal</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 xml:space="preserve">[Section 70E inserted by No. 37 of 1993 s. 10(1); amended by No. 17 of 1999 s. 11.] </w:t>
      </w:r>
    </w:p>
    <w:p>
      <w:pPr>
        <w:pStyle w:val="Heading5"/>
      </w:pPr>
      <w:bookmarkStart w:id="848" w:name="_Toc188695376"/>
      <w:bookmarkStart w:id="849" w:name="_Toc187053315"/>
      <w:bookmarkStart w:id="850" w:name="_Toc520087960"/>
      <w:bookmarkStart w:id="851" w:name="_Toc523620595"/>
      <w:bookmarkStart w:id="852" w:name="_Toc38853747"/>
      <w:bookmarkStart w:id="853" w:name="_Toc124061115"/>
      <w:r>
        <w:rPr>
          <w:rStyle w:val="CharSectno"/>
        </w:rPr>
        <w:t>70F</w:t>
      </w:r>
      <w:r>
        <w:t>.</w:t>
      </w:r>
      <w:r>
        <w:tab/>
        <w:t>Security relating to retention licence</w:t>
      </w:r>
      <w:bookmarkEnd w:id="848"/>
      <w:bookmarkEnd w:id="849"/>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854" w:name="_Toc188695377"/>
      <w:bookmarkStart w:id="855" w:name="_Toc187053316"/>
      <w:r>
        <w:rPr>
          <w:rStyle w:val="CharSectno"/>
        </w:rPr>
        <w:t>70G</w:t>
      </w:r>
      <w:r>
        <w:rPr>
          <w:snapToGrid w:val="0"/>
        </w:rPr>
        <w:t>.</w:t>
      </w:r>
      <w:r>
        <w:rPr>
          <w:snapToGrid w:val="0"/>
        </w:rPr>
        <w:tab/>
        <w:t>Survey of area of retention licence not required in first instance</w:t>
      </w:r>
      <w:bookmarkEnd w:id="850"/>
      <w:bookmarkEnd w:id="851"/>
      <w:bookmarkEnd w:id="852"/>
      <w:bookmarkEnd w:id="853"/>
      <w:bookmarkEnd w:id="854"/>
      <w:bookmarkEnd w:id="855"/>
      <w:r>
        <w:rPr>
          <w:snapToGrid w:val="0"/>
        </w:rPr>
        <w:t xml:space="preserve"> </w:t>
      </w:r>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 xml:space="preserve">A survey required under subsection (1) shall be —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 xml:space="preserve">[Section 70G inserted by No. 37 of 1993 s. 10(1); amended by No. 39 of 2004 s. 62.] </w:t>
      </w:r>
    </w:p>
    <w:p>
      <w:pPr>
        <w:pStyle w:val="Heading5"/>
        <w:rPr>
          <w:snapToGrid w:val="0"/>
        </w:rPr>
      </w:pPr>
      <w:bookmarkStart w:id="856" w:name="_Toc520087961"/>
      <w:bookmarkStart w:id="857" w:name="_Toc523620596"/>
      <w:bookmarkStart w:id="858" w:name="_Toc38853748"/>
      <w:bookmarkStart w:id="859" w:name="_Toc124061116"/>
      <w:bookmarkStart w:id="860" w:name="_Toc188695378"/>
      <w:bookmarkStart w:id="861" w:name="_Toc187053317"/>
      <w:r>
        <w:rPr>
          <w:rStyle w:val="CharSectno"/>
        </w:rPr>
        <w:t>70H</w:t>
      </w:r>
      <w:r>
        <w:rPr>
          <w:snapToGrid w:val="0"/>
        </w:rPr>
        <w:t>.</w:t>
      </w:r>
      <w:r>
        <w:rPr>
          <w:snapToGrid w:val="0"/>
        </w:rPr>
        <w:tab/>
        <w:t xml:space="preserve">Conditions attached to retention </w:t>
      </w:r>
      <w:bookmarkEnd w:id="856"/>
      <w:r>
        <w:rPr>
          <w:snapToGrid w:val="0"/>
        </w:rPr>
        <w:t>licence</w:t>
      </w:r>
      <w:bookmarkEnd w:id="857"/>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Every retention licence shall be deemed to be granted subject to the conditions that the holder of the licence shall — </w:t>
      </w:r>
    </w:p>
    <w:p>
      <w:pPr>
        <w:pStyle w:val="Indenta"/>
      </w:pPr>
      <w:r>
        <w:tab/>
        <w:t>(aa)</w:t>
      </w:r>
      <w:r>
        <w:tab/>
        <w:t xml:space="preserve">not use ground disturbing equipment when exploring for minerals on the land the subject of the licence unless —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 xml:space="preserve">[Section 70H inserted by No. 37 of 1993 s. 10(1); amended by No. 54 of 1996 s. 11; No. 17 of 1999 s. 12(2) and (3); No. 39 of 2004 s. 44 and 90(1).] </w:t>
      </w:r>
    </w:p>
    <w:p>
      <w:pPr>
        <w:pStyle w:val="Heading5"/>
        <w:rPr>
          <w:snapToGrid w:val="0"/>
        </w:rPr>
      </w:pPr>
      <w:bookmarkStart w:id="862" w:name="_Toc520087962"/>
      <w:bookmarkStart w:id="863" w:name="_Toc523620597"/>
      <w:bookmarkStart w:id="864" w:name="_Toc38853749"/>
      <w:bookmarkStart w:id="865" w:name="_Toc124061117"/>
      <w:bookmarkStart w:id="866" w:name="_Toc188695379"/>
      <w:bookmarkStart w:id="867" w:name="_Toc187053318"/>
      <w:r>
        <w:rPr>
          <w:rStyle w:val="CharSectno"/>
        </w:rPr>
        <w:t>70I</w:t>
      </w:r>
      <w:r>
        <w:rPr>
          <w:snapToGrid w:val="0"/>
        </w:rPr>
        <w:t>.</w:t>
      </w:r>
      <w:r>
        <w:rPr>
          <w:snapToGrid w:val="0"/>
        </w:rPr>
        <w:tab/>
        <w:t>Conditions for prevention or reduction of injury to land</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 xml:space="preserve">[Section 70I inserted by No. 37 of 1993 s. 10(1).] </w:t>
      </w:r>
    </w:p>
    <w:p>
      <w:pPr>
        <w:pStyle w:val="Heading5"/>
        <w:rPr>
          <w:snapToGrid w:val="0"/>
        </w:rPr>
      </w:pPr>
      <w:bookmarkStart w:id="868" w:name="_Toc520087963"/>
      <w:bookmarkStart w:id="869" w:name="_Toc523620598"/>
      <w:bookmarkStart w:id="870" w:name="_Toc38853750"/>
      <w:bookmarkStart w:id="871" w:name="_Toc124061118"/>
      <w:bookmarkStart w:id="872" w:name="_Toc188695380"/>
      <w:bookmarkStart w:id="873" w:name="_Toc187053319"/>
      <w:r>
        <w:rPr>
          <w:rStyle w:val="CharSectno"/>
        </w:rPr>
        <w:t>70IA</w:t>
      </w:r>
      <w:r>
        <w:rPr>
          <w:snapToGrid w:val="0"/>
        </w:rPr>
        <w:t>.</w:t>
      </w:r>
      <w:r>
        <w:rPr>
          <w:snapToGrid w:val="0"/>
        </w:rPr>
        <w:tab/>
        <w:t>Programme of work</w:t>
      </w:r>
      <w:bookmarkEnd w:id="868"/>
      <w:bookmarkEnd w:id="869"/>
      <w:bookmarkEnd w:id="870"/>
      <w:bookmarkEnd w:id="871"/>
      <w:bookmarkEnd w:id="872"/>
      <w:bookmarkEnd w:id="87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 xml:space="preserve">In subsection (1) — </w:t>
      </w:r>
    </w:p>
    <w:p>
      <w:pPr>
        <w:pStyle w:val="Defstart"/>
      </w:pPr>
      <w:r>
        <w:tab/>
      </w:r>
      <w:r>
        <w:rPr>
          <w:b/>
        </w:rPr>
        <w:t>“</w:t>
      </w:r>
      <w:r>
        <w:rPr>
          <w:rStyle w:val="CharDefText"/>
        </w:rPr>
        <w:t>specified</w:t>
      </w:r>
      <w:r>
        <w:rPr>
          <w:b/>
        </w:rPr>
        <w:t>”</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874" w:name="_Toc520087964"/>
      <w:bookmarkStart w:id="875" w:name="_Toc523620599"/>
      <w:bookmarkStart w:id="876" w:name="_Toc38853751"/>
      <w:bookmarkStart w:id="877" w:name="_Toc124061119"/>
      <w:bookmarkStart w:id="878" w:name="_Toc188695381"/>
      <w:bookmarkStart w:id="879" w:name="_Toc187053320"/>
      <w:r>
        <w:rPr>
          <w:rStyle w:val="CharSectno"/>
        </w:rPr>
        <w:t>70J</w:t>
      </w:r>
      <w:r>
        <w:rPr>
          <w:snapToGrid w:val="0"/>
        </w:rPr>
        <w:t>.</w:t>
      </w:r>
      <w:r>
        <w:rPr>
          <w:snapToGrid w:val="0"/>
        </w:rPr>
        <w:tab/>
        <w:t xml:space="preserve">Rights conferred by retention </w:t>
      </w:r>
      <w:bookmarkEnd w:id="874"/>
      <w:r>
        <w:rPr>
          <w:snapToGrid w:val="0"/>
        </w:rPr>
        <w:t>licence</w:t>
      </w:r>
      <w:bookmarkEnd w:id="875"/>
      <w:bookmarkEnd w:id="876"/>
      <w:bookmarkEnd w:id="877"/>
      <w:bookmarkEnd w:id="878"/>
      <w:bookmarkEnd w:id="879"/>
      <w:r>
        <w:rPr>
          <w:snapToGrid w:val="0"/>
        </w:rPr>
        <w:t xml:space="preserve"> </w:t>
      </w:r>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 xml:space="preserve">[Section 70J inserted by No. 37 of 1993 s. 10(1); amended by No. 5 of 1997 s. 41(2).] </w:t>
      </w:r>
    </w:p>
    <w:p>
      <w:pPr>
        <w:pStyle w:val="Heading5"/>
        <w:spacing w:before="260"/>
        <w:rPr>
          <w:snapToGrid w:val="0"/>
        </w:rPr>
      </w:pPr>
      <w:bookmarkStart w:id="880" w:name="_Toc520087965"/>
      <w:bookmarkStart w:id="881" w:name="_Toc523620600"/>
      <w:bookmarkStart w:id="882" w:name="_Toc38853752"/>
      <w:bookmarkStart w:id="883" w:name="_Toc124061120"/>
      <w:bookmarkStart w:id="884" w:name="_Toc188695382"/>
      <w:bookmarkStart w:id="885" w:name="_Toc187053321"/>
      <w:r>
        <w:rPr>
          <w:rStyle w:val="CharSectno"/>
        </w:rPr>
        <w:t>70K</w:t>
      </w:r>
      <w:r>
        <w:rPr>
          <w:snapToGrid w:val="0"/>
        </w:rPr>
        <w:t>.</w:t>
      </w:r>
      <w:r>
        <w:rPr>
          <w:snapToGrid w:val="0"/>
        </w:rPr>
        <w:tab/>
        <w:t>When retention licence liable to forfeiture</w:t>
      </w:r>
      <w:bookmarkEnd w:id="880"/>
      <w:bookmarkEnd w:id="881"/>
      <w:bookmarkEnd w:id="882"/>
      <w:bookmarkEnd w:id="883"/>
      <w:bookmarkEnd w:id="884"/>
      <w:bookmarkEnd w:id="885"/>
      <w:r>
        <w:rPr>
          <w:snapToGrid w:val="0"/>
        </w:rPr>
        <w:t xml:space="preserve"> </w:t>
      </w:r>
    </w:p>
    <w:p>
      <w:pPr>
        <w:pStyle w:val="Subsection"/>
        <w:spacing w:before="200"/>
        <w:rPr>
          <w:snapToGrid w:val="0"/>
        </w:rPr>
      </w:pPr>
      <w:r>
        <w:rPr>
          <w:snapToGrid w:val="0"/>
        </w:rPr>
        <w:tab/>
      </w:r>
      <w:r>
        <w:rPr>
          <w:snapToGrid w:val="0"/>
        </w:rPr>
        <w:tab/>
        <w:t>A retention licence is liable to forfeiture if —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 xml:space="preserve">[Section 70K inserted by No. 37 of 1993 s. 10(1); amended by No. 58 of 1994 s. 26; No. 17 of 1999 s. 12(4); No. 39 of 2004 s. 37 and 97(2).] </w:t>
      </w:r>
    </w:p>
    <w:p>
      <w:pPr>
        <w:pStyle w:val="Heading5"/>
        <w:keepNext w:val="0"/>
        <w:spacing w:before="260"/>
        <w:rPr>
          <w:snapToGrid w:val="0"/>
        </w:rPr>
      </w:pPr>
      <w:bookmarkStart w:id="886" w:name="_Toc520087966"/>
      <w:bookmarkStart w:id="887" w:name="_Toc523620601"/>
      <w:bookmarkStart w:id="888" w:name="_Toc38853753"/>
      <w:bookmarkStart w:id="889" w:name="_Toc124061121"/>
      <w:bookmarkStart w:id="890" w:name="_Toc188695383"/>
      <w:bookmarkStart w:id="891" w:name="_Toc187053322"/>
      <w:r>
        <w:rPr>
          <w:rStyle w:val="CharSectno"/>
        </w:rPr>
        <w:t>70L</w:t>
      </w:r>
      <w:r>
        <w:rPr>
          <w:snapToGrid w:val="0"/>
        </w:rPr>
        <w:t>.</w:t>
      </w:r>
      <w:r>
        <w:rPr>
          <w:snapToGrid w:val="0"/>
        </w:rPr>
        <w:tab/>
        <w:t>Holder of retention licence to have priority for grant of mining lease or general purpose lease</w:t>
      </w:r>
      <w:bookmarkEnd w:id="886"/>
      <w:bookmarkEnd w:id="887"/>
      <w:bookmarkEnd w:id="888"/>
      <w:bookmarkEnd w:id="889"/>
      <w:bookmarkEnd w:id="890"/>
      <w:bookmarkEnd w:id="891"/>
      <w:r>
        <w:rPr>
          <w:snapToGrid w:val="0"/>
        </w:rPr>
        <w:t xml:space="preserve"> </w:t>
      </w:r>
    </w:p>
    <w:p>
      <w:pPr>
        <w:pStyle w:val="Subsection"/>
        <w:spacing w:before="200"/>
        <w:rPr>
          <w:snapToGrid w:val="0"/>
        </w:rPr>
      </w:pPr>
      <w:r>
        <w:rPr>
          <w:snapToGrid w:val="0"/>
        </w:rPr>
        <w:tab/>
        <w:t>(1)</w:t>
      </w:r>
      <w:r>
        <w:rPr>
          <w:snapToGrid w:val="0"/>
        </w:rPr>
        <w:tab/>
        <w:t>The holder of a retention licence has —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 xml:space="preserve">If, after an application is made under subsection (1) in respect of land the subject of a retention licence —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 xml:space="preserve">[Section 70L inserted by No. 37 of 1993 s. 10(1); amended by No. 58 of 1994 s. 29(3); No. 17 of 1999 s. 12(5) and 13.] </w:t>
      </w:r>
    </w:p>
    <w:p>
      <w:pPr>
        <w:pStyle w:val="Heading5"/>
        <w:rPr>
          <w:snapToGrid w:val="0"/>
        </w:rPr>
      </w:pPr>
      <w:bookmarkStart w:id="892" w:name="_Toc520087967"/>
      <w:bookmarkStart w:id="893" w:name="_Toc523620602"/>
      <w:bookmarkStart w:id="894" w:name="_Toc38853754"/>
      <w:bookmarkStart w:id="895" w:name="_Toc124061122"/>
      <w:bookmarkStart w:id="896" w:name="_Toc188695384"/>
      <w:bookmarkStart w:id="897" w:name="_Toc187053323"/>
      <w:r>
        <w:rPr>
          <w:rStyle w:val="CharSectno"/>
        </w:rPr>
        <w:t>70M</w:t>
      </w:r>
      <w:r>
        <w:rPr>
          <w:snapToGrid w:val="0"/>
        </w:rPr>
        <w:t>.</w:t>
      </w:r>
      <w:r>
        <w:rPr>
          <w:snapToGrid w:val="0"/>
        </w:rPr>
        <w:tab/>
        <w:t>Holder of retention licence to show cause why mining lease should not be applied for</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 xml:space="preserve">[Section 70M inserted by No. 37 of 1993 s. 10(1).] </w:t>
      </w:r>
    </w:p>
    <w:p>
      <w:pPr>
        <w:pStyle w:val="Heading5"/>
        <w:rPr>
          <w:snapToGrid w:val="0"/>
        </w:rPr>
      </w:pPr>
      <w:bookmarkStart w:id="898" w:name="_Toc520087968"/>
      <w:bookmarkStart w:id="899" w:name="_Toc523620603"/>
      <w:bookmarkStart w:id="900" w:name="_Toc38853755"/>
      <w:bookmarkStart w:id="901" w:name="_Toc124061123"/>
      <w:bookmarkStart w:id="902" w:name="_Toc188695385"/>
      <w:bookmarkStart w:id="903" w:name="_Toc187053324"/>
      <w:r>
        <w:rPr>
          <w:rStyle w:val="CharSectno"/>
        </w:rPr>
        <w:t>70N</w:t>
      </w:r>
      <w:r>
        <w:rPr>
          <w:snapToGrid w:val="0"/>
        </w:rPr>
        <w:t>.</w:t>
      </w:r>
      <w:r>
        <w:rPr>
          <w:snapToGrid w:val="0"/>
        </w:rPr>
        <w:tab/>
        <w:t>Land the subject of retention licence not to be again marked out for a certain period</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 xml:space="preserve">[Section 70N inserted by No. 37 of 1993 s. 10(1).] </w:t>
      </w:r>
    </w:p>
    <w:p>
      <w:pPr>
        <w:pStyle w:val="Heading3"/>
        <w:rPr>
          <w:snapToGrid w:val="0"/>
        </w:rPr>
      </w:pPr>
      <w:bookmarkStart w:id="904" w:name="_Toc87427633"/>
      <w:bookmarkStart w:id="905" w:name="_Toc87851208"/>
      <w:bookmarkStart w:id="906" w:name="_Toc88295431"/>
      <w:bookmarkStart w:id="907" w:name="_Toc89519090"/>
      <w:bookmarkStart w:id="908" w:name="_Toc90869215"/>
      <w:bookmarkStart w:id="909" w:name="_Toc91407987"/>
      <w:bookmarkStart w:id="910" w:name="_Toc92863731"/>
      <w:bookmarkStart w:id="911" w:name="_Toc95015099"/>
      <w:bookmarkStart w:id="912" w:name="_Toc95106806"/>
      <w:bookmarkStart w:id="913" w:name="_Toc97018606"/>
      <w:bookmarkStart w:id="914" w:name="_Toc101693559"/>
      <w:bookmarkStart w:id="915" w:name="_Toc103130429"/>
      <w:bookmarkStart w:id="916" w:name="_Toc104711079"/>
      <w:bookmarkStart w:id="917" w:name="_Toc121560064"/>
      <w:bookmarkStart w:id="918" w:name="_Toc122328505"/>
      <w:bookmarkStart w:id="919" w:name="_Toc124061124"/>
      <w:bookmarkStart w:id="920" w:name="_Toc124139979"/>
      <w:bookmarkStart w:id="921" w:name="_Toc127174737"/>
      <w:bookmarkStart w:id="922" w:name="_Toc127349081"/>
      <w:bookmarkStart w:id="923" w:name="_Toc127762265"/>
      <w:bookmarkStart w:id="924" w:name="_Toc127842327"/>
      <w:bookmarkStart w:id="925" w:name="_Toc128379938"/>
      <w:bookmarkStart w:id="926" w:name="_Toc130106554"/>
      <w:bookmarkStart w:id="927" w:name="_Toc130106834"/>
      <w:bookmarkStart w:id="928" w:name="_Toc130110731"/>
      <w:bookmarkStart w:id="929" w:name="_Toc130276942"/>
      <w:bookmarkStart w:id="930" w:name="_Toc131408467"/>
      <w:bookmarkStart w:id="931" w:name="_Toc132530234"/>
      <w:bookmarkStart w:id="932" w:name="_Toc142194291"/>
      <w:bookmarkStart w:id="933" w:name="_Toc162778376"/>
      <w:bookmarkStart w:id="934" w:name="_Toc162840960"/>
      <w:bookmarkStart w:id="935" w:name="_Toc162932796"/>
      <w:bookmarkStart w:id="936" w:name="_Toc187053325"/>
      <w:bookmarkStart w:id="937" w:name="_Toc188695386"/>
      <w:r>
        <w:rPr>
          <w:rStyle w:val="CharDivNo"/>
        </w:rPr>
        <w:t>Division 3</w:t>
      </w:r>
      <w:r>
        <w:rPr>
          <w:snapToGrid w:val="0"/>
        </w:rPr>
        <w:t> — </w:t>
      </w:r>
      <w:r>
        <w:rPr>
          <w:rStyle w:val="CharDivText"/>
        </w:rPr>
        <w:t>Mining lease</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rStyle w:val="CharDivText"/>
        </w:rPr>
        <w:t xml:space="preserve"> </w:t>
      </w:r>
    </w:p>
    <w:p>
      <w:pPr>
        <w:pStyle w:val="Heading5"/>
      </w:pPr>
      <w:bookmarkStart w:id="938" w:name="_Toc188695387"/>
      <w:bookmarkStart w:id="939" w:name="_Toc187053326"/>
      <w:bookmarkStart w:id="940" w:name="_Toc520087969"/>
      <w:bookmarkStart w:id="941" w:name="_Toc523620604"/>
      <w:bookmarkStart w:id="942" w:name="_Toc38853756"/>
      <w:bookmarkStart w:id="943" w:name="_Toc124061125"/>
      <w:r>
        <w:rPr>
          <w:rStyle w:val="CharSectno"/>
        </w:rPr>
        <w:t>70O</w:t>
      </w:r>
      <w:r>
        <w:t>.</w:t>
      </w:r>
      <w:r>
        <w:tab/>
        <w:t>Definitions</w:t>
      </w:r>
      <w:bookmarkEnd w:id="938"/>
      <w:bookmarkEnd w:id="939"/>
    </w:p>
    <w:p>
      <w:pPr>
        <w:pStyle w:val="Subsection"/>
      </w:pPr>
      <w:r>
        <w:tab/>
        <w:t>(1)</w:t>
      </w:r>
      <w:r>
        <w:tab/>
        <w:t xml:space="preserve">In this Division — </w:t>
      </w:r>
    </w:p>
    <w:p>
      <w:pPr>
        <w:pStyle w:val="Defstart"/>
      </w:pPr>
      <w:r>
        <w:rPr>
          <w:b/>
        </w:rPr>
        <w:tab/>
        <w:t>“</w:t>
      </w:r>
      <w:r>
        <w:rPr>
          <w:rStyle w:val="CharDefText"/>
        </w:rPr>
        <w:t>guidelines</w:t>
      </w:r>
      <w:r>
        <w:rPr>
          <w:b/>
        </w:rPr>
        <w:t>”</w:t>
      </w:r>
      <w:r>
        <w:t xml:space="preserve"> means guidelines approved by the Director General of Mines for the purposes of this Division;</w:t>
      </w:r>
    </w:p>
    <w:p>
      <w:pPr>
        <w:pStyle w:val="Defstart"/>
      </w:pPr>
      <w:r>
        <w:rPr>
          <w:b/>
        </w:rPr>
        <w:tab/>
        <w:t>“</w:t>
      </w:r>
      <w:r>
        <w:rPr>
          <w:rStyle w:val="CharDefText"/>
        </w:rPr>
        <w:t>mining proposal</w:t>
      </w:r>
      <w:r>
        <w:rPr>
          <w:b/>
        </w:rPr>
        <w:t>”</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t>“</w:t>
      </w:r>
      <w:r>
        <w:rPr>
          <w:rStyle w:val="CharDefText"/>
        </w:rPr>
        <w:t>significant mineralisation</w:t>
      </w:r>
      <w:r>
        <w:rPr>
          <w:b/>
        </w:rPr>
        <w:t>”</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944" w:name="_Toc188695388"/>
      <w:bookmarkStart w:id="945" w:name="_Toc187053327"/>
      <w:r>
        <w:rPr>
          <w:rStyle w:val="CharSectno"/>
        </w:rPr>
        <w:t>70P</w:t>
      </w:r>
      <w:r>
        <w:t>.</w:t>
      </w:r>
      <w:r>
        <w:tab/>
        <w:t>Guidelines to be publicly available</w:t>
      </w:r>
      <w:bookmarkEnd w:id="944"/>
      <w:bookmarkEnd w:id="945"/>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946" w:name="_Toc188695389"/>
      <w:bookmarkStart w:id="947" w:name="_Toc187053328"/>
      <w:r>
        <w:rPr>
          <w:rStyle w:val="CharSectno"/>
        </w:rPr>
        <w:t>71</w:t>
      </w:r>
      <w:r>
        <w:rPr>
          <w:snapToGrid w:val="0"/>
        </w:rPr>
        <w:t>.</w:t>
      </w:r>
      <w:r>
        <w:rPr>
          <w:snapToGrid w:val="0"/>
        </w:rPr>
        <w:tab/>
        <w:t>Grant of mining lease</w:t>
      </w:r>
      <w:bookmarkEnd w:id="940"/>
      <w:bookmarkEnd w:id="941"/>
      <w:bookmarkEnd w:id="942"/>
      <w:bookmarkEnd w:id="943"/>
      <w:bookmarkEnd w:id="946"/>
      <w:bookmarkEnd w:id="947"/>
      <w:r>
        <w:rPr>
          <w:snapToGrid w:val="0"/>
        </w:rPr>
        <w:t xml:space="preserve"> </w:t>
      </w:r>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 xml:space="preserve">[Section 71 amended by No. 122 of 1982 s. 20; No. 58 of 1994 s. 29(4).] </w:t>
      </w:r>
    </w:p>
    <w:p>
      <w:pPr>
        <w:pStyle w:val="Heading5"/>
        <w:rPr>
          <w:snapToGrid w:val="0"/>
        </w:rPr>
      </w:pPr>
      <w:bookmarkStart w:id="948" w:name="_Toc520087970"/>
      <w:bookmarkStart w:id="949" w:name="_Toc523620605"/>
      <w:bookmarkStart w:id="950" w:name="_Toc38853757"/>
      <w:bookmarkStart w:id="951" w:name="_Toc124061126"/>
      <w:bookmarkStart w:id="952" w:name="_Toc188695390"/>
      <w:bookmarkStart w:id="953" w:name="_Toc187053329"/>
      <w:r>
        <w:rPr>
          <w:rStyle w:val="CharSectno"/>
        </w:rPr>
        <w:t>72</w:t>
      </w:r>
      <w:r>
        <w:rPr>
          <w:snapToGrid w:val="0"/>
        </w:rPr>
        <w:t>.</w:t>
      </w:r>
      <w:r>
        <w:rPr>
          <w:snapToGrid w:val="0"/>
        </w:rPr>
        <w:tab/>
        <w:t>Person may be granted more than one mining lease</w:t>
      </w:r>
      <w:bookmarkEnd w:id="948"/>
      <w:bookmarkEnd w:id="949"/>
      <w:bookmarkEnd w:id="950"/>
      <w:bookmarkEnd w:id="951"/>
      <w:bookmarkEnd w:id="952"/>
      <w:bookmarkEnd w:id="953"/>
      <w:r>
        <w:rPr>
          <w:snapToGrid w:val="0"/>
        </w:rPr>
        <w:t xml:space="preserve"> </w:t>
      </w:r>
    </w:p>
    <w:p>
      <w:pPr>
        <w:pStyle w:val="Subsection"/>
        <w:rPr>
          <w:snapToGrid w:val="0"/>
        </w:rPr>
      </w:pPr>
      <w:r>
        <w:rPr>
          <w:snapToGrid w:val="0"/>
        </w:rPr>
        <w:tab/>
      </w:r>
      <w:r>
        <w:rPr>
          <w:snapToGrid w:val="0"/>
        </w:rPr>
        <w:tab/>
        <w:t>Any person may be granted more than one mining lease.</w:t>
      </w:r>
    </w:p>
    <w:p>
      <w:pPr>
        <w:pStyle w:val="Heading5"/>
      </w:pPr>
      <w:bookmarkStart w:id="954" w:name="_Toc188695391"/>
      <w:bookmarkStart w:id="955" w:name="_Toc187053330"/>
      <w:bookmarkStart w:id="956" w:name="_Toc520087972"/>
      <w:bookmarkStart w:id="957" w:name="_Toc523620607"/>
      <w:bookmarkStart w:id="958" w:name="_Toc38853759"/>
      <w:bookmarkStart w:id="959" w:name="_Toc124061128"/>
      <w:r>
        <w:rPr>
          <w:rStyle w:val="CharSectno"/>
        </w:rPr>
        <w:t>73</w:t>
      </w:r>
      <w:r>
        <w:t>.</w:t>
      </w:r>
      <w:r>
        <w:tab/>
        <w:t>Area of mining lease may be less than area sought</w:t>
      </w:r>
      <w:bookmarkEnd w:id="954"/>
      <w:bookmarkEnd w:id="955"/>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960" w:name="_Toc188695392"/>
      <w:bookmarkStart w:id="961" w:name="_Toc187053331"/>
      <w:r>
        <w:rPr>
          <w:rStyle w:val="CharSectno"/>
        </w:rPr>
        <w:t>74</w:t>
      </w:r>
      <w:r>
        <w:rPr>
          <w:snapToGrid w:val="0"/>
        </w:rPr>
        <w:t>.</w:t>
      </w:r>
      <w:r>
        <w:rPr>
          <w:snapToGrid w:val="0"/>
        </w:rPr>
        <w:tab/>
        <w:t>Application for mining lease</w:t>
      </w:r>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An application for a mining lease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 xml:space="preserve">shall be accompanied by —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 xml:space="preserve">The statement referred to in subsection (1)(ca)(ii) shall set out information about the mining operations that are likely to be carried out in, on or under the land to which the application relates including information as to —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 xml:space="preserve">tion — </w:t>
      </w:r>
    </w:p>
    <w:p>
      <w:pPr>
        <w:pStyle w:val="Defstart"/>
      </w:pPr>
      <w:r>
        <w:rPr>
          <w:b/>
        </w:rPr>
        <w:tab/>
        <w:t>“</w:t>
      </w:r>
      <w:r>
        <w:rPr>
          <w:rStyle w:val="CharDefText"/>
        </w:rPr>
        <w:t>likely</w:t>
      </w:r>
      <w:r>
        <w:rPr>
          <w:b/>
        </w:rPr>
        <w:t>”</w:t>
      </w:r>
      <w:r>
        <w:t xml:space="preserve"> means reasonably likely having regard to the information available to the applicant when the application is made;</w:t>
      </w:r>
    </w:p>
    <w:p>
      <w:pPr>
        <w:pStyle w:val="Defstart"/>
      </w:pPr>
      <w:r>
        <w:rPr>
          <w:b/>
        </w:rPr>
        <w:tab/>
        <w:t>“</w:t>
      </w:r>
      <w:r>
        <w:rPr>
          <w:rStyle w:val="CharDefText"/>
        </w:rPr>
        <w:t>mineralisation report</w:t>
      </w:r>
      <w:r>
        <w:rPr>
          <w:b/>
        </w:rPr>
        <w:t>”</w:t>
      </w:r>
      <w:r>
        <w:t xml:space="preserve"> means a report that sets out details of exploration results in respect of a deposit of minerals located in, on or under the land to which the application relates, including details of —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t>“</w:t>
      </w:r>
      <w:r>
        <w:rPr>
          <w:rStyle w:val="CharDefText"/>
        </w:rPr>
        <w:t>qualified person</w:t>
      </w:r>
      <w:r>
        <w:rPr>
          <w:b/>
        </w:rPr>
        <w:t>”</w:t>
      </w:r>
      <w:r>
        <w:t xml:space="preserve"> means a person who —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 xml:space="preserve">[Section 74 amended by No. 100 of 1985 s. 50; No. 37 of 1993 s. 26 and 28(1); No. 58 of 1994 s. 28; No. 39 of 2004 s. 29.] </w:t>
      </w:r>
    </w:p>
    <w:p>
      <w:pPr>
        <w:pStyle w:val="Heading5"/>
      </w:pPr>
      <w:bookmarkStart w:id="962" w:name="_Toc188695393"/>
      <w:bookmarkStart w:id="963" w:name="_Toc187053332"/>
      <w:bookmarkStart w:id="964" w:name="_Toc520087973"/>
      <w:bookmarkStart w:id="965" w:name="_Toc523620608"/>
      <w:bookmarkStart w:id="966" w:name="_Toc38853760"/>
      <w:bookmarkStart w:id="967" w:name="_Toc124061129"/>
      <w:r>
        <w:rPr>
          <w:rStyle w:val="CharSectno"/>
        </w:rPr>
        <w:t>74A</w:t>
      </w:r>
      <w:r>
        <w:t>.</w:t>
      </w:r>
      <w:r>
        <w:tab/>
        <w:t>Report on significant mineralisation required for certain applications</w:t>
      </w:r>
      <w:bookmarkEnd w:id="962"/>
      <w:bookmarkEnd w:id="963"/>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 xml:space="preserve">The regulations may require a person to pay a fee specified in the regulations —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 xml:space="preserve">In this section — </w:t>
      </w:r>
    </w:p>
    <w:p>
      <w:pPr>
        <w:pStyle w:val="Defstart"/>
      </w:pPr>
      <w:r>
        <w:rPr>
          <w:b/>
        </w:rPr>
        <w:tab/>
        <w:t>“</w:t>
      </w:r>
      <w:r>
        <w:rPr>
          <w:rStyle w:val="CharDefText"/>
        </w:rPr>
        <w:t>mineralisation report</w:t>
      </w:r>
      <w:r>
        <w:rPr>
          <w:b/>
        </w:rPr>
        <w: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968" w:name="_Toc188695394"/>
      <w:bookmarkStart w:id="969" w:name="_Toc187053333"/>
      <w:r>
        <w:rPr>
          <w:rStyle w:val="CharSectno"/>
        </w:rPr>
        <w:t>75</w:t>
      </w:r>
      <w:r>
        <w:rPr>
          <w:snapToGrid w:val="0"/>
        </w:rPr>
        <w:t>.</w:t>
      </w:r>
      <w:r>
        <w:rPr>
          <w:snapToGrid w:val="0"/>
        </w:rPr>
        <w:tab/>
        <w:t>Determination of application for mining lease</w:t>
      </w:r>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 xml:space="preserve">If the application for the mining lease is accompanied by the documentation referred to in section 74(1)(ca)(ii), the mining registrar shall not forward a report under subsection (2) unless —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w:t>
      </w:r>
      <w:r>
        <w:t> (4a), if</w:t>
      </w:r>
      <w:r>
        <w:rPr>
          <w:snapToGrid w:val="0"/>
        </w:rPr>
        <w:t xml:space="preserve"> a notice of objection —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 xml:space="preserve">In this section — </w:t>
      </w:r>
    </w:p>
    <w:p>
      <w:pPr>
        <w:pStyle w:val="Defstart"/>
      </w:pPr>
      <w:r>
        <w:rPr>
          <w:b/>
        </w:rPr>
        <w:tab/>
        <w:t>“</w:t>
      </w:r>
      <w:r>
        <w:rPr>
          <w:rStyle w:val="CharDefText"/>
        </w:rPr>
        <w:t>section 74A report</w:t>
      </w:r>
      <w:r>
        <w:rPr>
          <w:b/>
        </w:rPr>
        <w:t>”</w:t>
      </w:r>
      <w:r>
        <w:t xml:space="preserve"> means the report given to the Minister under section 74A.</w:t>
      </w:r>
    </w:p>
    <w:p>
      <w:pPr>
        <w:pStyle w:val="Footnotesection"/>
        <w:ind w:left="890" w:hanging="890"/>
      </w:pPr>
      <w:r>
        <w:tab/>
        <w:t xml:space="preserve">[Section 75 inserted by No. 58 of 1994 s. 29(1); amended by No. 52 of 1995 s. 29; No. 5 of 1997 s. 41(2); No. 39 of 2004 s. 31 and 63.] </w:t>
      </w:r>
    </w:p>
    <w:p>
      <w:pPr>
        <w:pStyle w:val="Heading5"/>
        <w:rPr>
          <w:snapToGrid w:val="0"/>
        </w:rPr>
      </w:pPr>
      <w:bookmarkStart w:id="970" w:name="_Toc520087974"/>
      <w:bookmarkStart w:id="971" w:name="_Toc523620609"/>
      <w:bookmarkStart w:id="972" w:name="_Toc38853761"/>
      <w:bookmarkStart w:id="973" w:name="_Toc124061130"/>
      <w:bookmarkStart w:id="974" w:name="_Toc188695395"/>
      <w:bookmarkStart w:id="975" w:name="_Toc187053334"/>
      <w:r>
        <w:rPr>
          <w:rStyle w:val="CharSectno"/>
        </w:rPr>
        <w:t>76</w:t>
      </w:r>
      <w:r>
        <w:rPr>
          <w:snapToGrid w:val="0"/>
        </w:rPr>
        <w:t>.</w:t>
      </w:r>
      <w:r>
        <w:rPr>
          <w:snapToGrid w:val="0"/>
        </w:rPr>
        <w:tab/>
        <w:t>Priorities as to mining tenements</w:t>
      </w:r>
      <w:bookmarkEnd w:id="970"/>
      <w:bookmarkEnd w:id="971"/>
      <w:bookmarkEnd w:id="972"/>
      <w:bookmarkEnd w:id="973"/>
      <w:bookmarkEnd w:id="974"/>
      <w:bookmarkEnd w:id="975"/>
      <w:r>
        <w:rPr>
          <w:snapToGrid w:val="0"/>
        </w:rPr>
        <w:t xml:space="preserve"> </w:t>
      </w:r>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 xml:space="preserve">[Section 76 amended by No. 100 of 1985 s. 52; No. 22 of 1990 s. 23; No. 37 of 1993 s. 12(2).] </w:t>
      </w:r>
    </w:p>
    <w:p>
      <w:pPr>
        <w:pStyle w:val="Ednotesection"/>
        <w:ind w:left="890" w:hanging="890"/>
      </w:pPr>
      <w:r>
        <w:t>[</w:t>
      </w:r>
      <w:r>
        <w:rPr>
          <w:b/>
        </w:rPr>
        <w:t>77.</w:t>
      </w:r>
      <w:r>
        <w:tab/>
        <w:t xml:space="preserve">Repealed by No. 122 of 1982 s. 22.] </w:t>
      </w:r>
    </w:p>
    <w:p>
      <w:pPr>
        <w:pStyle w:val="Heading5"/>
        <w:rPr>
          <w:snapToGrid w:val="0"/>
        </w:rPr>
      </w:pPr>
      <w:bookmarkStart w:id="976" w:name="_Toc520087975"/>
      <w:bookmarkStart w:id="977" w:name="_Toc523620610"/>
      <w:bookmarkStart w:id="978" w:name="_Toc38853762"/>
      <w:bookmarkStart w:id="979" w:name="_Toc124061131"/>
      <w:bookmarkStart w:id="980" w:name="_Toc188695396"/>
      <w:bookmarkStart w:id="981" w:name="_Toc187053335"/>
      <w:r>
        <w:rPr>
          <w:rStyle w:val="CharSectno"/>
        </w:rPr>
        <w:t>78</w:t>
      </w:r>
      <w:r>
        <w:rPr>
          <w:snapToGrid w:val="0"/>
        </w:rPr>
        <w:t>.</w:t>
      </w:r>
      <w:r>
        <w:rPr>
          <w:snapToGrid w:val="0"/>
        </w:rPr>
        <w:tab/>
        <w:t>Term of leases, options and renewals</w:t>
      </w:r>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Subject to this Act, a mining lease shall remain in force —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78 inserted by No. 100 of 1985 s. 53; amended by No. 1 of 1986 s. 5; No. 57 of 1997 s. 89(3); No. 17 of 1999 s. 14.] </w:t>
      </w:r>
    </w:p>
    <w:p>
      <w:pPr>
        <w:pStyle w:val="Heading5"/>
        <w:keepNext w:val="0"/>
        <w:keepLines w:val="0"/>
        <w:spacing w:before="180"/>
        <w:rPr>
          <w:snapToGrid w:val="0"/>
        </w:rPr>
      </w:pPr>
      <w:bookmarkStart w:id="982" w:name="_Toc520087976"/>
      <w:bookmarkStart w:id="983" w:name="_Toc523620611"/>
      <w:bookmarkStart w:id="984" w:name="_Toc38853763"/>
      <w:bookmarkStart w:id="985" w:name="_Toc124061132"/>
      <w:bookmarkStart w:id="986" w:name="_Toc188695397"/>
      <w:bookmarkStart w:id="987" w:name="_Toc187053336"/>
      <w:r>
        <w:rPr>
          <w:rStyle w:val="CharSectno"/>
        </w:rPr>
        <w:t>79</w:t>
      </w:r>
      <w:r>
        <w:rPr>
          <w:snapToGrid w:val="0"/>
        </w:rPr>
        <w:t>.</w:t>
      </w:r>
      <w:r>
        <w:rPr>
          <w:snapToGrid w:val="0"/>
        </w:rPr>
        <w:tab/>
        <w:t>Approval of application</w:t>
      </w:r>
      <w:bookmarkEnd w:id="982"/>
      <w:bookmarkEnd w:id="983"/>
      <w:bookmarkEnd w:id="984"/>
      <w:bookmarkEnd w:id="985"/>
      <w:bookmarkEnd w:id="986"/>
      <w:bookmarkEnd w:id="987"/>
      <w:r>
        <w:rPr>
          <w:snapToGrid w:val="0"/>
        </w:rPr>
        <w:t xml:space="preserve"> </w:t>
      </w:r>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988" w:name="_Toc520087977"/>
      <w:bookmarkStart w:id="989" w:name="_Toc523620612"/>
      <w:bookmarkStart w:id="990" w:name="_Toc38853764"/>
      <w:bookmarkStart w:id="991" w:name="_Toc124061133"/>
      <w:bookmarkStart w:id="992" w:name="_Toc188695398"/>
      <w:bookmarkStart w:id="993" w:name="_Toc187053337"/>
      <w:r>
        <w:rPr>
          <w:rStyle w:val="CharSectno"/>
        </w:rPr>
        <w:t>80</w:t>
      </w:r>
      <w:r>
        <w:rPr>
          <w:snapToGrid w:val="0"/>
        </w:rPr>
        <w:t>.</w:t>
      </w:r>
      <w:r>
        <w:rPr>
          <w:snapToGrid w:val="0"/>
        </w:rPr>
        <w:tab/>
        <w:t>Surveys of mining leases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repealed]</w:t>
      </w:r>
    </w:p>
    <w:p>
      <w:pPr>
        <w:pStyle w:val="Footnotesection"/>
        <w:ind w:left="890" w:hanging="890"/>
      </w:pPr>
      <w:r>
        <w:tab/>
        <w:t xml:space="preserve">[Section 80 inserted by No. 100 of 1985 s. 54; amended by No. 37 of 1993 s. 28(1).] </w:t>
      </w:r>
    </w:p>
    <w:p>
      <w:pPr>
        <w:pStyle w:val="Ednotesection"/>
        <w:ind w:left="890" w:hanging="890"/>
      </w:pPr>
      <w:r>
        <w:t>[</w:t>
      </w:r>
      <w:r>
        <w:rPr>
          <w:b/>
        </w:rPr>
        <w:t>81.</w:t>
      </w:r>
      <w:r>
        <w:tab/>
        <w:t xml:space="preserve">Repealed by No. 100 of 1985 s. 55.] </w:t>
      </w:r>
    </w:p>
    <w:p>
      <w:pPr>
        <w:pStyle w:val="Heading5"/>
        <w:rPr>
          <w:snapToGrid w:val="0"/>
        </w:rPr>
      </w:pPr>
      <w:bookmarkStart w:id="994" w:name="_Toc520087978"/>
      <w:bookmarkStart w:id="995" w:name="_Toc523620613"/>
      <w:bookmarkStart w:id="996" w:name="_Toc38853765"/>
      <w:bookmarkStart w:id="997" w:name="_Toc124061134"/>
      <w:bookmarkStart w:id="998" w:name="_Toc188695399"/>
      <w:bookmarkStart w:id="999" w:name="_Toc187053338"/>
      <w:r>
        <w:rPr>
          <w:rStyle w:val="CharSectno"/>
        </w:rPr>
        <w:t>82</w:t>
      </w:r>
      <w:r>
        <w:rPr>
          <w:snapToGrid w:val="0"/>
        </w:rPr>
        <w:t>.</w:t>
      </w:r>
      <w:r>
        <w:rPr>
          <w:snapToGrid w:val="0"/>
        </w:rPr>
        <w:tab/>
        <w:t>Covenants and conditions of lease</w:t>
      </w:r>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 xml:space="preserve">not use ground disturbing equipment when mining on such land unless —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pPr>
      <w:r>
        <w:tab/>
        <w:t>(1a)</w:t>
      </w:r>
      <w:r>
        <w:tab/>
        <w:t xml:space="preserve">In subsection (1)(ca)(ii) — </w:t>
      </w:r>
    </w:p>
    <w:p>
      <w:pPr>
        <w:pStyle w:val="Defstart"/>
      </w:pPr>
      <w:r>
        <w:rPr>
          <w:b/>
        </w:rPr>
        <w:tab/>
        <w:t>“</w:t>
      </w:r>
      <w:r>
        <w:rPr>
          <w:rStyle w:val="CharDefText"/>
        </w:rPr>
        <w:t>relevant mining proposal</w:t>
      </w:r>
      <w:r>
        <w:rPr>
          <w:b/>
        </w:rPr>
        <w:t>”</w:t>
      </w:r>
      <w:r>
        <w:t xml:space="preserv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 xml:space="preserve">[Section 82 amended by No. 100 of 1985 s. 56; No. 22 of 1990 s. 38; No. 37 of 1993 s. 28(1); No. 58 of 1994 s. 30; No. 54 of 1996 s. 12; No. 17 of 1999 s. 15(2); No. 15 of 2002 s. 28; No. 39 of 2004 s. 32(1), (2), 38, 45 and 97(3).] </w:t>
      </w:r>
    </w:p>
    <w:p>
      <w:pPr>
        <w:pStyle w:val="Heading5"/>
      </w:pPr>
      <w:bookmarkStart w:id="1000" w:name="_Toc188695400"/>
      <w:bookmarkStart w:id="1001" w:name="_Toc187053339"/>
      <w:bookmarkStart w:id="1002" w:name="_Toc520087979"/>
      <w:bookmarkStart w:id="1003" w:name="_Toc523620614"/>
      <w:bookmarkStart w:id="1004" w:name="_Toc38853766"/>
      <w:bookmarkStart w:id="1005" w:name="_Toc124061135"/>
      <w:r>
        <w:rPr>
          <w:rStyle w:val="CharSectno"/>
        </w:rPr>
        <w:t>82A</w:t>
      </w:r>
      <w:r>
        <w:t>.</w:t>
      </w:r>
      <w:r>
        <w:tab/>
        <w:t>Condition to be included in certain mining leases</w:t>
      </w:r>
      <w:bookmarkEnd w:id="1000"/>
      <w:bookmarkEnd w:id="1001"/>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 xml:space="preserve">Every mining lease to which this section applies shall be deemed to be granted subject to a condition requiring the lessee, before the lessee carries out mining operations of a prescribed kind on any part of the land the subject of the mining lease —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06" w:name="_Toc188695401"/>
      <w:bookmarkStart w:id="1007" w:name="_Toc187053340"/>
      <w:r>
        <w:rPr>
          <w:rStyle w:val="CharSectno"/>
        </w:rPr>
        <w:t>83</w:t>
      </w:r>
      <w:r>
        <w:rPr>
          <w:snapToGrid w:val="0"/>
        </w:rPr>
        <w:t>.</w:t>
      </w:r>
      <w:r>
        <w:rPr>
          <w:snapToGrid w:val="0"/>
        </w:rPr>
        <w:tab/>
        <w:t>Issue of mining leases</w:t>
      </w:r>
      <w:bookmarkEnd w:id="1002"/>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Every mining lease —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 xml:space="preserve">[Section 83 amended by No. 37 of 1993 s. 11.] </w:t>
      </w:r>
    </w:p>
    <w:p>
      <w:pPr>
        <w:pStyle w:val="Heading5"/>
        <w:rPr>
          <w:snapToGrid w:val="0"/>
        </w:rPr>
      </w:pPr>
      <w:bookmarkStart w:id="1008" w:name="_Toc520087980"/>
      <w:bookmarkStart w:id="1009" w:name="_Toc523620615"/>
      <w:bookmarkStart w:id="1010" w:name="_Toc38853767"/>
      <w:bookmarkStart w:id="1011" w:name="_Toc124061136"/>
      <w:bookmarkStart w:id="1012" w:name="_Toc188695402"/>
      <w:bookmarkStart w:id="1013" w:name="_Toc187053341"/>
      <w:r>
        <w:rPr>
          <w:rStyle w:val="CharSectno"/>
        </w:rPr>
        <w:t>84</w:t>
      </w:r>
      <w:r>
        <w:rPr>
          <w:snapToGrid w:val="0"/>
        </w:rPr>
        <w:t>.</w:t>
      </w:r>
      <w:r>
        <w:rPr>
          <w:snapToGrid w:val="0"/>
        </w:rPr>
        <w:tab/>
        <w:t>Conditions for prevention or reduction of injury to land</w:t>
      </w:r>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 xml:space="preserve">[Section 84 amended by No. 100 of 1985 s. 57.] </w:t>
      </w:r>
    </w:p>
    <w:p>
      <w:pPr>
        <w:pStyle w:val="Heading5"/>
        <w:spacing w:before="260"/>
      </w:pPr>
      <w:bookmarkStart w:id="1014" w:name="_Toc188695403"/>
      <w:bookmarkStart w:id="1015" w:name="_Toc187053342"/>
      <w:bookmarkStart w:id="1016" w:name="_Toc520087982"/>
      <w:bookmarkStart w:id="1017" w:name="_Toc523620617"/>
      <w:bookmarkStart w:id="1018" w:name="_Toc38853769"/>
      <w:bookmarkStart w:id="1019" w:name="_Toc124061138"/>
      <w:r>
        <w:rPr>
          <w:rStyle w:val="CharSectno"/>
        </w:rPr>
        <w:t>84A</w:t>
      </w:r>
      <w:r>
        <w:t>.</w:t>
      </w:r>
      <w:r>
        <w:tab/>
        <w:t>Security relating to mining lease</w:t>
      </w:r>
      <w:bookmarkEnd w:id="1014"/>
      <w:bookmarkEnd w:id="1015"/>
    </w:p>
    <w:p>
      <w:pPr>
        <w:pStyle w:val="Subsection"/>
        <w:spacing w:before="200"/>
      </w:pPr>
      <w:r>
        <w:tab/>
        <w:t>(1)</w:t>
      </w:r>
      <w:r>
        <w:tab/>
        <w:t xml:space="preserve">The applicant for a mining lease shall lodge at the office of the mining registrar, within the prescribed period, a security for compliance with —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20" w:name="_Toc188695404"/>
      <w:bookmarkStart w:id="1021" w:name="_Toc187053343"/>
      <w:r>
        <w:rPr>
          <w:rStyle w:val="CharSectno"/>
        </w:rPr>
        <w:t>85</w:t>
      </w:r>
      <w:r>
        <w:rPr>
          <w:snapToGrid w:val="0"/>
        </w:rPr>
        <w:t>.</w:t>
      </w:r>
      <w:r>
        <w:rPr>
          <w:snapToGrid w:val="0"/>
        </w:rPr>
        <w:tab/>
        <w:t>Rights of holder of mining lease</w:t>
      </w:r>
      <w:bookmarkEnd w:id="1016"/>
      <w:bookmarkEnd w:id="1017"/>
      <w:bookmarkEnd w:id="1018"/>
      <w:bookmarkEnd w:id="1019"/>
      <w:bookmarkEnd w:id="1020"/>
      <w:bookmarkEnd w:id="1021"/>
      <w:r>
        <w:rPr>
          <w:snapToGrid w:val="0"/>
        </w:rPr>
        <w:t xml:space="preserve"> </w:t>
      </w:r>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 xml:space="preserve">[Section 85 amended by No. 100 of 1985 s. 58; No. 39 of 2004 s. 34.] </w:t>
      </w:r>
    </w:p>
    <w:p>
      <w:pPr>
        <w:pStyle w:val="Heading5"/>
        <w:rPr>
          <w:snapToGrid w:val="0"/>
        </w:rPr>
      </w:pPr>
      <w:bookmarkStart w:id="1022" w:name="_Toc520087983"/>
      <w:bookmarkStart w:id="1023" w:name="_Toc523620618"/>
      <w:bookmarkStart w:id="1024" w:name="_Toc38853770"/>
      <w:bookmarkStart w:id="1025" w:name="_Toc124061139"/>
      <w:bookmarkStart w:id="1026" w:name="_Toc188695405"/>
      <w:bookmarkStart w:id="1027" w:name="_Toc187053344"/>
      <w:r>
        <w:rPr>
          <w:rStyle w:val="CharSectno"/>
        </w:rPr>
        <w:t>85A</w:t>
      </w:r>
      <w:r>
        <w:rPr>
          <w:snapToGrid w:val="0"/>
        </w:rPr>
        <w:t>.</w:t>
      </w:r>
      <w:r>
        <w:rPr>
          <w:snapToGrid w:val="0"/>
        </w:rPr>
        <w:tab/>
        <w:t>Land the subject of mining lease not to be again marked out for a certain period</w:t>
      </w:r>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 xml:space="preserve">[Section 85A inserted by No. 37 of 1993 s. 12(1); amended by No. 15 of 2002 s. 16.] </w:t>
      </w:r>
    </w:p>
    <w:p>
      <w:pPr>
        <w:pStyle w:val="Heading5"/>
        <w:keepNext w:val="0"/>
        <w:keepLines w:val="0"/>
        <w:rPr>
          <w:snapToGrid w:val="0"/>
        </w:rPr>
      </w:pPr>
      <w:bookmarkStart w:id="1028" w:name="_Toc520087984"/>
      <w:bookmarkStart w:id="1029" w:name="_Toc523620619"/>
      <w:bookmarkStart w:id="1030" w:name="_Toc38853771"/>
      <w:bookmarkStart w:id="1031" w:name="_Toc124061140"/>
      <w:bookmarkStart w:id="1032" w:name="_Toc188695406"/>
      <w:bookmarkStart w:id="1033" w:name="_Toc187053345"/>
      <w:r>
        <w:rPr>
          <w:rStyle w:val="CharSectno"/>
        </w:rPr>
        <w:t>85B</w:t>
      </w:r>
      <w:r>
        <w:rPr>
          <w:snapToGrid w:val="0"/>
        </w:rPr>
        <w:t>.</w:t>
      </w:r>
      <w:r>
        <w:rPr>
          <w:snapToGrid w:val="0"/>
        </w:rPr>
        <w:tab/>
        <w:t>Special prospecting licence on a mining lease</w:t>
      </w:r>
      <w:bookmarkEnd w:id="1028"/>
      <w:bookmarkEnd w:id="1029"/>
      <w:bookmarkEnd w:id="1030"/>
      <w:bookmarkEnd w:id="1031"/>
      <w:bookmarkEnd w:id="1032"/>
      <w:bookmarkEnd w:id="1033"/>
      <w:r>
        <w:rPr>
          <w:snapToGrid w:val="0"/>
        </w:rPr>
        <w:t xml:space="preserve"> </w:t>
      </w:r>
    </w:p>
    <w:p>
      <w:pPr>
        <w:pStyle w:val="Subsection"/>
        <w:rPr>
          <w:snapToGrid w:val="0"/>
        </w:rPr>
      </w:pPr>
      <w:r>
        <w:rPr>
          <w:snapToGrid w:val="0"/>
        </w:rPr>
        <w:tab/>
        <w:t>(1)</w:t>
      </w:r>
      <w:r>
        <w:rPr>
          <w:snapToGrid w:val="0"/>
        </w:rPr>
        <w:tab/>
        <w:t xml:space="preserve">Where any land is the subject of a mining lease (in this section called </w:t>
      </w:r>
      <w:r>
        <w:rPr>
          <w:b/>
          <w:snapToGrid w:val="0"/>
        </w:rPr>
        <w:t>“</w:t>
      </w:r>
      <w:r>
        <w:rPr>
          <w:rStyle w:val="CharDefText"/>
        </w:rPr>
        <w:t>the primary tenement</w:t>
      </w:r>
      <w:r>
        <w:rPr>
          <w:b/>
          <w:snapToGrid w:val="0"/>
        </w:rPr>
        <w:t>”</w:t>
      </w:r>
      <w:r>
        <w:rPr>
          <w:snapToGrid w:val="0"/>
        </w:rPr>
        <w:t xml:space="preserve">) then, notwithstanding section 117, a person may at any time mark out and, in accordance with section 41, apply for a prospecting licence for gold (in this section called a </w:t>
      </w:r>
      <w:r>
        <w:rPr>
          <w:b/>
          <w:snapToGrid w:val="0"/>
        </w:rPr>
        <w:t>“</w:t>
      </w:r>
      <w:r>
        <w:rPr>
          <w:rStyle w:val="CharDefText"/>
        </w:rPr>
        <w:t>special prospecting licence</w:t>
      </w:r>
      <w:r>
        <w:rPr>
          <w:b/>
          <w:snapToGrid w:val="0"/>
        </w:rPr>
        <w:t>”</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 xml:space="preserve">[Section 85B inserted by No. 37 of 1993 s. 12(1); amended by No. 58 of 1994 s. 31; No. 54 of 1996 s. 13 and 23; No. 10 of 2001 s. 134; No. 15 of 2002 s. 17; No. 39 of 2004 s. 10.] </w:t>
      </w:r>
    </w:p>
    <w:p>
      <w:pPr>
        <w:pStyle w:val="Heading3"/>
        <w:rPr>
          <w:snapToGrid w:val="0"/>
        </w:rPr>
      </w:pPr>
      <w:bookmarkStart w:id="1034" w:name="_Toc87427650"/>
      <w:bookmarkStart w:id="1035" w:name="_Toc87851225"/>
      <w:bookmarkStart w:id="1036" w:name="_Toc88295448"/>
      <w:bookmarkStart w:id="1037" w:name="_Toc89519107"/>
      <w:bookmarkStart w:id="1038" w:name="_Toc90869232"/>
      <w:bookmarkStart w:id="1039" w:name="_Toc91408004"/>
      <w:bookmarkStart w:id="1040" w:name="_Toc92863748"/>
      <w:bookmarkStart w:id="1041" w:name="_Toc95015116"/>
      <w:bookmarkStart w:id="1042" w:name="_Toc95106823"/>
      <w:bookmarkStart w:id="1043" w:name="_Toc97018623"/>
      <w:bookmarkStart w:id="1044" w:name="_Toc101693576"/>
      <w:bookmarkStart w:id="1045" w:name="_Toc103130446"/>
      <w:bookmarkStart w:id="1046" w:name="_Toc104711096"/>
      <w:bookmarkStart w:id="1047" w:name="_Toc121560081"/>
      <w:bookmarkStart w:id="1048" w:name="_Toc122328522"/>
      <w:bookmarkStart w:id="1049" w:name="_Toc124061141"/>
      <w:bookmarkStart w:id="1050" w:name="_Toc124139996"/>
      <w:bookmarkStart w:id="1051" w:name="_Toc127174758"/>
      <w:bookmarkStart w:id="1052" w:name="_Toc127349102"/>
      <w:bookmarkStart w:id="1053" w:name="_Toc127762286"/>
      <w:bookmarkStart w:id="1054" w:name="_Toc127842348"/>
      <w:bookmarkStart w:id="1055" w:name="_Toc128379959"/>
      <w:bookmarkStart w:id="1056" w:name="_Toc130106575"/>
      <w:bookmarkStart w:id="1057" w:name="_Toc130106855"/>
      <w:bookmarkStart w:id="1058" w:name="_Toc130110752"/>
      <w:bookmarkStart w:id="1059" w:name="_Toc130276963"/>
      <w:bookmarkStart w:id="1060" w:name="_Toc131408488"/>
      <w:bookmarkStart w:id="1061" w:name="_Toc132530255"/>
      <w:bookmarkStart w:id="1062" w:name="_Toc142194312"/>
      <w:bookmarkStart w:id="1063" w:name="_Toc162778397"/>
      <w:bookmarkStart w:id="1064" w:name="_Toc162840981"/>
      <w:bookmarkStart w:id="1065" w:name="_Toc162932817"/>
      <w:bookmarkStart w:id="1066" w:name="_Toc187053346"/>
      <w:bookmarkStart w:id="1067" w:name="_Toc188695407"/>
      <w:r>
        <w:rPr>
          <w:rStyle w:val="CharDivNo"/>
        </w:rPr>
        <w:t>Division 4</w:t>
      </w:r>
      <w:r>
        <w:rPr>
          <w:snapToGrid w:val="0"/>
        </w:rPr>
        <w:t> — </w:t>
      </w:r>
      <w:r>
        <w:rPr>
          <w:rStyle w:val="CharDivText"/>
        </w:rPr>
        <w:t>General purpose lease</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r>
        <w:rPr>
          <w:rStyle w:val="CharDivText"/>
        </w:rPr>
        <w:t xml:space="preserve"> </w:t>
      </w:r>
    </w:p>
    <w:p>
      <w:pPr>
        <w:pStyle w:val="Ednotesection"/>
      </w:pPr>
      <w:r>
        <w:t>[</w:t>
      </w:r>
      <w:r>
        <w:rPr>
          <w:b/>
        </w:rPr>
        <w:t>85C.</w:t>
      </w:r>
      <w:r>
        <w:tab/>
        <w:t xml:space="preserve">Repealed by No. 52 of 1995 s. 30.] </w:t>
      </w:r>
    </w:p>
    <w:p>
      <w:pPr>
        <w:pStyle w:val="Heading5"/>
        <w:rPr>
          <w:snapToGrid w:val="0"/>
        </w:rPr>
      </w:pPr>
      <w:bookmarkStart w:id="1068" w:name="_Toc520087985"/>
      <w:bookmarkStart w:id="1069" w:name="_Toc523620620"/>
      <w:bookmarkStart w:id="1070" w:name="_Toc38853772"/>
      <w:bookmarkStart w:id="1071" w:name="_Toc124061142"/>
      <w:bookmarkStart w:id="1072" w:name="_Toc188695408"/>
      <w:bookmarkStart w:id="1073" w:name="_Toc187053347"/>
      <w:r>
        <w:rPr>
          <w:rStyle w:val="CharSectno"/>
        </w:rPr>
        <w:t>86</w:t>
      </w:r>
      <w:r>
        <w:rPr>
          <w:snapToGrid w:val="0"/>
        </w:rPr>
        <w:t>.</w:t>
      </w:r>
      <w:r>
        <w:rPr>
          <w:snapToGrid w:val="0"/>
        </w:rPr>
        <w:tab/>
        <w:t>Grant of general purpose lease</w:t>
      </w:r>
      <w:bookmarkEnd w:id="1068"/>
      <w:bookmarkEnd w:id="1069"/>
      <w:bookmarkEnd w:id="1070"/>
      <w:bookmarkEnd w:id="1071"/>
      <w:bookmarkEnd w:id="1072"/>
      <w:bookmarkEnd w:id="1073"/>
      <w:r>
        <w:rPr>
          <w:snapToGrid w:val="0"/>
        </w:rPr>
        <w:t xml:space="preserve"> </w:t>
      </w:r>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 xml:space="preserve">[Section 86 amended by No. 100 of 1985 s. 59; No. 58 of 1994 s. 32; No. 17 of 1999 s. 16.] </w:t>
      </w:r>
    </w:p>
    <w:p>
      <w:pPr>
        <w:pStyle w:val="Heading5"/>
        <w:rPr>
          <w:snapToGrid w:val="0"/>
        </w:rPr>
      </w:pPr>
      <w:bookmarkStart w:id="1074" w:name="_Toc520087986"/>
      <w:bookmarkStart w:id="1075" w:name="_Toc523620621"/>
      <w:bookmarkStart w:id="1076" w:name="_Toc38853773"/>
      <w:bookmarkStart w:id="1077" w:name="_Toc124061143"/>
      <w:bookmarkStart w:id="1078" w:name="_Toc188695409"/>
      <w:bookmarkStart w:id="1079" w:name="_Toc187053348"/>
      <w:r>
        <w:rPr>
          <w:rStyle w:val="CharSectno"/>
        </w:rPr>
        <w:t>87</w:t>
      </w:r>
      <w:r>
        <w:rPr>
          <w:snapToGrid w:val="0"/>
        </w:rPr>
        <w:t>.</w:t>
      </w:r>
      <w:r>
        <w:rPr>
          <w:snapToGrid w:val="0"/>
        </w:rPr>
        <w:tab/>
        <w:t>Purposes for which general purpose lease may be granted</w:t>
      </w:r>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 xml:space="preserve">[Section 87 amended by No. 100 of 1985 s. 60.] </w:t>
      </w:r>
    </w:p>
    <w:p>
      <w:pPr>
        <w:pStyle w:val="Heading5"/>
        <w:rPr>
          <w:snapToGrid w:val="0"/>
        </w:rPr>
      </w:pPr>
      <w:bookmarkStart w:id="1080" w:name="_Toc520087987"/>
      <w:bookmarkStart w:id="1081" w:name="_Toc523620622"/>
      <w:bookmarkStart w:id="1082" w:name="_Toc38853774"/>
      <w:bookmarkStart w:id="1083" w:name="_Toc124061144"/>
      <w:bookmarkStart w:id="1084" w:name="_Toc188695410"/>
      <w:bookmarkStart w:id="1085" w:name="_Toc187053349"/>
      <w:r>
        <w:rPr>
          <w:rStyle w:val="CharSectno"/>
        </w:rPr>
        <w:t>88</w:t>
      </w:r>
      <w:r>
        <w:rPr>
          <w:snapToGrid w:val="0"/>
        </w:rPr>
        <w:t>.</w:t>
      </w:r>
      <w:r>
        <w:rPr>
          <w:snapToGrid w:val="0"/>
        </w:rPr>
        <w:tab/>
        <w:t>Term of general purpose lease</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Subject to this Act, a general purpose lease remains in force —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 xml:space="preserve">Notwithstanding subsection (1), on receipt of an application made in the prescribed manner during the final year of the term of the lease, the Minister — </w:t>
      </w:r>
    </w:p>
    <w:p>
      <w:pPr>
        <w:pStyle w:val="Indenta"/>
        <w:rPr>
          <w:snapToGrid w:val="0"/>
        </w:rPr>
      </w:pPr>
      <w:r>
        <w:rPr>
          <w:snapToGrid w:val="0"/>
        </w:rPr>
        <w:tab/>
        <w:t>(a)</w:t>
      </w:r>
      <w:r>
        <w:rPr>
          <w:snapToGrid w:val="0"/>
        </w:rPr>
        <w:tab/>
        <w:t xml:space="preserve">shall renew the term of the lease as to the whole of the land the subject of the lease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lease renewed under paragraph (a), renew or further renew the term of the lease as to the whole or any part of the land the subject of the lease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 xml:space="preserve">If, after an application for renewal is made under this section —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 xml:space="preserve">[Section 88 inserted by No. 100 of 1985 s. 61; amended by No. 105 of 1986 s. 11; No. 12 of 1987 s. 6; No. 17 of 1999 s. 17.] </w:t>
      </w:r>
    </w:p>
    <w:p>
      <w:pPr>
        <w:pStyle w:val="Heading5"/>
        <w:rPr>
          <w:snapToGrid w:val="0"/>
        </w:rPr>
      </w:pPr>
      <w:bookmarkStart w:id="1086" w:name="_Toc520087988"/>
      <w:bookmarkStart w:id="1087" w:name="_Toc523620623"/>
      <w:bookmarkStart w:id="1088" w:name="_Toc38853775"/>
      <w:bookmarkStart w:id="1089" w:name="_Toc124061145"/>
      <w:bookmarkStart w:id="1090" w:name="_Toc188695411"/>
      <w:bookmarkStart w:id="1091" w:name="_Toc187053350"/>
      <w:r>
        <w:rPr>
          <w:rStyle w:val="CharSectno"/>
        </w:rPr>
        <w:t>89</w:t>
      </w:r>
      <w:r>
        <w:rPr>
          <w:snapToGrid w:val="0"/>
        </w:rPr>
        <w:t>.</w:t>
      </w:r>
      <w:r>
        <w:rPr>
          <w:snapToGrid w:val="0"/>
        </w:rPr>
        <w:tab/>
        <w:t>Form of general purpose lease</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 xml:space="preserve">[Section 89 amended by No. 100 of 1985 s. 62.] </w:t>
      </w:r>
    </w:p>
    <w:p>
      <w:pPr>
        <w:pStyle w:val="Heading5"/>
      </w:pPr>
      <w:bookmarkStart w:id="1092" w:name="_Toc188695412"/>
      <w:bookmarkStart w:id="1093" w:name="_Toc187053351"/>
      <w:bookmarkStart w:id="1094" w:name="_Toc87427656"/>
      <w:bookmarkStart w:id="1095" w:name="_Toc87851231"/>
      <w:bookmarkStart w:id="1096" w:name="_Toc88295454"/>
      <w:bookmarkStart w:id="1097" w:name="_Toc89519113"/>
      <w:bookmarkStart w:id="1098" w:name="_Toc90869238"/>
      <w:bookmarkStart w:id="1099" w:name="_Toc91408010"/>
      <w:bookmarkStart w:id="1100" w:name="_Toc92863754"/>
      <w:bookmarkStart w:id="1101" w:name="_Toc95015122"/>
      <w:bookmarkStart w:id="1102" w:name="_Toc95106829"/>
      <w:bookmarkStart w:id="1103" w:name="_Toc97018629"/>
      <w:bookmarkStart w:id="1104" w:name="_Toc101693582"/>
      <w:bookmarkStart w:id="1105" w:name="_Toc103130452"/>
      <w:bookmarkStart w:id="1106" w:name="_Toc104711102"/>
      <w:bookmarkStart w:id="1107" w:name="_Toc121560087"/>
      <w:bookmarkStart w:id="1108" w:name="_Toc122328528"/>
      <w:bookmarkStart w:id="1109" w:name="_Toc124061147"/>
      <w:bookmarkStart w:id="1110" w:name="_Toc124140002"/>
      <w:r>
        <w:rPr>
          <w:rStyle w:val="CharSectno"/>
        </w:rPr>
        <w:t>90</w:t>
      </w:r>
      <w:r>
        <w:t>.</w:t>
      </w:r>
      <w:r>
        <w:tab/>
        <w:t>Application of certain provisions to general purpose leases</w:t>
      </w:r>
      <w:bookmarkEnd w:id="1092"/>
      <w:bookmarkEnd w:id="1093"/>
    </w:p>
    <w:p>
      <w:pPr>
        <w:pStyle w:val="Subsection"/>
      </w:pPr>
      <w:r>
        <w:tab/>
        <w:t>(1)</w:t>
      </w:r>
      <w:r>
        <w:tab/>
        <w:t xml:space="preserve">Section 6(1a), (1c) and (1d) apply, with such modifications as the circumstances require, to and in relation to a general purpose lease as if —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 xml:space="preserve">Section 74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 xml:space="preserve">Section 75 applies, with such modifications as the circumstances require, to and in relation to a general purpose lease as if —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rPr>
          <w:snapToGrid w:val="0"/>
        </w:rPr>
      </w:pPr>
      <w:bookmarkStart w:id="1111" w:name="_Toc127174764"/>
      <w:bookmarkStart w:id="1112" w:name="_Toc127349108"/>
      <w:bookmarkStart w:id="1113" w:name="_Toc127762292"/>
      <w:bookmarkStart w:id="1114" w:name="_Toc127842354"/>
      <w:bookmarkStart w:id="1115" w:name="_Toc128379965"/>
      <w:bookmarkStart w:id="1116" w:name="_Toc130106581"/>
      <w:bookmarkStart w:id="1117" w:name="_Toc130106861"/>
      <w:bookmarkStart w:id="1118" w:name="_Toc130110758"/>
      <w:bookmarkStart w:id="1119" w:name="_Toc130276969"/>
      <w:bookmarkStart w:id="1120" w:name="_Toc131408494"/>
      <w:bookmarkStart w:id="1121" w:name="_Toc132530261"/>
      <w:bookmarkStart w:id="1122" w:name="_Toc142194318"/>
      <w:bookmarkStart w:id="1123" w:name="_Toc162778403"/>
      <w:bookmarkStart w:id="1124" w:name="_Toc162840987"/>
      <w:bookmarkStart w:id="1125" w:name="_Toc162932823"/>
      <w:bookmarkStart w:id="1126" w:name="_Toc187053352"/>
      <w:bookmarkStart w:id="1127" w:name="_Toc188695413"/>
      <w:r>
        <w:rPr>
          <w:rStyle w:val="CharDivNo"/>
        </w:rPr>
        <w:t>Division 5</w:t>
      </w:r>
      <w:r>
        <w:rPr>
          <w:snapToGrid w:val="0"/>
        </w:rPr>
        <w:t> — </w:t>
      </w:r>
      <w:r>
        <w:rPr>
          <w:rStyle w:val="CharDivText"/>
        </w:rPr>
        <w:t>Miscellaneous licences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r>
        <w:rPr>
          <w:rStyle w:val="CharDivText"/>
        </w:rPr>
        <w:t xml:space="preserve"> </w:t>
      </w:r>
    </w:p>
    <w:p>
      <w:pPr>
        <w:pStyle w:val="Ednotesection"/>
        <w:ind w:left="890" w:hanging="890"/>
      </w:pPr>
      <w:r>
        <w:t>[</w:t>
      </w:r>
      <w:r>
        <w:rPr>
          <w:b/>
        </w:rPr>
        <w:t>90A.</w:t>
      </w:r>
      <w:r>
        <w:rPr>
          <w:b/>
        </w:rPr>
        <w:tab/>
      </w:r>
      <w:r>
        <w:t xml:space="preserve">Repealed by No. 52 of 1995 s. 31.] </w:t>
      </w:r>
    </w:p>
    <w:p>
      <w:pPr>
        <w:pStyle w:val="Heading5"/>
        <w:keepNext w:val="0"/>
        <w:keepLines w:val="0"/>
        <w:rPr>
          <w:snapToGrid w:val="0"/>
        </w:rPr>
      </w:pPr>
      <w:bookmarkStart w:id="1128" w:name="_Toc520087990"/>
      <w:bookmarkStart w:id="1129" w:name="_Toc523620625"/>
      <w:bookmarkStart w:id="1130" w:name="_Toc38853777"/>
      <w:bookmarkStart w:id="1131" w:name="_Toc124061148"/>
      <w:bookmarkStart w:id="1132" w:name="_Toc188695414"/>
      <w:bookmarkStart w:id="1133" w:name="_Toc187053353"/>
      <w:r>
        <w:rPr>
          <w:rStyle w:val="CharSectno"/>
        </w:rPr>
        <w:t>91</w:t>
      </w:r>
      <w:r>
        <w:rPr>
          <w:snapToGrid w:val="0"/>
        </w:rPr>
        <w:t>.</w:t>
      </w:r>
      <w:r>
        <w:rPr>
          <w:snapToGrid w:val="0"/>
        </w:rPr>
        <w:tab/>
        <w:t xml:space="preserve">Grant of miscellaneous </w:t>
      </w:r>
      <w:bookmarkEnd w:id="1128"/>
      <w:r>
        <w:rPr>
          <w:snapToGrid w:val="0"/>
        </w:rPr>
        <w:t>licence</w:t>
      </w:r>
      <w:bookmarkEnd w:id="1129"/>
      <w:bookmarkEnd w:id="1130"/>
      <w:bookmarkEnd w:id="1131"/>
      <w:bookmarkEnd w:id="1132"/>
      <w:bookmarkEnd w:id="1133"/>
      <w:r>
        <w:rPr>
          <w:snapToGrid w:val="0"/>
        </w:rPr>
        <w:t xml:space="preserve"> </w:t>
      </w:r>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repealed]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 xml:space="preserve">[Section 91 inserted by No. 58 of 1994 s. 33; amended by No. 14 of 1996 s. 4; No. 35 of 1998 s. 4(1) and (2); No. 15 of 2002 s. 18.] </w:t>
      </w:r>
    </w:p>
    <w:p>
      <w:pPr>
        <w:pStyle w:val="Heading5"/>
        <w:spacing w:before="120"/>
        <w:rPr>
          <w:snapToGrid w:val="0"/>
        </w:rPr>
      </w:pPr>
      <w:bookmarkStart w:id="1134" w:name="_Toc520087991"/>
      <w:bookmarkStart w:id="1135" w:name="_Toc523620626"/>
      <w:bookmarkStart w:id="1136" w:name="_Toc38853778"/>
      <w:bookmarkStart w:id="1137" w:name="_Toc124061149"/>
      <w:bookmarkStart w:id="1138" w:name="_Toc188695415"/>
      <w:bookmarkStart w:id="1139" w:name="_Toc187053354"/>
      <w:r>
        <w:rPr>
          <w:rStyle w:val="CharSectno"/>
        </w:rPr>
        <w:t>91A</w:t>
      </w:r>
      <w:r>
        <w:rPr>
          <w:snapToGrid w:val="0"/>
        </w:rPr>
        <w:t>.</w:t>
      </w:r>
      <w:r>
        <w:rPr>
          <w:snapToGrid w:val="0"/>
        </w:rPr>
        <w:tab/>
        <w:t>Term and renewal of existing licence or licence granted in respect of existing application</w:t>
      </w:r>
      <w:bookmarkEnd w:id="1134"/>
      <w:bookmarkEnd w:id="1135"/>
      <w:bookmarkEnd w:id="1136"/>
      <w:bookmarkEnd w:id="1137"/>
      <w:bookmarkEnd w:id="1138"/>
      <w:bookmarkEnd w:id="1139"/>
      <w:r>
        <w:rPr>
          <w:snapToGrid w:val="0"/>
        </w:rPr>
        <w:t xml:space="preserve"> </w:t>
      </w:r>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 xml:space="preserve">Subject to this Act, a licence to which this section applies remains in force for —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may renew the term of the licence as to the whole or any part of the land the subject of the licence —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 xml:space="preserve">on such terms and conditions as the Minister thinks 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the case of a licence renewed under paragraph (a), renew or further renew the term of the licence as to the whole of the land the subject of the licence —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 xml:space="preserve">In this section and section 91B — </w:t>
      </w:r>
    </w:p>
    <w:p>
      <w:pPr>
        <w:pStyle w:val="Defstart"/>
      </w:pPr>
      <w:r>
        <w:tab/>
      </w:r>
      <w:r>
        <w:rPr>
          <w:b/>
        </w:rPr>
        <w:t>“</w:t>
      </w:r>
      <w:r>
        <w:rPr>
          <w:rStyle w:val="CharDefText"/>
        </w:rPr>
        <w:t>commencement</w:t>
      </w:r>
      <w:r>
        <w:rPr>
          <w:b/>
        </w:rPr>
        <w: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140" w:name="_Toc520087992"/>
      <w:bookmarkStart w:id="1141" w:name="_Toc523620627"/>
      <w:bookmarkStart w:id="1142" w:name="_Toc38853779"/>
      <w:bookmarkStart w:id="1143" w:name="_Toc124061150"/>
      <w:bookmarkStart w:id="1144" w:name="_Toc188695416"/>
      <w:bookmarkStart w:id="1145" w:name="_Toc187053355"/>
      <w:r>
        <w:rPr>
          <w:rStyle w:val="CharSectno"/>
        </w:rPr>
        <w:t>91B</w:t>
      </w:r>
      <w:r>
        <w:rPr>
          <w:snapToGrid w:val="0"/>
        </w:rPr>
        <w:t>.</w:t>
      </w:r>
      <w:r>
        <w:rPr>
          <w:snapToGrid w:val="0"/>
        </w:rPr>
        <w:tab/>
        <w:t>Term and renewal of licence granted in respect of new application</w:t>
      </w:r>
      <w:bookmarkEnd w:id="1140"/>
      <w:bookmarkEnd w:id="1141"/>
      <w:bookmarkEnd w:id="1142"/>
      <w:bookmarkEnd w:id="1143"/>
      <w:bookmarkEnd w:id="1144"/>
      <w:bookmarkEnd w:id="1145"/>
      <w:r>
        <w:rPr>
          <w:snapToGrid w:val="0"/>
        </w:rPr>
        <w:t xml:space="preserve"> </w:t>
      </w:r>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 xml:space="preserve">Notwithstanding subsection (2), on receipt of an application made in the prescribed manner during the final year of the term of the licence, the Minister — </w:t>
      </w:r>
    </w:p>
    <w:p>
      <w:pPr>
        <w:pStyle w:val="Indenta"/>
        <w:rPr>
          <w:snapToGrid w:val="0"/>
        </w:rPr>
      </w:pPr>
      <w:r>
        <w:rPr>
          <w:snapToGrid w:val="0"/>
        </w:rPr>
        <w:tab/>
        <w:t>(a)</w:t>
      </w:r>
      <w:r>
        <w:rPr>
          <w:snapToGrid w:val="0"/>
        </w:rPr>
        <w:tab/>
        <w:t xml:space="preserve">shall renew the term of the licence as to the whole of the land the subject of the licence —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may, in the case of a licence renewed under paragraph (a), renew or further renew the term of the licence as to the whole or any part of the land the subject of the licence —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146" w:name="_Toc520087993"/>
      <w:bookmarkStart w:id="1147" w:name="_Toc523620628"/>
      <w:bookmarkStart w:id="1148" w:name="_Toc38853780"/>
      <w:bookmarkStart w:id="1149" w:name="_Toc124061151"/>
      <w:bookmarkStart w:id="1150" w:name="_Toc188695417"/>
      <w:bookmarkStart w:id="1151" w:name="_Toc187053356"/>
      <w:r>
        <w:rPr>
          <w:rStyle w:val="CharSectno"/>
        </w:rPr>
        <w:t>92</w:t>
      </w:r>
      <w:r>
        <w:rPr>
          <w:snapToGrid w:val="0"/>
        </w:rPr>
        <w:t>.</w:t>
      </w:r>
      <w:r>
        <w:rPr>
          <w:snapToGrid w:val="0"/>
        </w:rPr>
        <w:tab/>
        <w:t>Provisions applying to all miscellaneous licences</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 xml:space="preserve">[Section 92 inserted by No. 100 of 1985 s. 64; amended by No. 22 of 1990 s. 25; No. 58 of 1994 s. 34; No. 17 of 1999 s. 6(3); No. 39 of 2004 s. 40.] </w:t>
      </w:r>
    </w:p>
    <w:p>
      <w:pPr>
        <w:pStyle w:val="Heading5"/>
        <w:rPr>
          <w:snapToGrid w:val="0"/>
        </w:rPr>
      </w:pPr>
      <w:bookmarkStart w:id="1152" w:name="_Toc520087994"/>
      <w:bookmarkStart w:id="1153" w:name="_Toc523620629"/>
      <w:bookmarkStart w:id="1154" w:name="_Toc38853781"/>
      <w:bookmarkStart w:id="1155" w:name="_Toc124061152"/>
      <w:bookmarkStart w:id="1156" w:name="_Toc188695418"/>
      <w:bookmarkStart w:id="1157" w:name="_Toc187053357"/>
      <w:r>
        <w:rPr>
          <w:rStyle w:val="CharSectno"/>
        </w:rPr>
        <w:t>93</w:t>
      </w:r>
      <w:r>
        <w:rPr>
          <w:snapToGrid w:val="0"/>
        </w:rPr>
        <w:t>.</w:t>
      </w:r>
      <w:r>
        <w:rPr>
          <w:snapToGrid w:val="0"/>
        </w:rPr>
        <w:tab/>
        <w:t>Map to accompany plan</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 xml:space="preserve">[Section 93 amended by No. 100 of 1985 s. 65; No. 58 of 1994 s. 35.] </w:t>
      </w:r>
    </w:p>
    <w:p>
      <w:pPr>
        <w:pStyle w:val="Heading5"/>
        <w:spacing w:before="180"/>
        <w:rPr>
          <w:snapToGrid w:val="0"/>
        </w:rPr>
      </w:pPr>
      <w:bookmarkStart w:id="1158" w:name="_Toc520087995"/>
      <w:bookmarkStart w:id="1159" w:name="_Toc523620630"/>
      <w:bookmarkStart w:id="1160" w:name="_Toc38853782"/>
      <w:bookmarkStart w:id="1161" w:name="_Toc124061153"/>
      <w:bookmarkStart w:id="1162" w:name="_Toc188695419"/>
      <w:bookmarkStart w:id="1163" w:name="_Toc187053358"/>
      <w:r>
        <w:rPr>
          <w:rStyle w:val="CharSectno"/>
        </w:rPr>
        <w:t>94</w:t>
      </w:r>
      <w:r>
        <w:rPr>
          <w:snapToGrid w:val="0"/>
        </w:rPr>
        <w:t>.</w:t>
      </w:r>
      <w:r>
        <w:rPr>
          <w:snapToGrid w:val="0"/>
        </w:rPr>
        <w:tab/>
        <w:t>Terms and conditions</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 xml:space="preserve">[Section 94 amended by No. 100 of 1985 s. 66; No. 21 of 1993 s. 45; No. 58 of 1994 s. 36; No. 52 of 1995 s. 32.] </w:t>
      </w:r>
    </w:p>
    <w:p>
      <w:pPr>
        <w:pStyle w:val="Heading5"/>
        <w:spacing w:before="180"/>
        <w:rPr>
          <w:snapToGrid w:val="0"/>
        </w:rPr>
      </w:pPr>
      <w:bookmarkStart w:id="1164" w:name="_Toc520087996"/>
      <w:bookmarkStart w:id="1165" w:name="_Toc523620631"/>
      <w:bookmarkStart w:id="1166" w:name="_Toc38853783"/>
      <w:bookmarkStart w:id="1167" w:name="_Toc124061154"/>
      <w:bookmarkStart w:id="1168" w:name="_Toc188695420"/>
      <w:bookmarkStart w:id="1169" w:name="_Toc187053359"/>
      <w:r>
        <w:rPr>
          <w:rStyle w:val="CharSectno"/>
        </w:rPr>
        <w:t>94A</w:t>
      </w:r>
      <w:r>
        <w:rPr>
          <w:snapToGrid w:val="0"/>
        </w:rPr>
        <w:t>.</w:t>
      </w:r>
      <w:r>
        <w:rPr>
          <w:snapToGrid w:val="0"/>
        </w:rPr>
        <w:tab/>
        <w:t xml:space="preserve">Grant of mining tenement on land in a miscellaneous </w:t>
      </w:r>
      <w:bookmarkEnd w:id="1164"/>
      <w:r>
        <w:rPr>
          <w:snapToGrid w:val="0"/>
        </w:rPr>
        <w:t>licence</w:t>
      </w:r>
      <w:bookmarkEnd w:id="1165"/>
      <w:bookmarkEnd w:id="1166"/>
      <w:bookmarkEnd w:id="1167"/>
      <w:bookmarkEnd w:id="1168"/>
      <w:bookmarkEnd w:id="1169"/>
      <w:r>
        <w:rPr>
          <w:snapToGrid w:val="0"/>
        </w:rPr>
        <w:t xml:space="preserve"> </w:t>
      </w:r>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 xml:space="preserve">[Section 94A inserted by No. 22 of 1990 s. 26; amended by No. 15 of 2002 s. 19.] </w:t>
      </w:r>
    </w:p>
    <w:p>
      <w:pPr>
        <w:pStyle w:val="Heading5"/>
        <w:rPr>
          <w:snapToGrid w:val="0"/>
        </w:rPr>
      </w:pPr>
      <w:bookmarkStart w:id="1170" w:name="_Toc520087997"/>
      <w:bookmarkStart w:id="1171" w:name="_Toc523620632"/>
      <w:bookmarkStart w:id="1172" w:name="_Toc38853784"/>
      <w:bookmarkStart w:id="1173" w:name="_Toc124061155"/>
      <w:bookmarkStart w:id="1174" w:name="_Toc188695421"/>
      <w:bookmarkStart w:id="1175" w:name="_Toc187053360"/>
      <w:r>
        <w:rPr>
          <w:rStyle w:val="CharSectno"/>
        </w:rPr>
        <w:t>94B</w:t>
      </w:r>
      <w:r>
        <w:rPr>
          <w:snapToGrid w:val="0"/>
        </w:rPr>
        <w:t>.</w:t>
      </w:r>
      <w:r>
        <w:rPr>
          <w:snapToGrid w:val="0"/>
        </w:rPr>
        <w:tab/>
        <w:t>Surrender etc., of concurrent tenement</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 xml:space="preserve">Subject to </w:t>
      </w:r>
      <w:r>
        <w:t>this</w:t>
      </w:r>
      <w:r>
        <w:rPr>
          <w:snapToGrid w:val="0"/>
        </w:rPr>
        <w:t xml:space="preserve"> Act, if —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 xml:space="preserve">[Section 94B inserted by No. 22 of 1990 s. 26; amended by No. 58 of 1994 s. 37.] </w:t>
      </w:r>
    </w:p>
    <w:p>
      <w:pPr>
        <w:pStyle w:val="Ednotedivision"/>
      </w:pPr>
      <w:r>
        <w:t>[Division 5A (s. 94C</w:t>
      </w:r>
      <w:r>
        <w:noBreakHyphen/>
        <w:t>94P) repealed by No. 52 of 1995 s. 33.]</w:t>
      </w:r>
    </w:p>
    <w:p>
      <w:pPr>
        <w:pStyle w:val="Heading3"/>
        <w:rPr>
          <w:snapToGrid w:val="0"/>
        </w:rPr>
      </w:pPr>
      <w:bookmarkStart w:id="1176" w:name="_Toc87427665"/>
      <w:bookmarkStart w:id="1177" w:name="_Toc87851240"/>
      <w:bookmarkStart w:id="1178" w:name="_Toc88295463"/>
      <w:bookmarkStart w:id="1179" w:name="_Toc89519122"/>
      <w:bookmarkStart w:id="1180" w:name="_Toc90869247"/>
      <w:bookmarkStart w:id="1181" w:name="_Toc91408019"/>
      <w:bookmarkStart w:id="1182" w:name="_Toc92863763"/>
      <w:bookmarkStart w:id="1183" w:name="_Toc95015131"/>
      <w:bookmarkStart w:id="1184" w:name="_Toc95106838"/>
      <w:bookmarkStart w:id="1185" w:name="_Toc97018638"/>
      <w:bookmarkStart w:id="1186" w:name="_Toc101693591"/>
      <w:bookmarkStart w:id="1187" w:name="_Toc103130461"/>
      <w:bookmarkStart w:id="1188" w:name="_Toc104711111"/>
      <w:bookmarkStart w:id="1189" w:name="_Toc121560096"/>
      <w:bookmarkStart w:id="1190" w:name="_Toc122328537"/>
      <w:bookmarkStart w:id="1191" w:name="_Toc124061156"/>
      <w:bookmarkStart w:id="1192" w:name="_Toc124140011"/>
      <w:bookmarkStart w:id="1193" w:name="_Toc127174773"/>
      <w:bookmarkStart w:id="1194" w:name="_Toc127349117"/>
      <w:bookmarkStart w:id="1195" w:name="_Toc127762301"/>
      <w:bookmarkStart w:id="1196" w:name="_Toc127842363"/>
      <w:bookmarkStart w:id="1197" w:name="_Toc128379974"/>
      <w:bookmarkStart w:id="1198" w:name="_Toc130106590"/>
      <w:bookmarkStart w:id="1199" w:name="_Toc130106870"/>
      <w:bookmarkStart w:id="1200" w:name="_Toc130110767"/>
      <w:bookmarkStart w:id="1201" w:name="_Toc130276978"/>
      <w:bookmarkStart w:id="1202" w:name="_Toc131408503"/>
      <w:bookmarkStart w:id="1203" w:name="_Toc132530270"/>
      <w:bookmarkStart w:id="1204" w:name="_Toc142194327"/>
      <w:bookmarkStart w:id="1205" w:name="_Toc162778412"/>
      <w:bookmarkStart w:id="1206" w:name="_Toc162840996"/>
      <w:bookmarkStart w:id="1207" w:name="_Toc162932832"/>
      <w:bookmarkStart w:id="1208" w:name="_Toc187053361"/>
      <w:bookmarkStart w:id="1209" w:name="_Toc188695422"/>
      <w:r>
        <w:rPr>
          <w:rStyle w:val="CharDivNo"/>
        </w:rPr>
        <w:t>Division 6</w:t>
      </w:r>
      <w:r>
        <w:rPr>
          <w:snapToGrid w:val="0"/>
        </w:rPr>
        <w:t> — </w:t>
      </w:r>
      <w:r>
        <w:rPr>
          <w:rStyle w:val="CharDivText"/>
        </w:rPr>
        <w:t>Surrender and forfeiture of mining tenements</w:t>
      </w:r>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r>
        <w:rPr>
          <w:rStyle w:val="CharDivText"/>
        </w:rPr>
        <w:t xml:space="preserve"> </w:t>
      </w:r>
    </w:p>
    <w:p>
      <w:pPr>
        <w:pStyle w:val="Heading5"/>
        <w:rPr>
          <w:snapToGrid w:val="0"/>
        </w:rPr>
      </w:pPr>
      <w:bookmarkStart w:id="1210" w:name="_Toc520087998"/>
      <w:bookmarkStart w:id="1211" w:name="_Toc523620633"/>
      <w:bookmarkStart w:id="1212" w:name="_Toc38853785"/>
      <w:bookmarkStart w:id="1213" w:name="_Toc124061157"/>
      <w:bookmarkStart w:id="1214" w:name="_Toc188695423"/>
      <w:bookmarkStart w:id="1215" w:name="_Toc187053362"/>
      <w:r>
        <w:rPr>
          <w:rStyle w:val="CharSectno"/>
        </w:rPr>
        <w:t>95</w:t>
      </w:r>
      <w:r>
        <w:rPr>
          <w:snapToGrid w:val="0"/>
        </w:rPr>
        <w:t>.</w:t>
      </w:r>
      <w:r>
        <w:rPr>
          <w:snapToGrid w:val="0"/>
        </w:rPr>
        <w:tab/>
        <w:t>Surrender of mining tenement</w:t>
      </w:r>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 xml:space="preserve">repealed] </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 xml:space="preserve">[Section 95 amended by No. 52 of 1983 s. 5; No. 100 of 1985 s. 67; No. 105 of 1986 s. 12; No. 22 of 1990 s. 27; No. 54 of 1996 s. 14; No. 39 of 2004 s. 92.] </w:t>
      </w:r>
    </w:p>
    <w:p>
      <w:pPr>
        <w:pStyle w:val="Heading5"/>
        <w:spacing w:before="260"/>
      </w:pPr>
      <w:bookmarkStart w:id="1216" w:name="_Toc38853786"/>
      <w:bookmarkStart w:id="1217" w:name="_Toc124061158"/>
      <w:bookmarkStart w:id="1218" w:name="_Toc188695424"/>
      <w:bookmarkStart w:id="1219" w:name="_Toc187053363"/>
      <w:bookmarkStart w:id="1220" w:name="_Toc520087999"/>
      <w:bookmarkStart w:id="1221" w:name="_Toc523620634"/>
      <w:r>
        <w:rPr>
          <w:rStyle w:val="CharSectno"/>
        </w:rPr>
        <w:t>95A</w:t>
      </w:r>
      <w:r>
        <w:t>.</w:t>
      </w:r>
      <w:r>
        <w:tab/>
        <w:t>Exploration licence — surrender of part of block</w:t>
      </w:r>
      <w:bookmarkEnd w:id="1216"/>
      <w:bookmarkEnd w:id="1217"/>
      <w:bookmarkEnd w:id="1218"/>
      <w:bookmarkEnd w:id="1219"/>
    </w:p>
    <w:p>
      <w:pPr>
        <w:pStyle w:val="Subsection"/>
        <w:spacing w:before="200"/>
      </w:pPr>
      <w:r>
        <w:tab/>
        <w:t>(1)</w:t>
      </w:r>
      <w:r>
        <w:tab/>
        <w:t>In this section —</w:t>
      </w:r>
    </w:p>
    <w:p>
      <w:pPr>
        <w:pStyle w:val="Defstart"/>
      </w:pPr>
      <w:r>
        <w:tab/>
      </w:r>
      <w:r>
        <w:rPr>
          <w:b/>
        </w:rPr>
        <w:t>“</w:t>
      </w:r>
      <w:r>
        <w:rPr>
          <w:rStyle w:val="CharDefText"/>
        </w:rPr>
        <w:t>block</w:t>
      </w:r>
      <w:r>
        <w:rPr>
          <w:b/>
        </w:rPr>
        <w:t>”</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222" w:name="_Toc38853787"/>
      <w:bookmarkStart w:id="1223" w:name="_Toc124061159"/>
      <w:bookmarkStart w:id="1224" w:name="_Toc188695425"/>
      <w:bookmarkStart w:id="1225" w:name="_Toc187053364"/>
      <w:r>
        <w:rPr>
          <w:rStyle w:val="CharSectno"/>
        </w:rPr>
        <w:t>96</w:t>
      </w:r>
      <w:r>
        <w:rPr>
          <w:snapToGrid w:val="0"/>
        </w:rPr>
        <w:t>.</w:t>
      </w:r>
      <w:r>
        <w:rPr>
          <w:snapToGrid w:val="0"/>
        </w:rPr>
        <w:tab/>
        <w:t>Forfeiture of certain mining tenements</w:t>
      </w:r>
      <w:bookmarkEnd w:id="1220"/>
      <w:bookmarkEnd w:id="1221"/>
      <w:bookmarkEnd w:id="1222"/>
      <w:bookmarkEnd w:id="1223"/>
      <w:bookmarkEnd w:id="1224"/>
      <w:bookmarkEnd w:id="1225"/>
      <w:r>
        <w:rPr>
          <w:snapToGrid w:val="0"/>
        </w:rPr>
        <w:t xml:space="preserve"> </w:t>
      </w:r>
    </w:p>
    <w:p>
      <w:pPr>
        <w:pStyle w:val="Subsection"/>
        <w:rPr>
          <w:snapToGrid w:val="0"/>
        </w:rPr>
      </w:pPr>
      <w:r>
        <w:rPr>
          <w:snapToGrid w:val="0"/>
        </w:rPr>
        <w:tab/>
        <w:t>(1)</w:t>
      </w:r>
      <w:r>
        <w:rPr>
          <w:snapToGrid w:val="0"/>
        </w:rPr>
        <w:tab/>
        <w:t>The warden may upon the application of —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pPr>
      <w:r>
        <w:tab/>
        <w:t>(3b)</w:t>
      </w:r>
      <w:r>
        <w:tab/>
        <w:t>Where —</w:t>
      </w:r>
    </w:p>
    <w:p>
      <w:pPr>
        <w:pStyle w:val="Indenta"/>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b/>
        </w:rPr>
        <w:t>“</w:t>
      </w:r>
      <w:r>
        <w:rPr>
          <w:rStyle w:val="CharDefText"/>
        </w:rPr>
        <w:t>tenement application</w:t>
      </w:r>
      <w:r>
        <w:rPr>
          <w:b/>
        </w:rPr>
        <w:t>”</w:t>
      </w:r>
      <w:r>
        <w:t>);</w:t>
      </w:r>
    </w:p>
    <w:p>
      <w:pPr>
        <w:pStyle w:val="Indenta"/>
      </w:pPr>
      <w:r>
        <w:tab/>
        <w:t>(b)</w:t>
      </w:r>
      <w:r>
        <w:tab/>
        <w:t>the applicant for forfeiture is not the Minister, a mining registrar or an officer of the Department authorised in writing by the Minister; and</w:t>
      </w:r>
    </w:p>
    <w:p>
      <w:pPr>
        <w:pStyle w:val="Indenta"/>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2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2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2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20"/>
        <w:rPr>
          <w:snapToGrid w:val="0"/>
        </w:rPr>
      </w:pPr>
      <w:r>
        <w:rPr>
          <w:snapToGrid w:val="0"/>
        </w:rPr>
        <w:tab/>
        <w:t>(8)</w:t>
      </w:r>
      <w:r>
        <w:rPr>
          <w:snapToGrid w:val="0"/>
        </w:rPr>
        <w:tab/>
        <w:t>Subject to section 97A, the warden may, for any cause that he deems sufficient and subject to subsection (9), cancel —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2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2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 xml:space="preserve">[Section 96 amended by No. 69 of 1981 s. 21; No. 100 of 1985 s. 68; No. 105 of 1986 s. 13; No. 22 of 1990 s. 28 and 38; No. 37 of 1993 s. 13; No. 58 of 1994 s. 41; No. 54 of 1996 s. 23; No. 17 of 1999 s. 6(4); No. 15 of 2002 s. 21 and 28; No. 39 of 2004 s. 46 and 93.] </w:t>
      </w:r>
    </w:p>
    <w:p>
      <w:pPr>
        <w:pStyle w:val="Heading5"/>
        <w:rPr>
          <w:snapToGrid w:val="0"/>
        </w:rPr>
      </w:pPr>
      <w:bookmarkStart w:id="1226" w:name="_Toc520088000"/>
      <w:bookmarkStart w:id="1227" w:name="_Toc523620635"/>
      <w:bookmarkStart w:id="1228" w:name="_Toc38853788"/>
      <w:bookmarkStart w:id="1229" w:name="_Toc124061160"/>
      <w:bookmarkStart w:id="1230" w:name="_Toc188695426"/>
      <w:bookmarkStart w:id="1231" w:name="_Toc187053365"/>
      <w:r>
        <w:rPr>
          <w:rStyle w:val="CharSectno"/>
        </w:rPr>
        <w:t>96A</w:t>
      </w:r>
      <w:r>
        <w:rPr>
          <w:snapToGrid w:val="0"/>
        </w:rPr>
        <w:t>.</w:t>
      </w:r>
      <w:r>
        <w:rPr>
          <w:snapToGrid w:val="0"/>
        </w:rPr>
        <w:tab/>
        <w:t xml:space="preserve">Forfeiture of exploration licence or retention </w:t>
      </w:r>
      <w:bookmarkEnd w:id="1226"/>
      <w:r>
        <w:rPr>
          <w:snapToGrid w:val="0"/>
        </w:rPr>
        <w:t>licence</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 </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b/>
          <w:snapToGrid w:val="0"/>
        </w:rPr>
        <w:t>“</w:t>
      </w:r>
      <w:r>
        <w:rPr>
          <w:rStyle w:val="CharDefText"/>
        </w:rPr>
        <w:t>licence</w:t>
      </w:r>
      <w:r>
        <w:rPr>
          <w:b/>
          <w:snapToGrid w:val="0"/>
        </w:rPr>
        <w:t>”</w:t>
      </w:r>
      <w:r>
        <w:rPr>
          <w:snapToGrid w:val="0"/>
        </w:rPr>
        <w:t xml:space="preserve"> means the exploration licence or the retention licence, as the case requires.</w:t>
      </w:r>
    </w:p>
    <w:p>
      <w:pPr>
        <w:pStyle w:val="Footnotesection"/>
        <w:ind w:left="890" w:hanging="890"/>
      </w:pPr>
      <w:r>
        <w:tab/>
        <w:t xml:space="preserve">[Section 96A inserted by No. 69 of 1981 s. 22; amended by No. 100 of 1985 s. 69; No. 22 of 1990 s. 38; No. 37 of 1993 s. 10(2); No. 15 of 2002 s. 28.] </w:t>
      </w:r>
    </w:p>
    <w:p>
      <w:pPr>
        <w:pStyle w:val="Heading5"/>
        <w:rPr>
          <w:snapToGrid w:val="0"/>
        </w:rPr>
      </w:pPr>
      <w:bookmarkStart w:id="1232" w:name="_Toc520088001"/>
      <w:bookmarkStart w:id="1233" w:name="_Toc523620636"/>
      <w:bookmarkStart w:id="1234" w:name="_Toc38853789"/>
      <w:bookmarkStart w:id="1235" w:name="_Toc124061161"/>
      <w:bookmarkStart w:id="1236" w:name="_Toc188695427"/>
      <w:bookmarkStart w:id="1237" w:name="_Toc187053366"/>
      <w:r>
        <w:rPr>
          <w:rStyle w:val="CharSectno"/>
        </w:rPr>
        <w:t>97</w:t>
      </w:r>
      <w:r>
        <w:rPr>
          <w:snapToGrid w:val="0"/>
        </w:rPr>
        <w:t>.</w:t>
      </w:r>
      <w:r>
        <w:rPr>
          <w:snapToGrid w:val="0"/>
        </w:rPr>
        <w:tab/>
        <w:t>Forfeiture of mining lease or general purpose lease</w:t>
      </w:r>
      <w:bookmarkEnd w:id="1232"/>
      <w:bookmarkEnd w:id="1233"/>
      <w:bookmarkEnd w:id="1234"/>
      <w:bookmarkEnd w:id="1235"/>
      <w:bookmarkEnd w:id="1236"/>
      <w:bookmarkEnd w:id="1237"/>
      <w:r>
        <w:rPr>
          <w:snapToGrid w:val="0"/>
        </w:rPr>
        <w:t xml:space="preserve"> </w:t>
      </w:r>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 xml:space="preserve">[Section 97 amended by No. 100 of 1985 s. 70; No. 22 of 1990 s. 29 and 38; No. 15 of 2002 s. 28.] </w:t>
      </w:r>
    </w:p>
    <w:p>
      <w:pPr>
        <w:pStyle w:val="Heading5"/>
        <w:spacing w:before="260"/>
        <w:rPr>
          <w:snapToGrid w:val="0"/>
        </w:rPr>
      </w:pPr>
      <w:bookmarkStart w:id="1238" w:name="_Toc520088002"/>
      <w:bookmarkStart w:id="1239" w:name="_Toc523620637"/>
      <w:bookmarkStart w:id="1240" w:name="_Toc38853790"/>
      <w:bookmarkStart w:id="1241" w:name="_Toc124061162"/>
      <w:bookmarkStart w:id="1242" w:name="_Toc188695428"/>
      <w:bookmarkStart w:id="1243" w:name="_Toc187053367"/>
      <w:r>
        <w:rPr>
          <w:rStyle w:val="CharSectno"/>
        </w:rPr>
        <w:t>97A</w:t>
      </w:r>
      <w:r>
        <w:rPr>
          <w:snapToGrid w:val="0"/>
        </w:rPr>
        <w:t>.</w:t>
      </w:r>
      <w:r>
        <w:rPr>
          <w:snapToGrid w:val="0"/>
        </w:rPr>
        <w:tab/>
        <w:t>Appeals against cancellation of forfeiture</w:t>
      </w:r>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 </w:t>
      </w:r>
    </w:p>
    <w:p>
      <w:pPr>
        <w:pStyle w:val="Indenta"/>
        <w:rPr>
          <w:snapToGrid w:val="0"/>
        </w:rPr>
      </w:pPr>
      <w:r>
        <w:rPr>
          <w:snapToGrid w:val="0"/>
        </w:rPr>
        <w:tab/>
        <w:t>(a)</w:t>
      </w:r>
      <w:r>
        <w:rPr>
          <w:snapToGrid w:val="0"/>
        </w:rPr>
        <w:tab/>
        <w:t>in a case to which section 96 applies, shall determine the application and make such order as he thinks fit and may —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 xml:space="preserve">[Section 97A inserted by No. 100 of 1985 s. 71; amended by No. 37 of 1993 s. 26; No. 39 of 2004 s. 64.] </w:t>
      </w:r>
    </w:p>
    <w:p>
      <w:pPr>
        <w:pStyle w:val="Heading5"/>
        <w:rPr>
          <w:snapToGrid w:val="0"/>
        </w:rPr>
      </w:pPr>
      <w:bookmarkStart w:id="1244" w:name="_Toc520088003"/>
      <w:bookmarkStart w:id="1245" w:name="_Toc523620638"/>
      <w:bookmarkStart w:id="1246" w:name="_Toc38853791"/>
      <w:bookmarkStart w:id="1247" w:name="_Toc124061163"/>
      <w:bookmarkStart w:id="1248" w:name="_Toc188695429"/>
      <w:bookmarkStart w:id="1249" w:name="_Toc187053368"/>
      <w:r>
        <w:rPr>
          <w:rStyle w:val="CharSectno"/>
        </w:rPr>
        <w:t>98</w:t>
      </w:r>
      <w:r>
        <w:rPr>
          <w:snapToGrid w:val="0"/>
        </w:rPr>
        <w:t>.</w:t>
      </w:r>
      <w:r>
        <w:rPr>
          <w:snapToGrid w:val="0"/>
        </w:rPr>
        <w:tab/>
        <w:t>Application for forfeiture on other grounds</w:t>
      </w:r>
      <w:bookmarkEnd w:id="1244"/>
      <w:bookmarkEnd w:id="1245"/>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Indenta"/>
        <w:tabs>
          <w:tab w:val="left" w:pos="284"/>
        </w:tabs>
        <w:spacing w:before="160"/>
        <w:ind w:left="879" w:hanging="879"/>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Indenta"/>
        <w:spacing w:before="160"/>
        <w:ind w:left="879" w:hanging="639"/>
        <w:rPr>
          <w:snapToGrid w:val="0"/>
        </w:rPr>
      </w:pPr>
      <w:r>
        <w:t>(b)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 xml:space="preserve">[Section 98 amended by No. 100 of 1985 s. 72; No. 22 of 1990 s. 30 and 38; No. 15 of 2002 s. 28; No. 39 of 2004 s. 65.] </w:t>
      </w:r>
    </w:p>
    <w:p>
      <w:pPr>
        <w:pStyle w:val="Heading5"/>
        <w:rPr>
          <w:snapToGrid w:val="0"/>
        </w:rPr>
      </w:pPr>
      <w:bookmarkStart w:id="1250" w:name="_Toc520088004"/>
      <w:bookmarkStart w:id="1251" w:name="_Toc523620639"/>
      <w:bookmarkStart w:id="1252" w:name="_Toc38853792"/>
      <w:bookmarkStart w:id="1253" w:name="_Toc124061164"/>
      <w:bookmarkStart w:id="1254" w:name="_Toc188695430"/>
      <w:bookmarkStart w:id="1255" w:name="_Toc187053369"/>
      <w:r>
        <w:rPr>
          <w:rStyle w:val="CharSectno"/>
        </w:rPr>
        <w:t>99</w:t>
      </w:r>
      <w:r>
        <w:rPr>
          <w:snapToGrid w:val="0"/>
        </w:rPr>
        <w:t>.</w:t>
      </w:r>
      <w:r>
        <w:rPr>
          <w:snapToGrid w:val="0"/>
        </w:rPr>
        <w:tab/>
        <w:t>Proceedings by Minister on recommendation</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The Minister, after receiving the recommendation of the warden as provided in section 98, may, as the Minister thinks fit —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 xml:space="preserve">[Section 99 amended by No. 100 of 1985 s. 73; No. 22 of 1990 s. 38; No. 37 of 1993 s. 14(2); No. 15 of 2002 s. 28.] </w:t>
      </w:r>
    </w:p>
    <w:p>
      <w:pPr>
        <w:pStyle w:val="Heading5"/>
        <w:rPr>
          <w:snapToGrid w:val="0"/>
        </w:rPr>
      </w:pPr>
      <w:bookmarkStart w:id="1256" w:name="_Toc520088005"/>
      <w:bookmarkStart w:id="1257" w:name="_Toc523620640"/>
      <w:bookmarkStart w:id="1258" w:name="_Toc38853793"/>
      <w:bookmarkStart w:id="1259" w:name="_Toc124061165"/>
      <w:bookmarkStart w:id="1260" w:name="_Toc188695431"/>
      <w:bookmarkStart w:id="1261" w:name="_Toc187053370"/>
      <w:r>
        <w:rPr>
          <w:rStyle w:val="CharSectno"/>
        </w:rPr>
        <w:t>100</w:t>
      </w:r>
      <w:r>
        <w:rPr>
          <w:snapToGrid w:val="0"/>
        </w:rPr>
        <w:t>.</w:t>
      </w:r>
      <w:r>
        <w:rPr>
          <w:snapToGrid w:val="0"/>
        </w:rPr>
        <w:tab/>
        <w:t>Applicant to have priority for marking out and applying for surrendered or forfeited licence or lease</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b/>
        </w:rPr>
        <w:t>“</w:t>
      </w:r>
      <w:r>
        <w:rPr>
          <w:rStyle w:val="CharDefText"/>
        </w:rPr>
        <w:t>tenement application</w:t>
      </w:r>
      <w:r>
        <w:rPr>
          <w:b/>
        </w:rPr>
        <w:t>”</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 xml:space="preserve">[Section 100 inserted by No. 37 of 1993 s. 14(1); amended by No. 15 of 2002 s. 22.] </w:t>
      </w:r>
    </w:p>
    <w:p>
      <w:pPr>
        <w:pStyle w:val="Heading5"/>
        <w:rPr>
          <w:snapToGrid w:val="0"/>
        </w:rPr>
      </w:pPr>
      <w:bookmarkStart w:id="1262" w:name="_Toc520088006"/>
      <w:bookmarkStart w:id="1263" w:name="_Toc523620641"/>
      <w:bookmarkStart w:id="1264" w:name="_Toc38853794"/>
      <w:bookmarkStart w:id="1265" w:name="_Toc124061166"/>
      <w:bookmarkStart w:id="1266" w:name="_Toc188695432"/>
      <w:bookmarkStart w:id="1267" w:name="_Toc187053371"/>
      <w:r>
        <w:rPr>
          <w:rStyle w:val="CharSectno"/>
        </w:rPr>
        <w:t>101</w:t>
      </w:r>
      <w:r>
        <w:rPr>
          <w:snapToGrid w:val="0"/>
        </w:rPr>
        <w:t>.</w:t>
      </w:r>
      <w:r>
        <w:rPr>
          <w:snapToGrid w:val="0"/>
        </w:rPr>
        <w:tab/>
        <w:t>Application for forfeiture of mining tenement while holder is a company in process of winding up</w:t>
      </w:r>
      <w:bookmarkEnd w:id="1262"/>
      <w:bookmarkEnd w:id="1263"/>
      <w:bookmarkEnd w:id="1264"/>
      <w:bookmarkEnd w:id="1265"/>
      <w:bookmarkEnd w:id="1266"/>
      <w:bookmarkEnd w:id="1267"/>
      <w:r>
        <w:rPr>
          <w:snapToGrid w:val="0"/>
        </w:rPr>
        <w:t xml:space="preserve"> </w:t>
      </w:r>
    </w:p>
    <w:p>
      <w:pPr>
        <w:pStyle w:val="Subsection"/>
        <w:rPr>
          <w:snapToGrid w:val="0"/>
        </w:rPr>
      </w:pPr>
      <w:r>
        <w:rPr>
          <w:snapToGrid w:val="0"/>
        </w:rPr>
        <w:tab/>
        <w:t>(1)</w:t>
      </w:r>
      <w:r>
        <w:rPr>
          <w:snapToGrid w:val="0"/>
        </w:rPr>
        <w:tab/>
        <w:t xml:space="preserve">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the </w:t>
      </w:r>
      <w:r>
        <w:rPr>
          <w:i/>
          <w:snapToGrid w:val="0"/>
        </w:rPr>
        <w:t>Companies (Western Australia) Code</w:t>
      </w:r>
      <w:r>
        <w:rPr>
          <w:snapToGrid w:val="0"/>
        </w:rPr>
        <w:t xml:space="preserve"> or the </w:t>
      </w:r>
      <w:r>
        <w:rPr>
          <w:i/>
          <w:snapToGrid w:val="0"/>
        </w:rPr>
        <w:t>Companies Act 1961</w:t>
      </w:r>
      <w:r>
        <w:rPr>
          <w:snapToGrid w:val="0"/>
        </w:rPr>
        <w:t>, shall not be an action or proceeding for the purposes of subsection (2) of section 471 of that Law (or any provision of that Law which replaces or is substituted for that subsection), section 371(2) of that Code or of section 230(3) of that Act,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 xml:space="preserve">[Section 101 amended by No. 10 of 1982 s. 28; No. 100 of 1985 s. 75; No. 37 of 1993 s. 27; No. 10 of 2001 s. 135; No. 15 of 2002 s. 23.] </w:t>
      </w:r>
    </w:p>
    <w:p>
      <w:pPr>
        <w:pStyle w:val="Heading3"/>
        <w:rPr>
          <w:snapToGrid w:val="0"/>
        </w:rPr>
      </w:pPr>
      <w:bookmarkStart w:id="1268" w:name="_Toc87427676"/>
      <w:bookmarkStart w:id="1269" w:name="_Toc87851251"/>
      <w:bookmarkStart w:id="1270" w:name="_Toc88295474"/>
      <w:bookmarkStart w:id="1271" w:name="_Toc89519133"/>
      <w:bookmarkStart w:id="1272" w:name="_Toc90869258"/>
      <w:bookmarkStart w:id="1273" w:name="_Toc91408030"/>
      <w:bookmarkStart w:id="1274" w:name="_Toc92863774"/>
      <w:bookmarkStart w:id="1275" w:name="_Toc95015142"/>
      <w:bookmarkStart w:id="1276" w:name="_Toc95106849"/>
      <w:bookmarkStart w:id="1277" w:name="_Toc97018649"/>
      <w:bookmarkStart w:id="1278" w:name="_Toc101693602"/>
      <w:bookmarkStart w:id="1279" w:name="_Toc103130472"/>
      <w:bookmarkStart w:id="1280" w:name="_Toc104711122"/>
      <w:bookmarkStart w:id="1281" w:name="_Toc121560107"/>
      <w:bookmarkStart w:id="1282" w:name="_Toc122328548"/>
      <w:bookmarkStart w:id="1283" w:name="_Toc124061167"/>
      <w:bookmarkStart w:id="1284" w:name="_Toc124140022"/>
      <w:bookmarkStart w:id="1285" w:name="_Toc127174784"/>
      <w:bookmarkStart w:id="1286" w:name="_Toc127349128"/>
      <w:bookmarkStart w:id="1287" w:name="_Toc127762312"/>
      <w:bookmarkStart w:id="1288" w:name="_Toc127842374"/>
      <w:bookmarkStart w:id="1289" w:name="_Toc128379985"/>
      <w:bookmarkStart w:id="1290" w:name="_Toc130106601"/>
      <w:bookmarkStart w:id="1291" w:name="_Toc130106881"/>
      <w:bookmarkStart w:id="1292" w:name="_Toc130110778"/>
      <w:bookmarkStart w:id="1293" w:name="_Toc130276989"/>
      <w:bookmarkStart w:id="1294" w:name="_Toc131408514"/>
      <w:bookmarkStart w:id="1295" w:name="_Toc132530281"/>
      <w:bookmarkStart w:id="1296" w:name="_Toc142194338"/>
      <w:bookmarkStart w:id="1297" w:name="_Toc162778423"/>
      <w:bookmarkStart w:id="1298" w:name="_Toc162841007"/>
      <w:bookmarkStart w:id="1299" w:name="_Toc162932843"/>
      <w:bookmarkStart w:id="1300" w:name="_Toc187053372"/>
      <w:bookmarkStart w:id="1301" w:name="_Toc188695433"/>
      <w:r>
        <w:rPr>
          <w:rStyle w:val="CharDivNo"/>
        </w:rPr>
        <w:t>Division 7</w:t>
      </w:r>
      <w:r>
        <w:rPr>
          <w:snapToGrid w:val="0"/>
        </w:rPr>
        <w:t> — </w:t>
      </w:r>
      <w:r>
        <w:rPr>
          <w:rStyle w:val="CharDivText"/>
        </w:rPr>
        <w:t>Exemption from expenditure conditions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r>
        <w:rPr>
          <w:rStyle w:val="CharDivText"/>
        </w:rPr>
        <w:t xml:space="preserve"> </w:t>
      </w:r>
    </w:p>
    <w:p>
      <w:pPr>
        <w:pStyle w:val="Heading5"/>
        <w:rPr>
          <w:snapToGrid w:val="0"/>
        </w:rPr>
      </w:pPr>
      <w:bookmarkStart w:id="1302" w:name="_Toc520088007"/>
      <w:bookmarkStart w:id="1303" w:name="_Toc523620642"/>
      <w:bookmarkStart w:id="1304" w:name="_Toc38853795"/>
      <w:bookmarkStart w:id="1305" w:name="_Toc124061168"/>
      <w:bookmarkStart w:id="1306" w:name="_Toc188695434"/>
      <w:bookmarkStart w:id="1307" w:name="_Toc187053373"/>
      <w:r>
        <w:rPr>
          <w:rStyle w:val="CharSectno"/>
        </w:rPr>
        <w:t>102</w:t>
      </w:r>
      <w:r>
        <w:rPr>
          <w:snapToGrid w:val="0"/>
        </w:rPr>
        <w:t>.</w:t>
      </w:r>
      <w:r>
        <w:rPr>
          <w:snapToGrid w:val="0"/>
        </w:rPr>
        <w:tab/>
        <w:t>Exemption from expenditure conditions</w:t>
      </w:r>
      <w:bookmarkEnd w:id="1302"/>
      <w:bookmarkEnd w:id="1303"/>
      <w:bookmarkEnd w:id="1304"/>
      <w:bookmarkEnd w:id="1305"/>
      <w:bookmarkEnd w:id="1306"/>
      <w:bookmarkEnd w:id="1307"/>
      <w:r>
        <w:rPr>
          <w:snapToGrid w:val="0"/>
        </w:rPr>
        <w:t xml:space="preserve"> </w:t>
      </w:r>
    </w:p>
    <w:p>
      <w:pPr>
        <w:pStyle w:val="Subsection"/>
        <w:rPr>
          <w:snapToGrid w:val="0"/>
        </w:rPr>
      </w:pPr>
      <w:r>
        <w:rPr>
          <w:snapToGrid w:val="0"/>
        </w:rPr>
        <w:tab/>
        <w:t>(1)</w:t>
      </w:r>
      <w:r>
        <w:rPr>
          <w:snapToGrid w:val="0"/>
        </w:rPr>
        <w:tab/>
        <w:t xml:space="preserve">Subject to this Act, on an application </w:t>
      </w:r>
      <w:r>
        <w:t xml:space="preserve">(an </w:t>
      </w:r>
      <w:r>
        <w:rPr>
          <w:b/>
        </w:rPr>
        <w:t>“</w:t>
      </w:r>
      <w:r>
        <w:rPr>
          <w:rStyle w:val="CharDefText"/>
        </w:rPr>
        <w:t>application for exemption</w:t>
      </w:r>
      <w:r>
        <w:rPr>
          <w:b/>
        </w:rPr>
        <w:t>”</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 xml:space="preserve">that — </w:t>
      </w:r>
    </w:p>
    <w:p>
      <w:pPr>
        <w:pStyle w:val="Indenti"/>
      </w:pPr>
      <w:r>
        <w:tab/>
        <w:t>(i)</w:t>
      </w:r>
      <w:r>
        <w:tab/>
        <w:t>the mining tenement is one of 2 or more mining tenements (</w:t>
      </w:r>
      <w:r>
        <w:rPr>
          <w:b/>
        </w:rPr>
        <w:t>“</w:t>
      </w:r>
      <w:r>
        <w:rPr>
          <w:rStyle w:val="CharDefText"/>
        </w:rPr>
        <w:t>combined reporting tenements</w:t>
      </w:r>
      <w:r>
        <w:rPr>
          <w:b/>
        </w:rPr>
        <w:t>”</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 xml:space="preserve">In subsection (2)(h) — </w:t>
      </w:r>
    </w:p>
    <w:p>
      <w:pPr>
        <w:pStyle w:val="Defstart"/>
      </w:pPr>
      <w:r>
        <w:tab/>
      </w:r>
      <w:r>
        <w:rPr>
          <w:b/>
        </w:rPr>
        <w:t>“</w:t>
      </w:r>
      <w:r>
        <w:rPr>
          <w:rStyle w:val="CharDefText"/>
        </w:rPr>
        <w:t>aggregate exploration expenditure</w:t>
      </w:r>
      <w:r>
        <w:rPr>
          <w:b/>
        </w:rPr>
        <w:t>”</w:t>
      </w:r>
      <w:r>
        <w:t xml:space="preserve"> means expenditure —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 xml:space="preserve">[Section 102 amended by No. 69 of 1981 s. 23; No. 100 of 1985 s. 76; No. 105 of 1986 s. 14; No. 22 of 1990 s. 32; No. 37 of 1993 s. 10(2); No. 15 of 2002 s. 24; No. 39 of 2004 s. 66 and 94.] </w:t>
      </w:r>
    </w:p>
    <w:p>
      <w:pPr>
        <w:pStyle w:val="Heading5"/>
        <w:rPr>
          <w:snapToGrid w:val="0"/>
        </w:rPr>
      </w:pPr>
      <w:bookmarkStart w:id="1308" w:name="_Toc520088008"/>
      <w:bookmarkStart w:id="1309" w:name="_Toc523620643"/>
      <w:bookmarkStart w:id="1310" w:name="_Toc38853796"/>
      <w:bookmarkStart w:id="1311" w:name="_Toc124061169"/>
      <w:bookmarkStart w:id="1312" w:name="_Toc188695435"/>
      <w:bookmarkStart w:id="1313" w:name="_Toc187053374"/>
      <w:r>
        <w:rPr>
          <w:rStyle w:val="CharSectno"/>
        </w:rPr>
        <w:t>102A</w:t>
      </w:r>
      <w:r>
        <w:rPr>
          <w:snapToGrid w:val="0"/>
        </w:rPr>
        <w:t>.</w:t>
      </w:r>
      <w:r>
        <w:rPr>
          <w:snapToGrid w:val="0"/>
        </w:rPr>
        <w:tab/>
        <w:t>Exemption from expenditure conditions in respect of certain holders of exploration licences</w:t>
      </w:r>
      <w:bookmarkEnd w:id="1308"/>
      <w:bookmarkEnd w:id="1309"/>
      <w:bookmarkEnd w:id="1310"/>
      <w:bookmarkEnd w:id="1311"/>
      <w:bookmarkEnd w:id="1312"/>
      <w:bookmarkEnd w:id="1313"/>
      <w:r>
        <w:rPr>
          <w:snapToGrid w:val="0"/>
        </w:rPr>
        <w:t xml:space="preserve"> </w:t>
      </w:r>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 xml:space="preserve">[Section 102A inserted by No. 122 of 1982 s. 25; amended by No. 100 of 1985 s. 77; No. 15 of 2002 s. 25.] </w:t>
      </w:r>
    </w:p>
    <w:p>
      <w:pPr>
        <w:pStyle w:val="Heading5"/>
        <w:rPr>
          <w:snapToGrid w:val="0"/>
        </w:rPr>
      </w:pPr>
      <w:bookmarkStart w:id="1314" w:name="_Toc520088009"/>
      <w:bookmarkStart w:id="1315" w:name="_Toc523620644"/>
      <w:bookmarkStart w:id="1316" w:name="_Toc38853797"/>
      <w:bookmarkStart w:id="1317" w:name="_Toc124061170"/>
      <w:bookmarkStart w:id="1318" w:name="_Toc188695436"/>
      <w:bookmarkStart w:id="1319" w:name="_Toc187053375"/>
      <w:r>
        <w:rPr>
          <w:rStyle w:val="CharSectno"/>
        </w:rPr>
        <w:t>103</w:t>
      </w:r>
      <w:r>
        <w:rPr>
          <w:snapToGrid w:val="0"/>
        </w:rPr>
        <w:t>.</w:t>
      </w:r>
      <w:r>
        <w:rPr>
          <w:snapToGrid w:val="0"/>
        </w:rPr>
        <w:tab/>
        <w:t>Effect of exemption</w:t>
      </w:r>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 xml:space="preserve">[Section 103 amended by No. 100 of 1985 s. 78.] </w:t>
      </w:r>
    </w:p>
    <w:p>
      <w:pPr>
        <w:pStyle w:val="Ednotedivision"/>
      </w:pPr>
      <w:r>
        <w:t>[Division 8 repealed by No. 54 of 1996 s. 15.]</w:t>
      </w:r>
    </w:p>
    <w:p>
      <w:pPr>
        <w:pStyle w:val="Heading2"/>
      </w:pPr>
      <w:bookmarkStart w:id="1320" w:name="_Toc127349134"/>
      <w:bookmarkStart w:id="1321" w:name="_Toc127762316"/>
      <w:bookmarkStart w:id="1322" w:name="_Toc127842378"/>
      <w:bookmarkStart w:id="1323" w:name="_Toc128379989"/>
      <w:bookmarkStart w:id="1324" w:name="_Toc130106605"/>
      <w:bookmarkStart w:id="1325" w:name="_Toc130106885"/>
      <w:bookmarkStart w:id="1326" w:name="_Toc130110782"/>
      <w:bookmarkStart w:id="1327" w:name="_Toc130276993"/>
      <w:bookmarkStart w:id="1328" w:name="_Toc131408518"/>
      <w:bookmarkStart w:id="1329" w:name="_Toc132530285"/>
      <w:bookmarkStart w:id="1330" w:name="_Toc142194342"/>
      <w:bookmarkStart w:id="1331" w:name="_Toc162778427"/>
      <w:bookmarkStart w:id="1332" w:name="_Toc162841011"/>
      <w:bookmarkStart w:id="1333" w:name="_Toc162932847"/>
      <w:bookmarkStart w:id="1334" w:name="_Toc187053376"/>
      <w:bookmarkStart w:id="1335" w:name="_Toc188695437"/>
      <w:bookmarkStart w:id="1336" w:name="_Toc87427682"/>
      <w:bookmarkStart w:id="1337" w:name="_Toc87851257"/>
      <w:bookmarkStart w:id="1338" w:name="_Toc88295480"/>
      <w:bookmarkStart w:id="1339" w:name="_Toc89519139"/>
      <w:bookmarkStart w:id="1340" w:name="_Toc90869264"/>
      <w:bookmarkStart w:id="1341" w:name="_Toc91408036"/>
      <w:bookmarkStart w:id="1342" w:name="_Toc92863780"/>
      <w:bookmarkStart w:id="1343" w:name="_Toc95015148"/>
      <w:bookmarkStart w:id="1344" w:name="_Toc95106855"/>
      <w:bookmarkStart w:id="1345" w:name="_Toc97018655"/>
      <w:bookmarkStart w:id="1346" w:name="_Toc101693608"/>
      <w:bookmarkStart w:id="1347" w:name="_Toc103130478"/>
      <w:bookmarkStart w:id="1348" w:name="_Toc104711128"/>
      <w:bookmarkStart w:id="1349" w:name="_Toc121560113"/>
      <w:bookmarkStart w:id="1350" w:name="_Toc122328554"/>
      <w:bookmarkStart w:id="1351" w:name="_Toc124061173"/>
      <w:bookmarkStart w:id="1352" w:name="_Toc124140028"/>
      <w:bookmarkStart w:id="1353" w:name="_Toc127174790"/>
      <w:r>
        <w:rPr>
          <w:rStyle w:val="CharPartNo"/>
        </w:rPr>
        <w:t>Part IVA</w:t>
      </w:r>
      <w:r>
        <w:rPr>
          <w:rStyle w:val="CharDivNo"/>
        </w:rPr>
        <w:t> </w:t>
      </w:r>
      <w:r>
        <w:t>—</w:t>
      </w:r>
      <w:r>
        <w:rPr>
          <w:rStyle w:val="CharDivText"/>
        </w:rPr>
        <w:t> </w:t>
      </w:r>
      <w:r>
        <w:rPr>
          <w:rStyle w:val="CharPartText"/>
        </w:rPr>
        <w:t>Registration of instruments and register</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Footnoteheading"/>
        <w:rPr>
          <w:snapToGrid w:val="0"/>
        </w:rPr>
      </w:pPr>
      <w:r>
        <w:rPr>
          <w:snapToGrid w:val="0"/>
        </w:rPr>
        <w:tab/>
        <w:t>[Heading inserted by No. 54 of 1996 s. 15.]</w:t>
      </w:r>
    </w:p>
    <w:p>
      <w:pPr>
        <w:pStyle w:val="Heading5"/>
        <w:rPr>
          <w:snapToGrid w:val="0"/>
        </w:rPr>
      </w:pPr>
      <w:bookmarkStart w:id="1354" w:name="_Toc188695438"/>
      <w:bookmarkStart w:id="1355" w:name="_Toc187053377"/>
      <w:r>
        <w:rPr>
          <w:rStyle w:val="CharSectno"/>
        </w:rPr>
        <w:t>103A</w:t>
      </w:r>
      <w:r>
        <w:rPr>
          <w:snapToGrid w:val="0"/>
        </w:rPr>
        <w:t>.</w:t>
      </w:r>
      <w:r>
        <w:rPr>
          <w:snapToGrid w:val="0"/>
        </w:rPr>
        <w:tab/>
        <w:t>Definition</w:t>
      </w:r>
      <w:bookmarkEnd w:id="1354"/>
      <w:bookmarkEnd w:id="1355"/>
    </w:p>
    <w:p>
      <w:pPr>
        <w:pStyle w:val="Subsection"/>
        <w:rPr>
          <w:snapToGrid w:val="0"/>
        </w:rPr>
      </w:pPr>
      <w:r>
        <w:rPr>
          <w:snapToGrid w:val="0"/>
        </w:rPr>
        <w:tab/>
      </w:r>
      <w:r>
        <w:rPr>
          <w:snapToGrid w:val="0"/>
        </w:rPr>
        <w:tab/>
        <w:t>In this Part —</w:t>
      </w:r>
    </w:p>
    <w:p>
      <w:pPr>
        <w:pStyle w:val="Defstart"/>
      </w:pPr>
      <w:r>
        <w:tab/>
      </w:r>
      <w:r>
        <w:rPr>
          <w:b/>
        </w:rPr>
        <w:t>“</w:t>
      </w:r>
      <w:r>
        <w:rPr>
          <w:rStyle w:val="CharDefText"/>
        </w:rPr>
        <w:t>authorised officer</w:t>
      </w:r>
      <w:r>
        <w:rPr>
          <w:b/>
        </w:rPr>
        <w:t>”</w:t>
      </w:r>
      <w:r>
        <w:t xml:space="preserve"> means an officer of the Department authorised under section 103B.</w:t>
      </w:r>
    </w:p>
    <w:p>
      <w:pPr>
        <w:pStyle w:val="Footnotesection"/>
      </w:pPr>
      <w:r>
        <w:tab/>
        <w:t>[Section 103A inserted by No. 54 of 1996 s. 15.]</w:t>
      </w:r>
    </w:p>
    <w:p>
      <w:pPr>
        <w:pStyle w:val="Heading5"/>
        <w:rPr>
          <w:snapToGrid w:val="0"/>
        </w:rPr>
      </w:pPr>
      <w:bookmarkStart w:id="1356" w:name="_Toc188695439"/>
      <w:bookmarkStart w:id="1357" w:name="_Toc187053378"/>
      <w:r>
        <w:rPr>
          <w:rStyle w:val="CharSectno"/>
        </w:rPr>
        <w:t>103B</w:t>
      </w:r>
      <w:r>
        <w:rPr>
          <w:snapToGrid w:val="0"/>
        </w:rPr>
        <w:t>.</w:t>
      </w:r>
      <w:r>
        <w:rPr>
          <w:snapToGrid w:val="0"/>
        </w:rPr>
        <w:tab/>
        <w:t>Authorised officers</w:t>
      </w:r>
      <w:bookmarkEnd w:id="1356"/>
      <w:bookmarkEnd w:id="1357"/>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358" w:name="_Toc188695440"/>
      <w:bookmarkStart w:id="1359" w:name="_Toc187053379"/>
      <w:r>
        <w:rPr>
          <w:rStyle w:val="CharSectno"/>
        </w:rPr>
        <w:t>103C</w:t>
      </w:r>
      <w:r>
        <w:rPr>
          <w:snapToGrid w:val="0"/>
        </w:rPr>
        <w:t>.</w:t>
      </w:r>
      <w:r>
        <w:rPr>
          <w:snapToGrid w:val="0"/>
        </w:rPr>
        <w:tab/>
        <w:t>Registration</w:t>
      </w:r>
      <w:bookmarkEnd w:id="1358"/>
      <w:bookmarkEnd w:id="1359"/>
    </w:p>
    <w:p>
      <w:pPr>
        <w:pStyle w:val="Subsection"/>
        <w:rPr>
          <w:snapToGrid w:val="0"/>
        </w:rPr>
      </w:pPr>
      <w:r>
        <w:rPr>
          <w:snapToGrid w:val="0"/>
        </w:rPr>
        <w:tab/>
        <w:t>(1)</w:t>
      </w:r>
      <w:r>
        <w:rPr>
          <w:snapToGrid w:val="0"/>
        </w:rPr>
        <w:tab/>
        <w:t xml:space="preserve">This section applies to the following instruments —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 and</w:t>
      </w:r>
    </w:p>
    <w:p>
      <w:pPr>
        <w:pStyle w:val="Indenta"/>
        <w:rPr>
          <w:snapToGrid w:val="0"/>
        </w:rPr>
      </w:pPr>
      <w:r>
        <w:rPr>
          <w:snapToGrid w:val="0"/>
        </w:rPr>
        <w:tab/>
        <w:t>(d)</w:t>
      </w:r>
      <w:r>
        <w:rPr>
          <w:snapToGrid w:val="0"/>
        </w:rPr>
        <w:tab/>
        <w:t>a surrender under section 26A, 65 or 95.</w:t>
      </w:r>
    </w:p>
    <w:p>
      <w:pPr>
        <w:pStyle w:val="Subsection"/>
        <w:rPr>
          <w:snapToGrid w:val="0"/>
        </w:rPr>
      </w:pPr>
      <w:r>
        <w:rPr>
          <w:snapToGrid w:val="0"/>
        </w:rPr>
        <w:tab/>
        <w:t>(2)</w:t>
      </w:r>
      <w:r>
        <w:rPr>
          <w:snapToGrid w:val="0"/>
        </w:rPr>
        <w:tab/>
        <w:t xml:space="preserve">An instrument to which this section applies is to be —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w:t>
      </w:r>
    </w:p>
    <w:p>
      <w:pPr>
        <w:pStyle w:val="Heading5"/>
        <w:rPr>
          <w:snapToGrid w:val="0"/>
        </w:rPr>
      </w:pPr>
      <w:bookmarkStart w:id="1360" w:name="_Toc188695441"/>
      <w:bookmarkStart w:id="1361" w:name="_Toc187053380"/>
      <w:r>
        <w:rPr>
          <w:rStyle w:val="CharSectno"/>
        </w:rPr>
        <w:t>103D</w:t>
      </w:r>
      <w:r>
        <w:rPr>
          <w:snapToGrid w:val="0"/>
        </w:rPr>
        <w:t>.</w:t>
      </w:r>
      <w:r>
        <w:rPr>
          <w:snapToGrid w:val="0"/>
        </w:rPr>
        <w:tab/>
        <w:t>Provisional lodgment</w:t>
      </w:r>
      <w:bookmarkEnd w:id="1360"/>
      <w:bookmarkEnd w:id="1361"/>
    </w:p>
    <w:p>
      <w:pPr>
        <w:pStyle w:val="Subsection"/>
        <w:rPr>
          <w:snapToGrid w:val="0"/>
        </w:rPr>
      </w:pPr>
      <w:r>
        <w:rPr>
          <w:snapToGrid w:val="0"/>
        </w:rPr>
        <w:tab/>
        <w:t>(1)</w:t>
      </w:r>
      <w:r>
        <w:rPr>
          <w:snapToGrid w:val="0"/>
        </w:rPr>
        <w:tab/>
        <w:t xml:space="preserve">If an authorised officer is of the opinion that an instrument lodged for registration contains an error or defect, the authorised officer is —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rPr>
          <w:snapToGrid w:val="0"/>
        </w:rPr>
      </w:pPr>
      <w:bookmarkStart w:id="1362" w:name="_Toc188695442"/>
      <w:bookmarkStart w:id="1363" w:name="_Toc187053381"/>
      <w:r>
        <w:rPr>
          <w:rStyle w:val="CharSectno"/>
        </w:rPr>
        <w:t>103E</w:t>
      </w:r>
      <w:r>
        <w:rPr>
          <w:snapToGrid w:val="0"/>
        </w:rPr>
        <w:t>.</w:t>
      </w:r>
      <w:r>
        <w:rPr>
          <w:snapToGrid w:val="0"/>
        </w:rPr>
        <w:tab/>
        <w:t>Priority of dealings</w:t>
      </w:r>
      <w:bookmarkEnd w:id="1362"/>
      <w:bookmarkEnd w:id="1363"/>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364" w:name="_Toc188695443"/>
      <w:bookmarkStart w:id="1365" w:name="_Toc187053382"/>
      <w:r>
        <w:rPr>
          <w:rStyle w:val="CharSectno"/>
        </w:rPr>
        <w:t>103F</w:t>
      </w:r>
      <w:r>
        <w:rPr>
          <w:snapToGrid w:val="0"/>
        </w:rPr>
        <w:t>.</w:t>
      </w:r>
      <w:r>
        <w:rPr>
          <w:snapToGrid w:val="0"/>
        </w:rPr>
        <w:tab/>
        <w:t>Register</w:t>
      </w:r>
      <w:bookmarkEnd w:id="1364"/>
      <w:bookmarkEnd w:id="1365"/>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Perth or at the office of the mining registrar —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366" w:name="_Toc188695444"/>
      <w:bookmarkStart w:id="1367" w:name="_Toc187053383"/>
      <w:r>
        <w:rPr>
          <w:rStyle w:val="CharSectno"/>
        </w:rPr>
        <w:t>103G</w:t>
      </w:r>
      <w:r>
        <w:rPr>
          <w:snapToGrid w:val="0"/>
        </w:rPr>
        <w:t>.</w:t>
      </w:r>
      <w:r>
        <w:rPr>
          <w:snapToGrid w:val="0"/>
        </w:rPr>
        <w:tab/>
        <w:t>Amendment of register</w:t>
      </w:r>
      <w:bookmarkEnd w:id="1366"/>
      <w:bookmarkEnd w:id="136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368" w:name="_Toc188695445"/>
      <w:bookmarkStart w:id="1369" w:name="_Toc187053384"/>
      <w:r>
        <w:rPr>
          <w:rStyle w:val="CharSectno"/>
        </w:rPr>
        <w:t>103H</w:t>
      </w:r>
      <w:r>
        <w:rPr>
          <w:snapToGrid w:val="0"/>
        </w:rPr>
        <w:t>.</w:t>
      </w:r>
      <w:r>
        <w:rPr>
          <w:snapToGrid w:val="0"/>
        </w:rPr>
        <w:tab/>
        <w:t>Regulations relating to register</w:t>
      </w:r>
      <w:bookmarkEnd w:id="1368"/>
      <w:bookmarkEnd w:id="1369"/>
    </w:p>
    <w:p>
      <w:pPr>
        <w:pStyle w:val="Subsection"/>
        <w:rPr>
          <w:snapToGrid w:val="0"/>
        </w:rPr>
      </w:pPr>
      <w:r>
        <w:rPr>
          <w:snapToGrid w:val="0"/>
        </w:rPr>
        <w:tab/>
      </w:r>
      <w:r>
        <w:rPr>
          <w:snapToGrid w:val="0"/>
        </w:rPr>
        <w:tab/>
        <w:t xml:space="preserve">The regulations may —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370" w:name="_Toc127349143"/>
      <w:bookmarkStart w:id="1371" w:name="_Toc127762325"/>
      <w:bookmarkStart w:id="1372" w:name="_Toc127842387"/>
      <w:bookmarkStart w:id="1373" w:name="_Toc128379998"/>
      <w:bookmarkStart w:id="1374" w:name="_Toc130106614"/>
      <w:bookmarkStart w:id="1375" w:name="_Toc130106894"/>
      <w:bookmarkStart w:id="1376" w:name="_Toc130110791"/>
      <w:bookmarkStart w:id="1377" w:name="_Toc130277002"/>
      <w:bookmarkStart w:id="1378" w:name="_Toc131408527"/>
      <w:bookmarkStart w:id="1379" w:name="_Toc132530294"/>
      <w:bookmarkStart w:id="1380" w:name="_Toc142194351"/>
      <w:bookmarkStart w:id="1381" w:name="_Toc162778436"/>
      <w:bookmarkStart w:id="1382" w:name="_Toc162841020"/>
      <w:bookmarkStart w:id="1383" w:name="_Toc162932856"/>
      <w:bookmarkStart w:id="1384" w:name="_Toc187053385"/>
      <w:bookmarkStart w:id="1385" w:name="_Toc188695446"/>
      <w:r>
        <w:rPr>
          <w:rStyle w:val="CharPartNo"/>
        </w:rPr>
        <w:t>Part V</w:t>
      </w:r>
      <w:r>
        <w:rPr>
          <w:rStyle w:val="CharDivNo"/>
        </w:rPr>
        <w:t> </w:t>
      </w:r>
      <w:r>
        <w:t>—</w:t>
      </w:r>
      <w:r>
        <w:rPr>
          <w:rStyle w:val="CharDivText"/>
        </w:rPr>
        <w:t> </w:t>
      </w:r>
      <w:r>
        <w:rPr>
          <w:rStyle w:val="CharPartText"/>
        </w:rPr>
        <w:t>General provisions relating to mining and mining tenements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PartText"/>
        </w:rPr>
        <w:t xml:space="preserve"> </w:t>
      </w:r>
    </w:p>
    <w:p>
      <w:pPr>
        <w:pStyle w:val="Heading5"/>
        <w:rPr>
          <w:snapToGrid w:val="0"/>
        </w:rPr>
      </w:pPr>
      <w:bookmarkStart w:id="1386" w:name="_Toc520088011"/>
      <w:bookmarkStart w:id="1387" w:name="_Toc523620646"/>
      <w:bookmarkStart w:id="1388" w:name="_Toc38853799"/>
      <w:bookmarkStart w:id="1389" w:name="_Toc124061174"/>
      <w:bookmarkStart w:id="1390" w:name="_Toc188695447"/>
      <w:bookmarkStart w:id="1391" w:name="_Toc187053386"/>
      <w:r>
        <w:rPr>
          <w:rStyle w:val="CharSectno"/>
        </w:rPr>
        <w:t>104</w:t>
      </w:r>
      <w:r>
        <w:rPr>
          <w:snapToGrid w:val="0"/>
        </w:rPr>
        <w:t>.</w:t>
      </w:r>
      <w:r>
        <w:rPr>
          <w:snapToGrid w:val="0"/>
        </w:rPr>
        <w:tab/>
        <w:t>Entry on land for purpose of marking out, etc.</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 xml:space="preserve">[Section 104 amended by No. 5 of 1997 s. 41(2).] </w:t>
      </w:r>
    </w:p>
    <w:p>
      <w:pPr>
        <w:pStyle w:val="Heading5"/>
        <w:rPr>
          <w:snapToGrid w:val="0"/>
        </w:rPr>
      </w:pPr>
      <w:bookmarkStart w:id="1392" w:name="_Toc520088012"/>
      <w:bookmarkStart w:id="1393" w:name="_Toc523620647"/>
      <w:bookmarkStart w:id="1394" w:name="_Toc38853800"/>
      <w:bookmarkStart w:id="1395" w:name="_Toc124061175"/>
      <w:bookmarkStart w:id="1396" w:name="_Toc188695448"/>
      <w:bookmarkStart w:id="1397" w:name="_Toc187053387"/>
      <w:r>
        <w:rPr>
          <w:rStyle w:val="CharSectno"/>
        </w:rPr>
        <w:t>105</w:t>
      </w:r>
      <w:r>
        <w:rPr>
          <w:snapToGrid w:val="0"/>
        </w:rPr>
        <w:t>.</w:t>
      </w:r>
      <w:r>
        <w:rPr>
          <w:snapToGrid w:val="0"/>
        </w:rPr>
        <w:tab/>
        <w:t>Marking out of mining tenement</w:t>
      </w:r>
      <w:bookmarkEnd w:id="1392"/>
      <w:bookmarkEnd w:id="1393"/>
      <w:bookmarkEnd w:id="1394"/>
      <w:bookmarkEnd w:id="1395"/>
      <w:bookmarkEnd w:id="1396"/>
      <w:bookmarkEnd w:id="1397"/>
      <w:r>
        <w:rPr>
          <w:snapToGrid w:val="0"/>
        </w:rPr>
        <w:t xml:space="preserve"> </w:t>
      </w:r>
    </w:p>
    <w:p>
      <w:pPr>
        <w:pStyle w:val="Subsection"/>
        <w:spacing w:before="100"/>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repealed]</w:t>
      </w:r>
    </w:p>
    <w:p>
      <w:pPr>
        <w:pStyle w:val="Footnotesection"/>
      </w:pPr>
      <w:r>
        <w:tab/>
        <w:t xml:space="preserve">[Section 105 amended by No. 100 of 1985 s. 79; No. 105 of 1986 s. 16; No. 22 of 1990 s. 33; No. 37 of 1993 s. 10(2) and 16.] </w:t>
      </w:r>
    </w:p>
    <w:p>
      <w:pPr>
        <w:pStyle w:val="Heading5"/>
        <w:spacing w:before="120"/>
        <w:rPr>
          <w:snapToGrid w:val="0"/>
        </w:rPr>
      </w:pPr>
      <w:bookmarkStart w:id="1398" w:name="_Toc520088013"/>
      <w:bookmarkStart w:id="1399" w:name="_Toc523620648"/>
      <w:bookmarkStart w:id="1400" w:name="_Toc38853801"/>
      <w:bookmarkStart w:id="1401" w:name="_Toc124061176"/>
      <w:bookmarkStart w:id="1402" w:name="_Toc188695449"/>
      <w:bookmarkStart w:id="1403" w:name="_Toc187053388"/>
      <w:r>
        <w:rPr>
          <w:rStyle w:val="CharSectno"/>
        </w:rPr>
        <w:t>105A</w:t>
      </w:r>
      <w:r>
        <w:rPr>
          <w:snapToGrid w:val="0"/>
        </w:rPr>
        <w:t>.</w:t>
      </w:r>
      <w:r>
        <w:rPr>
          <w:snapToGrid w:val="0"/>
        </w:rPr>
        <w:tab/>
        <w:t>Priorities between applicants for certain tenements</w:t>
      </w:r>
      <w:bookmarkEnd w:id="1398"/>
      <w:bookmarkEnd w:id="1399"/>
      <w:bookmarkEnd w:id="1400"/>
      <w:bookmarkEnd w:id="1401"/>
      <w:bookmarkEnd w:id="1402"/>
      <w:bookmarkEnd w:id="1403"/>
    </w:p>
    <w:p>
      <w:pPr>
        <w:pStyle w:val="Subsection"/>
        <w:spacing w:before="100"/>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b/>
          <w:snapToGrid w:val="0"/>
        </w:rPr>
        <w:t>“</w:t>
      </w:r>
      <w:r>
        <w:rPr>
          <w:rStyle w:val="CharDefText"/>
        </w:rPr>
        <w:t>applicant</w:t>
      </w:r>
      <w:r>
        <w:rPr>
          <w:b/>
          <w:snapToGrid w:val="0"/>
        </w:rPr>
        <w: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 xml:space="preserve">[Section 105A inserted by No. 69 of 1981 s. 24; amended by No. 100 of 1985 s. 80; No. 1 of 1986 s. 6; No. 22 of 1990 s. 34; No. 37 of 1993 s. 17 and 26; No. 58 of 1994 s. 42; No. 15 of 2002 s. 26; No. 39 of 2004 s. 67 and 95.] </w:t>
      </w:r>
    </w:p>
    <w:p>
      <w:pPr>
        <w:pStyle w:val="Heading5"/>
        <w:rPr>
          <w:snapToGrid w:val="0"/>
        </w:rPr>
      </w:pPr>
      <w:bookmarkStart w:id="1404" w:name="_Toc520088014"/>
      <w:bookmarkStart w:id="1405" w:name="_Toc523620649"/>
      <w:bookmarkStart w:id="1406" w:name="_Toc38853802"/>
      <w:bookmarkStart w:id="1407" w:name="_Toc124061177"/>
      <w:bookmarkStart w:id="1408" w:name="_Toc188695450"/>
      <w:bookmarkStart w:id="1409" w:name="_Toc187053389"/>
      <w:r>
        <w:rPr>
          <w:rStyle w:val="CharSectno"/>
        </w:rPr>
        <w:t>105B</w:t>
      </w:r>
      <w:r>
        <w:rPr>
          <w:snapToGrid w:val="0"/>
        </w:rPr>
        <w:t>.</w:t>
      </w:r>
      <w:r>
        <w:rPr>
          <w:snapToGrid w:val="0"/>
        </w:rPr>
        <w:tab/>
        <w:t>Grant of tenement subject to survey</w:t>
      </w:r>
      <w:bookmarkEnd w:id="1404"/>
      <w:bookmarkEnd w:id="1405"/>
      <w:bookmarkEnd w:id="1406"/>
      <w:bookmarkEnd w:id="1407"/>
      <w:bookmarkEnd w:id="1408"/>
      <w:bookmarkEnd w:id="1409"/>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 xml:space="preserve">[Section 105B inserted by No. 100 of 1985 s. 81.] </w:t>
      </w:r>
    </w:p>
    <w:p>
      <w:pPr>
        <w:pStyle w:val="Heading5"/>
        <w:rPr>
          <w:snapToGrid w:val="0"/>
        </w:rPr>
      </w:pPr>
      <w:bookmarkStart w:id="1410" w:name="_Toc520088015"/>
      <w:bookmarkStart w:id="1411" w:name="_Toc523620650"/>
      <w:bookmarkStart w:id="1412" w:name="_Toc38853803"/>
      <w:bookmarkStart w:id="1413" w:name="_Toc124061178"/>
      <w:bookmarkStart w:id="1414" w:name="_Toc188695451"/>
      <w:bookmarkStart w:id="1415" w:name="_Toc187053390"/>
      <w:r>
        <w:rPr>
          <w:rStyle w:val="CharSectno"/>
        </w:rPr>
        <w:t>106</w:t>
      </w:r>
      <w:r>
        <w:rPr>
          <w:snapToGrid w:val="0"/>
        </w:rPr>
        <w:t>.</w:t>
      </w:r>
      <w:r>
        <w:rPr>
          <w:snapToGrid w:val="0"/>
        </w:rPr>
        <w:tab/>
        <w:t>Offence of destroying marks or obstructing surveyor, etc.</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 xml:space="preserve">[Section 106 amended by No. 122 of 1982 s. 26; No. 100 of 1985 s. 82.] </w:t>
      </w:r>
    </w:p>
    <w:p>
      <w:pPr>
        <w:pStyle w:val="Heading5"/>
        <w:rPr>
          <w:snapToGrid w:val="0"/>
        </w:rPr>
      </w:pPr>
      <w:bookmarkStart w:id="1416" w:name="_Toc520088016"/>
      <w:bookmarkStart w:id="1417" w:name="_Toc523620651"/>
      <w:bookmarkStart w:id="1418" w:name="_Toc38853804"/>
      <w:bookmarkStart w:id="1419" w:name="_Toc124061179"/>
      <w:bookmarkStart w:id="1420" w:name="_Toc188695452"/>
      <w:bookmarkStart w:id="1421" w:name="_Toc187053391"/>
      <w:r>
        <w:rPr>
          <w:rStyle w:val="CharSectno"/>
        </w:rPr>
        <w:t>107</w:t>
      </w:r>
      <w:r>
        <w:rPr>
          <w:snapToGrid w:val="0"/>
        </w:rPr>
        <w:t>.</w:t>
      </w:r>
      <w:r>
        <w:rPr>
          <w:snapToGrid w:val="0"/>
        </w:rPr>
        <w:tab/>
        <w:t>Areas covered by water not required to be marked out</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422" w:name="_Toc520088017"/>
      <w:bookmarkStart w:id="1423" w:name="_Toc523620652"/>
      <w:bookmarkStart w:id="1424" w:name="_Toc38853805"/>
      <w:bookmarkStart w:id="1425" w:name="_Toc124061180"/>
      <w:bookmarkStart w:id="1426" w:name="_Toc188695453"/>
      <w:bookmarkStart w:id="1427" w:name="_Toc187053392"/>
      <w:r>
        <w:rPr>
          <w:rStyle w:val="CharSectno"/>
        </w:rPr>
        <w:t>108</w:t>
      </w:r>
      <w:r>
        <w:rPr>
          <w:snapToGrid w:val="0"/>
        </w:rPr>
        <w:t>.</w:t>
      </w:r>
      <w:r>
        <w:rPr>
          <w:snapToGrid w:val="0"/>
        </w:rPr>
        <w:tab/>
        <w:t>Rent payable for mining tenement</w:t>
      </w:r>
      <w:bookmarkEnd w:id="1422"/>
      <w:bookmarkEnd w:id="1423"/>
      <w:bookmarkEnd w:id="1424"/>
      <w:bookmarkEnd w:id="1425"/>
      <w:bookmarkEnd w:id="1426"/>
      <w:bookmarkEnd w:id="1427"/>
      <w:r>
        <w:rPr>
          <w:snapToGrid w:val="0"/>
        </w:rPr>
        <w:t xml:space="preserve"> </w:t>
      </w:r>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428" w:name="_Toc520088018"/>
      <w:bookmarkStart w:id="1429" w:name="_Toc523620653"/>
      <w:bookmarkStart w:id="1430" w:name="_Toc38853806"/>
      <w:bookmarkStart w:id="1431" w:name="_Toc124061181"/>
      <w:bookmarkStart w:id="1432" w:name="_Toc188695454"/>
      <w:bookmarkStart w:id="1433" w:name="_Toc187053393"/>
      <w:r>
        <w:rPr>
          <w:rStyle w:val="CharSectno"/>
        </w:rPr>
        <w:t>109</w:t>
      </w:r>
      <w:r>
        <w:rPr>
          <w:snapToGrid w:val="0"/>
        </w:rPr>
        <w:t>.</w:t>
      </w:r>
      <w:r>
        <w:rPr>
          <w:snapToGrid w:val="0"/>
        </w:rPr>
        <w:tab/>
        <w:t>Royalties</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t>(1)</w:t>
      </w:r>
      <w:r>
        <w:rPr>
          <w:snapToGrid w:val="0"/>
        </w:rPr>
        <w:tab/>
        <w:t>In the exercise of the power to make regulations under section 162, the Governor may by regulation —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 xml:space="preserve">[Section 109 amended by No. 100 of 1985 s. 83; No. 58 of 1994 s. 43.] </w:t>
      </w:r>
    </w:p>
    <w:p>
      <w:pPr>
        <w:pStyle w:val="Heading5"/>
        <w:rPr>
          <w:snapToGrid w:val="0"/>
        </w:rPr>
      </w:pPr>
      <w:bookmarkStart w:id="1434" w:name="_Toc520088019"/>
      <w:bookmarkStart w:id="1435" w:name="_Toc523620654"/>
      <w:bookmarkStart w:id="1436" w:name="_Toc38853807"/>
      <w:bookmarkStart w:id="1437" w:name="_Toc124061182"/>
      <w:bookmarkStart w:id="1438" w:name="_Toc188695455"/>
      <w:bookmarkStart w:id="1439" w:name="_Toc187053394"/>
      <w:r>
        <w:rPr>
          <w:rStyle w:val="CharSectno"/>
        </w:rPr>
        <w:t>109A</w:t>
      </w:r>
      <w:r>
        <w:rPr>
          <w:snapToGrid w:val="0"/>
        </w:rPr>
        <w:t>.</w:t>
      </w:r>
      <w:r>
        <w:rPr>
          <w:snapToGrid w:val="0"/>
        </w:rPr>
        <w:tab/>
        <w:t>Verification of royalties payable</w:t>
      </w:r>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 </w:t>
      </w:r>
    </w:p>
    <w:p>
      <w:pPr>
        <w:pStyle w:val="Indenta"/>
        <w:rPr>
          <w:snapToGrid w:val="0"/>
        </w:rPr>
      </w:pPr>
      <w:r>
        <w:rPr>
          <w:snapToGrid w:val="0"/>
        </w:rPr>
        <w:tab/>
        <w:t>(a)</w:t>
      </w:r>
      <w:r>
        <w:rPr>
          <w:snapToGrid w:val="0"/>
        </w:rPr>
        <w:tab/>
        <w:t>is prepared at the cost of the person by whom the request is made and is signed by —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20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200"/>
        <w:rPr>
          <w:snapToGrid w:val="0"/>
        </w:rPr>
      </w:pPr>
      <w:r>
        <w:rPr>
          <w:snapToGrid w:val="0"/>
        </w:rPr>
        <w:tab/>
        <w:t>(5)</w:t>
      </w:r>
      <w:r>
        <w:rPr>
          <w:snapToGrid w:val="0"/>
        </w:rPr>
        <w:tab/>
        <w:t>A person who, without reasonable cause, refuses or fails —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 xml:space="preserve">[Section 109A inserted by No. 22 of 1990 s. 35; amended by No. 37 of 1993 s. 27; No. 10 of 2001 s. 136.] </w:t>
      </w:r>
    </w:p>
    <w:p>
      <w:pPr>
        <w:pStyle w:val="Heading5"/>
        <w:spacing w:before="160"/>
        <w:rPr>
          <w:snapToGrid w:val="0"/>
        </w:rPr>
      </w:pPr>
      <w:bookmarkStart w:id="1440" w:name="_Toc520088020"/>
      <w:bookmarkStart w:id="1441" w:name="_Toc523620655"/>
      <w:bookmarkStart w:id="1442" w:name="_Toc38853808"/>
      <w:bookmarkStart w:id="1443" w:name="_Toc124061183"/>
      <w:bookmarkStart w:id="1444" w:name="_Toc188695456"/>
      <w:bookmarkStart w:id="1445" w:name="_Toc187053395"/>
      <w:r>
        <w:rPr>
          <w:rStyle w:val="CharSectno"/>
        </w:rPr>
        <w:t>110</w:t>
      </w:r>
      <w:r>
        <w:rPr>
          <w:snapToGrid w:val="0"/>
        </w:rPr>
        <w:t>.</w:t>
      </w:r>
      <w:r>
        <w:rPr>
          <w:snapToGrid w:val="0"/>
        </w:rPr>
        <w:tab/>
        <w:t>Mining lease restricted to certain minerals</w:t>
      </w:r>
      <w:bookmarkEnd w:id="1440"/>
      <w:bookmarkEnd w:id="1441"/>
      <w:bookmarkEnd w:id="1442"/>
      <w:bookmarkEnd w:id="1443"/>
      <w:bookmarkEnd w:id="1444"/>
      <w:bookmarkEnd w:id="1445"/>
      <w:r>
        <w:rPr>
          <w:snapToGrid w:val="0"/>
        </w:rPr>
        <w:t xml:space="preserve"> </w:t>
      </w:r>
    </w:p>
    <w:p>
      <w:pPr>
        <w:pStyle w:val="Subsection"/>
        <w:spacing w:before="10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60"/>
        <w:rPr>
          <w:snapToGrid w:val="0"/>
        </w:rPr>
      </w:pPr>
      <w:bookmarkStart w:id="1446" w:name="_Toc520088021"/>
      <w:bookmarkStart w:id="1447" w:name="_Toc523620656"/>
      <w:bookmarkStart w:id="1448" w:name="_Toc38853809"/>
      <w:bookmarkStart w:id="1449" w:name="_Toc124061184"/>
      <w:bookmarkStart w:id="1450" w:name="_Toc188695457"/>
      <w:bookmarkStart w:id="1451" w:name="_Toc187053396"/>
      <w:r>
        <w:rPr>
          <w:rStyle w:val="CharSectno"/>
        </w:rPr>
        <w:t>111</w:t>
      </w:r>
      <w:r>
        <w:rPr>
          <w:snapToGrid w:val="0"/>
        </w:rPr>
        <w:t>.</w:t>
      </w:r>
      <w:r>
        <w:rPr>
          <w:snapToGrid w:val="0"/>
        </w:rPr>
        <w:tab/>
        <w:t>Power of Minister to exclude mining for iron from mining tenements</w:t>
      </w:r>
      <w:bookmarkEnd w:id="1446"/>
      <w:bookmarkEnd w:id="1447"/>
      <w:bookmarkEnd w:id="1448"/>
      <w:bookmarkEnd w:id="1449"/>
      <w:bookmarkEnd w:id="1450"/>
      <w:bookmarkEnd w:id="1451"/>
      <w:r>
        <w:rPr>
          <w:snapToGrid w:val="0"/>
        </w:rPr>
        <w:t xml:space="preserve"> </w:t>
      </w:r>
    </w:p>
    <w:p>
      <w:pPr>
        <w:pStyle w:val="Subsection"/>
        <w:spacing w:before="100"/>
        <w:rPr>
          <w:snapToGrid w:val="0"/>
        </w:rPr>
      </w:pPr>
      <w:r>
        <w:rPr>
          <w:snapToGrid w:val="0"/>
        </w:rPr>
        <w:tab/>
      </w:r>
      <w:r>
        <w:rPr>
          <w:snapToGrid w:val="0"/>
        </w:rPr>
        <w:tab/>
        <w:t>Notwithstanding the provisions of sections 48, 66, 70J and 85 —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 xml:space="preserve">[Section 111 amended by No. 37 of 1993 s. 10(2); No. 54 of 1996 s. 23.] </w:t>
      </w:r>
    </w:p>
    <w:p>
      <w:pPr>
        <w:pStyle w:val="Heading5"/>
        <w:rPr>
          <w:snapToGrid w:val="0"/>
        </w:rPr>
      </w:pPr>
      <w:bookmarkStart w:id="1452" w:name="_Toc520088022"/>
      <w:bookmarkStart w:id="1453" w:name="_Toc523620657"/>
      <w:bookmarkStart w:id="1454" w:name="_Toc38853810"/>
      <w:bookmarkStart w:id="1455" w:name="_Toc124061185"/>
      <w:bookmarkStart w:id="1456" w:name="_Toc188695458"/>
      <w:bookmarkStart w:id="1457" w:name="_Toc187053397"/>
      <w:r>
        <w:rPr>
          <w:rStyle w:val="CharSectno"/>
        </w:rPr>
        <w:t>111A</w:t>
      </w:r>
      <w:r>
        <w:rPr>
          <w:snapToGrid w:val="0"/>
        </w:rPr>
        <w:t>.</w:t>
      </w:r>
      <w:r>
        <w:rPr>
          <w:snapToGrid w:val="0"/>
        </w:rPr>
        <w:tab/>
        <w:t>Minister may terminate or summarily refuse certain applications</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The Minister may —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 </w:t>
      </w:r>
    </w:p>
    <w:p>
      <w:pPr>
        <w:pStyle w:val="Indenta"/>
        <w:rPr>
          <w:snapToGrid w:val="0"/>
        </w:rPr>
      </w:pPr>
      <w:r>
        <w:rPr>
          <w:snapToGrid w:val="0"/>
        </w:rPr>
        <w:tab/>
        <w:t>(c)</w:t>
      </w:r>
      <w:r>
        <w:rPr>
          <w:snapToGrid w:val="0"/>
        </w:rPr>
        <w:tab/>
        <w:t>the Minister is satisfied on reasonable grounds in the public interest that —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b/>
          <w:snapToGrid w:val="0"/>
        </w:rPr>
        <w:t>“</w:t>
      </w:r>
      <w:r>
        <w:rPr>
          <w:rStyle w:val="CharDefText"/>
        </w:rPr>
        <w:t>late renewal application</w:t>
      </w:r>
      <w:r>
        <w:rPr>
          <w:b/>
          <w:snapToGrid w:val="0"/>
        </w:rPr>
        <w:t>”</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 xml:space="preserve">[Section 111A inserted by No. 58 of 1994 s. 44.] </w:t>
      </w:r>
    </w:p>
    <w:p>
      <w:pPr>
        <w:pStyle w:val="Heading5"/>
        <w:rPr>
          <w:snapToGrid w:val="0"/>
        </w:rPr>
      </w:pPr>
      <w:bookmarkStart w:id="1458" w:name="_Toc520088023"/>
      <w:bookmarkStart w:id="1459" w:name="_Toc523620658"/>
      <w:bookmarkStart w:id="1460" w:name="_Toc38853811"/>
      <w:bookmarkStart w:id="1461" w:name="_Toc124061186"/>
      <w:bookmarkStart w:id="1462" w:name="_Toc188695459"/>
      <w:bookmarkStart w:id="1463" w:name="_Toc187053398"/>
      <w:r>
        <w:rPr>
          <w:rStyle w:val="CharSectno"/>
        </w:rPr>
        <w:t>112</w:t>
      </w:r>
      <w:r>
        <w:rPr>
          <w:snapToGrid w:val="0"/>
        </w:rPr>
        <w:t>.</w:t>
      </w:r>
      <w:r>
        <w:rPr>
          <w:snapToGrid w:val="0"/>
        </w:rPr>
        <w:tab/>
        <w:t>Reservation in favour of Crown on prospecting licence or exploration licence to take rock, etc.</w:t>
      </w:r>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 xml:space="preserve">[Section 112 amended by No. 69 of 1981 s. 26.] </w:t>
      </w:r>
    </w:p>
    <w:p>
      <w:pPr>
        <w:pStyle w:val="Heading5"/>
        <w:spacing w:before="260"/>
        <w:rPr>
          <w:snapToGrid w:val="0"/>
        </w:rPr>
      </w:pPr>
      <w:bookmarkStart w:id="1464" w:name="_Toc520088024"/>
      <w:bookmarkStart w:id="1465" w:name="_Toc523620659"/>
      <w:bookmarkStart w:id="1466" w:name="_Toc38853812"/>
      <w:bookmarkStart w:id="1467" w:name="_Toc124061187"/>
      <w:bookmarkStart w:id="1468" w:name="_Toc188695460"/>
      <w:bookmarkStart w:id="1469" w:name="_Toc187053399"/>
      <w:r>
        <w:rPr>
          <w:rStyle w:val="CharSectno"/>
        </w:rPr>
        <w:t>113</w:t>
      </w:r>
      <w:r>
        <w:rPr>
          <w:snapToGrid w:val="0"/>
        </w:rPr>
        <w:t>.</w:t>
      </w:r>
      <w:r>
        <w:rPr>
          <w:snapToGrid w:val="0"/>
        </w:rPr>
        <w:tab/>
        <w:t>Repossession of land on expiry, etc., of mining tenement</w:t>
      </w:r>
      <w:bookmarkEnd w:id="1464"/>
      <w:bookmarkEnd w:id="1465"/>
      <w:bookmarkEnd w:id="1466"/>
      <w:bookmarkEnd w:id="1467"/>
      <w:bookmarkEnd w:id="1468"/>
      <w:bookmarkEnd w:id="1469"/>
      <w:r>
        <w:rPr>
          <w:snapToGrid w:val="0"/>
        </w:rPr>
        <w:t xml:space="preserve"> </w:t>
      </w:r>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470" w:name="_Toc520088025"/>
      <w:bookmarkStart w:id="1471" w:name="_Toc523620660"/>
      <w:bookmarkStart w:id="1472" w:name="_Toc38853813"/>
      <w:bookmarkStart w:id="1473" w:name="_Toc124061188"/>
      <w:bookmarkStart w:id="1474" w:name="_Toc188695461"/>
      <w:bookmarkStart w:id="1475" w:name="_Toc187053400"/>
      <w:r>
        <w:rPr>
          <w:rStyle w:val="CharSectno"/>
        </w:rPr>
        <w:t>114</w:t>
      </w:r>
      <w:r>
        <w:rPr>
          <w:snapToGrid w:val="0"/>
        </w:rPr>
        <w:t>.</w:t>
      </w:r>
      <w:r>
        <w:rPr>
          <w:snapToGrid w:val="0"/>
        </w:rPr>
        <w:tab/>
        <w:t>Removal of buildings etc., on expiry etc., of mining tenement</w:t>
      </w:r>
      <w:bookmarkEnd w:id="1470"/>
      <w:bookmarkEnd w:id="1471"/>
      <w:bookmarkEnd w:id="1472"/>
      <w:bookmarkEnd w:id="1473"/>
      <w:bookmarkEnd w:id="1474"/>
      <w:bookmarkEnd w:id="1475"/>
      <w:r>
        <w:rPr>
          <w:snapToGrid w:val="0"/>
        </w:rPr>
        <w:t xml:space="preserve"> </w:t>
      </w:r>
    </w:p>
    <w:p>
      <w:pPr>
        <w:pStyle w:val="Subsection"/>
        <w:keepNext/>
        <w:spacing w:before="200"/>
        <w:rPr>
          <w:snapToGrid w:val="0"/>
        </w:rPr>
      </w:pPr>
      <w:r>
        <w:rPr>
          <w:snapToGrid w:val="0"/>
        </w:rPr>
        <w:tab/>
        <w:t>(1)</w:t>
      </w:r>
      <w:r>
        <w:rPr>
          <w:snapToGrid w:val="0"/>
        </w:rPr>
        <w:tab/>
        <w:t>In this section — </w:t>
      </w:r>
    </w:p>
    <w:p>
      <w:pPr>
        <w:pStyle w:val="Defstart"/>
      </w:pPr>
      <w:r>
        <w:rPr>
          <w:b/>
        </w:rPr>
        <w:tab/>
        <w:t>“</w:t>
      </w:r>
      <w:r>
        <w:rPr>
          <w:rStyle w:val="CharDefText"/>
        </w:rPr>
        <w:t>mining plant</w:t>
      </w:r>
      <w:r>
        <w:rPr>
          <w:b/>
        </w:rPr>
        <w:t>”</w:t>
      </w:r>
      <w:r>
        <w:t xml:space="preserve"> means any building, plant, machinery, equipment, tools or any other property of any kind whether affixed to land or not so affixed;</w:t>
      </w:r>
    </w:p>
    <w:p>
      <w:pPr>
        <w:pStyle w:val="Defstart"/>
      </w:pPr>
      <w:r>
        <w:rPr>
          <w:b/>
        </w:rPr>
        <w:tab/>
        <w:t>“</w:t>
      </w:r>
      <w:r>
        <w:rPr>
          <w:rStyle w:val="CharDefText"/>
        </w:rPr>
        <w:t>prescribed period</w:t>
      </w:r>
      <w:r>
        <w:rPr>
          <w:b/>
        </w:rPr>
        <w:t>”</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b/>
          <w:snapToGrid w:val="0"/>
        </w:rPr>
        <w:t>“</w:t>
      </w:r>
      <w:r>
        <w:rPr>
          <w:rStyle w:val="CharDefText"/>
        </w:rPr>
        <w:t>the former holder</w:t>
      </w:r>
      <w:r>
        <w:rPr>
          <w:b/>
          <w:snapToGrid w:val="0"/>
        </w:rPr>
        <w:t>”</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 </w:t>
      </w:r>
    </w:p>
    <w:p>
      <w:pPr>
        <w:pStyle w:val="Indenta"/>
        <w:rPr>
          <w:snapToGrid w:val="0"/>
        </w:rPr>
      </w:pPr>
      <w:r>
        <w:rPr>
          <w:snapToGrid w:val="0"/>
        </w:rPr>
        <w:tab/>
        <w:t>(c)</w:t>
      </w:r>
      <w:r>
        <w:rPr>
          <w:snapToGrid w:val="0"/>
        </w:rPr>
        <w:tab/>
        <w:t>at the expiration of the prescribed period, if the former holder does not —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 xml:space="preserve">[Section 114 amended by No. 37 of 1993 s. 18.] </w:t>
      </w:r>
    </w:p>
    <w:p>
      <w:pPr>
        <w:pStyle w:val="Heading5"/>
        <w:rPr>
          <w:snapToGrid w:val="0"/>
        </w:rPr>
      </w:pPr>
      <w:bookmarkStart w:id="1476" w:name="_Toc520088026"/>
      <w:bookmarkStart w:id="1477" w:name="_Toc523620661"/>
      <w:bookmarkStart w:id="1478" w:name="_Toc38853814"/>
      <w:bookmarkStart w:id="1479" w:name="_Toc124061189"/>
      <w:bookmarkStart w:id="1480" w:name="_Toc188695462"/>
      <w:bookmarkStart w:id="1481" w:name="_Toc187053401"/>
      <w:r>
        <w:rPr>
          <w:rStyle w:val="CharSectno"/>
        </w:rPr>
        <w:t>114A</w:t>
      </w:r>
      <w:r>
        <w:rPr>
          <w:snapToGrid w:val="0"/>
        </w:rPr>
        <w:t>.</w:t>
      </w:r>
      <w:r>
        <w:rPr>
          <w:snapToGrid w:val="0"/>
        </w:rPr>
        <w:tab/>
        <w:t>Rights conferred under mining tenement exercisable in respect of mining product belonging to Crown</w:t>
      </w:r>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 xml:space="preserve">[Section 114A inserted by No. 37 of 1993 s. 19(1).] </w:t>
      </w:r>
    </w:p>
    <w:p>
      <w:pPr>
        <w:pStyle w:val="Heading5"/>
        <w:spacing w:before="180"/>
      </w:pPr>
      <w:bookmarkStart w:id="1482" w:name="_Toc188695463"/>
      <w:bookmarkStart w:id="1483" w:name="_Toc187053402"/>
      <w:bookmarkStart w:id="1484" w:name="_Toc520088027"/>
      <w:bookmarkStart w:id="1485" w:name="_Toc523620662"/>
      <w:bookmarkStart w:id="1486" w:name="_Toc38853815"/>
      <w:bookmarkStart w:id="1487" w:name="_Toc124061190"/>
      <w:r>
        <w:rPr>
          <w:rStyle w:val="CharSectno"/>
        </w:rPr>
        <w:t>114B</w:t>
      </w:r>
      <w:r>
        <w:t>.</w:t>
      </w:r>
      <w:r>
        <w:tab/>
        <w:t>Continuation of liability after expiry, surrender or forfeiture of mining tenement</w:t>
      </w:r>
      <w:bookmarkEnd w:id="1482"/>
      <w:bookmarkEnd w:id="1483"/>
    </w:p>
    <w:p>
      <w:pPr>
        <w:pStyle w:val="Subsection"/>
        <w:spacing w:before="120"/>
      </w:pPr>
      <w:r>
        <w:tab/>
      </w:r>
      <w:r>
        <w:tab/>
        <w:t xml:space="preserve">The expiry, surrender or forfeiture of a mining tenement does not affect the liability of the person who was the holder of the mining tenement immediately before its expiry, surrender or forfeiture —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488" w:name="_Toc188695464"/>
      <w:bookmarkStart w:id="1489" w:name="_Toc187053403"/>
      <w:r>
        <w:rPr>
          <w:rStyle w:val="CharSectno"/>
        </w:rPr>
        <w:t>114C</w:t>
      </w:r>
      <w:r>
        <w:t>.</w:t>
      </w:r>
      <w:r>
        <w:tab/>
        <w:t>Right to enter land to carry out remedial work after expiry, surrender or forfeiture of mining tenement</w:t>
      </w:r>
      <w:bookmarkEnd w:id="1488"/>
      <w:bookmarkEnd w:id="1489"/>
    </w:p>
    <w:p>
      <w:pPr>
        <w:pStyle w:val="Subsection"/>
      </w:pPr>
      <w:r>
        <w:tab/>
        <w:t>(1)</w:t>
      </w:r>
      <w:r>
        <w:tab/>
        <w:t xml:space="preserve">In this section — </w:t>
      </w:r>
    </w:p>
    <w:p>
      <w:pPr>
        <w:pStyle w:val="Defstart"/>
      </w:pPr>
      <w:r>
        <w:tab/>
      </w:r>
      <w:r>
        <w:rPr>
          <w:b/>
        </w:rPr>
        <w:t>“</w:t>
      </w:r>
      <w:r>
        <w:rPr>
          <w:rStyle w:val="CharDefText"/>
        </w:rPr>
        <w:t>former holder</w:t>
      </w:r>
      <w:r>
        <w:rPr>
          <w:b/>
        </w:rPr>
        <w:t>”</w:t>
      </w:r>
      <w:r>
        <w:t>, in relation to a mining tenement, means the person who was the holder of the mining tenement immediately before its expiry, surrender or forfeiture;</w:t>
      </w:r>
    </w:p>
    <w:p>
      <w:pPr>
        <w:pStyle w:val="Defstart"/>
      </w:pPr>
      <w:r>
        <w:tab/>
      </w:r>
      <w:r>
        <w:rPr>
          <w:b/>
        </w:rPr>
        <w:t>“</w:t>
      </w:r>
      <w:r>
        <w:rPr>
          <w:rStyle w:val="CharDefText"/>
        </w:rPr>
        <w:t>remedial work</w:t>
      </w:r>
      <w:r>
        <w:rPr>
          <w:b/>
        </w:rPr>
        <w:t>”</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490" w:name="_Toc188695465"/>
      <w:bookmarkStart w:id="1491" w:name="_Toc187053404"/>
      <w:r>
        <w:rPr>
          <w:rStyle w:val="CharSectno"/>
        </w:rPr>
        <w:t>115</w:t>
      </w:r>
      <w:r>
        <w:rPr>
          <w:snapToGrid w:val="0"/>
        </w:rPr>
        <w:t>.</w:t>
      </w:r>
      <w:r>
        <w:rPr>
          <w:snapToGrid w:val="0"/>
        </w:rPr>
        <w:tab/>
        <w:t>Power to enter on land for surveys</w:t>
      </w:r>
      <w:bookmarkEnd w:id="1484"/>
      <w:bookmarkEnd w:id="1485"/>
      <w:bookmarkEnd w:id="1486"/>
      <w:bookmarkEnd w:id="1487"/>
      <w:bookmarkEnd w:id="1490"/>
      <w:bookmarkEnd w:id="1491"/>
      <w:r>
        <w:rPr>
          <w:snapToGrid w:val="0"/>
        </w:rPr>
        <w:t xml:space="preserve"> </w:t>
      </w:r>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 xml:space="preserve">[Section 115 amended by No. 100 of 1985 s. 84; No. 39 of 2004 s. 85.] </w:t>
      </w:r>
    </w:p>
    <w:p>
      <w:pPr>
        <w:pStyle w:val="Heading5"/>
        <w:rPr>
          <w:snapToGrid w:val="0"/>
        </w:rPr>
      </w:pPr>
      <w:bookmarkStart w:id="1492" w:name="_Toc520088028"/>
      <w:bookmarkStart w:id="1493" w:name="_Toc523620663"/>
      <w:bookmarkStart w:id="1494" w:name="_Toc38853816"/>
      <w:bookmarkStart w:id="1495" w:name="_Toc124061191"/>
      <w:bookmarkStart w:id="1496" w:name="_Toc188695466"/>
      <w:bookmarkStart w:id="1497" w:name="_Toc187053405"/>
      <w:r>
        <w:rPr>
          <w:rStyle w:val="CharSectno"/>
        </w:rPr>
        <w:t>115A</w:t>
      </w:r>
      <w:r>
        <w:rPr>
          <w:snapToGrid w:val="0"/>
        </w:rPr>
        <w:t xml:space="preserve">. </w:t>
      </w:r>
      <w:r>
        <w:rPr>
          <w:snapToGrid w:val="0"/>
        </w:rPr>
        <w:tab/>
        <w:t>Mineral exploration reports</w:t>
      </w:r>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guidelines</w:t>
      </w:r>
      <w:r>
        <w:rPr>
          <w:b/>
        </w:rPr>
        <w:t>”</w:t>
      </w:r>
      <w:r>
        <w:t xml:space="preserve"> means guidelines published under the regulations;</w:t>
      </w:r>
    </w:p>
    <w:p>
      <w:pPr>
        <w:pStyle w:val="Defstart"/>
      </w:pPr>
      <w:r>
        <w:rPr>
          <w:b/>
        </w:rPr>
        <w:tab/>
        <w:t>“</w:t>
      </w:r>
      <w:r>
        <w:rPr>
          <w:rStyle w:val="CharDefText"/>
        </w:rPr>
        <w:t>mineral exploration report</w:t>
      </w:r>
      <w:r>
        <w:rPr>
          <w:b/>
        </w:rPr>
        <w:t>”</w:t>
      </w:r>
      <w:r>
        <w:t xml:space="preserve"> means a report containing records of the progress and results of —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r>
      <w:r>
        <w:tab/>
        <w:t>that have been carried out in search for minerals;</w:t>
      </w:r>
    </w:p>
    <w:p>
      <w:pPr>
        <w:pStyle w:val="Defstart"/>
      </w:pPr>
      <w:r>
        <w:rPr>
          <w:b/>
        </w:rPr>
        <w:tab/>
        <w:t>“</w:t>
      </w:r>
      <w:r>
        <w:rPr>
          <w:rStyle w:val="CharDefText"/>
        </w:rPr>
        <w:t>operations report</w:t>
      </w:r>
      <w:r>
        <w:rPr>
          <w:b/>
        </w:rPr>
        <w: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 xml:space="preserve">[Section 115A inserted by No. 58 of 1994 s. 45.] </w:t>
      </w:r>
    </w:p>
    <w:p>
      <w:pPr>
        <w:pStyle w:val="Heading5"/>
      </w:pPr>
      <w:bookmarkStart w:id="1498" w:name="_Toc188695467"/>
      <w:bookmarkStart w:id="1499" w:name="_Toc187053406"/>
      <w:bookmarkStart w:id="1500" w:name="_Toc520088029"/>
      <w:bookmarkStart w:id="1501" w:name="_Toc523620664"/>
      <w:bookmarkStart w:id="1502" w:name="_Toc38853817"/>
      <w:bookmarkStart w:id="1503" w:name="_Toc124061192"/>
      <w:r>
        <w:rPr>
          <w:rStyle w:val="CharSectno"/>
        </w:rPr>
        <w:t>115B</w:t>
      </w:r>
      <w:r>
        <w:t>.</w:t>
      </w:r>
      <w:r>
        <w:tab/>
        <w:t>Verification of expenditure amounts in operations reports</w:t>
      </w:r>
      <w:bookmarkEnd w:id="1498"/>
      <w:bookmarkEnd w:id="1499"/>
    </w:p>
    <w:p>
      <w:pPr>
        <w:pStyle w:val="Subsection"/>
      </w:pPr>
      <w:r>
        <w:tab/>
        <w:t>(1)</w:t>
      </w:r>
      <w:r>
        <w:tab/>
        <w:t xml:space="preserve">In this section — </w:t>
      </w:r>
    </w:p>
    <w:p>
      <w:pPr>
        <w:pStyle w:val="Defstart"/>
      </w:pPr>
      <w:r>
        <w:rPr>
          <w:b/>
        </w:rPr>
        <w:tab/>
        <w:t>“</w:t>
      </w:r>
      <w:r>
        <w:rPr>
          <w:rStyle w:val="CharDefText"/>
        </w:rPr>
        <w:t>audit amount</w:t>
      </w:r>
      <w:r>
        <w:rPr>
          <w:b/>
        </w:rPr>
        <w:t>”</w:t>
      </w:r>
      <w:r>
        <w:t xml:space="preserve"> means the amount of expenditure shown in an audit statement;</w:t>
      </w:r>
    </w:p>
    <w:p>
      <w:pPr>
        <w:pStyle w:val="Defstart"/>
      </w:pPr>
      <w:r>
        <w:rPr>
          <w:b/>
        </w:rPr>
        <w:tab/>
        <w:t>“</w:t>
      </w:r>
      <w:r>
        <w:rPr>
          <w:rStyle w:val="CharDefText"/>
        </w:rPr>
        <w:t>audit statement</w:t>
      </w:r>
      <w:r>
        <w:rPr>
          <w:b/>
        </w:rPr>
        <w:t>”</w:t>
      </w:r>
      <w:r>
        <w:t xml:space="preserve"> means a statement containing details of expenditure during the period to which an operations report relates;</w:t>
      </w:r>
    </w:p>
    <w:p>
      <w:pPr>
        <w:pStyle w:val="Defstart"/>
      </w:pPr>
      <w:r>
        <w:rPr>
          <w:b/>
        </w:rPr>
        <w:tab/>
        <w:t>“</w:t>
      </w:r>
      <w:r>
        <w:rPr>
          <w:rStyle w:val="CharDefText"/>
        </w:rPr>
        <w:t>expenditure</w:t>
      </w:r>
      <w:r>
        <w:rPr>
          <w:b/>
        </w:rPr>
        <w:t>”</w:t>
      </w:r>
      <w:r>
        <w:t xml:space="preserve"> means expenditure on or in connection with mining on a mining tenement;</w:t>
      </w:r>
    </w:p>
    <w:p>
      <w:pPr>
        <w:pStyle w:val="Defstart"/>
      </w:pPr>
      <w:r>
        <w:rPr>
          <w:b/>
        </w:rPr>
        <w:tab/>
        <w:t>“</w:t>
      </w:r>
      <w:r>
        <w:rPr>
          <w:rStyle w:val="CharDefText"/>
        </w:rPr>
        <w:t>expenditure amount</w:t>
      </w:r>
      <w:r>
        <w:rPr>
          <w:b/>
        </w:rPr>
        <w:t>”</w:t>
      </w:r>
      <w:r>
        <w:t xml:space="preserve"> means the amount of expenditure during the period to which an operations report relates;</w:t>
      </w:r>
    </w:p>
    <w:p>
      <w:pPr>
        <w:pStyle w:val="Defstart"/>
      </w:pPr>
      <w:r>
        <w:rPr>
          <w:b/>
        </w:rPr>
        <w:tab/>
        <w:t>“</w:t>
      </w:r>
      <w:r>
        <w:rPr>
          <w:rStyle w:val="CharDefText"/>
        </w:rPr>
        <w:t>operations report</w:t>
      </w:r>
      <w:r>
        <w:rPr>
          <w:b/>
        </w:rPr>
        <w: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 xml:space="preserve">An audit statement is to be prepared and signed by —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504" w:name="_Toc188695468"/>
      <w:bookmarkStart w:id="1505" w:name="_Toc187053407"/>
      <w:r>
        <w:rPr>
          <w:rStyle w:val="CharSectno"/>
        </w:rPr>
        <w:t>116</w:t>
      </w:r>
      <w:r>
        <w:rPr>
          <w:snapToGrid w:val="0"/>
        </w:rPr>
        <w:t>.</w:t>
      </w:r>
      <w:r>
        <w:rPr>
          <w:snapToGrid w:val="0"/>
        </w:rPr>
        <w:tab/>
        <w:t>Instrument of licence or lease</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 xml:space="preserve">In subsection (2) — </w:t>
      </w:r>
    </w:p>
    <w:p>
      <w:pPr>
        <w:pStyle w:val="Defstart"/>
      </w:pPr>
      <w:r>
        <w:tab/>
      </w:r>
      <w:r>
        <w:rPr>
          <w:b/>
        </w:rPr>
        <w:t>“</w:t>
      </w:r>
      <w:r>
        <w:rPr>
          <w:rStyle w:val="CharDefText"/>
        </w:rPr>
        <w:t>registered</w:t>
      </w:r>
      <w:r>
        <w:rPr>
          <w:b/>
        </w:rPr>
        <w:t>”</w:t>
      </w:r>
      <w:r>
        <w:t>, in relation to a holder or previous holder of a mining tenement, means that the name of the holder or previous holder is or was entered in the register as the holder of the mining tenement.</w:t>
      </w:r>
    </w:p>
    <w:p>
      <w:pPr>
        <w:pStyle w:val="Footnotesection"/>
      </w:pPr>
      <w:r>
        <w:tab/>
        <w:t xml:space="preserve">[Section 116 amended by No. 100 of 1985 s. 85; No. 54 of 1996 s. 16.] </w:t>
      </w:r>
    </w:p>
    <w:p>
      <w:pPr>
        <w:pStyle w:val="Heading5"/>
        <w:rPr>
          <w:snapToGrid w:val="0"/>
        </w:rPr>
      </w:pPr>
      <w:bookmarkStart w:id="1506" w:name="_Toc520088030"/>
      <w:bookmarkStart w:id="1507" w:name="_Toc523620665"/>
      <w:bookmarkStart w:id="1508" w:name="_Toc38853818"/>
      <w:bookmarkStart w:id="1509" w:name="_Toc124061193"/>
      <w:bookmarkStart w:id="1510" w:name="_Toc188695469"/>
      <w:bookmarkStart w:id="1511" w:name="_Toc187053408"/>
      <w:r>
        <w:rPr>
          <w:rStyle w:val="CharSectno"/>
        </w:rPr>
        <w:t>117</w:t>
      </w:r>
      <w:r>
        <w:rPr>
          <w:snapToGrid w:val="0"/>
        </w:rPr>
        <w:t>.</w:t>
      </w:r>
      <w:r>
        <w:rPr>
          <w:snapToGrid w:val="0"/>
        </w:rPr>
        <w:tab/>
        <w:t>Mining tenements protected</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 xml:space="preserve">[Section 117 amended by No. 100 of 1985 s. 86; No. 37 of 1993 s. 12(2); No. 31 of 1997 s. 71(17) and (18).] </w:t>
      </w:r>
    </w:p>
    <w:p>
      <w:pPr>
        <w:pStyle w:val="Heading5"/>
        <w:rPr>
          <w:snapToGrid w:val="0"/>
        </w:rPr>
      </w:pPr>
      <w:bookmarkStart w:id="1512" w:name="_Toc520088031"/>
      <w:bookmarkStart w:id="1513" w:name="_Toc523620666"/>
      <w:bookmarkStart w:id="1514" w:name="_Toc38853819"/>
      <w:bookmarkStart w:id="1515" w:name="_Toc124061194"/>
      <w:bookmarkStart w:id="1516" w:name="_Toc188695470"/>
      <w:bookmarkStart w:id="1517" w:name="_Toc187053409"/>
      <w:r>
        <w:rPr>
          <w:rStyle w:val="CharSectno"/>
        </w:rPr>
        <w:t>118</w:t>
      </w:r>
      <w:r>
        <w:rPr>
          <w:snapToGrid w:val="0"/>
        </w:rPr>
        <w:t>.</w:t>
      </w:r>
      <w:r>
        <w:rPr>
          <w:snapToGrid w:val="0"/>
        </w:rPr>
        <w:tab/>
        <w:t>Notice of application to be given to lessee of pastoral lease</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 xml:space="preserve">[Section 118 amended by No. 122 of 1982 s. 27; No 100 of 1985 s. 87; No. 22 of 1990 s. 36; No. 37 of 1993 s. 20; No. 31 of 1997 s. 141.] </w:t>
      </w:r>
    </w:p>
    <w:p>
      <w:pPr>
        <w:pStyle w:val="Heading5"/>
      </w:pPr>
      <w:bookmarkStart w:id="1518" w:name="_Toc188695471"/>
      <w:bookmarkStart w:id="1519" w:name="_Toc187053410"/>
      <w:bookmarkStart w:id="1520" w:name="_Toc520088032"/>
      <w:bookmarkStart w:id="1521" w:name="_Toc523620667"/>
      <w:bookmarkStart w:id="1522" w:name="_Toc38853820"/>
      <w:bookmarkStart w:id="1523" w:name="_Toc124061195"/>
      <w:r>
        <w:rPr>
          <w:rStyle w:val="CharSectno"/>
        </w:rPr>
        <w:t>118A</w:t>
      </w:r>
      <w:r>
        <w:t>.</w:t>
      </w:r>
      <w:r>
        <w:tab/>
        <w:t>Tenement holder may authorise mining by third party</w:t>
      </w:r>
      <w:bookmarkEnd w:id="1518"/>
      <w:bookmarkEnd w:id="1519"/>
    </w:p>
    <w:p>
      <w:pPr>
        <w:pStyle w:val="Subsection"/>
      </w:pPr>
      <w:r>
        <w:tab/>
        <w:t>(1)</w:t>
      </w:r>
      <w:r>
        <w:tab/>
        <w:t xml:space="preserve">In this section — </w:t>
      </w:r>
    </w:p>
    <w:p>
      <w:pPr>
        <w:pStyle w:val="Defstart"/>
      </w:pPr>
      <w:r>
        <w:rPr>
          <w:b/>
        </w:rPr>
        <w:tab/>
        <w:t>“</w:t>
      </w:r>
      <w:r>
        <w:rPr>
          <w:rStyle w:val="CharDefText"/>
        </w:rPr>
        <w:t>authorisation</w:t>
      </w:r>
      <w:r>
        <w:rPr>
          <w:b/>
        </w:rPr>
        <w:t>”</w:t>
      </w:r>
      <w:r>
        <w:t xml:space="preserve"> means an authorisation under subsection (2).</w:t>
      </w:r>
    </w:p>
    <w:p>
      <w:pPr>
        <w:pStyle w:val="Subsection"/>
      </w:pPr>
      <w:r>
        <w:tab/>
        <w:t>(2)</w:t>
      </w:r>
      <w:r>
        <w:tab/>
        <w:t xml:space="preserve">The holder of a prospecting licence, exploration licence or mining lease (the </w:t>
      </w:r>
      <w:r>
        <w:rPr>
          <w:b/>
        </w:rPr>
        <w:t>“</w:t>
      </w:r>
      <w:r>
        <w:rPr>
          <w:rStyle w:val="CharDefText"/>
        </w:rPr>
        <w:t>relevant tenement</w:t>
      </w:r>
      <w:r>
        <w:rPr>
          <w:b/>
        </w:rPr>
        <w: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524" w:name="_Toc188695472"/>
      <w:bookmarkStart w:id="1525" w:name="_Toc187053411"/>
      <w:r>
        <w:rPr>
          <w:rStyle w:val="CharSectno"/>
        </w:rPr>
        <w:t>119</w:t>
      </w:r>
      <w:r>
        <w:rPr>
          <w:snapToGrid w:val="0"/>
        </w:rPr>
        <w:t>.</w:t>
      </w:r>
      <w:r>
        <w:rPr>
          <w:snapToGrid w:val="0"/>
        </w:rPr>
        <w:tab/>
        <w:t>Mining tenement may be sold, etc.</w:t>
      </w:r>
      <w:bookmarkEnd w:id="1520"/>
      <w:bookmarkEnd w:id="1521"/>
      <w:bookmarkEnd w:id="1522"/>
      <w:bookmarkEnd w:id="1523"/>
      <w:bookmarkEnd w:id="1524"/>
      <w:bookmarkEnd w:id="1525"/>
      <w:r>
        <w:rPr>
          <w:snapToGrid w:val="0"/>
        </w:rPr>
        <w:t xml:space="preserve"> </w:t>
      </w:r>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 xml:space="preserve">[Section 119 amended by No. 10 of 1982 s. 28; No. 37 of 1993 s. 27; No. 58 of 1994 s. 46; No. 59 of 2004 s. 116.] </w:t>
      </w:r>
    </w:p>
    <w:p>
      <w:pPr>
        <w:pStyle w:val="Heading5"/>
        <w:rPr>
          <w:snapToGrid w:val="0"/>
        </w:rPr>
      </w:pPr>
      <w:bookmarkStart w:id="1526" w:name="_Toc188695473"/>
      <w:bookmarkStart w:id="1527" w:name="_Toc187053412"/>
      <w:bookmarkStart w:id="1528" w:name="_Toc520088034"/>
      <w:bookmarkStart w:id="1529" w:name="_Toc523620669"/>
      <w:bookmarkStart w:id="1530" w:name="_Toc38853822"/>
      <w:bookmarkStart w:id="1531" w:name="_Toc124061197"/>
      <w:r>
        <w:rPr>
          <w:rStyle w:val="CharSectno"/>
        </w:rPr>
        <w:t>119A</w:t>
      </w:r>
      <w:r>
        <w:rPr>
          <w:snapToGrid w:val="0"/>
        </w:rPr>
        <w:t>.</w:t>
      </w:r>
      <w:r>
        <w:rPr>
          <w:snapToGrid w:val="0"/>
        </w:rPr>
        <w:tab/>
        <w:t>Mining tenement may be mortgaged</w:t>
      </w:r>
      <w:bookmarkEnd w:id="1526"/>
      <w:bookmarkEnd w:id="152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 xml:space="preserve">A mortgage —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532" w:name="_Toc188695474"/>
      <w:bookmarkStart w:id="1533" w:name="_Toc187053413"/>
      <w:r>
        <w:rPr>
          <w:rStyle w:val="CharSectno"/>
        </w:rPr>
        <w:t>120</w:t>
      </w:r>
      <w:r>
        <w:rPr>
          <w:snapToGrid w:val="0"/>
        </w:rPr>
        <w:t>.</w:t>
      </w:r>
      <w:r>
        <w:rPr>
          <w:snapToGrid w:val="0"/>
        </w:rPr>
        <w:tab/>
        <w:t>Planning schemes to be considered but not to derogate from this Act</w:t>
      </w:r>
      <w:bookmarkEnd w:id="1528"/>
      <w:bookmarkEnd w:id="1529"/>
      <w:bookmarkEnd w:id="1530"/>
      <w:bookmarkEnd w:id="1531"/>
      <w:bookmarkEnd w:id="1532"/>
      <w:bookmarkEnd w:id="1533"/>
      <w:r>
        <w:rPr>
          <w:snapToGrid w:val="0"/>
        </w:rPr>
        <w:t xml:space="preserve"> </w:t>
      </w:r>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 xml:space="preserve">[Section 120 amended by No. 58 of 1994 s. 47; No. 14 of 1996 s. 4; No. 24 of 2000 s. 26(2); No. 38 of 2005 s. 15.] </w:t>
      </w:r>
    </w:p>
    <w:p>
      <w:pPr>
        <w:pStyle w:val="Heading5"/>
      </w:pPr>
      <w:bookmarkStart w:id="1534" w:name="_Toc188695475"/>
      <w:bookmarkStart w:id="1535" w:name="_Toc187053414"/>
      <w:bookmarkStart w:id="1536" w:name="_Toc87427707"/>
      <w:bookmarkStart w:id="1537" w:name="_Toc87851282"/>
      <w:bookmarkStart w:id="1538" w:name="_Toc88295505"/>
      <w:bookmarkStart w:id="1539" w:name="_Toc89519164"/>
      <w:bookmarkStart w:id="1540" w:name="_Toc90869289"/>
      <w:bookmarkStart w:id="1541" w:name="_Toc91408061"/>
      <w:bookmarkStart w:id="1542" w:name="_Toc92863805"/>
      <w:bookmarkStart w:id="1543" w:name="_Toc95015173"/>
      <w:bookmarkStart w:id="1544" w:name="_Toc95106880"/>
      <w:bookmarkStart w:id="1545" w:name="_Toc97018680"/>
      <w:bookmarkStart w:id="1546" w:name="_Toc101693633"/>
      <w:bookmarkStart w:id="1547" w:name="_Toc103130503"/>
      <w:bookmarkStart w:id="1548" w:name="_Toc104711153"/>
      <w:bookmarkStart w:id="1549" w:name="_Toc121560138"/>
      <w:bookmarkStart w:id="1550" w:name="_Toc122328579"/>
      <w:bookmarkStart w:id="1551" w:name="_Toc124061198"/>
      <w:bookmarkStart w:id="1552" w:name="_Toc124140053"/>
      <w:r>
        <w:rPr>
          <w:rStyle w:val="CharSectno"/>
        </w:rPr>
        <w:t>120AA</w:t>
      </w:r>
      <w:r>
        <w:t>.</w:t>
      </w:r>
      <w:r>
        <w:tab/>
        <w:t>Scheme for reversion licence applications</w:t>
      </w:r>
      <w:bookmarkEnd w:id="1534"/>
      <w:bookmarkEnd w:id="1535"/>
    </w:p>
    <w:p>
      <w:pPr>
        <w:pStyle w:val="Subsection"/>
      </w:pPr>
      <w:r>
        <w:tab/>
        <w:t>(1)</w:t>
      </w:r>
      <w:r>
        <w:tab/>
        <w:t xml:space="preserve">In this section — </w:t>
      </w:r>
    </w:p>
    <w:p>
      <w:pPr>
        <w:pStyle w:val="Defstart"/>
      </w:pPr>
      <w:r>
        <w:rPr>
          <w:b/>
        </w:rPr>
        <w:tab/>
        <w:t>“</w:t>
      </w:r>
      <w:r>
        <w:rPr>
          <w:rStyle w:val="CharDefText"/>
        </w:rPr>
        <w:t>continuing licence</w:t>
      </w:r>
      <w:r>
        <w:rPr>
          <w:b/>
        </w:rPr>
        <w:t>”</w:t>
      </w:r>
      <w:r>
        <w:t xml:space="preserve"> means a prospecting licence, exploration licence or retention licence that has effect in relation to land to which a reversion licence application applies;</w:t>
      </w:r>
    </w:p>
    <w:p>
      <w:pPr>
        <w:pStyle w:val="Defstart"/>
      </w:pPr>
      <w:r>
        <w:rPr>
          <w:b/>
        </w:rPr>
        <w:tab/>
        <w:t>“</w:t>
      </w:r>
      <w:r>
        <w:rPr>
          <w:rStyle w:val="CharDefText"/>
        </w:rPr>
        <w:t>lease application</w:t>
      </w:r>
      <w:r>
        <w:rPr>
          <w:b/>
        </w:rPr>
        <w:t>”</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 xml:space="preserve">An order under subsection (2) may provide for and in relation to — </w:t>
      </w:r>
    </w:p>
    <w:p>
      <w:pPr>
        <w:pStyle w:val="Indenta"/>
      </w:pPr>
      <w:r>
        <w:tab/>
        <w:t>(a)</w:t>
      </w:r>
      <w:r>
        <w:tab/>
        <w:t>the making of reversion licence applications and related matters including marking out and advertising;</w:t>
      </w:r>
    </w:p>
    <w:p>
      <w:pPr>
        <w:pStyle w:val="Indenta"/>
      </w:pPr>
      <w:r>
        <w:tab/>
        <w:t>(b)</w:t>
      </w:r>
      <w:r>
        <w:tab/>
        <w:t xml:space="preserve">the operation and effect of a reversion licence application including its effect on —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553" w:name="_Toc127349173"/>
      <w:bookmarkStart w:id="1554" w:name="_Toc127762355"/>
      <w:bookmarkStart w:id="1555" w:name="_Toc127842417"/>
      <w:bookmarkStart w:id="1556" w:name="_Toc128380028"/>
      <w:bookmarkStart w:id="1557" w:name="_Toc130106644"/>
      <w:bookmarkStart w:id="1558" w:name="_Toc130106924"/>
      <w:bookmarkStart w:id="1559" w:name="_Toc130110821"/>
      <w:bookmarkStart w:id="1560" w:name="_Toc130277032"/>
      <w:bookmarkStart w:id="1561" w:name="_Toc131408557"/>
      <w:bookmarkStart w:id="1562" w:name="_Toc132530324"/>
      <w:bookmarkStart w:id="1563" w:name="_Toc142194381"/>
      <w:bookmarkStart w:id="1564" w:name="_Toc162778466"/>
      <w:bookmarkStart w:id="1565" w:name="_Toc162841050"/>
      <w:bookmarkStart w:id="1566" w:name="_Toc162932886"/>
      <w:bookmarkStart w:id="1567" w:name="_Toc187053415"/>
      <w:bookmarkStart w:id="1568" w:name="_Toc188695476"/>
      <w:bookmarkStart w:id="1569" w:name="_Toc87427711"/>
      <w:bookmarkStart w:id="1570" w:name="_Toc87851286"/>
      <w:bookmarkStart w:id="1571" w:name="_Toc88295509"/>
      <w:bookmarkStart w:id="1572" w:name="_Toc89519168"/>
      <w:bookmarkStart w:id="1573" w:name="_Toc90869293"/>
      <w:bookmarkStart w:id="1574" w:name="_Toc91408065"/>
      <w:bookmarkStart w:id="1575" w:name="_Toc92863809"/>
      <w:bookmarkStart w:id="1576" w:name="_Toc95015177"/>
      <w:bookmarkStart w:id="1577" w:name="_Toc95106884"/>
      <w:bookmarkStart w:id="1578" w:name="_Toc97018684"/>
      <w:bookmarkStart w:id="1579" w:name="_Toc101693637"/>
      <w:bookmarkStart w:id="1580" w:name="_Toc103130507"/>
      <w:bookmarkStart w:id="1581" w:name="_Toc104711157"/>
      <w:bookmarkStart w:id="1582" w:name="_Toc121560142"/>
      <w:bookmarkStart w:id="1583" w:name="_Toc122328583"/>
      <w:bookmarkStart w:id="1584" w:name="_Toc124061202"/>
      <w:bookmarkStart w:id="1585" w:name="_Toc124140057"/>
      <w:bookmarkStart w:id="1586" w:name="_Toc127174824"/>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r>
        <w:rPr>
          <w:rStyle w:val="CharPartNo"/>
        </w:rPr>
        <w:t>Part VI</w:t>
      </w:r>
      <w:r>
        <w:rPr>
          <w:rStyle w:val="CharDivNo"/>
        </w:rPr>
        <w:t> </w:t>
      </w:r>
      <w:r>
        <w:t>—</w:t>
      </w:r>
      <w:r>
        <w:rPr>
          <w:rStyle w:val="CharDivText"/>
        </w:rPr>
        <w:t> </w:t>
      </w:r>
      <w:r>
        <w:rPr>
          <w:rStyle w:val="CharPartText"/>
        </w:rPr>
        <w:t>Caveats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rPr>
          <w:snapToGrid w:val="0"/>
        </w:rPr>
      </w:pPr>
      <w:r>
        <w:rPr>
          <w:snapToGrid w:val="0"/>
        </w:rPr>
        <w:tab/>
        <w:t>[Heading inserted by No. 54 of 1996 s. 18.]</w:t>
      </w:r>
    </w:p>
    <w:p>
      <w:pPr>
        <w:pStyle w:val="Heading5"/>
        <w:spacing w:before="240"/>
        <w:rPr>
          <w:snapToGrid w:val="0"/>
        </w:rPr>
      </w:pPr>
      <w:bookmarkStart w:id="1587" w:name="_Toc188695477"/>
      <w:bookmarkStart w:id="1588" w:name="_Toc187053416"/>
      <w:r>
        <w:rPr>
          <w:rStyle w:val="CharSectno"/>
        </w:rPr>
        <w:t>121</w:t>
      </w:r>
      <w:r>
        <w:rPr>
          <w:snapToGrid w:val="0"/>
        </w:rPr>
        <w:t>.</w:t>
      </w:r>
      <w:r>
        <w:rPr>
          <w:snapToGrid w:val="0"/>
        </w:rPr>
        <w:tab/>
        <w:t>Definitions</w:t>
      </w:r>
      <w:bookmarkEnd w:id="1587"/>
      <w:bookmarkEnd w:id="1588"/>
    </w:p>
    <w:p>
      <w:pPr>
        <w:pStyle w:val="Subsection"/>
        <w:spacing w:before="220"/>
      </w:pPr>
      <w:r>
        <w:tab/>
      </w:r>
      <w:r>
        <w:tab/>
        <w:t xml:space="preserve">In this Part, unless the contrary intention appears — </w:t>
      </w:r>
    </w:p>
    <w:p>
      <w:pPr>
        <w:pStyle w:val="Defstart"/>
      </w:pPr>
      <w:r>
        <w:rPr>
          <w:b/>
        </w:rPr>
        <w:tab/>
        <w:t>“</w:t>
      </w:r>
      <w:r>
        <w:rPr>
          <w:rStyle w:val="CharDefText"/>
        </w:rPr>
        <w:t>absolute caveat</w:t>
      </w:r>
      <w:r>
        <w:rPr>
          <w:b/>
        </w:rPr>
        <w:t>”</w:t>
      </w:r>
      <w:r>
        <w:t xml:space="preserve"> means a caveat referred to in section 122A(1)(a);</w:t>
      </w:r>
    </w:p>
    <w:p>
      <w:pPr>
        <w:pStyle w:val="Defstart"/>
      </w:pPr>
      <w:r>
        <w:rPr>
          <w:b/>
        </w:rPr>
        <w:tab/>
        <w:t>“</w:t>
      </w:r>
      <w:r>
        <w:rPr>
          <w:rStyle w:val="CharDefText"/>
        </w:rPr>
        <w:t>caveat</w:t>
      </w:r>
      <w:r>
        <w:rPr>
          <w:b/>
        </w:rPr>
        <w:t>”</w:t>
      </w:r>
      <w:r>
        <w:t xml:space="preserve"> means an absolute caveat, a consent caveat or a subject to claim caveat;</w:t>
      </w:r>
    </w:p>
    <w:p>
      <w:pPr>
        <w:pStyle w:val="Defstart"/>
      </w:pPr>
      <w:r>
        <w:rPr>
          <w:b/>
        </w:rPr>
        <w:tab/>
        <w:t>“</w:t>
      </w:r>
      <w:r>
        <w:rPr>
          <w:rStyle w:val="CharDefText"/>
        </w:rPr>
        <w:t>consent caveat</w:t>
      </w:r>
      <w:r>
        <w:rPr>
          <w:b/>
        </w:rPr>
        <w:t>”</w:t>
      </w:r>
      <w:r>
        <w:t xml:space="preserve"> means a caveat referred to in section 122A(2);</w:t>
      </w:r>
    </w:p>
    <w:p>
      <w:pPr>
        <w:pStyle w:val="Defstart"/>
      </w:pPr>
      <w:r>
        <w:rPr>
          <w:b/>
        </w:rPr>
        <w:tab/>
        <w:t>“</w:t>
      </w:r>
      <w:r>
        <w:rPr>
          <w:rStyle w:val="CharDefText"/>
        </w:rPr>
        <w:t>subject to claim caveat</w:t>
      </w:r>
      <w:r>
        <w:rPr>
          <w:b/>
        </w:rPr>
        <w:t>”</w:t>
      </w:r>
      <w:r>
        <w:t xml:space="preserve"> means a caveat referred to in section 122A(1)(b).</w:t>
      </w:r>
    </w:p>
    <w:p>
      <w:pPr>
        <w:pStyle w:val="Footnotesection"/>
        <w:ind w:left="890" w:hanging="890"/>
      </w:pPr>
      <w:r>
        <w:tab/>
        <w:t>[Section 121 inserted by No. 54 of 1996 s. 18.]</w:t>
      </w:r>
    </w:p>
    <w:p>
      <w:pPr>
        <w:pStyle w:val="Heading5"/>
        <w:spacing w:before="240"/>
        <w:rPr>
          <w:snapToGrid w:val="0"/>
        </w:rPr>
      </w:pPr>
      <w:bookmarkStart w:id="1589" w:name="_Toc188695478"/>
      <w:bookmarkStart w:id="1590" w:name="_Toc187053417"/>
      <w:r>
        <w:rPr>
          <w:rStyle w:val="CharSectno"/>
        </w:rPr>
        <w:t>122</w:t>
      </w:r>
      <w:r>
        <w:rPr>
          <w:snapToGrid w:val="0"/>
        </w:rPr>
        <w:t>.</w:t>
      </w:r>
      <w:r>
        <w:rPr>
          <w:snapToGrid w:val="0"/>
        </w:rPr>
        <w:tab/>
        <w:t>Certain surrenders not affected by this Part</w:t>
      </w:r>
      <w:bookmarkEnd w:id="1589"/>
      <w:bookmarkEnd w:id="1590"/>
    </w:p>
    <w:p>
      <w:pPr>
        <w:pStyle w:val="Subsection"/>
        <w:spacing w:before="200"/>
      </w:pPr>
      <w:r>
        <w:tab/>
        <w:t>(1)</w:t>
      </w:r>
      <w:r>
        <w:tab/>
        <w:t xml:space="preserve">A reference in this Part (other than this section) to a surrender does not include a surrender under section 26A or 65. </w:t>
      </w:r>
    </w:p>
    <w:p>
      <w:pPr>
        <w:pStyle w:val="Subsection"/>
        <w:spacing w:before="200"/>
      </w:pPr>
      <w:r>
        <w:tab/>
        <w:t>(2)</w:t>
      </w:r>
      <w:r>
        <w:tab/>
        <w:t xml:space="preserve">Where —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20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keepLines w:val="0"/>
        <w:rPr>
          <w:snapToGrid w:val="0"/>
        </w:rPr>
      </w:pPr>
      <w:bookmarkStart w:id="1591" w:name="_Toc188695479"/>
      <w:bookmarkStart w:id="1592" w:name="_Toc187053418"/>
      <w:r>
        <w:rPr>
          <w:rStyle w:val="CharSectno"/>
        </w:rPr>
        <w:t>122A</w:t>
      </w:r>
      <w:r>
        <w:rPr>
          <w:snapToGrid w:val="0"/>
        </w:rPr>
        <w:t>.</w:t>
      </w:r>
      <w:r>
        <w:rPr>
          <w:snapToGrid w:val="0"/>
        </w:rPr>
        <w:tab/>
        <w:t>Lodgment of caveats</w:t>
      </w:r>
      <w:bookmarkEnd w:id="1591"/>
      <w:bookmarkEnd w:id="1592"/>
    </w:p>
    <w:p>
      <w:pPr>
        <w:pStyle w:val="Subsection"/>
        <w:spacing w:before="100"/>
      </w:pPr>
      <w:r>
        <w:tab/>
        <w:t>(1)</w:t>
      </w:r>
      <w:r>
        <w:tab/>
        <w:t xml:space="preserve">A person claiming an interest in a mining tenement may lodge at the Department at Perth or at the office of the mining registrar —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 xml:space="preserve">a caveat against the mining tenement forbidding the registration of —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 xml:space="preserve">If — </w:t>
      </w:r>
    </w:p>
    <w:p>
      <w:pPr>
        <w:pStyle w:val="Indenta"/>
        <w:rPr>
          <w:snapToGrid w:val="0"/>
        </w:rPr>
      </w:pPr>
      <w:r>
        <w:rPr>
          <w:snapToGrid w:val="0"/>
        </w:rPr>
        <w:tab/>
        <w:t>(a)</w:t>
      </w:r>
      <w:r>
        <w:rPr>
          <w:snapToGrid w:val="0"/>
        </w:rPr>
        <w:tab/>
        <w:t xml:space="preserve">the holder of a mining tenement has entered into an agreement with another person relating to —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 xml:space="preserve">A caveat lodged under this section is to —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 xml:space="preserve">If a caveat is lodged under this section —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593" w:name="_Toc188695480"/>
      <w:bookmarkStart w:id="1594" w:name="_Toc187053419"/>
      <w:r>
        <w:rPr>
          <w:rStyle w:val="CharSectno"/>
        </w:rPr>
        <w:t>122B</w:t>
      </w:r>
      <w:r>
        <w:rPr>
          <w:snapToGrid w:val="0"/>
        </w:rPr>
        <w:t>.</w:t>
      </w:r>
      <w:r>
        <w:rPr>
          <w:snapToGrid w:val="0"/>
        </w:rPr>
        <w:tab/>
        <w:t>Provisional lodgment</w:t>
      </w:r>
      <w:bookmarkEnd w:id="1593"/>
      <w:bookmarkEnd w:id="1594"/>
    </w:p>
    <w:p>
      <w:pPr>
        <w:pStyle w:val="Subsection"/>
      </w:pPr>
      <w:r>
        <w:tab/>
        <w:t>(1)</w:t>
      </w:r>
      <w:r>
        <w:tab/>
        <w:t xml:space="preserve">If an authorised officer (as defined in section 103A) is of the opinion that a caveat lodged under section 122A contains an error or defect, the officer is —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595" w:name="_Toc188695481"/>
      <w:bookmarkStart w:id="1596" w:name="_Toc187053420"/>
      <w:r>
        <w:rPr>
          <w:rStyle w:val="CharSectno"/>
        </w:rPr>
        <w:t>122C</w:t>
      </w:r>
      <w:r>
        <w:rPr>
          <w:snapToGrid w:val="0"/>
        </w:rPr>
        <w:t>.</w:t>
      </w:r>
      <w:r>
        <w:rPr>
          <w:snapToGrid w:val="0"/>
        </w:rPr>
        <w:tab/>
        <w:t>Caveats deemed to be lodged against later tenements</w:t>
      </w:r>
      <w:bookmarkEnd w:id="1595"/>
      <w:bookmarkEnd w:id="1596"/>
    </w:p>
    <w:p>
      <w:pPr>
        <w:pStyle w:val="Subsection"/>
        <w:spacing w:before="240"/>
      </w:pPr>
      <w:r>
        <w:tab/>
        <w:t>(1)</w:t>
      </w:r>
      <w:r>
        <w:tab/>
        <w:t xml:space="preserve">If a caveat has been lodged against —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b/>
          <w:bCs/>
        </w:rP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b/>
          <w:bCs/>
        </w:rPr>
        <w:t>“</w:t>
      </w:r>
      <w:r>
        <w:rPr>
          <w:rStyle w:val="CharDefText"/>
        </w:rPr>
        <w:t>the later tenement</w:t>
      </w:r>
      <w:r>
        <w:rPr>
          <w:b/>
          <w:bCs/>
          <w:snapToGrid w:val="0"/>
        </w:rPr>
        <w: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b/>
          <w:bCs/>
          <w:snapToGrid w:val="0"/>
        </w:rPr>
        <w:t>“</w:t>
      </w:r>
      <w:r>
        <w:rPr>
          <w:rStyle w:val="CharDefText"/>
        </w:rPr>
        <w:t>the later tenement</w:t>
      </w:r>
      <w:r>
        <w:rPr>
          <w:b/>
          <w:bCs/>
          <w:snapToGrid w:val="0"/>
        </w:rPr>
        <w: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597" w:name="_Toc188695482"/>
      <w:bookmarkStart w:id="1598" w:name="_Toc187053421"/>
      <w:r>
        <w:rPr>
          <w:rStyle w:val="CharSectno"/>
        </w:rPr>
        <w:t>122D</w:t>
      </w:r>
      <w:r>
        <w:rPr>
          <w:snapToGrid w:val="0"/>
        </w:rPr>
        <w:t>.</w:t>
      </w:r>
      <w:r>
        <w:rPr>
          <w:snapToGrid w:val="0"/>
        </w:rPr>
        <w:tab/>
        <w:t>Effect of caveat</w:t>
      </w:r>
      <w:bookmarkEnd w:id="1597"/>
      <w:bookmarkEnd w:id="1598"/>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 xml:space="preserve">Subsection (1) does not apply to a dealing if —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599" w:name="_Toc188695483"/>
      <w:bookmarkStart w:id="1600" w:name="_Toc187053422"/>
      <w:r>
        <w:rPr>
          <w:rStyle w:val="CharSectno"/>
        </w:rPr>
        <w:t>122E</w:t>
      </w:r>
      <w:r>
        <w:rPr>
          <w:snapToGrid w:val="0"/>
        </w:rPr>
        <w:t>.</w:t>
      </w:r>
      <w:r>
        <w:rPr>
          <w:snapToGrid w:val="0"/>
        </w:rPr>
        <w:tab/>
        <w:t>Duration of caveat</w:t>
      </w:r>
      <w:bookmarkEnd w:id="1599"/>
      <w:bookmarkEnd w:id="1600"/>
    </w:p>
    <w:p>
      <w:pPr>
        <w:pStyle w:val="Subsection"/>
      </w:pPr>
      <w:r>
        <w:tab/>
        <w:t>(1)</w:t>
      </w:r>
      <w:r>
        <w:tab/>
        <w:t xml:space="preserve">An absolute caveat or a subject to claim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 xml:space="preserve">the expiry of a period of 14 days after notification that — </w:t>
      </w:r>
    </w:p>
    <w:p>
      <w:pPr>
        <w:pStyle w:val="Indenti"/>
        <w:rPr>
          <w:snapToGrid w:val="0"/>
        </w:rPr>
      </w:pPr>
      <w:r>
        <w:rPr>
          <w:snapToGrid w:val="0"/>
        </w:rPr>
        <w:tab/>
        <w:t>(i)</w:t>
      </w:r>
      <w:r>
        <w:rPr>
          <w:snapToGrid w:val="0"/>
        </w:rPr>
        <w:tab/>
        <w:t xml:space="preserve">in the case of an absolute caveat, application has been made for the registration of a dealing or surrender </w:t>
      </w:r>
      <w:del w:id="1601" w:author="svcMRProcess" w:date="2020-02-19T00:00:00Z">
        <w:r>
          <w:rPr>
            <w:snapToGrid w:val="0"/>
          </w:rPr>
          <w:delText xml:space="preserve"> </w:delText>
        </w:r>
      </w:del>
      <w:r>
        <w:rPr>
          <w:snapToGrid w:val="0"/>
        </w:rPr>
        <w:t>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 xml:space="preserve">A consent caveat ceases to have effect upon —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 xml:space="preserve">In subsection (2) — </w:t>
      </w:r>
    </w:p>
    <w:p>
      <w:pPr>
        <w:pStyle w:val="Defstart"/>
      </w:pPr>
      <w:r>
        <w:rPr>
          <w:b/>
        </w:rPr>
        <w:tab/>
        <w:t>“</w:t>
      </w:r>
      <w:r>
        <w:rPr>
          <w:rStyle w:val="CharDefText"/>
        </w:rPr>
        <w:t>agreement</w:t>
      </w:r>
      <w:r>
        <w:rPr>
          <w:b/>
        </w:rPr>
        <w: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602" w:name="_Toc127349181"/>
      <w:bookmarkStart w:id="1603" w:name="_Toc127762363"/>
      <w:bookmarkStart w:id="1604" w:name="_Toc127842425"/>
      <w:bookmarkStart w:id="1605" w:name="_Toc128380036"/>
      <w:bookmarkStart w:id="1606" w:name="_Toc130106652"/>
      <w:bookmarkStart w:id="1607" w:name="_Toc130106932"/>
      <w:bookmarkStart w:id="1608" w:name="_Toc130110829"/>
      <w:bookmarkStart w:id="1609" w:name="_Toc130277040"/>
      <w:bookmarkStart w:id="1610" w:name="_Toc131408565"/>
      <w:bookmarkStart w:id="1611" w:name="_Toc132530332"/>
      <w:bookmarkStart w:id="1612" w:name="_Toc142194389"/>
      <w:bookmarkStart w:id="1613" w:name="_Toc162778474"/>
      <w:bookmarkStart w:id="1614" w:name="_Toc162841058"/>
      <w:bookmarkStart w:id="1615" w:name="_Toc162932894"/>
      <w:bookmarkStart w:id="1616" w:name="_Toc187053423"/>
      <w:bookmarkStart w:id="1617" w:name="_Toc188695484"/>
      <w:r>
        <w:rPr>
          <w:rStyle w:val="CharPartNo"/>
        </w:rPr>
        <w:t>Part VII</w:t>
      </w:r>
      <w:r>
        <w:rPr>
          <w:rStyle w:val="CharDivNo"/>
        </w:rPr>
        <w:t> </w:t>
      </w:r>
      <w:r>
        <w:t>—</w:t>
      </w:r>
      <w:r>
        <w:rPr>
          <w:rStyle w:val="CharDivText"/>
        </w:rPr>
        <w:t> </w:t>
      </w:r>
      <w:r>
        <w:rPr>
          <w:rStyle w:val="CharPartText"/>
        </w:rPr>
        <w:t>Compensation</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r>
        <w:rPr>
          <w:rStyle w:val="CharPartText"/>
        </w:rPr>
        <w:t xml:space="preserve"> </w:t>
      </w:r>
    </w:p>
    <w:p>
      <w:pPr>
        <w:pStyle w:val="Heading5"/>
        <w:rPr>
          <w:snapToGrid w:val="0"/>
        </w:rPr>
      </w:pPr>
      <w:bookmarkStart w:id="1618" w:name="_Toc520088038"/>
      <w:bookmarkStart w:id="1619" w:name="_Toc523620673"/>
      <w:bookmarkStart w:id="1620" w:name="_Toc38853826"/>
      <w:bookmarkStart w:id="1621" w:name="_Toc124061203"/>
      <w:bookmarkStart w:id="1622" w:name="_Toc188695485"/>
      <w:bookmarkStart w:id="1623" w:name="_Toc187053424"/>
      <w:r>
        <w:rPr>
          <w:rStyle w:val="CharSectno"/>
        </w:rPr>
        <w:t>123</w:t>
      </w:r>
      <w:r>
        <w:rPr>
          <w:snapToGrid w:val="0"/>
        </w:rPr>
        <w:t>.</w:t>
      </w:r>
      <w:r>
        <w:rPr>
          <w:snapToGrid w:val="0"/>
        </w:rPr>
        <w:tab/>
        <w:t>Compensation in respect of mining</w:t>
      </w:r>
      <w:bookmarkEnd w:id="1618"/>
      <w:bookmarkEnd w:id="1619"/>
      <w:bookmarkEnd w:id="1620"/>
      <w:bookmarkEnd w:id="1621"/>
      <w:bookmarkEnd w:id="1622"/>
      <w:bookmarkEnd w:id="1623"/>
      <w:r>
        <w:rPr>
          <w:snapToGrid w:val="0"/>
        </w:rPr>
        <w:t xml:space="preserve"> </w:t>
      </w:r>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b/>
          <w:snapToGrid w:val="0"/>
        </w:rPr>
        <w:t>“</w:t>
      </w:r>
      <w:r>
        <w:rPr>
          <w:rStyle w:val="CharDefText"/>
        </w:rPr>
        <w:t>mining</w:t>
      </w:r>
      <w:r>
        <w:rPr>
          <w:b/>
          <w:snapToGrid w:val="0"/>
        </w:rPr>
        <w:t>”</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 </w:t>
      </w:r>
    </w:p>
    <w:p>
      <w:pPr>
        <w:pStyle w:val="Indenta"/>
        <w:rPr>
          <w:snapToGrid w:val="0"/>
        </w:rPr>
      </w:pPr>
      <w:r>
        <w:rPr>
          <w:snapToGrid w:val="0"/>
        </w:rPr>
        <w:tab/>
        <w:t>(a)</w:t>
      </w:r>
      <w:r>
        <w:rPr>
          <w:snapToGrid w:val="0"/>
        </w:rPr>
        <w:tab/>
        <w:t xml:space="preserve">being deprived of the possession or use, or any particular use, of the natural surface of the land or any part of the land; </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spacing w:before="200"/>
        <w:rPr>
          <w:snapToGrid w:val="0"/>
        </w:rPr>
      </w:pPr>
      <w:r>
        <w:rPr>
          <w:snapToGrid w:val="0"/>
        </w:rPr>
        <w:tab/>
        <w:t>(7)</w:t>
      </w:r>
      <w:r>
        <w:rPr>
          <w:snapToGrid w:val="0"/>
        </w:rPr>
        <w:tab/>
        <w:t xml:space="preserve">Subject to </w:t>
      </w:r>
      <w:r>
        <w:t>section</w:t>
      </w:r>
      <w:r>
        <w:rPr>
          <w:snapToGrid w:val="0"/>
        </w:rPr>
        <w:t> 124, a person who holds any land —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rPr>
          <w:snapToGrid w:val="0"/>
        </w:rPr>
      </w:pPr>
      <w:r>
        <w:rPr>
          <w:snapToGrid w:val="0"/>
        </w:rPr>
        <w:tab/>
      </w:r>
      <w:r>
        <w:rPr>
          <w:snapToGrid w:val="0"/>
        </w:rPr>
        <w:tab/>
        <w:t xml:space="preserve">(in this section called </w:t>
      </w:r>
      <w:r>
        <w:rPr>
          <w:b/>
          <w:snapToGrid w:val="0"/>
        </w:rPr>
        <w:t>“</w:t>
      </w:r>
      <w:r>
        <w:rPr>
          <w:rStyle w:val="CharDefText"/>
        </w:rPr>
        <w:t>the lessee</w:t>
      </w:r>
      <w:r>
        <w:rPr>
          <w:b/>
          <w:snapToGrid w:val="0"/>
        </w:rPr>
        <w:t>”</w:t>
      </w:r>
      <w:r>
        <w:rPr>
          <w:snapToGrid w:val="0"/>
        </w:rPr>
        <w:t>) is entitled to be compensated by the holder of that mining tenement for — </w:t>
      </w:r>
    </w:p>
    <w:p>
      <w:pPr>
        <w:pStyle w:val="Indenta"/>
        <w:rPr>
          <w:snapToGrid w:val="0"/>
        </w:rPr>
      </w:pPr>
      <w:r>
        <w:rPr>
          <w:snapToGrid w:val="0"/>
        </w:rPr>
        <w:tab/>
        <w:t>(c)</w:t>
      </w:r>
      <w:r>
        <w:rPr>
          <w:snapToGrid w:val="0"/>
        </w:rPr>
        <w:tab/>
        <w:t>subject to section 125, any damage to improvements on that land caused by the holder and for any loss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 xml:space="preserve">[Section 123 amended by No. 69 of 1981 s. 27; No. 100 of 1985 s. 93; No. 105 of 1986 s. 17 and 18; No. 37 of 1993 s. 26; No. 54 of 1996 s. 23; No. 31 of 1997 s. 141; No. 39 of 2004 s. 85.] </w:t>
      </w:r>
    </w:p>
    <w:p>
      <w:pPr>
        <w:pStyle w:val="Heading5"/>
        <w:rPr>
          <w:snapToGrid w:val="0"/>
        </w:rPr>
      </w:pPr>
      <w:bookmarkStart w:id="1624" w:name="_Toc520088039"/>
      <w:bookmarkStart w:id="1625" w:name="_Toc523620674"/>
      <w:bookmarkStart w:id="1626" w:name="_Toc38853827"/>
      <w:bookmarkStart w:id="1627" w:name="_Toc124061204"/>
      <w:bookmarkStart w:id="1628" w:name="_Toc188695486"/>
      <w:bookmarkStart w:id="1629" w:name="_Toc187053425"/>
      <w:r>
        <w:rPr>
          <w:rStyle w:val="CharSectno"/>
        </w:rPr>
        <w:t>124</w:t>
      </w:r>
      <w:r>
        <w:rPr>
          <w:snapToGrid w:val="0"/>
        </w:rPr>
        <w:t>.</w:t>
      </w:r>
      <w:r>
        <w:rPr>
          <w:snapToGrid w:val="0"/>
        </w:rPr>
        <w:tab/>
        <w:t>Powers of and matters to be considered and expected by warden’s court in determining compensation</w:t>
      </w:r>
      <w:bookmarkEnd w:id="1624"/>
      <w:bookmarkEnd w:id="1625"/>
      <w:bookmarkEnd w:id="1626"/>
      <w:bookmarkEnd w:id="1627"/>
      <w:bookmarkEnd w:id="1628"/>
      <w:bookmarkEnd w:id="1629"/>
      <w:r>
        <w:rPr>
          <w:snapToGrid w:val="0"/>
        </w:rPr>
        <w:t xml:space="preserve"> </w:t>
      </w:r>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 xml:space="preserve">[Section 124 amended by No. 69 of 1981 s. 28; No. 100 of 1985 s. 94; No. 39 of 2004 s. 85.] </w:t>
      </w:r>
    </w:p>
    <w:p>
      <w:pPr>
        <w:pStyle w:val="Heading5"/>
        <w:rPr>
          <w:snapToGrid w:val="0"/>
        </w:rPr>
      </w:pPr>
      <w:bookmarkStart w:id="1630" w:name="_Toc520088040"/>
      <w:bookmarkStart w:id="1631" w:name="_Toc523620675"/>
      <w:bookmarkStart w:id="1632" w:name="_Toc38853828"/>
      <w:bookmarkStart w:id="1633" w:name="_Toc124061205"/>
      <w:bookmarkStart w:id="1634" w:name="_Toc188695487"/>
      <w:bookmarkStart w:id="1635" w:name="_Toc187053426"/>
      <w:r>
        <w:rPr>
          <w:rStyle w:val="CharSectno"/>
        </w:rPr>
        <w:t>125</w:t>
      </w:r>
      <w:r>
        <w:rPr>
          <w:snapToGrid w:val="0"/>
        </w:rPr>
        <w:t>.</w:t>
      </w:r>
      <w:r>
        <w:rPr>
          <w:snapToGrid w:val="0"/>
        </w:rPr>
        <w:tab/>
        <w:t>Limitation on compensation</w:t>
      </w:r>
      <w:bookmarkEnd w:id="1630"/>
      <w:bookmarkEnd w:id="1631"/>
      <w:bookmarkEnd w:id="1632"/>
      <w:bookmarkEnd w:id="1633"/>
      <w:bookmarkEnd w:id="1634"/>
      <w:bookmarkEnd w:id="1635"/>
      <w:r>
        <w:rPr>
          <w:snapToGrid w:val="0"/>
        </w:rPr>
        <w:t xml:space="preserve"> </w:t>
      </w:r>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b/>
          <w:bCs/>
          <w:snapToGrid w:val="0"/>
        </w:rPr>
        <w:t>“</w:t>
      </w:r>
      <w:r>
        <w:rPr>
          <w:rStyle w:val="CharDefText"/>
        </w:rPr>
        <w:t>the lessee</w:t>
      </w:r>
      <w:r>
        <w:rPr>
          <w:b/>
          <w:bCs/>
          <w:snapToGrid w:val="0"/>
        </w:rPr>
        <w:t>”</w:t>
      </w:r>
      <w:r>
        <w:rPr>
          <w:snapToGrid w:val="0"/>
        </w:rPr>
        <w:t xml:space="preserve"> of any land for the purposes of section 123(7) —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 xml:space="preserve">[Section 125 amended by No. 100 of 1985 s. 95; No. 105 of 1986 s. 19.] </w:t>
      </w:r>
    </w:p>
    <w:p>
      <w:pPr>
        <w:pStyle w:val="Heading5"/>
        <w:rPr>
          <w:snapToGrid w:val="0"/>
        </w:rPr>
      </w:pPr>
      <w:bookmarkStart w:id="1636" w:name="_Toc520088041"/>
      <w:bookmarkStart w:id="1637" w:name="_Toc523620676"/>
      <w:bookmarkStart w:id="1638" w:name="_Toc38853829"/>
      <w:bookmarkStart w:id="1639" w:name="_Toc124061206"/>
      <w:bookmarkStart w:id="1640" w:name="_Toc188695488"/>
      <w:bookmarkStart w:id="1641" w:name="_Toc187053427"/>
      <w:r>
        <w:rPr>
          <w:rStyle w:val="CharSectno"/>
        </w:rPr>
        <w:t>125A</w:t>
      </w:r>
      <w:r>
        <w:rPr>
          <w:snapToGrid w:val="0"/>
        </w:rPr>
        <w:t>.</w:t>
      </w:r>
      <w:r>
        <w:rPr>
          <w:snapToGrid w:val="0"/>
        </w:rPr>
        <w:tab/>
        <w:t>Liability for payment of compensation to native title holders</w:t>
      </w:r>
      <w:bookmarkEnd w:id="1636"/>
      <w:bookmarkEnd w:id="1637"/>
      <w:bookmarkEnd w:id="1638"/>
      <w:bookmarkEnd w:id="1639"/>
      <w:bookmarkEnd w:id="1640"/>
      <w:bookmarkEnd w:id="1641"/>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b/>
        </w:rPr>
        <w:t>“</w:t>
      </w:r>
      <w:r>
        <w:rPr>
          <w:rStyle w:val="CharDefText"/>
        </w:rPr>
        <w:t>grant</w:t>
      </w:r>
      <w:r>
        <w:rPr>
          <w:b/>
        </w:rPr>
        <w:t>”</w:t>
      </w:r>
      <w:r>
        <w:t xml:space="preserve"> includes extension or renewal;</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642" w:name="_Toc520088042"/>
      <w:bookmarkStart w:id="1643" w:name="_Toc523620677"/>
      <w:bookmarkStart w:id="1644" w:name="_Toc38853830"/>
      <w:bookmarkStart w:id="1645" w:name="_Toc124061207"/>
      <w:bookmarkStart w:id="1646" w:name="_Toc188695489"/>
      <w:bookmarkStart w:id="1647" w:name="_Toc187053428"/>
      <w:r>
        <w:rPr>
          <w:rStyle w:val="CharSectno"/>
        </w:rPr>
        <w:t>126</w:t>
      </w:r>
      <w:r>
        <w:rPr>
          <w:snapToGrid w:val="0"/>
        </w:rPr>
        <w:t>.</w:t>
      </w:r>
      <w:r>
        <w:rPr>
          <w:snapToGrid w:val="0"/>
        </w:rPr>
        <w:tab/>
        <w:t>Securities</w:t>
      </w:r>
      <w:bookmarkEnd w:id="1642"/>
      <w:bookmarkEnd w:id="1643"/>
      <w:bookmarkEnd w:id="1644"/>
      <w:bookmarkEnd w:id="1645"/>
      <w:bookmarkEnd w:id="1646"/>
      <w:bookmarkEnd w:id="1647"/>
      <w:r>
        <w:rPr>
          <w:snapToGrid w:val="0"/>
        </w:rPr>
        <w:t xml:space="preserve"> </w:t>
      </w:r>
    </w:p>
    <w:p>
      <w:pPr>
        <w:pStyle w:val="Subsection"/>
        <w:rPr>
          <w:snapToGrid w:val="0"/>
        </w:rPr>
      </w:pPr>
      <w:r>
        <w:rPr>
          <w:snapToGrid w:val="0"/>
        </w:rPr>
        <w:tab/>
        <w:t>(1)</w:t>
      </w:r>
      <w:r>
        <w:rPr>
          <w:snapToGrid w:val="0"/>
        </w:rPr>
        <w:tab/>
        <w:t>A security referred to in section 26, 52, 60, 70F or 84A — </w:t>
      </w:r>
    </w:p>
    <w:p>
      <w:pPr>
        <w:pStyle w:val="Indenta"/>
        <w:rPr>
          <w:snapToGrid w:val="0"/>
        </w:rPr>
      </w:pPr>
      <w:r>
        <w:rPr>
          <w:snapToGrid w:val="0"/>
        </w:rPr>
        <w:tab/>
        <w:t>(a)</w:t>
      </w:r>
      <w:r>
        <w:rPr>
          <w:snapToGrid w:val="0"/>
        </w:rPr>
        <w:tab/>
        <w:t xml:space="preserve">shall be for such amount —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 xml:space="preserve">The Minister may discharge, in whole or in part, a security given under this section —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 xml:space="preserve">[Section 126 amended by No. 100 of 1985 s. 96; No. 37 of 1993 s. 10(2); No. 17 of 1999 s. 19; No. 39 of 2004 s. 41.] </w:t>
      </w:r>
    </w:p>
    <w:p>
      <w:pPr>
        <w:pStyle w:val="Heading2"/>
      </w:pPr>
      <w:bookmarkStart w:id="1648" w:name="_Toc87427717"/>
      <w:bookmarkStart w:id="1649" w:name="_Toc87851292"/>
      <w:bookmarkStart w:id="1650" w:name="_Toc88295515"/>
      <w:bookmarkStart w:id="1651" w:name="_Toc89519174"/>
      <w:bookmarkStart w:id="1652" w:name="_Toc90869299"/>
      <w:bookmarkStart w:id="1653" w:name="_Toc91408071"/>
      <w:bookmarkStart w:id="1654" w:name="_Toc92863815"/>
      <w:bookmarkStart w:id="1655" w:name="_Toc95015183"/>
      <w:bookmarkStart w:id="1656" w:name="_Toc95106890"/>
      <w:bookmarkStart w:id="1657" w:name="_Toc97018690"/>
      <w:bookmarkStart w:id="1658" w:name="_Toc101693643"/>
      <w:bookmarkStart w:id="1659" w:name="_Toc103130513"/>
      <w:bookmarkStart w:id="1660" w:name="_Toc104711163"/>
      <w:bookmarkStart w:id="1661" w:name="_Toc121560148"/>
      <w:bookmarkStart w:id="1662" w:name="_Toc122328589"/>
      <w:bookmarkStart w:id="1663" w:name="_Toc124061208"/>
      <w:bookmarkStart w:id="1664" w:name="_Toc124140063"/>
      <w:bookmarkStart w:id="1665" w:name="_Toc127174830"/>
      <w:bookmarkStart w:id="1666" w:name="_Toc127349187"/>
      <w:bookmarkStart w:id="1667" w:name="_Toc127762369"/>
      <w:bookmarkStart w:id="1668" w:name="_Toc127842431"/>
      <w:bookmarkStart w:id="1669" w:name="_Toc128380042"/>
      <w:bookmarkStart w:id="1670" w:name="_Toc130106658"/>
      <w:bookmarkStart w:id="1671" w:name="_Toc130106938"/>
      <w:bookmarkStart w:id="1672" w:name="_Toc130110835"/>
      <w:bookmarkStart w:id="1673" w:name="_Toc130277046"/>
      <w:bookmarkStart w:id="1674" w:name="_Toc131408571"/>
      <w:bookmarkStart w:id="1675" w:name="_Toc132530338"/>
      <w:bookmarkStart w:id="1676" w:name="_Toc142194395"/>
      <w:bookmarkStart w:id="1677" w:name="_Toc162778480"/>
      <w:bookmarkStart w:id="1678" w:name="_Toc162841064"/>
      <w:bookmarkStart w:id="1679" w:name="_Toc162932900"/>
      <w:bookmarkStart w:id="1680" w:name="_Toc187053429"/>
      <w:bookmarkStart w:id="1681" w:name="_Toc188695490"/>
      <w:r>
        <w:rPr>
          <w:rStyle w:val="CharPartNo"/>
        </w:rPr>
        <w:t>Part VIII</w:t>
      </w:r>
      <w:r>
        <w:rPr>
          <w:rStyle w:val="CharDivNo"/>
        </w:rPr>
        <w:t> </w:t>
      </w:r>
      <w:r>
        <w:t>—</w:t>
      </w:r>
      <w:r>
        <w:rPr>
          <w:rStyle w:val="CharDivText"/>
        </w:rPr>
        <w:t> </w:t>
      </w:r>
      <w:r>
        <w:rPr>
          <w:rStyle w:val="CharPartText"/>
        </w:rPr>
        <w:t>Administration of justice</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r>
        <w:rPr>
          <w:rStyle w:val="CharPartText"/>
        </w:rPr>
        <w:t xml:space="preserve"> </w:t>
      </w:r>
    </w:p>
    <w:p>
      <w:pPr>
        <w:pStyle w:val="Heading5"/>
        <w:rPr>
          <w:snapToGrid w:val="0"/>
        </w:rPr>
      </w:pPr>
      <w:bookmarkStart w:id="1682" w:name="_Toc520088043"/>
      <w:bookmarkStart w:id="1683" w:name="_Toc523620678"/>
      <w:bookmarkStart w:id="1684" w:name="_Toc38853831"/>
      <w:bookmarkStart w:id="1685" w:name="_Toc124061209"/>
      <w:bookmarkStart w:id="1686" w:name="_Toc188695491"/>
      <w:bookmarkStart w:id="1687" w:name="_Toc187053430"/>
      <w:r>
        <w:rPr>
          <w:rStyle w:val="CharSectno"/>
        </w:rPr>
        <w:t>127</w:t>
      </w:r>
      <w:r>
        <w:rPr>
          <w:snapToGrid w:val="0"/>
        </w:rPr>
        <w:t>.</w:t>
      </w:r>
      <w:r>
        <w:rPr>
          <w:snapToGrid w:val="0"/>
        </w:rPr>
        <w:tab/>
        <w:t>Establishment of wardens’ courts</w:t>
      </w:r>
      <w:bookmarkEnd w:id="1682"/>
      <w:bookmarkEnd w:id="1683"/>
      <w:bookmarkEnd w:id="1684"/>
      <w:bookmarkEnd w:id="1685"/>
      <w:bookmarkEnd w:id="1686"/>
      <w:bookmarkEnd w:id="1687"/>
      <w:r>
        <w:rPr>
          <w:snapToGrid w:val="0"/>
        </w:rPr>
        <w:t xml:space="preserve"> </w:t>
      </w:r>
    </w:p>
    <w:p>
      <w:pPr>
        <w:pStyle w:val="Subsection"/>
        <w:rPr>
          <w:snapToGrid w:val="0"/>
        </w:rPr>
      </w:pPr>
      <w:r>
        <w:rPr>
          <w:snapToGrid w:val="0"/>
        </w:rPr>
        <w:tab/>
        <w:t>(1)</w:t>
      </w:r>
      <w:r>
        <w:rPr>
          <w:snapToGrid w:val="0"/>
        </w:rPr>
        <w:tab/>
        <w:t>The Governor may, by order in council —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 xml:space="preserve">[Section 127 amended by No. 100 of 1985 s. 97; No. 59 of 2004 s. 116.] </w:t>
      </w:r>
    </w:p>
    <w:p>
      <w:pPr>
        <w:pStyle w:val="Heading5"/>
        <w:rPr>
          <w:snapToGrid w:val="0"/>
        </w:rPr>
      </w:pPr>
      <w:bookmarkStart w:id="1688" w:name="_Toc520088044"/>
      <w:bookmarkStart w:id="1689" w:name="_Toc523620679"/>
      <w:bookmarkStart w:id="1690" w:name="_Toc38853832"/>
      <w:bookmarkStart w:id="1691" w:name="_Toc124061210"/>
      <w:bookmarkStart w:id="1692" w:name="_Toc188695492"/>
      <w:bookmarkStart w:id="1693" w:name="_Toc187053431"/>
      <w:r>
        <w:rPr>
          <w:rStyle w:val="CharSectno"/>
        </w:rPr>
        <w:t>128</w:t>
      </w:r>
      <w:r>
        <w:rPr>
          <w:snapToGrid w:val="0"/>
        </w:rPr>
        <w:t>.</w:t>
      </w:r>
      <w:r>
        <w:rPr>
          <w:snapToGrid w:val="0"/>
        </w:rPr>
        <w:tab/>
        <w:t>Warden’s court to be court of record</w:t>
      </w:r>
      <w:bookmarkEnd w:id="1688"/>
      <w:bookmarkEnd w:id="1689"/>
      <w:bookmarkEnd w:id="1690"/>
      <w:bookmarkEnd w:id="1691"/>
      <w:bookmarkEnd w:id="1692"/>
      <w:bookmarkEnd w:id="1693"/>
      <w:r>
        <w:rPr>
          <w:snapToGrid w:val="0"/>
        </w:rPr>
        <w:t xml:space="preserve"> </w:t>
      </w:r>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694" w:name="_Toc520088045"/>
      <w:bookmarkStart w:id="1695" w:name="_Toc523620680"/>
      <w:bookmarkStart w:id="1696" w:name="_Toc38853833"/>
      <w:bookmarkStart w:id="1697" w:name="_Toc124061211"/>
      <w:bookmarkStart w:id="1698" w:name="_Toc188695493"/>
      <w:bookmarkStart w:id="1699" w:name="_Toc187053432"/>
      <w:r>
        <w:rPr>
          <w:rStyle w:val="CharSectno"/>
        </w:rPr>
        <w:t>129</w:t>
      </w:r>
      <w:r>
        <w:rPr>
          <w:snapToGrid w:val="0"/>
        </w:rPr>
        <w:t>.</w:t>
      </w:r>
      <w:r>
        <w:rPr>
          <w:snapToGrid w:val="0"/>
        </w:rPr>
        <w:tab/>
        <w:t>Signing of process</w:t>
      </w:r>
      <w:bookmarkEnd w:id="1694"/>
      <w:bookmarkEnd w:id="1695"/>
      <w:bookmarkEnd w:id="1696"/>
      <w:bookmarkEnd w:id="1697"/>
      <w:bookmarkEnd w:id="1698"/>
      <w:bookmarkEnd w:id="1699"/>
      <w:r>
        <w:rPr>
          <w:snapToGrid w:val="0"/>
        </w:rPr>
        <w:t xml:space="preserve"> </w:t>
      </w:r>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700" w:name="_Toc520088046"/>
      <w:bookmarkStart w:id="1701" w:name="_Toc523620681"/>
      <w:bookmarkStart w:id="1702" w:name="_Toc38853834"/>
      <w:bookmarkStart w:id="1703" w:name="_Toc124061212"/>
      <w:bookmarkStart w:id="1704" w:name="_Toc188695494"/>
      <w:bookmarkStart w:id="1705" w:name="_Toc187053433"/>
      <w:r>
        <w:rPr>
          <w:rStyle w:val="CharSectno"/>
        </w:rPr>
        <w:t>130</w:t>
      </w:r>
      <w:r>
        <w:rPr>
          <w:snapToGrid w:val="0"/>
        </w:rPr>
        <w:t>.</w:t>
      </w:r>
      <w:r>
        <w:rPr>
          <w:snapToGrid w:val="0"/>
        </w:rPr>
        <w:tab/>
        <w:t>Times for holding warden’s court</w:t>
      </w:r>
      <w:bookmarkEnd w:id="1700"/>
      <w:bookmarkEnd w:id="1701"/>
      <w:bookmarkEnd w:id="1702"/>
      <w:bookmarkEnd w:id="1703"/>
      <w:bookmarkEnd w:id="1704"/>
      <w:bookmarkEnd w:id="1705"/>
      <w:r>
        <w:rPr>
          <w:snapToGrid w:val="0"/>
        </w:rPr>
        <w:t xml:space="preserve"> </w:t>
      </w:r>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706" w:name="_Toc520088047"/>
      <w:bookmarkStart w:id="1707" w:name="_Toc523620682"/>
      <w:bookmarkStart w:id="1708" w:name="_Toc38853835"/>
      <w:bookmarkStart w:id="1709" w:name="_Toc124061213"/>
      <w:r>
        <w:tab/>
        <w:t>[Section 130 amended by No. 39 of 2004 s. 68.]</w:t>
      </w:r>
    </w:p>
    <w:p>
      <w:pPr>
        <w:pStyle w:val="Heading5"/>
        <w:rPr>
          <w:snapToGrid w:val="0"/>
        </w:rPr>
      </w:pPr>
      <w:bookmarkStart w:id="1710" w:name="_Toc188695495"/>
      <w:bookmarkStart w:id="1711" w:name="_Toc187053434"/>
      <w:r>
        <w:rPr>
          <w:rStyle w:val="CharSectno"/>
        </w:rPr>
        <w:t>131</w:t>
      </w:r>
      <w:r>
        <w:rPr>
          <w:snapToGrid w:val="0"/>
        </w:rPr>
        <w:t>.</w:t>
      </w:r>
      <w:r>
        <w:rPr>
          <w:snapToGrid w:val="0"/>
        </w:rPr>
        <w:tab/>
        <w:t>Power of a warden to act in absence of warden usually presiding</w:t>
      </w:r>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 xml:space="preserve">[Section 131 amended by No. 100 of 1985 s. 98; No. 39 of 2004 s. 69.] </w:t>
      </w:r>
    </w:p>
    <w:p>
      <w:pPr>
        <w:pStyle w:val="Heading5"/>
        <w:rPr>
          <w:snapToGrid w:val="0"/>
        </w:rPr>
      </w:pPr>
      <w:bookmarkStart w:id="1712" w:name="_Toc520088048"/>
      <w:bookmarkStart w:id="1713" w:name="_Toc523620683"/>
      <w:bookmarkStart w:id="1714" w:name="_Toc38853836"/>
      <w:bookmarkStart w:id="1715" w:name="_Toc124061214"/>
      <w:bookmarkStart w:id="1716" w:name="_Toc188695496"/>
      <w:bookmarkStart w:id="1717" w:name="_Toc187053435"/>
      <w:r>
        <w:rPr>
          <w:rStyle w:val="CharSectno"/>
        </w:rPr>
        <w:t>132</w:t>
      </w:r>
      <w:r>
        <w:rPr>
          <w:snapToGrid w:val="0"/>
        </w:rPr>
        <w:t>.</w:t>
      </w:r>
      <w:r>
        <w:rPr>
          <w:snapToGrid w:val="0"/>
        </w:rPr>
        <w:tab/>
        <w:t>Jurisdiction of warden’s court</w:t>
      </w:r>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718" w:name="_Toc124061215"/>
      <w:bookmarkStart w:id="1719" w:name="_Toc188695497"/>
      <w:bookmarkStart w:id="1720" w:name="_Toc187053436"/>
      <w:bookmarkStart w:id="1721" w:name="_Toc520088050"/>
      <w:bookmarkStart w:id="1722" w:name="_Toc523620685"/>
      <w:bookmarkStart w:id="1723" w:name="_Toc38853838"/>
      <w:r>
        <w:rPr>
          <w:rStyle w:val="CharSectno"/>
        </w:rPr>
        <w:t>133</w:t>
      </w:r>
      <w:r>
        <w:t>.</w:t>
      </w:r>
      <w:r>
        <w:tab/>
        <w:t>Offences to be dealt with by magistrate</w:t>
      </w:r>
      <w:bookmarkEnd w:id="1718"/>
      <w:bookmarkEnd w:id="1719"/>
      <w:bookmarkEnd w:id="1720"/>
    </w:p>
    <w:p>
      <w:pPr>
        <w:pStyle w:val="Subsection"/>
      </w:pPr>
      <w:r>
        <w:tab/>
      </w:r>
      <w:r>
        <w:tab/>
        <w:t>A court of summary jurisdiction dealing with an offence under this Act is to be constituted by a magistrate.</w:t>
      </w:r>
    </w:p>
    <w:p>
      <w:pPr>
        <w:pStyle w:val="Footnotesection"/>
      </w:pPr>
      <w:r>
        <w:tab/>
        <w:t xml:space="preserve">[Section 133 inserted by No. 59 of 2004 s. 114.] </w:t>
      </w:r>
    </w:p>
    <w:p>
      <w:pPr>
        <w:pStyle w:val="Heading5"/>
        <w:rPr>
          <w:snapToGrid w:val="0"/>
        </w:rPr>
      </w:pPr>
      <w:bookmarkStart w:id="1724" w:name="_Toc124061216"/>
      <w:bookmarkStart w:id="1725" w:name="_Toc188695498"/>
      <w:bookmarkStart w:id="1726" w:name="_Toc187053437"/>
      <w:r>
        <w:rPr>
          <w:rStyle w:val="CharSectno"/>
        </w:rPr>
        <w:t>134</w:t>
      </w:r>
      <w:r>
        <w:rPr>
          <w:snapToGrid w:val="0"/>
        </w:rPr>
        <w:t>.</w:t>
      </w:r>
      <w:r>
        <w:rPr>
          <w:snapToGrid w:val="0"/>
        </w:rPr>
        <w:tab/>
        <w:t>Powers of warden’s court</w:t>
      </w:r>
      <w:bookmarkEnd w:id="1721"/>
      <w:bookmarkEnd w:id="1722"/>
      <w:bookmarkEnd w:id="1723"/>
      <w:bookmarkEnd w:id="1724"/>
      <w:bookmarkEnd w:id="1725"/>
      <w:bookmarkEnd w:id="1726"/>
      <w:r>
        <w:rPr>
          <w:snapToGrid w:val="0"/>
        </w:rPr>
        <w:t xml:space="preserve"> </w:t>
      </w:r>
    </w:p>
    <w:p>
      <w:pPr>
        <w:pStyle w:val="Subsection"/>
        <w:rPr>
          <w:snapToGrid w:val="0"/>
        </w:rPr>
      </w:pPr>
      <w:r>
        <w:rPr>
          <w:snapToGrid w:val="0"/>
        </w:rPr>
        <w:tab/>
        <w:t>(1)</w:t>
      </w:r>
      <w:r>
        <w:rPr>
          <w:snapToGrid w:val="0"/>
        </w:rPr>
        <w:tab/>
        <w:t>A warden’s court has power to make orders on all matters within its jurisdiction, for —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 xml:space="preserve">[Section 134 amended by No. 100 of 1985 s. 99; No. 37 of 1993 s. 12(2); No. 39 of 2004 s. 71 and 85; No. 59 of 2004 s. 116.] </w:t>
      </w:r>
    </w:p>
    <w:p>
      <w:pPr>
        <w:pStyle w:val="Heading5"/>
        <w:rPr>
          <w:snapToGrid w:val="0"/>
        </w:rPr>
      </w:pPr>
      <w:bookmarkStart w:id="1727" w:name="_Toc520088051"/>
      <w:bookmarkStart w:id="1728" w:name="_Toc523620686"/>
      <w:bookmarkStart w:id="1729" w:name="_Toc38853839"/>
      <w:bookmarkStart w:id="1730" w:name="_Toc124061217"/>
      <w:bookmarkStart w:id="1731" w:name="_Toc188695499"/>
      <w:bookmarkStart w:id="1732" w:name="_Toc187053438"/>
      <w:r>
        <w:rPr>
          <w:rStyle w:val="CharSectno"/>
        </w:rPr>
        <w:t>135</w:t>
      </w:r>
      <w:r>
        <w:rPr>
          <w:snapToGrid w:val="0"/>
        </w:rPr>
        <w:t>.</w:t>
      </w:r>
      <w:r>
        <w:rPr>
          <w:snapToGrid w:val="0"/>
        </w:rPr>
        <w:tab/>
        <w:t>Summary determination by warden by consent</w:t>
      </w:r>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Ednotesubsection"/>
      </w:pPr>
      <w:r>
        <w:tab/>
        <w:t>[(4)</w:t>
      </w:r>
      <w:r>
        <w:tab/>
        <w:t>repealed]</w:t>
      </w:r>
    </w:p>
    <w:p>
      <w:pPr>
        <w:pStyle w:val="Footnotesection"/>
        <w:ind w:left="890" w:hanging="890"/>
      </w:pPr>
      <w:r>
        <w:tab/>
        <w:t xml:space="preserve">[Section 135 amended by No. 100 of 1985 s. 100; No. 39 of 2004 s. 72.] </w:t>
      </w:r>
    </w:p>
    <w:p>
      <w:pPr>
        <w:pStyle w:val="Heading5"/>
        <w:rPr>
          <w:snapToGrid w:val="0"/>
        </w:rPr>
      </w:pPr>
      <w:bookmarkStart w:id="1733" w:name="_Toc520088052"/>
      <w:bookmarkStart w:id="1734" w:name="_Toc523620687"/>
      <w:bookmarkStart w:id="1735" w:name="_Toc38853840"/>
      <w:bookmarkStart w:id="1736" w:name="_Toc124061218"/>
      <w:bookmarkStart w:id="1737" w:name="_Toc188695500"/>
      <w:bookmarkStart w:id="1738" w:name="_Toc187053439"/>
      <w:r>
        <w:rPr>
          <w:rStyle w:val="CharSectno"/>
        </w:rPr>
        <w:t>136</w:t>
      </w:r>
      <w:r>
        <w:rPr>
          <w:snapToGrid w:val="0"/>
        </w:rPr>
        <w:t>.</w:t>
      </w:r>
      <w:r>
        <w:rPr>
          <w:snapToGrid w:val="0"/>
        </w:rPr>
        <w:tab/>
        <w:t>Practice and procedure in warden’s court</w:t>
      </w:r>
      <w:bookmarkEnd w:id="1733"/>
      <w:bookmarkEnd w:id="1734"/>
      <w:bookmarkEnd w:id="1735"/>
      <w:bookmarkEnd w:id="1736"/>
      <w:bookmarkEnd w:id="1737"/>
      <w:bookmarkEnd w:id="1738"/>
      <w:r>
        <w:rPr>
          <w:snapToGrid w:val="0"/>
        </w:rPr>
        <w:t xml:space="preserve"> </w:t>
      </w:r>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 xml:space="preserve">[Section 136 amended by No. 105 of 1986 s. 21; No. 59 of 2004 s. 116.] </w:t>
      </w:r>
    </w:p>
    <w:p>
      <w:pPr>
        <w:pStyle w:val="Heading5"/>
        <w:spacing w:before="160"/>
        <w:rPr>
          <w:snapToGrid w:val="0"/>
        </w:rPr>
      </w:pPr>
      <w:bookmarkStart w:id="1739" w:name="_Toc520088053"/>
      <w:bookmarkStart w:id="1740" w:name="_Toc523620688"/>
      <w:bookmarkStart w:id="1741" w:name="_Toc38853841"/>
      <w:bookmarkStart w:id="1742" w:name="_Toc124061219"/>
      <w:bookmarkStart w:id="1743" w:name="_Toc188695501"/>
      <w:bookmarkStart w:id="1744" w:name="_Toc187053440"/>
      <w:r>
        <w:rPr>
          <w:rStyle w:val="CharSectno"/>
        </w:rPr>
        <w:t>137</w:t>
      </w:r>
      <w:r>
        <w:rPr>
          <w:snapToGrid w:val="0"/>
        </w:rPr>
        <w:t>.</w:t>
      </w:r>
      <w:r>
        <w:rPr>
          <w:snapToGrid w:val="0"/>
        </w:rPr>
        <w:tab/>
        <w:t>Records of evidence</w:t>
      </w:r>
      <w:bookmarkEnd w:id="1739"/>
      <w:bookmarkEnd w:id="1740"/>
      <w:bookmarkEnd w:id="1741"/>
      <w:bookmarkEnd w:id="1742"/>
      <w:bookmarkEnd w:id="1743"/>
      <w:bookmarkEnd w:id="1744"/>
      <w:r>
        <w:rPr>
          <w:snapToGrid w:val="0"/>
        </w:rPr>
        <w:t xml:space="preserve"> </w:t>
      </w:r>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repealed]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 xml:space="preserve">[Section 137 amended by No. 100 of 1985 s. 101; No. 39 of 2004 s. 73.] </w:t>
      </w:r>
    </w:p>
    <w:p>
      <w:pPr>
        <w:pStyle w:val="Heading5"/>
        <w:rPr>
          <w:snapToGrid w:val="0"/>
        </w:rPr>
      </w:pPr>
      <w:bookmarkStart w:id="1745" w:name="_Toc520088054"/>
      <w:bookmarkStart w:id="1746" w:name="_Toc523620689"/>
      <w:bookmarkStart w:id="1747" w:name="_Toc38853842"/>
      <w:bookmarkStart w:id="1748" w:name="_Toc124061220"/>
      <w:bookmarkStart w:id="1749" w:name="_Toc188695502"/>
      <w:bookmarkStart w:id="1750" w:name="_Toc187053441"/>
      <w:r>
        <w:rPr>
          <w:rStyle w:val="CharSectno"/>
        </w:rPr>
        <w:t>138</w:t>
      </w:r>
      <w:r>
        <w:rPr>
          <w:snapToGrid w:val="0"/>
        </w:rPr>
        <w:t>.</w:t>
      </w:r>
      <w:r>
        <w:rPr>
          <w:snapToGrid w:val="0"/>
        </w:rPr>
        <w:tab/>
        <w:t>Mode of trial</w:t>
      </w:r>
      <w:bookmarkEnd w:id="1745"/>
      <w:bookmarkEnd w:id="1746"/>
      <w:bookmarkEnd w:id="1747"/>
      <w:bookmarkEnd w:id="1748"/>
      <w:bookmarkEnd w:id="1749"/>
      <w:bookmarkEnd w:id="1750"/>
      <w:r>
        <w:rPr>
          <w:snapToGrid w:val="0"/>
        </w:rPr>
        <w:t xml:space="preserve"> </w:t>
      </w:r>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751" w:name="_Toc520088055"/>
      <w:bookmarkStart w:id="1752" w:name="_Toc523620690"/>
      <w:bookmarkStart w:id="1753" w:name="_Toc38853843"/>
      <w:bookmarkStart w:id="1754" w:name="_Toc124061221"/>
      <w:bookmarkStart w:id="1755" w:name="_Toc188695503"/>
      <w:bookmarkStart w:id="1756" w:name="_Toc187053442"/>
      <w:r>
        <w:rPr>
          <w:rStyle w:val="CharSectno"/>
        </w:rPr>
        <w:t>139</w:t>
      </w:r>
      <w:r>
        <w:rPr>
          <w:snapToGrid w:val="0"/>
        </w:rPr>
        <w:t>.</w:t>
      </w:r>
      <w:r>
        <w:rPr>
          <w:snapToGrid w:val="0"/>
        </w:rPr>
        <w:tab/>
        <w:t>Contempt of court</w:t>
      </w:r>
      <w:bookmarkEnd w:id="1751"/>
      <w:bookmarkEnd w:id="1752"/>
      <w:bookmarkEnd w:id="1753"/>
      <w:bookmarkEnd w:id="1754"/>
      <w:bookmarkEnd w:id="1755"/>
      <w:bookmarkEnd w:id="1756"/>
      <w:r>
        <w:rPr>
          <w:snapToGrid w:val="0"/>
        </w:rPr>
        <w:t xml:space="preserve"> </w:t>
      </w:r>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 xml:space="preserve">[Section 139 amended by No. 22 of 1990 s. 38.] </w:t>
      </w:r>
    </w:p>
    <w:p>
      <w:pPr>
        <w:pStyle w:val="Heading5"/>
      </w:pPr>
      <w:bookmarkStart w:id="1757" w:name="_Toc124061222"/>
      <w:bookmarkStart w:id="1758" w:name="_Toc188695504"/>
      <w:bookmarkStart w:id="1759" w:name="_Toc187053443"/>
      <w:r>
        <w:rPr>
          <w:rStyle w:val="CharSectno"/>
        </w:rPr>
        <w:t>140</w:t>
      </w:r>
      <w:r>
        <w:t>.</w:t>
      </w:r>
      <w:r>
        <w:tab/>
        <w:t>Judgments, enforcement of</w:t>
      </w:r>
      <w:bookmarkEnd w:id="1757"/>
      <w:bookmarkEnd w:id="1758"/>
      <w:bookmarkEnd w:id="1759"/>
    </w:p>
    <w:p>
      <w:pPr>
        <w:pStyle w:val="Subsection"/>
      </w:pPr>
      <w:r>
        <w:tab/>
        <w:t>(1)</w:t>
      </w:r>
      <w:r>
        <w:tab/>
        <w:t xml:space="preserve">In this section — </w:t>
      </w:r>
    </w:p>
    <w:p>
      <w:pPr>
        <w:pStyle w:val="Defstart"/>
      </w:pPr>
      <w:r>
        <w:rPr>
          <w:b/>
        </w:rPr>
        <w:tab/>
        <w:t>“</w:t>
      </w:r>
      <w:r>
        <w:rPr>
          <w:rStyle w:val="CharDefText"/>
        </w:rPr>
        <w:t>judgment</w:t>
      </w:r>
      <w:r>
        <w:rPr>
          <w:b/>
        </w:rPr>
        <w: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 xml:space="preserve">[Section 140 inserted by No. 59 of 2004 s. 115.] </w:t>
      </w:r>
    </w:p>
    <w:p>
      <w:pPr>
        <w:pStyle w:val="Ednotesection"/>
      </w:pPr>
      <w:r>
        <w:t>[</w:t>
      </w:r>
      <w:r>
        <w:rPr>
          <w:b/>
        </w:rPr>
        <w:t>141.</w:t>
      </w:r>
      <w:r>
        <w:tab/>
        <w:t>Repealed by No. 59 of 2004 s. 115.]</w:t>
      </w:r>
    </w:p>
    <w:p>
      <w:pPr>
        <w:pStyle w:val="Heading5"/>
        <w:rPr>
          <w:snapToGrid w:val="0"/>
        </w:rPr>
      </w:pPr>
      <w:bookmarkStart w:id="1760" w:name="_Toc520088058"/>
      <w:bookmarkStart w:id="1761" w:name="_Toc523620693"/>
      <w:bookmarkStart w:id="1762" w:name="_Toc38853846"/>
      <w:bookmarkStart w:id="1763" w:name="_Toc124061223"/>
      <w:bookmarkStart w:id="1764" w:name="_Toc188695505"/>
      <w:bookmarkStart w:id="1765" w:name="_Toc187053444"/>
      <w:r>
        <w:rPr>
          <w:rStyle w:val="CharSectno"/>
        </w:rPr>
        <w:t>142</w:t>
      </w:r>
      <w:r>
        <w:rPr>
          <w:snapToGrid w:val="0"/>
        </w:rPr>
        <w:t>.</w:t>
      </w:r>
      <w:r>
        <w:rPr>
          <w:snapToGrid w:val="0"/>
        </w:rPr>
        <w:tab/>
        <w:t>Informality and amendment</w:t>
      </w:r>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 xml:space="preserve">[Section 142 amended by No. 100 of 1985 s. 102; No. 39 of 2004 s. 75.] </w:t>
      </w:r>
    </w:p>
    <w:p>
      <w:pPr>
        <w:pStyle w:val="Heading5"/>
        <w:rPr>
          <w:snapToGrid w:val="0"/>
        </w:rPr>
      </w:pPr>
      <w:bookmarkStart w:id="1766" w:name="_Toc520088059"/>
      <w:bookmarkStart w:id="1767" w:name="_Toc523620694"/>
      <w:bookmarkStart w:id="1768" w:name="_Toc38853847"/>
      <w:bookmarkStart w:id="1769" w:name="_Toc124061224"/>
      <w:bookmarkStart w:id="1770" w:name="_Toc188695506"/>
      <w:bookmarkStart w:id="1771" w:name="_Toc187053445"/>
      <w:r>
        <w:rPr>
          <w:rStyle w:val="CharSectno"/>
        </w:rPr>
        <w:t>143</w:t>
      </w:r>
      <w:r>
        <w:rPr>
          <w:snapToGrid w:val="0"/>
        </w:rPr>
        <w:t>.</w:t>
      </w:r>
      <w:r>
        <w:rPr>
          <w:snapToGrid w:val="0"/>
        </w:rPr>
        <w:tab/>
        <w:t>Notice of injunction affecting mining tenement to be notified</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 xml:space="preserve">[Section 143 amended by No. 100 of 1985 s. 103; No. 105 of 1986 s. 22; No. 54 of 1996 s. 19; No. 39 of 2004 s. 85.] </w:t>
      </w:r>
    </w:p>
    <w:p>
      <w:pPr>
        <w:pStyle w:val="Ednotesection"/>
        <w:rPr>
          <w:rStyle w:val="CharSectno"/>
        </w:rPr>
      </w:pPr>
      <w:bookmarkStart w:id="1772" w:name="_Toc520088062"/>
      <w:bookmarkStart w:id="1773" w:name="_Toc523620697"/>
      <w:bookmarkStart w:id="1774" w:name="_Toc38853850"/>
      <w:bookmarkStart w:id="1775" w:name="_Toc124061227"/>
      <w:r>
        <w:rPr>
          <w:rStyle w:val="CharSectno"/>
        </w:rPr>
        <w:t>[</w:t>
      </w:r>
      <w:r>
        <w:rPr>
          <w:rStyle w:val="CharSectno"/>
          <w:b/>
          <w:bCs/>
        </w:rPr>
        <w:t>144, 145.</w:t>
      </w:r>
      <w:r>
        <w:rPr>
          <w:rStyle w:val="CharSectno"/>
        </w:rPr>
        <w:tab/>
        <w:t>Repealed by No. 39 of 2004 s. 76.]</w:t>
      </w:r>
    </w:p>
    <w:p>
      <w:pPr>
        <w:pStyle w:val="Heading5"/>
        <w:rPr>
          <w:snapToGrid w:val="0"/>
        </w:rPr>
      </w:pPr>
      <w:bookmarkStart w:id="1776" w:name="_Toc188695507"/>
      <w:bookmarkStart w:id="1777" w:name="_Toc187053446"/>
      <w:r>
        <w:rPr>
          <w:rStyle w:val="CharSectno"/>
        </w:rPr>
        <w:t>146</w:t>
      </w:r>
      <w:r>
        <w:rPr>
          <w:snapToGrid w:val="0"/>
        </w:rPr>
        <w:t>.</w:t>
      </w:r>
      <w:r>
        <w:rPr>
          <w:snapToGrid w:val="0"/>
        </w:rPr>
        <w:tab/>
        <w:t>Reservation of questions of law: hearing and determination thereof</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 xml:space="preserve">[Section 146 amended by No. 100 of 1985 s. 104; No. 39 of 2004 s. 77 and 85; No. 45 of 2004 s. 37.] </w:t>
      </w:r>
    </w:p>
    <w:p>
      <w:pPr>
        <w:pStyle w:val="Heading5"/>
        <w:rPr>
          <w:snapToGrid w:val="0"/>
        </w:rPr>
      </w:pPr>
      <w:bookmarkStart w:id="1778" w:name="_Toc520088063"/>
      <w:bookmarkStart w:id="1779" w:name="_Toc523620698"/>
      <w:bookmarkStart w:id="1780" w:name="_Toc38853851"/>
      <w:bookmarkStart w:id="1781" w:name="_Toc124061228"/>
      <w:bookmarkStart w:id="1782" w:name="_Toc188695508"/>
      <w:bookmarkStart w:id="1783" w:name="_Toc187053447"/>
      <w:r>
        <w:rPr>
          <w:rStyle w:val="CharSectno"/>
        </w:rPr>
        <w:t>147</w:t>
      </w:r>
      <w:r>
        <w:rPr>
          <w:snapToGrid w:val="0"/>
        </w:rPr>
        <w:t>.</w:t>
      </w:r>
      <w:r>
        <w:rPr>
          <w:snapToGrid w:val="0"/>
        </w:rPr>
        <w:tab/>
        <w:t>Appeal to the Supreme Court</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repealed]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784" w:name="_Toc520088064"/>
      <w:bookmarkStart w:id="1785" w:name="_Toc523620699"/>
      <w:bookmarkStart w:id="1786" w:name="_Toc38853852"/>
      <w:bookmarkStart w:id="1787" w:name="_Toc124061229"/>
      <w:bookmarkStart w:id="1788" w:name="_Toc188695509"/>
      <w:bookmarkStart w:id="1789" w:name="_Toc187053448"/>
      <w:r>
        <w:rPr>
          <w:rStyle w:val="CharSectno"/>
        </w:rPr>
        <w:t>148</w:t>
      </w:r>
      <w:r>
        <w:rPr>
          <w:snapToGrid w:val="0"/>
        </w:rPr>
        <w:t>.</w:t>
      </w:r>
      <w:r>
        <w:rPr>
          <w:snapToGrid w:val="0"/>
        </w:rPr>
        <w:tab/>
        <w:t>Procedure on appeal</w:t>
      </w:r>
      <w:bookmarkEnd w:id="1784"/>
      <w:bookmarkEnd w:id="1785"/>
      <w:bookmarkEnd w:id="1786"/>
      <w:bookmarkEnd w:id="1787"/>
      <w:bookmarkEnd w:id="1788"/>
      <w:bookmarkEnd w:id="1789"/>
      <w:r>
        <w:rPr>
          <w:snapToGrid w:val="0"/>
        </w:rPr>
        <w:t xml:space="preserve"> </w:t>
      </w:r>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 xml:space="preserve">[Section 148 amended by No. 100 of 1985 s. 105; No. 39 of 2004 s. 79 and 85.] </w:t>
      </w:r>
    </w:p>
    <w:p>
      <w:pPr>
        <w:pStyle w:val="Heading5"/>
        <w:rPr>
          <w:snapToGrid w:val="0"/>
        </w:rPr>
      </w:pPr>
      <w:bookmarkStart w:id="1790" w:name="_Toc520088065"/>
      <w:bookmarkStart w:id="1791" w:name="_Toc523620700"/>
      <w:bookmarkStart w:id="1792" w:name="_Toc38853853"/>
      <w:bookmarkStart w:id="1793" w:name="_Toc124061230"/>
      <w:bookmarkStart w:id="1794" w:name="_Toc188695510"/>
      <w:bookmarkStart w:id="1795" w:name="_Toc187053449"/>
      <w:r>
        <w:rPr>
          <w:rStyle w:val="CharSectno"/>
        </w:rPr>
        <w:t>149</w:t>
      </w:r>
      <w:r>
        <w:rPr>
          <w:snapToGrid w:val="0"/>
        </w:rPr>
        <w:t>.</w:t>
      </w:r>
      <w:r>
        <w:rPr>
          <w:snapToGrid w:val="0"/>
        </w:rPr>
        <w:tab/>
        <w:t>Power of Supreme Court on appeal</w:t>
      </w:r>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r>
      <w:r>
        <w:rPr>
          <w:snapToGrid w:val="0"/>
        </w:rPr>
        <w:tab/>
        <w:t>Upon the hearing of any appeal under this Act the Supreme Court — </w:t>
      </w:r>
    </w:p>
    <w:p>
      <w:pPr>
        <w:pStyle w:val="Indenta"/>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rPr>
          <w:snapToGrid w:val="0"/>
        </w:rPr>
      </w:pPr>
      <w:r>
        <w:rPr>
          <w:snapToGrid w:val="0"/>
        </w:rPr>
        <w:tab/>
        <w:t>(b)</w:t>
      </w:r>
      <w:r>
        <w:rPr>
          <w:snapToGrid w:val="0"/>
        </w:rPr>
        <w:tab/>
        <w:t>may confirm the order, determination or decision in respect of which the appeal is made and may dismiss the appeal;</w:t>
      </w:r>
    </w:p>
    <w:p>
      <w:pPr>
        <w:pStyle w:val="Indenta"/>
        <w:rPr>
          <w:snapToGrid w:val="0"/>
        </w:rPr>
      </w:pPr>
      <w:r>
        <w:rPr>
          <w:snapToGrid w:val="0"/>
        </w:rPr>
        <w:tab/>
        <w:t>(c)</w:t>
      </w:r>
      <w:r>
        <w:rPr>
          <w:snapToGrid w:val="0"/>
        </w:rPr>
        <w:tab/>
        <w:t>may reverse, modify or vary such order, determination, or decision and may make such order in lieu thereof as it may think just;</w:t>
      </w:r>
    </w:p>
    <w:p>
      <w:pPr>
        <w:pStyle w:val="Indenta"/>
        <w:rPr>
          <w:snapToGrid w:val="0"/>
        </w:rPr>
      </w:pPr>
      <w:r>
        <w:rPr>
          <w:snapToGrid w:val="0"/>
        </w:rPr>
        <w:tab/>
        <w:t>(d)</w:t>
      </w:r>
      <w:r>
        <w:rPr>
          <w:snapToGrid w:val="0"/>
        </w:rPr>
        <w:tab/>
        <w:t>may direct any issue to be tried in such manner, and at such time and place as it may think fit;</w:t>
      </w:r>
    </w:p>
    <w:p>
      <w:pPr>
        <w:pStyle w:val="Indenta"/>
        <w:rPr>
          <w:snapToGrid w:val="0"/>
        </w:rPr>
      </w:pPr>
      <w:r>
        <w:rPr>
          <w:snapToGrid w:val="0"/>
        </w:rPr>
        <w:tab/>
        <w:t>(e)</w:t>
      </w:r>
      <w:r>
        <w:rPr>
          <w:snapToGrid w:val="0"/>
        </w:rPr>
        <w:tab/>
        <w:t>may remit any case to the warden’s court to be reheard;</w:t>
      </w:r>
    </w:p>
    <w:p>
      <w:pPr>
        <w:pStyle w:val="Indenta"/>
        <w:rPr>
          <w:snapToGrid w:val="0"/>
        </w:rPr>
      </w:pPr>
      <w:r>
        <w:rPr>
          <w:snapToGrid w:val="0"/>
        </w:rPr>
        <w:tab/>
        <w:t>(f)</w:t>
      </w:r>
      <w:r>
        <w:rPr>
          <w:snapToGrid w:val="0"/>
        </w:rPr>
        <w:tab/>
        <w:t>may make any order or give any direction consequential upon or necessitated by the order that it may think necessary; and</w:t>
      </w:r>
    </w:p>
    <w:p>
      <w:pPr>
        <w:pStyle w:val="Indenta"/>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796" w:name="_Toc520088066"/>
      <w:bookmarkStart w:id="1797" w:name="_Toc523620701"/>
      <w:bookmarkStart w:id="1798" w:name="_Toc38853854"/>
      <w:bookmarkStart w:id="1799" w:name="_Toc124061231"/>
      <w:bookmarkStart w:id="1800" w:name="_Toc188695511"/>
      <w:bookmarkStart w:id="1801" w:name="_Toc187053450"/>
      <w:r>
        <w:rPr>
          <w:rStyle w:val="CharSectno"/>
        </w:rPr>
        <w:t>150</w:t>
      </w:r>
      <w:r>
        <w:rPr>
          <w:snapToGrid w:val="0"/>
        </w:rPr>
        <w:t>.</w:t>
      </w:r>
      <w:r>
        <w:rPr>
          <w:snapToGrid w:val="0"/>
        </w:rPr>
        <w:tab/>
        <w:t>Withdrawal or failure to prosecute appeal</w:t>
      </w:r>
      <w:bookmarkEnd w:id="1796"/>
      <w:bookmarkEnd w:id="1797"/>
      <w:bookmarkEnd w:id="1798"/>
      <w:bookmarkEnd w:id="1799"/>
      <w:bookmarkEnd w:id="1800"/>
      <w:bookmarkEnd w:id="1801"/>
      <w:r>
        <w:rPr>
          <w:snapToGrid w:val="0"/>
        </w:rPr>
        <w:t xml:space="preserve"> </w:t>
      </w:r>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802" w:name="_Toc520088067"/>
      <w:bookmarkStart w:id="1803" w:name="_Toc523620702"/>
      <w:bookmarkStart w:id="1804" w:name="_Toc38853855"/>
      <w:bookmarkStart w:id="1805" w:name="_Toc124061232"/>
      <w:bookmarkStart w:id="1806" w:name="_Toc188695512"/>
      <w:bookmarkStart w:id="1807" w:name="_Toc187053451"/>
      <w:r>
        <w:rPr>
          <w:rStyle w:val="CharSectno"/>
        </w:rPr>
        <w:t>151</w:t>
      </w:r>
      <w:r>
        <w:rPr>
          <w:snapToGrid w:val="0"/>
        </w:rPr>
        <w:t>.</w:t>
      </w:r>
      <w:r>
        <w:rPr>
          <w:snapToGrid w:val="0"/>
        </w:rPr>
        <w:tab/>
        <w:t>Limitation of right of appeal</w:t>
      </w:r>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 xml:space="preserve">[Section 151 amended by No. 58 of 1994 s. 49; No. 39 of 2004 s. 80.] </w:t>
      </w:r>
    </w:p>
    <w:p>
      <w:pPr>
        <w:pStyle w:val="Heading2"/>
      </w:pPr>
      <w:bookmarkStart w:id="1808" w:name="_Toc87427743"/>
      <w:bookmarkStart w:id="1809" w:name="_Toc87851318"/>
      <w:bookmarkStart w:id="1810" w:name="_Toc88295541"/>
      <w:bookmarkStart w:id="1811" w:name="_Toc89519200"/>
      <w:bookmarkStart w:id="1812" w:name="_Toc90869325"/>
      <w:bookmarkStart w:id="1813" w:name="_Toc91408097"/>
      <w:bookmarkStart w:id="1814" w:name="_Toc92863841"/>
      <w:bookmarkStart w:id="1815" w:name="_Toc95015209"/>
      <w:bookmarkStart w:id="1816" w:name="_Toc95106916"/>
      <w:bookmarkStart w:id="1817" w:name="_Toc97018716"/>
      <w:bookmarkStart w:id="1818" w:name="_Toc101693671"/>
      <w:bookmarkStart w:id="1819" w:name="_Toc103130538"/>
      <w:bookmarkStart w:id="1820" w:name="_Toc104711188"/>
      <w:bookmarkStart w:id="1821" w:name="_Toc121560173"/>
      <w:bookmarkStart w:id="1822" w:name="_Toc122328614"/>
      <w:bookmarkStart w:id="1823" w:name="_Toc124061233"/>
      <w:bookmarkStart w:id="1824" w:name="_Toc124140088"/>
      <w:bookmarkStart w:id="1825" w:name="_Toc127174855"/>
      <w:bookmarkStart w:id="1826" w:name="_Toc127349212"/>
      <w:bookmarkStart w:id="1827" w:name="_Toc127762394"/>
      <w:bookmarkStart w:id="1828" w:name="_Toc127842456"/>
      <w:bookmarkStart w:id="1829" w:name="_Toc128380067"/>
      <w:bookmarkStart w:id="1830" w:name="_Toc130106683"/>
      <w:bookmarkStart w:id="1831" w:name="_Toc130106963"/>
      <w:bookmarkStart w:id="1832" w:name="_Toc130110860"/>
      <w:bookmarkStart w:id="1833" w:name="_Toc130277071"/>
      <w:bookmarkStart w:id="1834" w:name="_Toc131408596"/>
      <w:bookmarkStart w:id="1835" w:name="_Toc132530363"/>
      <w:bookmarkStart w:id="1836" w:name="_Toc142194420"/>
      <w:bookmarkStart w:id="1837" w:name="_Toc162778505"/>
      <w:bookmarkStart w:id="1838" w:name="_Toc162841089"/>
      <w:bookmarkStart w:id="1839" w:name="_Toc162932923"/>
      <w:bookmarkStart w:id="1840" w:name="_Toc187053452"/>
      <w:bookmarkStart w:id="1841" w:name="_Toc188695513"/>
      <w:r>
        <w:rPr>
          <w:rStyle w:val="CharPartNo"/>
        </w:rPr>
        <w:t>Part IX</w:t>
      </w:r>
      <w:r>
        <w:rPr>
          <w:rStyle w:val="CharDivNo"/>
        </w:rPr>
        <w:t> </w:t>
      </w:r>
      <w:r>
        <w:t>—</w:t>
      </w:r>
      <w:r>
        <w:rPr>
          <w:rStyle w:val="CharDivText"/>
        </w:rPr>
        <w:t> </w:t>
      </w:r>
      <w:r>
        <w:rPr>
          <w:rStyle w:val="CharPartText"/>
        </w:rPr>
        <w:t>Miscellaneous and regulations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r>
        <w:rPr>
          <w:rStyle w:val="CharPartText"/>
        </w:rPr>
        <w:t xml:space="preserve"> </w:t>
      </w:r>
    </w:p>
    <w:p>
      <w:pPr>
        <w:pStyle w:val="Heading5"/>
        <w:rPr>
          <w:snapToGrid w:val="0"/>
        </w:rPr>
      </w:pPr>
      <w:bookmarkStart w:id="1842" w:name="_Toc520088068"/>
      <w:bookmarkStart w:id="1843" w:name="_Toc523620703"/>
      <w:bookmarkStart w:id="1844" w:name="_Toc38853856"/>
      <w:bookmarkStart w:id="1845" w:name="_Toc124061234"/>
      <w:bookmarkStart w:id="1846" w:name="_Toc188695514"/>
      <w:bookmarkStart w:id="1847" w:name="_Toc187053453"/>
      <w:r>
        <w:rPr>
          <w:rStyle w:val="CharSectno"/>
        </w:rPr>
        <w:t>152</w:t>
      </w:r>
      <w:r>
        <w:rPr>
          <w:snapToGrid w:val="0"/>
        </w:rPr>
        <w:t>.</w:t>
      </w:r>
      <w:r>
        <w:rPr>
          <w:snapToGrid w:val="0"/>
        </w:rPr>
        <w:tab/>
        <w:t>Police to assist warden</w:t>
      </w:r>
      <w:bookmarkEnd w:id="1842"/>
      <w:bookmarkEnd w:id="1843"/>
      <w:bookmarkEnd w:id="1844"/>
      <w:bookmarkEnd w:id="1845"/>
      <w:bookmarkEnd w:id="1846"/>
      <w:bookmarkEnd w:id="1847"/>
      <w:r>
        <w:rPr>
          <w:snapToGrid w:val="0"/>
        </w:rPr>
        <w:t xml:space="preserve"> </w:t>
      </w:r>
    </w:p>
    <w:p>
      <w:pPr>
        <w:pStyle w:val="Subsection"/>
        <w:rPr>
          <w:snapToGrid w:val="0"/>
        </w:rPr>
      </w:pPr>
      <w:r>
        <w:rPr>
          <w:snapToGrid w:val="0"/>
        </w:rPr>
        <w:tab/>
      </w:r>
      <w:r>
        <w:rPr>
          <w:snapToGrid w:val="0"/>
        </w:rPr>
        <w:tab/>
        <w:t xml:space="preserve">All members of the Police Force of the State shall, when required by the warden so to do, act in aid of the warden in the exercise and discharge by him of his powers, functions and duties under this Act. </w:t>
      </w:r>
    </w:p>
    <w:p>
      <w:pPr>
        <w:pStyle w:val="Heading5"/>
        <w:rPr>
          <w:snapToGrid w:val="0"/>
        </w:rPr>
      </w:pPr>
      <w:bookmarkStart w:id="1848" w:name="_Toc520088069"/>
      <w:bookmarkStart w:id="1849" w:name="_Toc523620704"/>
      <w:bookmarkStart w:id="1850" w:name="_Toc38853857"/>
      <w:bookmarkStart w:id="1851" w:name="_Toc124061235"/>
      <w:bookmarkStart w:id="1852" w:name="_Toc188695515"/>
      <w:bookmarkStart w:id="1853" w:name="_Toc187053454"/>
      <w:r>
        <w:rPr>
          <w:rStyle w:val="CharSectno"/>
        </w:rPr>
        <w:t>153</w:t>
      </w:r>
      <w:r>
        <w:rPr>
          <w:snapToGrid w:val="0"/>
        </w:rPr>
        <w:t>.</w:t>
      </w:r>
      <w:r>
        <w:rPr>
          <w:snapToGrid w:val="0"/>
        </w:rPr>
        <w:tab/>
        <w:t>Minor capable of being sued and of suing</w:t>
      </w:r>
      <w:bookmarkEnd w:id="1848"/>
      <w:bookmarkEnd w:id="1849"/>
      <w:bookmarkEnd w:id="1850"/>
      <w:bookmarkEnd w:id="1851"/>
      <w:bookmarkEnd w:id="1852"/>
      <w:bookmarkEnd w:id="1853"/>
      <w:r>
        <w:rPr>
          <w:snapToGrid w:val="0"/>
        </w:rPr>
        <w:t xml:space="preserve"> </w:t>
      </w:r>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1854" w:name="_Toc520088070"/>
      <w:bookmarkStart w:id="1855" w:name="_Toc523620705"/>
      <w:bookmarkStart w:id="1856" w:name="_Toc38853858"/>
      <w:bookmarkStart w:id="1857" w:name="_Toc124061236"/>
      <w:bookmarkStart w:id="1858" w:name="_Toc188695516"/>
      <w:bookmarkStart w:id="1859" w:name="_Toc187053455"/>
      <w:r>
        <w:rPr>
          <w:rStyle w:val="CharSectno"/>
        </w:rPr>
        <w:t>154</w:t>
      </w:r>
      <w:r>
        <w:rPr>
          <w:snapToGrid w:val="0"/>
        </w:rPr>
        <w:t>.</w:t>
      </w:r>
      <w:r>
        <w:rPr>
          <w:snapToGrid w:val="0"/>
        </w:rPr>
        <w:tab/>
        <w:t>General penalty</w:t>
      </w:r>
      <w:bookmarkEnd w:id="1854"/>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 xml:space="preserve">[Section 154 amended by No. 100 of 1985 s. 106; No. 22 of 1990 s. 38; No. 78 of 1995 s. 147; No. 15 of 2002 s. 28.] </w:t>
      </w:r>
    </w:p>
    <w:p>
      <w:pPr>
        <w:pStyle w:val="Heading5"/>
        <w:rPr>
          <w:snapToGrid w:val="0"/>
        </w:rPr>
      </w:pPr>
      <w:bookmarkStart w:id="1860" w:name="_Toc520088071"/>
      <w:bookmarkStart w:id="1861" w:name="_Toc523620706"/>
      <w:bookmarkStart w:id="1862" w:name="_Toc38853859"/>
      <w:bookmarkStart w:id="1863" w:name="_Toc124061237"/>
      <w:bookmarkStart w:id="1864" w:name="_Toc188695517"/>
      <w:bookmarkStart w:id="1865" w:name="_Toc187053456"/>
      <w:r>
        <w:rPr>
          <w:rStyle w:val="CharSectno"/>
        </w:rPr>
        <w:t>155</w:t>
      </w:r>
      <w:r>
        <w:rPr>
          <w:snapToGrid w:val="0"/>
        </w:rPr>
        <w:t>.</w:t>
      </w:r>
      <w:r>
        <w:rPr>
          <w:snapToGrid w:val="0"/>
        </w:rPr>
        <w:tab/>
        <w:t>Offence of mining without authority</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spacing w:before="200"/>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 xml:space="preserve">[Section 155 amended by No. 100 of 1985 s. 107; No. 105 of 1986 s. 23; No. 22 of 1990 s. 38; No. 78 of 1995 s. 147; No. 15 of 2002 s. 28.] </w:t>
      </w:r>
    </w:p>
    <w:p>
      <w:pPr>
        <w:pStyle w:val="Heading5"/>
        <w:spacing w:before="260"/>
        <w:rPr>
          <w:snapToGrid w:val="0"/>
        </w:rPr>
      </w:pPr>
      <w:bookmarkStart w:id="1866" w:name="_Toc520088072"/>
      <w:bookmarkStart w:id="1867" w:name="_Toc523620707"/>
      <w:bookmarkStart w:id="1868" w:name="_Toc38853860"/>
      <w:bookmarkStart w:id="1869" w:name="_Toc124061238"/>
      <w:bookmarkStart w:id="1870" w:name="_Toc188695518"/>
      <w:bookmarkStart w:id="1871" w:name="_Toc187053457"/>
      <w:r>
        <w:rPr>
          <w:rStyle w:val="CharSectno"/>
        </w:rPr>
        <w:t>155A</w:t>
      </w:r>
      <w:r>
        <w:rPr>
          <w:snapToGrid w:val="0"/>
        </w:rPr>
        <w:t>.</w:t>
      </w:r>
      <w:r>
        <w:rPr>
          <w:snapToGrid w:val="0"/>
        </w:rPr>
        <w:tab/>
        <w:t>Aerial survey work</w:t>
      </w:r>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 xml:space="preserve">[Section 155A inserted by No. 58 of 1994 s. 50.] </w:t>
      </w:r>
    </w:p>
    <w:p>
      <w:pPr>
        <w:pStyle w:val="Heading5"/>
        <w:spacing w:before="260"/>
        <w:rPr>
          <w:snapToGrid w:val="0"/>
        </w:rPr>
      </w:pPr>
      <w:bookmarkStart w:id="1872" w:name="_Toc520088073"/>
      <w:bookmarkStart w:id="1873" w:name="_Toc523620708"/>
      <w:bookmarkStart w:id="1874" w:name="_Toc38853861"/>
      <w:bookmarkStart w:id="1875" w:name="_Toc124061239"/>
      <w:bookmarkStart w:id="1876" w:name="_Toc188695519"/>
      <w:bookmarkStart w:id="1877" w:name="_Toc187053458"/>
      <w:r>
        <w:rPr>
          <w:rStyle w:val="CharSectno"/>
        </w:rPr>
        <w:t>156</w:t>
      </w:r>
      <w:r>
        <w:rPr>
          <w:snapToGrid w:val="0"/>
        </w:rPr>
        <w:t>.</w:t>
      </w:r>
      <w:r>
        <w:rPr>
          <w:snapToGrid w:val="0"/>
        </w:rPr>
        <w:tab/>
        <w:t>Offences</w:t>
      </w:r>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rPr>
          <w:snapToGrid w:val="0"/>
        </w:rPr>
      </w:pPr>
      <w:r>
        <w:rPr>
          <w:snapToGrid w:val="0"/>
        </w:rPr>
        <w:tab/>
        <w:t>(b)</w:t>
      </w:r>
      <w:r>
        <w:rPr>
          <w:snapToGrid w:val="0"/>
        </w:rPr>
        <w:tab/>
        <w:t>assaults, obstructs, resists or insults —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 xml:space="preserve">[Section 156 amended by No. 122 of 1982 s. 28; No. 100 of 1985 s. 108; No. 63 of 2000 s. 6; No. 39 of 2004 s. 81.] </w:t>
      </w:r>
    </w:p>
    <w:p>
      <w:pPr>
        <w:pStyle w:val="Heading5"/>
        <w:rPr>
          <w:snapToGrid w:val="0"/>
        </w:rPr>
      </w:pPr>
      <w:bookmarkStart w:id="1878" w:name="_Toc520088074"/>
      <w:bookmarkStart w:id="1879" w:name="_Toc523620709"/>
      <w:bookmarkStart w:id="1880" w:name="_Toc38853862"/>
      <w:bookmarkStart w:id="1881" w:name="_Toc124061240"/>
      <w:bookmarkStart w:id="1882" w:name="_Toc188695520"/>
      <w:bookmarkStart w:id="1883" w:name="_Toc187053459"/>
      <w:r>
        <w:rPr>
          <w:rStyle w:val="CharSectno"/>
        </w:rPr>
        <w:t>157</w:t>
      </w:r>
      <w:r>
        <w:rPr>
          <w:snapToGrid w:val="0"/>
        </w:rPr>
        <w:t>.</w:t>
      </w:r>
      <w:r>
        <w:rPr>
          <w:snapToGrid w:val="0"/>
        </w:rPr>
        <w:tab/>
        <w:t>Obstruction of persons authorised to mine under this Act</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 xml:space="preserve">[Section 157 amended by No. 22 of 1990 s. 38; No. 15 of 2002 s. 28.] </w:t>
      </w:r>
    </w:p>
    <w:p>
      <w:pPr>
        <w:pStyle w:val="Heading5"/>
        <w:rPr>
          <w:snapToGrid w:val="0"/>
        </w:rPr>
      </w:pPr>
      <w:bookmarkStart w:id="1884" w:name="_Toc520088075"/>
      <w:bookmarkStart w:id="1885" w:name="_Toc523620710"/>
      <w:bookmarkStart w:id="1886" w:name="_Toc38853863"/>
      <w:bookmarkStart w:id="1887" w:name="_Toc124061241"/>
      <w:bookmarkStart w:id="1888" w:name="_Toc188695521"/>
      <w:bookmarkStart w:id="1889" w:name="_Toc187053460"/>
      <w:r>
        <w:rPr>
          <w:rStyle w:val="CharSectno"/>
        </w:rPr>
        <w:t>158</w:t>
      </w:r>
      <w:r>
        <w:rPr>
          <w:snapToGrid w:val="0"/>
        </w:rPr>
        <w:t>.</w:t>
      </w:r>
      <w:r>
        <w:rPr>
          <w:snapToGrid w:val="0"/>
        </w:rPr>
        <w:tab/>
        <w:t>Power to require information as to right to mine</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 xml:space="preserve">[Section 158 inserted by No. 105 of 1986 s. 24; amended by No. 22 of 1990 s. 38.] </w:t>
      </w:r>
    </w:p>
    <w:p>
      <w:pPr>
        <w:pStyle w:val="Heading5"/>
        <w:rPr>
          <w:snapToGrid w:val="0"/>
        </w:rPr>
      </w:pPr>
      <w:bookmarkStart w:id="1890" w:name="_Toc520088076"/>
      <w:bookmarkStart w:id="1891" w:name="_Toc523620711"/>
      <w:bookmarkStart w:id="1892" w:name="_Toc38853864"/>
      <w:bookmarkStart w:id="1893" w:name="_Toc124061242"/>
      <w:bookmarkStart w:id="1894" w:name="_Toc188695522"/>
      <w:bookmarkStart w:id="1895" w:name="_Toc187053461"/>
      <w:r>
        <w:rPr>
          <w:rStyle w:val="CharSectno"/>
        </w:rPr>
        <w:t>159</w:t>
      </w:r>
      <w:r>
        <w:rPr>
          <w:snapToGrid w:val="0"/>
        </w:rPr>
        <w:t>.</w:t>
      </w:r>
      <w:r>
        <w:rPr>
          <w:snapToGrid w:val="0"/>
        </w:rPr>
        <w:tab/>
        <w:t>Disputes between licensees and other persons</w:t>
      </w:r>
      <w:bookmarkEnd w:id="1890"/>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 xml:space="preserve">Where a dispute arises between a licensee or permittee under the </w:t>
      </w:r>
      <w:r>
        <w:rPr>
          <w:i/>
          <w:iCs/>
        </w:rPr>
        <w:t>Petroleum</w:t>
      </w:r>
      <w:ins w:id="1896" w:author="svcMRProcess" w:date="2020-02-19T00:00:00Z">
        <w:r>
          <w:rPr>
            <w:i/>
            <w:iCs/>
          </w:rPr>
          <w:t xml:space="preserve"> and Geothermal Energy Resources</w:t>
        </w:r>
      </w:ins>
      <w:r>
        <w:rPr>
          <w:i/>
          <w:iCs/>
        </w:rPr>
        <w:t xml:space="preserve">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rPr>
          <w:ins w:id="1897" w:author="svcMRProcess" w:date="2020-02-19T00:00:00Z"/>
        </w:rPr>
      </w:pPr>
      <w:ins w:id="1898" w:author="svcMRProcess" w:date="2020-02-19T00:00:00Z">
        <w:r>
          <w:tab/>
          <w:t>(4)</w:t>
        </w:r>
        <w:r>
          <w:tab/>
          <w:t xml:space="preserve">In this section — </w:t>
        </w:r>
      </w:ins>
    </w:p>
    <w:p>
      <w:pPr>
        <w:pStyle w:val="Indenta"/>
        <w:rPr>
          <w:ins w:id="1899" w:author="svcMRProcess" w:date="2020-02-19T00:00:00Z"/>
        </w:rPr>
      </w:pPr>
      <w:ins w:id="1900" w:author="svcMRProcess" w:date="2020-02-19T00:00:00Z">
        <w:r>
          <w:tab/>
          <w:t>(a)</w:t>
        </w:r>
        <w:r>
          <w:tab/>
          <w:t>a reference to a licence or permit includes a reference to a drilling reservation or lease; and</w:t>
        </w:r>
      </w:ins>
    </w:p>
    <w:p>
      <w:pPr>
        <w:pStyle w:val="Indenta"/>
        <w:rPr>
          <w:ins w:id="1901" w:author="svcMRProcess" w:date="2020-02-19T00:00:00Z"/>
        </w:rPr>
      </w:pPr>
      <w:ins w:id="1902" w:author="svcMRProcess" w:date="2020-02-19T00:00:00Z">
        <w:r>
          <w:tab/>
          <w:t>(b)</w:t>
        </w:r>
        <w:r>
          <w:tab/>
          <w:t>a reference to a licensee or permittee includes a reference to the registered holder of a drilling reservation or lease.</w:t>
        </w:r>
      </w:ins>
    </w:p>
    <w:p>
      <w:pPr>
        <w:pStyle w:val="Footnotesection"/>
        <w:rPr>
          <w:ins w:id="1903" w:author="svcMRProcess" w:date="2020-02-19T00:00:00Z"/>
        </w:rPr>
      </w:pPr>
      <w:ins w:id="1904" w:author="svcMRProcess" w:date="2020-02-19T00:00:00Z">
        <w:r>
          <w:tab/>
          <w:t>[Section 159 amended by No. 35 of 2007 s. 100(5) and (6).]</w:t>
        </w:r>
      </w:ins>
    </w:p>
    <w:p>
      <w:pPr>
        <w:pStyle w:val="Heading5"/>
        <w:rPr>
          <w:snapToGrid w:val="0"/>
        </w:rPr>
      </w:pPr>
      <w:bookmarkStart w:id="1905" w:name="_Toc520088077"/>
      <w:bookmarkStart w:id="1906" w:name="_Toc523620712"/>
      <w:bookmarkStart w:id="1907" w:name="_Toc38853865"/>
      <w:bookmarkStart w:id="1908" w:name="_Toc124061243"/>
      <w:bookmarkStart w:id="1909" w:name="_Toc188695523"/>
      <w:bookmarkStart w:id="1910" w:name="_Toc187053462"/>
      <w:r>
        <w:rPr>
          <w:rStyle w:val="CharSectno"/>
        </w:rPr>
        <w:t>160</w:t>
      </w:r>
      <w:r>
        <w:rPr>
          <w:snapToGrid w:val="0"/>
        </w:rPr>
        <w:t>.</w:t>
      </w:r>
      <w:r>
        <w:rPr>
          <w:snapToGrid w:val="0"/>
        </w:rPr>
        <w:tab/>
        <w:t>Saving of civil remedies</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rPr>
          <w:snapToGrid w:val="0"/>
        </w:rPr>
      </w:pPr>
      <w:bookmarkStart w:id="1911" w:name="_Toc520088078"/>
      <w:bookmarkStart w:id="1912" w:name="_Toc523620713"/>
      <w:bookmarkStart w:id="1913" w:name="_Toc38853866"/>
      <w:bookmarkStart w:id="1914" w:name="_Toc124061244"/>
      <w:bookmarkStart w:id="1915" w:name="_Toc188695524"/>
      <w:bookmarkStart w:id="1916" w:name="_Toc187053463"/>
      <w:r>
        <w:rPr>
          <w:rStyle w:val="CharSectno"/>
        </w:rPr>
        <w:t>160A</w:t>
      </w:r>
      <w:r>
        <w:rPr>
          <w:snapToGrid w:val="0"/>
        </w:rPr>
        <w:t>.</w:t>
      </w:r>
      <w:r>
        <w:rPr>
          <w:snapToGrid w:val="0"/>
        </w:rPr>
        <w:tab/>
        <w:t>Immunity of Minister and officials</w:t>
      </w:r>
      <w:bookmarkEnd w:id="1911"/>
      <w:bookmarkEnd w:id="1912"/>
      <w:bookmarkEnd w:id="1913"/>
      <w:bookmarkEnd w:id="1914"/>
      <w:bookmarkEnd w:id="1915"/>
      <w:bookmarkEnd w:id="1916"/>
    </w:p>
    <w:p>
      <w:pPr>
        <w:pStyle w:val="Subsection"/>
        <w:rPr>
          <w:snapToGrid w:val="0"/>
        </w:rPr>
      </w:pPr>
      <w:r>
        <w:rPr>
          <w:snapToGrid w:val="0"/>
        </w:rPr>
        <w:tab/>
      </w:r>
      <w:r>
        <w:rPr>
          <w:snapToGrid w:val="0"/>
        </w:rPr>
        <w:tab/>
        <w:t>No liability shall attach to the Minister, a warden or any official of the Department, any authorised person under this Act or any person acting with the authority or on the direction of the Minister, a warden or the Director General of Mines in good faith and in the exercise or purported exercise of a power or in the discharge or purported discharge of a duty under this Act.</w:t>
      </w:r>
    </w:p>
    <w:p>
      <w:pPr>
        <w:pStyle w:val="Footnotesection"/>
      </w:pPr>
      <w:r>
        <w:tab/>
        <w:t xml:space="preserve">[Section 160A inserted by No. 105 of 1986 s. 25; amended by No. 42 of 1999 s. 8.] </w:t>
      </w:r>
    </w:p>
    <w:p>
      <w:pPr>
        <w:pStyle w:val="Heading5"/>
        <w:rPr>
          <w:snapToGrid w:val="0"/>
        </w:rPr>
      </w:pPr>
      <w:bookmarkStart w:id="1917" w:name="_Toc520088079"/>
      <w:bookmarkStart w:id="1918" w:name="_Toc523620714"/>
      <w:bookmarkStart w:id="1919" w:name="_Toc38853867"/>
      <w:bookmarkStart w:id="1920" w:name="_Toc124061245"/>
      <w:bookmarkStart w:id="1921" w:name="_Toc188695525"/>
      <w:bookmarkStart w:id="1922" w:name="_Toc187053464"/>
      <w:r>
        <w:rPr>
          <w:rStyle w:val="CharSectno"/>
        </w:rPr>
        <w:t>160B</w:t>
      </w:r>
      <w:r>
        <w:rPr>
          <w:snapToGrid w:val="0"/>
        </w:rPr>
        <w:t>.</w:t>
      </w:r>
      <w:r>
        <w:rPr>
          <w:snapToGrid w:val="0"/>
        </w:rPr>
        <w:tab/>
        <w:t>Time limit for prosecution action</w:t>
      </w:r>
      <w:bookmarkEnd w:id="1917"/>
      <w:bookmarkEnd w:id="1918"/>
      <w:bookmarkEnd w:id="1919"/>
      <w:bookmarkEnd w:id="1920"/>
      <w:bookmarkEnd w:id="1921"/>
      <w:bookmarkEnd w:id="1922"/>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 xml:space="preserve">[Section 160B inserted by No. 22 of 1990 s. 37.] </w:t>
      </w:r>
    </w:p>
    <w:p>
      <w:pPr>
        <w:pStyle w:val="Heading5"/>
      </w:pPr>
      <w:bookmarkStart w:id="1923" w:name="_Toc188695526"/>
      <w:bookmarkStart w:id="1924" w:name="_Toc187053465"/>
      <w:bookmarkStart w:id="1925" w:name="_Toc520088080"/>
      <w:bookmarkStart w:id="1926" w:name="_Toc523620715"/>
      <w:bookmarkStart w:id="1927" w:name="_Toc38853868"/>
      <w:bookmarkStart w:id="1928" w:name="_Toc124061246"/>
      <w:r>
        <w:rPr>
          <w:rStyle w:val="CharSectno"/>
        </w:rPr>
        <w:t>160C</w:t>
      </w:r>
      <w:r>
        <w:t>.</w:t>
      </w:r>
      <w:r>
        <w:tab/>
        <w:t>No right of appeal from certain decisions of warden, mining registrar or Minister</w:t>
      </w:r>
      <w:bookmarkEnd w:id="1923"/>
      <w:bookmarkEnd w:id="1924"/>
    </w:p>
    <w:p>
      <w:pPr>
        <w:pStyle w:val="Subsection"/>
      </w:pPr>
      <w:r>
        <w:tab/>
      </w:r>
      <w:r>
        <w:tab/>
        <w:t xml:space="preserve">No appeal lies under this Act — </w:t>
      </w:r>
    </w:p>
    <w:p>
      <w:pPr>
        <w:pStyle w:val="Indenta"/>
      </w:pPr>
      <w:r>
        <w:tab/>
        <w:t>(a)</w:t>
      </w:r>
      <w:r>
        <w:tab/>
        <w:t xml:space="preserve">except as provided in Part IV, in respect of a decision, order or recommendation of a warden or mining registrar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 xml:space="preserve">in respect of a decision or order of the Minister on —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1929" w:name="_Toc188695527"/>
      <w:bookmarkStart w:id="1930" w:name="_Toc187053466"/>
      <w:r>
        <w:rPr>
          <w:rStyle w:val="CharSectno"/>
        </w:rPr>
        <w:t>160D</w:t>
      </w:r>
      <w:r>
        <w:t>.</w:t>
      </w:r>
      <w:r>
        <w:tab/>
        <w:t>Persons before whom affidavit may be sworn</w:t>
      </w:r>
      <w:bookmarkEnd w:id="1929"/>
      <w:bookmarkEnd w:id="1930"/>
    </w:p>
    <w:p>
      <w:pPr>
        <w:pStyle w:val="Subsection"/>
      </w:pPr>
      <w:r>
        <w:tab/>
      </w:r>
      <w:r>
        <w:tab/>
        <w:t xml:space="preserve">An affidavit to be used in a warden’s court or before a warden or a mining registrar may be sworn before —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1931" w:name="_Toc188695528"/>
      <w:bookmarkStart w:id="1932" w:name="_Toc187053467"/>
      <w:r>
        <w:rPr>
          <w:rStyle w:val="CharSectno"/>
        </w:rPr>
        <w:t>161</w:t>
      </w:r>
      <w:r>
        <w:rPr>
          <w:snapToGrid w:val="0"/>
        </w:rPr>
        <w:t>.</w:t>
      </w:r>
      <w:r>
        <w:rPr>
          <w:snapToGrid w:val="0"/>
        </w:rPr>
        <w:tab/>
        <w:t>Evidentiary provisions</w:t>
      </w:r>
      <w:bookmarkEnd w:id="1925"/>
      <w:bookmarkEnd w:id="1926"/>
      <w:bookmarkEnd w:id="1927"/>
      <w:bookmarkEnd w:id="1928"/>
      <w:bookmarkEnd w:id="1931"/>
      <w:bookmarkEnd w:id="1932"/>
      <w:r>
        <w:rPr>
          <w:snapToGrid w:val="0"/>
        </w:rPr>
        <w:t xml:space="preserve"> </w:t>
      </w:r>
    </w:p>
    <w:p>
      <w:pPr>
        <w:pStyle w:val="Subsection"/>
        <w:rPr>
          <w:snapToGrid w:val="0"/>
        </w:rPr>
      </w:pPr>
      <w:r>
        <w:rPr>
          <w:snapToGrid w:val="0"/>
        </w:rPr>
        <w:tab/>
        <w:t>(1)</w:t>
      </w:r>
      <w:r>
        <w:rPr>
          <w:snapToGrid w:val="0"/>
        </w:rPr>
        <w:tab/>
        <w:t>In any proceedings for an offence against this Act, an averment in the charge that any land referred to therein is land —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 xml:space="preserve">In any proceedings — </w:t>
      </w:r>
    </w:p>
    <w:p>
      <w:pPr>
        <w:pStyle w:val="Indenta"/>
      </w:pPr>
      <w:r>
        <w:tab/>
        <w:t>(a)</w:t>
      </w:r>
      <w:r>
        <w:tab/>
        <w:t xml:space="preserve">a document purporting to be a copy of a judgment, order or decision of a warden or a warden’s court, or of a document filed or lodged in proceedings under this Act, and purporting to be certified by —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 xml:space="preserve">[Section 161 amended by No. 122 of 1982 s. 29; No. 37 of 1993 s. 23; No. 54 of 1996 s. 21; No. 5 of 1997 s. 41(2); No. 39 of 2004 s. 83; No. 84 of 2004 s. 80.] </w:t>
      </w:r>
    </w:p>
    <w:p>
      <w:pPr>
        <w:pStyle w:val="Heading5"/>
        <w:rPr>
          <w:snapToGrid w:val="0"/>
        </w:rPr>
      </w:pPr>
      <w:bookmarkStart w:id="1933" w:name="_Toc520088081"/>
      <w:bookmarkStart w:id="1934" w:name="_Toc523620716"/>
      <w:bookmarkStart w:id="1935" w:name="_Toc38853869"/>
      <w:bookmarkStart w:id="1936" w:name="_Toc124061247"/>
      <w:bookmarkStart w:id="1937" w:name="_Toc188695529"/>
      <w:bookmarkStart w:id="1938" w:name="_Toc187053468"/>
      <w:r>
        <w:rPr>
          <w:rStyle w:val="CharSectno"/>
        </w:rPr>
        <w:t>162</w:t>
      </w:r>
      <w:r>
        <w:rPr>
          <w:snapToGrid w:val="0"/>
        </w:rPr>
        <w:t>.</w:t>
      </w:r>
      <w:r>
        <w:rPr>
          <w:snapToGrid w:val="0"/>
        </w:rPr>
        <w:tab/>
        <w:t>Regulations</w:t>
      </w:r>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 </w:t>
      </w:r>
    </w:p>
    <w:p>
      <w:pPr>
        <w:pStyle w:val="Indenti"/>
        <w:rPr>
          <w:snapToGrid w:val="0"/>
        </w:rPr>
      </w:pPr>
      <w:r>
        <w:rPr>
          <w:snapToGrid w:val="0"/>
        </w:rPr>
        <w:tab/>
        <w:t>(i)</w:t>
      </w:r>
      <w:r>
        <w:rPr>
          <w:snapToGrid w:val="0"/>
        </w:rPr>
        <w:tab/>
        <w:t xml:space="preserve">requiring that surveying to be carried out by a surveyor (in this paragraph referred to as </w:t>
      </w:r>
      <w:r>
        <w:rPr>
          <w:b/>
          <w:snapToGrid w:val="0"/>
        </w:rPr>
        <w:t>“</w:t>
      </w:r>
      <w:r>
        <w:rPr>
          <w:rStyle w:val="CharDefText"/>
        </w:rPr>
        <w:t>the approved surveyor</w:t>
      </w:r>
      <w:r>
        <w:rPr>
          <w:b/>
          <w:snapToGrid w:val="0"/>
        </w:rPr>
        <w:t>”</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by </w:t>
      </w:r>
      <w:r>
        <w:t xml:space="preserve">legal costs determination (as defined in the </w:t>
      </w:r>
      <w:r>
        <w:rPr>
          <w:i/>
        </w:rPr>
        <w:t>Legal Practice Act 2003</w:t>
      </w:r>
      <w:r>
        <w:t xml:space="preserve">)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b/>
        </w:rPr>
        <w:t>“</w:t>
      </w:r>
      <w:r>
        <w:rPr>
          <w:rStyle w:val="CharDefText"/>
        </w:rPr>
        <w:t>Part IV proceedings</w:t>
      </w:r>
      <w:r>
        <w:rPr>
          <w:b/>
        </w:rPr>
        <w:t>”</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 xml:space="preserve">Subsection (2)(x) applies to information irrespective of when —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 xml:space="preserve">[Section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w:t>
      </w:r>
    </w:p>
    <w:p>
      <w:pPr>
        <w:pStyle w:val="Heading5"/>
      </w:pPr>
      <w:bookmarkStart w:id="1939" w:name="_Toc188695530"/>
      <w:bookmarkStart w:id="1940" w:name="_Toc187053469"/>
      <w:r>
        <w:rPr>
          <w:rStyle w:val="CharSectno"/>
        </w:rPr>
        <w:t>163</w:t>
      </w:r>
      <w:r>
        <w:t>.</w:t>
      </w:r>
      <w:r>
        <w:tab/>
        <w:t>Review of Act</w:t>
      </w:r>
      <w:bookmarkEnd w:id="1939"/>
      <w:bookmarkEnd w:id="1940"/>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 xml:space="preserve">[First Schedule omitted under the Reprints Act 1984 s. 7(4)(e).]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941" w:name="_Toc38853870"/>
      <w:bookmarkStart w:id="1942" w:name="_Toc121560188"/>
      <w:bookmarkStart w:id="1943" w:name="_Toc124061248"/>
      <w:bookmarkStart w:id="1944" w:name="_Toc124140103"/>
      <w:bookmarkStart w:id="1945" w:name="_Toc127174871"/>
      <w:bookmarkStart w:id="1946" w:name="_Toc127349228"/>
      <w:bookmarkStart w:id="1947" w:name="_Toc127762410"/>
      <w:bookmarkStart w:id="1948" w:name="_Toc127842472"/>
      <w:bookmarkStart w:id="1949" w:name="_Toc128380083"/>
      <w:bookmarkStart w:id="1950" w:name="_Toc130106699"/>
      <w:bookmarkStart w:id="1951" w:name="_Toc130106979"/>
      <w:bookmarkStart w:id="1952" w:name="_Toc130110876"/>
      <w:bookmarkStart w:id="1953" w:name="_Toc130277087"/>
      <w:bookmarkStart w:id="1954" w:name="_Toc131408612"/>
      <w:bookmarkStart w:id="1955" w:name="_Toc132530379"/>
      <w:bookmarkStart w:id="1956" w:name="_Toc142194436"/>
      <w:bookmarkStart w:id="1957" w:name="_Toc162778521"/>
      <w:bookmarkStart w:id="1958" w:name="_Toc162841107"/>
      <w:bookmarkStart w:id="1959" w:name="_Toc162932941"/>
      <w:bookmarkStart w:id="1960" w:name="_Toc187053470"/>
      <w:bookmarkStart w:id="1961" w:name="_Toc188695531"/>
      <w:r>
        <w:rPr>
          <w:rStyle w:val="CharSchNo"/>
        </w:rPr>
        <w:t>Second Schedule</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yShoulderClause"/>
        <w:rPr>
          <w:snapToGrid w:val="0"/>
        </w:rPr>
      </w:pPr>
      <w:r>
        <w:rPr>
          <w:snapToGrid w:val="0"/>
        </w:rPr>
        <w:t>[s. 4]</w:t>
      </w:r>
    </w:p>
    <w:p>
      <w:pPr>
        <w:pStyle w:val="yHeading2"/>
        <w:outlineLvl w:val="0"/>
      </w:pPr>
      <w:bookmarkStart w:id="1962" w:name="_Toc130277088"/>
      <w:bookmarkStart w:id="1963" w:name="_Toc131408613"/>
      <w:bookmarkStart w:id="1964" w:name="_Toc132530380"/>
      <w:bookmarkStart w:id="1965" w:name="_Toc142194437"/>
      <w:bookmarkStart w:id="1966" w:name="_Toc162778522"/>
      <w:bookmarkStart w:id="1967" w:name="_Toc162841108"/>
      <w:bookmarkStart w:id="1968" w:name="_Toc162932942"/>
      <w:bookmarkStart w:id="1969" w:name="_Toc187053471"/>
      <w:bookmarkStart w:id="1970" w:name="_Toc188695532"/>
      <w:r>
        <w:rPr>
          <w:rStyle w:val="CharSchText"/>
        </w:rPr>
        <w:t>Transitional provisions</w:t>
      </w:r>
      <w:bookmarkEnd w:id="1962"/>
      <w:bookmarkEnd w:id="1963"/>
      <w:bookmarkEnd w:id="1964"/>
      <w:bookmarkEnd w:id="1965"/>
      <w:bookmarkEnd w:id="1966"/>
      <w:bookmarkEnd w:id="1967"/>
      <w:bookmarkEnd w:id="1968"/>
      <w:bookmarkEnd w:id="1969"/>
      <w:bookmarkEnd w:id="1970"/>
    </w:p>
    <w:p>
      <w:pPr>
        <w:pStyle w:val="yFootnoteheading"/>
        <w:rPr>
          <w:snapToGrid w:val="0"/>
        </w:rPr>
      </w:pPr>
      <w:r>
        <w:rPr>
          <w:snapToGrid w:val="0"/>
        </w:rPr>
        <w:tab/>
        <w:t>[Heading inserted by No. 69 of 1981 s. 29.]</w:t>
      </w:r>
    </w:p>
    <w:p>
      <w:pPr>
        <w:pStyle w:val="yHeading5"/>
        <w:outlineLvl w:val="9"/>
        <w:rPr>
          <w:snapToGrid w:val="0"/>
        </w:rPr>
      </w:pPr>
      <w:bookmarkStart w:id="1971" w:name="_Toc523620717"/>
      <w:bookmarkStart w:id="1972" w:name="_Toc38853871"/>
      <w:bookmarkStart w:id="1973" w:name="_Toc124061249"/>
      <w:bookmarkStart w:id="1974" w:name="_Toc188695533"/>
      <w:bookmarkStart w:id="1975" w:name="_Toc187053472"/>
      <w:r>
        <w:rPr>
          <w:rStyle w:val="CharSClsNo"/>
        </w:rPr>
        <w:t>1</w:t>
      </w:r>
      <w:r>
        <w:rPr>
          <w:snapToGrid w:val="0"/>
        </w:rPr>
        <w:t>.</w:t>
      </w:r>
      <w:r>
        <w:rPr>
          <w:snapToGrid w:val="0"/>
        </w:rPr>
        <w:tab/>
        <w:t>Continuation of certain temporary reserves and rights of occupancy</w:t>
      </w:r>
      <w:bookmarkEnd w:id="1971"/>
      <w:bookmarkEnd w:id="1972"/>
      <w:bookmarkEnd w:id="1973"/>
      <w:bookmarkEnd w:id="1974"/>
      <w:bookmarkEnd w:id="1975"/>
      <w:r>
        <w:rPr>
          <w:snapToGrid w:val="0"/>
        </w:rPr>
        <w:t xml:space="preserve"> </w:t>
      </w:r>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spacing w:before="260"/>
        <w:outlineLvl w:val="9"/>
        <w:rPr>
          <w:snapToGrid w:val="0"/>
        </w:rPr>
      </w:pPr>
      <w:bookmarkStart w:id="1976" w:name="_Toc523620718"/>
      <w:bookmarkStart w:id="1977" w:name="_Toc38853872"/>
      <w:bookmarkStart w:id="1978" w:name="_Toc124061250"/>
      <w:bookmarkStart w:id="1979" w:name="_Toc188695534"/>
      <w:bookmarkStart w:id="1980" w:name="_Toc187053473"/>
      <w:r>
        <w:rPr>
          <w:rStyle w:val="CharSClsNo"/>
        </w:rPr>
        <w:t>2</w:t>
      </w:r>
      <w:r>
        <w:rPr>
          <w:snapToGrid w:val="0"/>
        </w:rPr>
        <w:t>.</w:t>
      </w:r>
      <w:r>
        <w:rPr>
          <w:snapToGrid w:val="0"/>
        </w:rPr>
        <w:tab/>
        <w:t>Certain gold mining leases, coal mining leases and mineral leases to become mining leases</w:t>
      </w:r>
      <w:bookmarkEnd w:id="1976"/>
      <w:bookmarkEnd w:id="1977"/>
      <w:bookmarkEnd w:id="1978"/>
      <w:bookmarkEnd w:id="1979"/>
      <w:bookmarkEnd w:id="1980"/>
      <w:r>
        <w:rPr>
          <w:snapToGrid w:val="0"/>
        </w:rPr>
        <w:t xml:space="preserve"> </w:t>
      </w:r>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1981" w:name="_Toc523620719"/>
      <w:bookmarkStart w:id="1982" w:name="_Toc38853873"/>
      <w:bookmarkStart w:id="1983" w:name="_Toc124061251"/>
      <w:r>
        <w:tab/>
        <w:t>[Clause 2 inserted by No. 69 of 1981 s. 29; amended by No. 100 of 1985 s. 110(a); amended in Gazette 18 Dec 1981 p. 5274; 16 Jul 1982 p. 2829.]</w:t>
      </w:r>
    </w:p>
    <w:p>
      <w:pPr>
        <w:pStyle w:val="yHeading5"/>
        <w:outlineLvl w:val="9"/>
        <w:rPr>
          <w:snapToGrid w:val="0"/>
        </w:rPr>
      </w:pPr>
      <w:bookmarkStart w:id="1984" w:name="_Toc188695535"/>
      <w:bookmarkStart w:id="1985" w:name="_Toc187053474"/>
      <w:r>
        <w:rPr>
          <w:rStyle w:val="CharSClsNo"/>
        </w:rPr>
        <w:t>3</w:t>
      </w:r>
      <w:r>
        <w:rPr>
          <w:snapToGrid w:val="0"/>
        </w:rPr>
        <w:t>.</w:t>
      </w:r>
      <w:r>
        <w:rPr>
          <w:snapToGrid w:val="0"/>
        </w:rPr>
        <w:tab/>
        <w:t>Rights conferred on holders of certain mineral claims and dredging claims</w:t>
      </w:r>
      <w:bookmarkEnd w:id="1981"/>
      <w:bookmarkEnd w:id="1982"/>
      <w:bookmarkEnd w:id="1983"/>
      <w:bookmarkEnd w:id="1984"/>
      <w:bookmarkEnd w:id="1985"/>
      <w:r>
        <w:rPr>
          <w:snapToGrid w:val="0"/>
        </w:rPr>
        <w:t xml:space="preserve"> </w:t>
      </w:r>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outlineLvl w:val="9"/>
        <w:rPr>
          <w:snapToGrid w:val="0"/>
        </w:rPr>
      </w:pPr>
      <w:bookmarkStart w:id="1986" w:name="_Toc523620720"/>
      <w:bookmarkStart w:id="1987" w:name="_Toc38853874"/>
      <w:bookmarkStart w:id="1988" w:name="_Toc124061252"/>
      <w:bookmarkStart w:id="1989" w:name="_Toc188695536"/>
      <w:bookmarkStart w:id="1990" w:name="_Toc187053475"/>
      <w:r>
        <w:rPr>
          <w:rStyle w:val="CharSClsNo"/>
        </w:rPr>
        <w:t>4</w:t>
      </w:r>
      <w:r>
        <w:rPr>
          <w:snapToGrid w:val="0"/>
        </w:rPr>
        <w:t>.</w:t>
      </w:r>
      <w:r>
        <w:rPr>
          <w:snapToGrid w:val="0"/>
        </w:rPr>
        <w:tab/>
        <w:t>Rights conferred on holders of certain miners’ homestead leases, residential leases, residence areas, business areas and garden areas</w:t>
      </w:r>
      <w:bookmarkEnd w:id="1986"/>
      <w:bookmarkEnd w:id="1987"/>
      <w:bookmarkEnd w:id="1988"/>
      <w:bookmarkEnd w:id="1989"/>
      <w:bookmarkEnd w:id="1990"/>
      <w:r>
        <w:rPr>
          <w:snapToGrid w:val="0"/>
        </w:rPr>
        <w:t xml:space="preserve"> </w:t>
      </w:r>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w:t>
      </w:r>
      <w:del w:id="1991" w:author="svcMRProcess" w:date="2020-02-19T00:00:00Z">
        <w:r>
          <w:rPr>
            <w:snapToGrid w:val="0"/>
          </w:rPr>
          <w:delText xml:space="preserve"> </w:delText>
        </w:r>
      </w:del>
      <w:r>
        <w:rPr>
          <w:snapToGrid w:val="0"/>
        </w:rPr>
        <w:t>and on the Minister for Mines</w:t>
      </w:r>
      <w:del w:id="1992" w:author="svcMRProcess" w:date="2020-02-19T00:00:00Z">
        <w:r>
          <w:rPr>
            <w:snapToGrid w:val="0"/>
            <w:vertAlign w:val="superscript"/>
          </w:rPr>
          <w:delText xml:space="preserve"> </w:delText>
        </w:r>
      </w:del>
      <w:r>
        <w:rPr>
          <w:snapToGrid w:val="0"/>
        </w:rPr>
        <w:t xml:space="preserve">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w:t>
      </w:r>
      <w:del w:id="1993" w:author="svcMRProcess" w:date="2020-02-19T00:00:00Z">
        <w:r>
          <w:rPr>
            <w:snapToGrid w:val="0"/>
          </w:rPr>
          <w:delText xml:space="preserve"> </w:delText>
        </w:r>
      </w:del>
      <w:r>
        <w:rPr>
          <w:snapToGrid w:val="0"/>
        </w:rPr>
        <w:t xml:space="preserve">issuing a certificate to that effect to the Minister for Lands, the Minister for Lands may grant under the </w:t>
      </w:r>
      <w:r>
        <w:rPr>
          <w:i/>
          <w:snapToGrid w:val="0"/>
        </w:rPr>
        <w:t>Land Act 1933</w:t>
      </w:r>
      <w:r>
        <w:rPr>
          <w:snapToGrid w:val="0"/>
        </w:rPr>
        <w:t xml:space="preserve"> </w:t>
      </w:r>
      <w:del w:id="1994" w:author="svcMRProcess" w:date="2020-02-19T00:00:00Z">
        <w:r>
          <w:rPr>
            <w:snapToGrid w:val="0"/>
          </w:rPr>
          <w:delText xml:space="preserve"> </w:delText>
        </w:r>
      </w:del>
      <w:r>
        <w:rPr>
          <w:snapToGrid w:val="0"/>
        </w:rPr>
        <w:t xml:space="preserve">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w:t>
      </w:r>
      <w:del w:id="1995" w:author="svcMRProcess" w:date="2020-02-19T00:00:00Z">
        <w:r>
          <w:rPr>
            <w:snapToGrid w:val="0"/>
          </w:rPr>
          <w:delText xml:space="preserve"> </w:delText>
        </w:r>
      </w:del>
      <w:r>
        <w:rPr>
          <w:snapToGrid w:val="0"/>
        </w:rPr>
        <w:t>shall be read and construed with such modifications as are necessary and, without limiting the generality thereof, shall be read and construed with the following particular modifications — </w:t>
      </w:r>
    </w:p>
    <w:p>
      <w:pPr>
        <w:pStyle w:val="yIndenta"/>
        <w:rPr>
          <w:snapToGrid w:val="0"/>
        </w:rPr>
      </w:pPr>
      <w:r>
        <w:rPr>
          <w:snapToGrid w:val="0"/>
        </w:rPr>
        <w:tab/>
        <w:t>(a)</w:t>
      </w:r>
      <w:r>
        <w:rPr>
          <w:snapToGrid w:val="0"/>
        </w:rPr>
        <w:tab/>
        <w:t>the substitution for subsection (2) of section 45A of the following subsection —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del w:id="1996" w:author="svcMRProcess" w:date="2020-02-19T00:00:00Z">
        <w:r>
          <w:rPr>
            <w:snapToGrid w:val="0"/>
            <w:vertAlign w:val="superscript"/>
          </w:rPr>
          <w:delText xml:space="preserve"> </w:delText>
        </w:r>
      </w:del>
      <w:r>
        <w:rPr>
          <w:snapToGrid w:val="0"/>
          <w:vertAlign w:val="superscript"/>
        </w:rPr>
        <w:t xml:space="preserve"> </w:t>
      </w:r>
      <w:r>
        <w:rPr>
          <w:snapToGrid w:val="0"/>
        </w:rPr>
        <w:t>notwithstanding the land has not been declared open for selection under that Part.</w:t>
      </w:r>
    </w:p>
    <w:p>
      <w:pPr>
        <w:pStyle w:val="yFootnotesection"/>
      </w:pPr>
      <w:r>
        <w:tab/>
        <w:t>[Clause 4 inserted by No. 69 of 1981 s. 29; amended by No. 126 of 1987 s. 124.]</w:t>
      </w:r>
    </w:p>
    <w:p>
      <w:pPr>
        <w:pStyle w:val="yHeading5"/>
        <w:outlineLvl w:val="9"/>
        <w:rPr>
          <w:snapToGrid w:val="0"/>
        </w:rPr>
      </w:pPr>
      <w:bookmarkStart w:id="1997" w:name="_Toc523620721"/>
      <w:bookmarkStart w:id="1998" w:name="_Toc38853875"/>
      <w:bookmarkStart w:id="1999" w:name="_Toc124061253"/>
      <w:bookmarkStart w:id="2000" w:name="_Toc188695537"/>
      <w:bookmarkStart w:id="2001" w:name="_Toc187053476"/>
      <w:r>
        <w:rPr>
          <w:rStyle w:val="CharSClsNo"/>
        </w:rPr>
        <w:t>5</w:t>
      </w:r>
      <w:r>
        <w:rPr>
          <w:snapToGrid w:val="0"/>
        </w:rPr>
        <w:t>.</w:t>
      </w:r>
      <w:r>
        <w:rPr>
          <w:snapToGrid w:val="0"/>
        </w:rPr>
        <w:tab/>
        <w:t>Continuation of mining tenements held by virtue of miners’ rights</w:t>
      </w:r>
      <w:bookmarkEnd w:id="1997"/>
      <w:bookmarkEnd w:id="1998"/>
      <w:bookmarkEnd w:id="1999"/>
      <w:bookmarkEnd w:id="2000"/>
      <w:bookmarkEnd w:id="2001"/>
      <w:r>
        <w:rPr>
          <w:snapToGrid w:val="0"/>
        </w:rPr>
        <w:t xml:space="preserve"> </w:t>
      </w:r>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outlineLvl w:val="9"/>
        <w:rPr>
          <w:snapToGrid w:val="0"/>
        </w:rPr>
      </w:pPr>
      <w:bookmarkStart w:id="2002" w:name="_Toc523620722"/>
      <w:bookmarkStart w:id="2003" w:name="_Toc38853876"/>
      <w:bookmarkStart w:id="2004" w:name="_Toc124061254"/>
      <w:bookmarkStart w:id="2005" w:name="_Toc188695538"/>
      <w:bookmarkStart w:id="2006" w:name="_Toc187053477"/>
      <w:r>
        <w:rPr>
          <w:rStyle w:val="CharSClsNo"/>
        </w:rPr>
        <w:t>6</w:t>
      </w:r>
      <w:r>
        <w:rPr>
          <w:snapToGrid w:val="0"/>
        </w:rPr>
        <w:t>.</w:t>
      </w:r>
      <w:r>
        <w:rPr>
          <w:snapToGrid w:val="0"/>
        </w:rPr>
        <w:tab/>
        <w:t>Temporary continuation of certain machinery areas, tailings areas, quarrying areas and water rights</w:t>
      </w:r>
      <w:bookmarkEnd w:id="2002"/>
      <w:bookmarkEnd w:id="2003"/>
      <w:bookmarkEnd w:id="2004"/>
      <w:bookmarkEnd w:id="2005"/>
      <w:bookmarkEnd w:id="2006"/>
      <w:r>
        <w:rPr>
          <w:snapToGrid w:val="0"/>
        </w:rPr>
        <w:t xml:space="preserve"> </w:t>
      </w:r>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spacing w:before="240"/>
        <w:outlineLvl w:val="9"/>
        <w:rPr>
          <w:snapToGrid w:val="0"/>
        </w:rPr>
      </w:pPr>
      <w:bookmarkStart w:id="2007" w:name="_Toc523620723"/>
      <w:bookmarkStart w:id="2008" w:name="_Toc38853877"/>
      <w:bookmarkStart w:id="2009" w:name="_Toc124061255"/>
      <w:bookmarkStart w:id="2010" w:name="_Toc188695539"/>
      <w:bookmarkStart w:id="2011" w:name="_Toc187053478"/>
      <w:r>
        <w:rPr>
          <w:rStyle w:val="CharSClsNo"/>
        </w:rPr>
        <w:t>7</w:t>
      </w:r>
      <w:r>
        <w:rPr>
          <w:snapToGrid w:val="0"/>
        </w:rPr>
        <w:t>.</w:t>
      </w:r>
      <w:r>
        <w:rPr>
          <w:snapToGrid w:val="0"/>
        </w:rPr>
        <w:tab/>
        <w:t>Continuation of certain licences</w:t>
      </w:r>
      <w:bookmarkEnd w:id="2007"/>
      <w:bookmarkEnd w:id="2008"/>
      <w:bookmarkEnd w:id="2009"/>
      <w:bookmarkEnd w:id="2010"/>
      <w:bookmarkEnd w:id="2011"/>
      <w:r>
        <w:rPr>
          <w:snapToGrid w:val="0"/>
        </w:rPr>
        <w:t xml:space="preserve"> </w:t>
      </w:r>
    </w:p>
    <w:p>
      <w:pPr>
        <w:pStyle w:val="ySubsection"/>
        <w:keepNext/>
        <w:rPr>
          <w:snapToGrid w:val="0"/>
        </w:rPr>
      </w:pPr>
      <w:r>
        <w:rPr>
          <w:snapToGrid w:val="0"/>
        </w:rPr>
        <w:tab/>
        <w:t>(1)</w:t>
      </w:r>
      <w:r>
        <w:rPr>
          <w:snapToGrid w:val="0"/>
        </w:rPr>
        <w:tab/>
        <w:t>A licence which was —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outlineLvl w:val="9"/>
        <w:rPr>
          <w:snapToGrid w:val="0"/>
        </w:rPr>
      </w:pPr>
      <w:bookmarkStart w:id="2012" w:name="_Toc523620724"/>
      <w:bookmarkStart w:id="2013" w:name="_Toc38853878"/>
      <w:bookmarkStart w:id="2014" w:name="_Toc124061256"/>
      <w:bookmarkStart w:id="2015" w:name="_Toc188695540"/>
      <w:bookmarkStart w:id="2016" w:name="_Toc187053479"/>
      <w:r>
        <w:rPr>
          <w:rStyle w:val="CharSClsNo"/>
        </w:rPr>
        <w:t>8</w:t>
      </w:r>
      <w:r>
        <w:rPr>
          <w:snapToGrid w:val="0"/>
        </w:rPr>
        <w:t>.</w:t>
      </w:r>
      <w:r>
        <w:rPr>
          <w:snapToGrid w:val="0"/>
        </w:rPr>
        <w:tab/>
        <w:t>Disposal of pending applications for mining tenements</w:t>
      </w:r>
      <w:bookmarkEnd w:id="2012"/>
      <w:bookmarkEnd w:id="2013"/>
      <w:bookmarkEnd w:id="2014"/>
      <w:bookmarkEnd w:id="2015"/>
      <w:bookmarkEnd w:id="2016"/>
      <w:r>
        <w:rPr>
          <w:snapToGrid w:val="0"/>
        </w:rPr>
        <w:t xml:space="preserve"> </w:t>
      </w:r>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spacing w:before="260"/>
        <w:outlineLvl w:val="9"/>
        <w:rPr>
          <w:snapToGrid w:val="0"/>
        </w:rPr>
      </w:pPr>
      <w:bookmarkStart w:id="2017" w:name="_Toc523620725"/>
      <w:bookmarkStart w:id="2018" w:name="_Toc38853879"/>
      <w:bookmarkStart w:id="2019" w:name="_Toc124061257"/>
      <w:bookmarkStart w:id="2020" w:name="_Toc188695541"/>
      <w:bookmarkStart w:id="2021" w:name="_Toc187053480"/>
      <w:r>
        <w:rPr>
          <w:rStyle w:val="CharSClsNo"/>
        </w:rPr>
        <w:t>9</w:t>
      </w:r>
      <w:r>
        <w:rPr>
          <w:snapToGrid w:val="0"/>
        </w:rPr>
        <w:t>.</w:t>
      </w:r>
      <w:r>
        <w:rPr>
          <w:snapToGrid w:val="0"/>
        </w:rPr>
        <w:tab/>
        <w:t>Rights of holders of certain prospecting areas</w:t>
      </w:r>
      <w:bookmarkEnd w:id="2017"/>
      <w:bookmarkEnd w:id="2018"/>
      <w:bookmarkEnd w:id="2019"/>
      <w:bookmarkEnd w:id="2020"/>
      <w:bookmarkEnd w:id="2021"/>
      <w:r>
        <w:rPr>
          <w:snapToGrid w:val="0"/>
        </w:rPr>
        <w:t xml:space="preserve"> </w:t>
      </w:r>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spacing w:before="180"/>
        <w:outlineLvl w:val="9"/>
        <w:rPr>
          <w:snapToGrid w:val="0"/>
        </w:rPr>
      </w:pPr>
      <w:bookmarkStart w:id="2022" w:name="_Toc523620726"/>
      <w:bookmarkStart w:id="2023" w:name="_Toc38853880"/>
      <w:bookmarkStart w:id="2024" w:name="_Toc124061258"/>
      <w:bookmarkStart w:id="2025" w:name="_Toc188695542"/>
      <w:bookmarkStart w:id="2026" w:name="_Toc187053481"/>
      <w:r>
        <w:rPr>
          <w:rStyle w:val="CharSClsNo"/>
        </w:rPr>
        <w:t>10</w:t>
      </w:r>
      <w:r>
        <w:rPr>
          <w:snapToGrid w:val="0"/>
        </w:rPr>
        <w:t>.</w:t>
      </w:r>
      <w:r>
        <w:rPr>
          <w:snapToGrid w:val="0"/>
        </w:rPr>
        <w:tab/>
        <w:t>Transitional provisions relating to mortgages</w:t>
      </w:r>
      <w:bookmarkEnd w:id="2022"/>
      <w:bookmarkEnd w:id="2023"/>
      <w:bookmarkEnd w:id="2024"/>
      <w:bookmarkEnd w:id="2025"/>
      <w:bookmarkEnd w:id="2026"/>
      <w:r>
        <w:rPr>
          <w:snapToGrid w:val="0"/>
        </w:rPr>
        <w:t xml:space="preserve"> </w:t>
      </w:r>
    </w:p>
    <w:p>
      <w:pPr>
        <w:pStyle w:val="ySubsection"/>
        <w:spacing w:before="120"/>
        <w:rPr>
          <w:snapToGrid w:val="0"/>
        </w:rPr>
      </w:pPr>
      <w:r>
        <w:rPr>
          <w:snapToGrid w:val="0"/>
        </w:rPr>
        <w:tab/>
        <w:t>(1)</w:t>
      </w:r>
      <w:r>
        <w:rPr>
          <w:snapToGrid w:val="0"/>
        </w:rPr>
        <w:tab/>
        <w:t>Subject to subclause (2), if — </w:t>
      </w:r>
    </w:p>
    <w:p>
      <w:pPr>
        <w:pStyle w:val="yIndenta"/>
        <w:rPr>
          <w:snapToGrid w:val="0"/>
        </w:rPr>
      </w:pPr>
      <w:r>
        <w:rPr>
          <w:snapToGrid w:val="0"/>
        </w:rPr>
        <w:tab/>
        <w:t>(a)</w:t>
      </w:r>
      <w:r>
        <w:rPr>
          <w:snapToGrid w:val="0"/>
        </w:rPr>
        <w:tab/>
        <w:t xml:space="preserve">a mining tenement (in this subclause and in subclause (2) referred to as the </w:t>
      </w:r>
      <w:r>
        <w:rPr>
          <w:b/>
          <w:snapToGrid w:val="0"/>
        </w:rPr>
        <w:t>“</w:t>
      </w:r>
      <w:r>
        <w:rPr>
          <w:rStyle w:val="CharDefText"/>
        </w:rPr>
        <w:t>new mining tenement</w:t>
      </w:r>
      <w:r>
        <w:rPr>
          <w:b/>
          <w:snapToGrid w:val="0"/>
        </w:rPr>
        <w:t>”</w:t>
      </w:r>
      <w:r>
        <w:rPr>
          <w:snapToGrid w:val="0"/>
        </w:rPr>
        <w:t xml:space="preserve">) is granted under this Schedule or section 5(3) in place of one or more mining tenements (in this subclause and in subclause (2) referred to as the </w:t>
      </w:r>
      <w:r>
        <w:rPr>
          <w:b/>
          <w:snapToGrid w:val="0"/>
        </w:rPr>
        <w:t>“</w:t>
      </w:r>
      <w:r>
        <w:rPr>
          <w:rStyle w:val="CharDefText"/>
        </w:rPr>
        <w:t>old mining tenement</w:t>
      </w:r>
      <w:r>
        <w:rPr>
          <w:b/>
          <w:snapToGrid w:val="0"/>
        </w:rPr>
        <w:t>”</w:t>
      </w:r>
      <w:r>
        <w:rPr>
          <w:snapToGrid w:val="0"/>
        </w:rPr>
        <w:t xml:space="preserve"> or the </w:t>
      </w:r>
      <w:r>
        <w:rPr>
          <w:b/>
          <w:snapToGrid w:val="0"/>
        </w:rPr>
        <w:t>“</w:t>
      </w:r>
      <w:r>
        <w:rPr>
          <w:rStyle w:val="CharDefText"/>
        </w:rPr>
        <w:t>old mining tenements</w:t>
      </w:r>
      <w:r>
        <w:rPr>
          <w:b/>
          <w:snapToGrid w:val="0"/>
        </w:rPr>
        <w:t>”</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4</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4</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b/>
          <w:snapToGrid w:val="0"/>
        </w:rPr>
        <w:t>“</w:t>
      </w:r>
      <w:r>
        <w:rPr>
          <w:rStyle w:val="CharDefText"/>
        </w:rPr>
        <w:t>the old mining tenement</w:t>
      </w:r>
      <w:r>
        <w:rPr>
          <w:b/>
          <w:snapToGrid w:val="0"/>
        </w:rPr>
        <w:t>”</w:t>
      </w:r>
      <w:r>
        <w:rPr>
          <w:snapToGrid w:val="0"/>
        </w:rPr>
        <w:t xml:space="preserve">) who is empowered by this Schedule or by section 5(3) to apply for a mining tenement under this Act (in this subclause called </w:t>
      </w:r>
      <w:r>
        <w:rPr>
          <w:b/>
          <w:snapToGrid w:val="0"/>
        </w:rPr>
        <w:t>“</w:t>
      </w:r>
      <w:r>
        <w:rPr>
          <w:rStyle w:val="CharDefText"/>
        </w:rPr>
        <w:t>the new mining tenement</w:t>
      </w:r>
      <w:r>
        <w:rPr>
          <w:b/>
          <w:snapToGrid w:val="0"/>
        </w:rPr>
        <w: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spacing w:before="180"/>
        <w:outlineLvl w:val="9"/>
        <w:rPr>
          <w:snapToGrid w:val="0"/>
        </w:rPr>
      </w:pPr>
      <w:bookmarkStart w:id="2027" w:name="_Toc523620727"/>
      <w:bookmarkStart w:id="2028" w:name="_Toc38853881"/>
      <w:bookmarkStart w:id="2029" w:name="_Toc124061259"/>
      <w:bookmarkStart w:id="2030" w:name="_Toc188695543"/>
      <w:bookmarkStart w:id="2031" w:name="_Toc187053482"/>
      <w:r>
        <w:rPr>
          <w:rStyle w:val="CharSClsNo"/>
        </w:rPr>
        <w:t>11</w:t>
      </w:r>
      <w:r>
        <w:rPr>
          <w:snapToGrid w:val="0"/>
        </w:rPr>
        <w:t>.</w:t>
      </w:r>
      <w:r>
        <w:rPr>
          <w:snapToGrid w:val="0"/>
        </w:rPr>
        <w:tab/>
        <w:t>Officers</w:t>
      </w:r>
      <w:bookmarkEnd w:id="2027"/>
      <w:bookmarkEnd w:id="2028"/>
      <w:bookmarkEnd w:id="2029"/>
      <w:bookmarkEnd w:id="2030"/>
      <w:bookmarkEnd w:id="2031"/>
      <w:r>
        <w:rPr>
          <w:snapToGrid w:val="0"/>
        </w:rPr>
        <w:t xml:space="preserve"> </w:t>
      </w:r>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spacing w:before="180"/>
        <w:outlineLvl w:val="9"/>
        <w:rPr>
          <w:snapToGrid w:val="0"/>
        </w:rPr>
      </w:pPr>
      <w:bookmarkStart w:id="2032" w:name="_Toc523620728"/>
      <w:bookmarkStart w:id="2033" w:name="_Toc38853882"/>
      <w:bookmarkStart w:id="2034" w:name="_Toc124061260"/>
      <w:bookmarkStart w:id="2035" w:name="_Toc188695544"/>
      <w:bookmarkStart w:id="2036" w:name="_Toc187053483"/>
      <w:r>
        <w:rPr>
          <w:snapToGrid w:val="0"/>
        </w:rPr>
        <w:t>12.</w:t>
      </w:r>
      <w:r>
        <w:rPr>
          <w:snapToGrid w:val="0"/>
        </w:rPr>
        <w:tab/>
        <w:t>Warden’s courts and warden’s offices</w:t>
      </w:r>
      <w:bookmarkEnd w:id="2032"/>
      <w:bookmarkEnd w:id="2033"/>
      <w:bookmarkEnd w:id="2034"/>
      <w:bookmarkEnd w:id="2035"/>
      <w:bookmarkEnd w:id="2036"/>
      <w:r>
        <w:rPr>
          <w:snapToGrid w:val="0"/>
        </w:rPr>
        <w:t xml:space="preserve"> </w:t>
      </w:r>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spacing w:before="180"/>
        <w:outlineLvl w:val="9"/>
        <w:rPr>
          <w:snapToGrid w:val="0"/>
        </w:rPr>
      </w:pPr>
      <w:bookmarkStart w:id="2037" w:name="_Toc523620729"/>
      <w:bookmarkStart w:id="2038" w:name="_Toc38853883"/>
      <w:bookmarkStart w:id="2039" w:name="_Toc124061261"/>
      <w:bookmarkStart w:id="2040" w:name="_Toc188695545"/>
      <w:bookmarkStart w:id="2041" w:name="_Toc187053484"/>
      <w:r>
        <w:rPr>
          <w:snapToGrid w:val="0"/>
        </w:rPr>
        <w:t>13.</w:t>
      </w:r>
      <w:r>
        <w:rPr>
          <w:snapToGrid w:val="0"/>
        </w:rPr>
        <w:tab/>
        <w:t>Lodging of certain applications</w:t>
      </w:r>
      <w:bookmarkEnd w:id="2037"/>
      <w:bookmarkEnd w:id="2038"/>
      <w:bookmarkEnd w:id="2039"/>
      <w:bookmarkEnd w:id="2040"/>
      <w:bookmarkEnd w:id="2041"/>
      <w:r>
        <w:rPr>
          <w:snapToGrid w:val="0"/>
        </w:rPr>
        <w:t xml:space="preserve"> </w:t>
      </w:r>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spacing w:before="180"/>
        <w:outlineLvl w:val="9"/>
        <w:rPr>
          <w:snapToGrid w:val="0"/>
        </w:rPr>
      </w:pPr>
      <w:bookmarkStart w:id="2042" w:name="_Toc523620730"/>
      <w:bookmarkStart w:id="2043" w:name="_Toc38853884"/>
      <w:bookmarkStart w:id="2044" w:name="_Toc124061262"/>
      <w:bookmarkStart w:id="2045" w:name="_Toc188695546"/>
      <w:bookmarkStart w:id="2046" w:name="_Toc187053485"/>
      <w:r>
        <w:rPr>
          <w:rStyle w:val="CharSClsNo"/>
        </w:rPr>
        <w:t>13A</w:t>
      </w:r>
      <w:r>
        <w:rPr>
          <w:snapToGrid w:val="0"/>
        </w:rPr>
        <w:t>.</w:t>
      </w:r>
      <w:r>
        <w:rPr>
          <w:snapToGrid w:val="0"/>
        </w:rPr>
        <w:tab/>
        <w:t>Consents to follow the land</w:t>
      </w:r>
      <w:bookmarkEnd w:id="2042"/>
      <w:bookmarkEnd w:id="2043"/>
      <w:bookmarkEnd w:id="2044"/>
      <w:bookmarkEnd w:id="2045"/>
      <w:bookmarkEnd w:id="2046"/>
      <w:r>
        <w:rPr>
          <w:snapToGrid w:val="0"/>
        </w:rPr>
        <w:t xml:space="preserve"> </w:t>
      </w:r>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keepLines w:val="0"/>
        <w:spacing w:before="260"/>
        <w:outlineLvl w:val="9"/>
        <w:rPr>
          <w:snapToGrid w:val="0"/>
        </w:rPr>
      </w:pPr>
      <w:bookmarkStart w:id="2047" w:name="_Toc523620731"/>
      <w:bookmarkStart w:id="2048" w:name="_Toc38853885"/>
      <w:bookmarkStart w:id="2049" w:name="_Toc124061263"/>
      <w:bookmarkStart w:id="2050" w:name="_Toc188695547"/>
      <w:bookmarkStart w:id="2051" w:name="_Toc187053486"/>
      <w:r>
        <w:rPr>
          <w:rStyle w:val="CharSClsNo"/>
        </w:rPr>
        <w:t>14</w:t>
      </w:r>
      <w:r>
        <w:rPr>
          <w:snapToGrid w:val="0"/>
        </w:rPr>
        <w:t>.</w:t>
      </w:r>
      <w:r>
        <w:rPr>
          <w:snapToGrid w:val="0"/>
        </w:rPr>
        <w:tab/>
        <w:t>References to repealed Act</w:t>
      </w:r>
      <w:bookmarkEnd w:id="2047"/>
      <w:bookmarkEnd w:id="2048"/>
      <w:bookmarkEnd w:id="2049"/>
      <w:bookmarkEnd w:id="2050"/>
      <w:bookmarkEnd w:id="2051"/>
      <w:r>
        <w:rPr>
          <w:snapToGrid w:val="0"/>
        </w:rPr>
        <w:t xml:space="preserve"> </w:t>
      </w:r>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keepLines w:val="0"/>
        <w:spacing w:before="260"/>
        <w:outlineLvl w:val="9"/>
        <w:rPr>
          <w:snapToGrid w:val="0"/>
        </w:rPr>
      </w:pPr>
      <w:bookmarkStart w:id="2052" w:name="_Toc523620732"/>
      <w:bookmarkStart w:id="2053" w:name="_Toc38853886"/>
      <w:bookmarkStart w:id="2054" w:name="_Toc124061264"/>
      <w:bookmarkStart w:id="2055" w:name="_Toc188695548"/>
      <w:bookmarkStart w:id="2056" w:name="_Toc187053487"/>
      <w:r>
        <w:rPr>
          <w:rStyle w:val="CharSClsNo"/>
        </w:rPr>
        <w:t>15</w:t>
      </w:r>
      <w:r>
        <w:rPr>
          <w:snapToGrid w:val="0"/>
        </w:rPr>
        <w:t>.</w:t>
      </w:r>
      <w:r>
        <w:rPr>
          <w:snapToGrid w:val="0"/>
        </w:rPr>
        <w:tab/>
        <w:t>Prevention of anomalies during transitional period</w:t>
      </w:r>
      <w:bookmarkEnd w:id="2052"/>
      <w:bookmarkEnd w:id="2053"/>
      <w:bookmarkEnd w:id="2054"/>
      <w:bookmarkEnd w:id="2055"/>
      <w:bookmarkEnd w:id="2056"/>
      <w:r>
        <w:rPr>
          <w:snapToGrid w:val="0"/>
        </w:rPr>
        <w:t xml:space="preserve"> </w:t>
      </w:r>
    </w:p>
    <w:p>
      <w:pPr>
        <w:pStyle w:val="ySubsection"/>
        <w:rPr>
          <w:snapToGrid w:val="0"/>
        </w:rPr>
      </w:pPr>
      <w:r>
        <w:rPr>
          <w:snapToGrid w:val="0"/>
        </w:rPr>
        <w:tab/>
      </w:r>
      <w:r>
        <w:rPr>
          <w:snapToGrid w:val="0"/>
        </w:rPr>
        <w:tab/>
        <w:t>If any difficulty arises with respect to the foregoing transitional provisions in this Schedule the Governor may by Order in Council —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 xml:space="preserve">[Clause 15 inserted by No. 69 of 1981 s. 29; amended by No. 100 of 1985 s. 110(e).] </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057" w:name="_Toc38853887"/>
      <w:bookmarkStart w:id="2058" w:name="_Toc121560205"/>
      <w:bookmarkStart w:id="2059" w:name="_Toc124061265"/>
      <w:bookmarkStart w:id="2060" w:name="_Toc124140120"/>
      <w:bookmarkStart w:id="2061" w:name="_Toc127174888"/>
      <w:bookmarkStart w:id="2062" w:name="_Toc127349245"/>
      <w:bookmarkStart w:id="2063" w:name="_Toc127762427"/>
      <w:bookmarkStart w:id="2064" w:name="_Toc127842489"/>
      <w:bookmarkStart w:id="2065" w:name="_Toc128380100"/>
      <w:bookmarkStart w:id="2066" w:name="_Toc130106716"/>
      <w:bookmarkStart w:id="2067" w:name="_Toc130106996"/>
      <w:bookmarkStart w:id="2068" w:name="_Toc130110893"/>
      <w:bookmarkStart w:id="2069" w:name="_Toc130277105"/>
    </w:p>
    <w:p>
      <w:pPr>
        <w:pStyle w:val="yScheduleHeading"/>
        <w:outlineLvl w:val="0"/>
      </w:pPr>
      <w:bookmarkStart w:id="2070" w:name="_Toc131408630"/>
      <w:bookmarkStart w:id="2071" w:name="_Toc132530397"/>
      <w:bookmarkStart w:id="2072" w:name="_Toc142194454"/>
      <w:bookmarkStart w:id="2073" w:name="_Toc162778539"/>
      <w:bookmarkStart w:id="2074" w:name="_Toc162841125"/>
      <w:bookmarkStart w:id="2075" w:name="_Toc162932959"/>
      <w:bookmarkStart w:id="2076" w:name="_Toc187053488"/>
      <w:bookmarkStart w:id="2077" w:name="_Toc188695549"/>
      <w:r>
        <w:rPr>
          <w:rStyle w:val="CharSchNo"/>
        </w:rPr>
        <w:t>Third Schedule</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r>
        <w:rPr>
          <w:rStyle w:val="CharSchText"/>
        </w:rPr>
        <w:t xml:space="preserve"> </w:t>
      </w:r>
    </w:p>
    <w:p>
      <w:pPr>
        <w:pStyle w:val="yShoulderClause"/>
        <w:rPr>
          <w:snapToGrid w:val="0"/>
        </w:rPr>
      </w:pPr>
      <w:r>
        <w:rPr>
          <w:snapToGrid w:val="0"/>
        </w:rPr>
        <w:t>[s. 27]</w:t>
      </w:r>
    </w:p>
    <w:p>
      <w:pPr>
        <w:pStyle w:val="ySubsection"/>
        <w:tabs>
          <w:tab w:val="clear" w:pos="595"/>
          <w:tab w:val="clear" w:pos="879"/>
        </w:tabs>
        <w:ind w:left="0" w:firstLine="0"/>
        <w:rPr>
          <w:snapToGrid w:val="0"/>
        </w:rPr>
      </w:pPr>
      <w:r>
        <w:rPr>
          <w:snapToGrid w:val="0"/>
        </w:rPr>
        <w:t>East Locations 36, 41, 48, 51, 53, 55, 57, 59, 32, 35, 39, 40, 42, 44, 45, 50, 37, 61, 62.</w:t>
      </w:r>
    </w:p>
    <w:p>
      <w:pPr>
        <w:pStyle w:val="CentredBaseLine"/>
        <w:jc w:val="center"/>
        <w:rPr>
          <w:del w:id="2078" w:author="svcMRProcess" w:date="2020-02-19T00:00:00Z"/>
        </w:rPr>
      </w:pPr>
      <w:del w:id="2079" w:author="svcMRProcess" w:date="2020-02-19T00:00: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2080" w:author="svcMRProcess" w:date="2020-02-19T00:00:00Z"/>
        </w:rPr>
      </w:pPr>
      <w:ins w:id="2081" w:author="svcMRProcess" w:date="2020-02-19T00:00: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pgSz w:w="11906" w:h="16838" w:code="9"/>
          <w:pgMar w:top="2381" w:right="2409" w:bottom="3543" w:left="2409" w:header="720" w:footer="3380" w:gutter="0"/>
          <w:cols w:space="720"/>
          <w:noEndnote/>
          <w:docGrid w:linePitch="326"/>
        </w:sectPr>
      </w:pPr>
    </w:p>
    <w:p>
      <w:pPr>
        <w:pStyle w:val="nHeading2"/>
        <w:outlineLvl w:val="0"/>
      </w:pPr>
      <w:bookmarkStart w:id="2082" w:name="_Toc87427776"/>
      <w:bookmarkStart w:id="2083" w:name="_Toc87851351"/>
      <w:bookmarkStart w:id="2084" w:name="_Toc88295574"/>
      <w:bookmarkStart w:id="2085" w:name="_Toc89519233"/>
      <w:bookmarkStart w:id="2086" w:name="_Toc90869358"/>
      <w:bookmarkStart w:id="2087" w:name="_Toc91408130"/>
      <w:bookmarkStart w:id="2088" w:name="_Toc92863874"/>
      <w:bookmarkStart w:id="2089" w:name="_Toc95015242"/>
      <w:bookmarkStart w:id="2090" w:name="_Toc95106949"/>
      <w:bookmarkStart w:id="2091" w:name="_Toc97018749"/>
      <w:bookmarkStart w:id="2092" w:name="_Toc101693704"/>
      <w:bookmarkStart w:id="2093" w:name="_Toc103130571"/>
      <w:bookmarkStart w:id="2094" w:name="_Toc104711221"/>
      <w:bookmarkStart w:id="2095" w:name="_Toc121560206"/>
      <w:bookmarkStart w:id="2096" w:name="_Toc122328647"/>
      <w:bookmarkStart w:id="2097" w:name="_Toc124061266"/>
      <w:bookmarkStart w:id="2098" w:name="_Toc124140121"/>
      <w:bookmarkStart w:id="2099" w:name="_Toc127174889"/>
      <w:bookmarkStart w:id="2100" w:name="_Toc127349246"/>
      <w:bookmarkStart w:id="2101" w:name="_Toc127762428"/>
      <w:bookmarkStart w:id="2102" w:name="_Toc127842490"/>
      <w:bookmarkStart w:id="2103" w:name="_Toc128380101"/>
      <w:bookmarkStart w:id="2104" w:name="_Toc130106717"/>
      <w:bookmarkStart w:id="2105" w:name="_Toc130106997"/>
      <w:bookmarkStart w:id="2106" w:name="_Toc130110894"/>
      <w:bookmarkStart w:id="2107" w:name="_Toc130277106"/>
      <w:bookmarkStart w:id="2108" w:name="_Toc131408631"/>
      <w:bookmarkStart w:id="2109" w:name="_Toc132530398"/>
      <w:bookmarkStart w:id="2110" w:name="_Toc142194455"/>
      <w:bookmarkStart w:id="2111" w:name="_Toc162778540"/>
      <w:bookmarkStart w:id="2112" w:name="_Toc162841126"/>
      <w:bookmarkStart w:id="2113" w:name="_Toc162932960"/>
      <w:bookmarkStart w:id="2114" w:name="_Toc187053489"/>
      <w:bookmarkStart w:id="2115" w:name="_Toc188695550"/>
      <w:r>
        <w:t>Notes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2116" w:name="_Toc188695551"/>
      <w:bookmarkStart w:id="2117" w:name="_Toc187053490"/>
      <w:r>
        <w:rPr>
          <w:snapToGrid w:val="0"/>
        </w:rPr>
        <w:t>Compilation table</w:t>
      </w:r>
      <w:bookmarkEnd w:id="2116"/>
      <w:bookmarkEnd w:id="2117"/>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35"/>
        <w:gridCol w:w="2551"/>
        <w:gridCol w:w="25"/>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5" w:type="dxa"/>
            <w:tcBorders>
              <w:top w:val="single" w:sz="8" w:space="0" w:color="auto"/>
            </w:tcBorders>
          </w:tcPr>
          <w:p>
            <w:pPr>
              <w:pStyle w:val="nTable"/>
              <w:spacing w:after="40"/>
              <w:rPr>
                <w:sz w:val="19"/>
              </w:rPr>
            </w:pPr>
            <w:r>
              <w:rPr>
                <w:sz w:val="19"/>
              </w:rPr>
              <w:t>8 Dec 1978</w:t>
            </w:r>
          </w:p>
        </w:tc>
        <w:tc>
          <w:tcPr>
            <w:tcW w:w="2552" w:type="dxa"/>
            <w:gridSpan w:val="2"/>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balance: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5" w:type="dxa"/>
          </w:tcPr>
          <w:p>
            <w:pPr>
              <w:pStyle w:val="nTable"/>
              <w:spacing w:after="40"/>
              <w:rPr>
                <w:sz w:val="19"/>
              </w:rPr>
            </w:pPr>
            <w:r>
              <w:rPr>
                <w:sz w:val="19"/>
              </w:rPr>
              <w:t>30 Oct 1981</w:t>
            </w:r>
          </w:p>
        </w:tc>
        <w:tc>
          <w:tcPr>
            <w:tcW w:w="2552" w:type="dxa"/>
            <w:gridSpan w:val="2"/>
          </w:tcPr>
          <w:p>
            <w:pPr>
              <w:pStyle w:val="nTable"/>
              <w:spacing w:after="40"/>
              <w:rPr>
                <w:sz w:val="19"/>
              </w:rPr>
            </w:pPr>
            <w:r>
              <w:rPr>
                <w:sz w:val="19"/>
              </w:rPr>
              <w:t>30 Oct 1981</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w:t>
            </w:r>
          </w:p>
        </w:tc>
      </w:tr>
      <w:tr>
        <w:trPr>
          <w:cantSplit/>
        </w:trPr>
        <w:tc>
          <w:tcPr>
            <w:tcW w:w="453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2" w:type="dxa"/>
            <w:gridSpan w:val="2"/>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5" w:type="dxa"/>
          </w:tcPr>
          <w:p>
            <w:pPr>
              <w:pStyle w:val="nTable"/>
              <w:spacing w:after="40"/>
              <w:rPr>
                <w:sz w:val="19"/>
              </w:rPr>
            </w:pPr>
            <w:r>
              <w:rPr>
                <w:sz w:val="19"/>
              </w:rPr>
              <w:t>14 May 1982</w:t>
            </w:r>
          </w:p>
        </w:tc>
        <w:tc>
          <w:tcPr>
            <w:tcW w:w="2552"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2" w:type="dxa"/>
            <w:gridSpan w:val="2"/>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5" w:type="dxa"/>
          </w:tcPr>
          <w:p>
            <w:pPr>
              <w:pStyle w:val="nTable"/>
              <w:spacing w:after="40"/>
              <w:rPr>
                <w:sz w:val="19"/>
              </w:rPr>
            </w:pPr>
            <w:r>
              <w:rPr>
                <w:sz w:val="19"/>
              </w:rPr>
              <w:t>10 Dec 1982</w:t>
            </w:r>
          </w:p>
        </w:tc>
        <w:tc>
          <w:tcPr>
            <w:tcW w:w="2552" w:type="dxa"/>
            <w:gridSpan w:val="2"/>
          </w:tcPr>
          <w:p>
            <w:pPr>
              <w:pStyle w:val="nTable"/>
              <w:spacing w:after="40"/>
              <w:rPr>
                <w:sz w:val="19"/>
              </w:rPr>
            </w:pPr>
            <w:r>
              <w:rPr>
                <w:sz w:val="19"/>
              </w:rPr>
              <w:t xml:space="preserve">s. 30(d): </w:t>
            </w:r>
            <w:del w:id="2118" w:author="svcMRProcess" w:date="2020-02-19T00:00:00Z">
              <w:r>
                <w:rPr>
                  <w:sz w:val="19"/>
                </w:rPr>
                <w:delText xml:space="preserve"> </w:delText>
              </w:r>
            </w:del>
            <w:r>
              <w:rPr>
                <w:sz w:val="19"/>
              </w:rPr>
              <w:t xml:space="preserve">1 Jan 1982 (see s. 2(2)); </w:t>
            </w:r>
            <w:r>
              <w:rPr>
                <w:sz w:val="19"/>
              </w:rPr>
              <w:br/>
              <w:t>balance: 10 Dec 1982 (see 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5" w:type="dxa"/>
          </w:tcPr>
          <w:p>
            <w:pPr>
              <w:pStyle w:val="nTable"/>
              <w:spacing w:after="40"/>
              <w:rPr>
                <w:sz w:val="19"/>
              </w:rPr>
            </w:pPr>
            <w:r>
              <w:rPr>
                <w:sz w:val="19"/>
              </w:rPr>
              <w:t>13 Dec 1983</w:t>
            </w:r>
          </w:p>
        </w:tc>
        <w:tc>
          <w:tcPr>
            <w:tcW w:w="2552" w:type="dxa"/>
            <w:gridSpan w:val="2"/>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Mining Amendment Act 1985</w:t>
            </w:r>
            <w:r>
              <w:rPr>
                <w:sz w:val="19"/>
                <w:vertAlign w:val="superscript"/>
              </w:rPr>
              <w:t>5</w:t>
            </w:r>
          </w:p>
        </w:tc>
        <w:tc>
          <w:tcPr>
            <w:tcW w:w="1134" w:type="dxa"/>
          </w:tcPr>
          <w:p>
            <w:pPr>
              <w:pStyle w:val="nTable"/>
              <w:spacing w:after="40"/>
              <w:rPr>
                <w:sz w:val="19"/>
              </w:rPr>
            </w:pPr>
            <w:r>
              <w:rPr>
                <w:sz w:val="19"/>
              </w:rPr>
              <w:t>100 of 1985 (as amended by No. 105 of 1986 Pt. II and No. 22 of 1990 s. 39)</w:t>
            </w:r>
          </w:p>
        </w:tc>
        <w:tc>
          <w:tcPr>
            <w:tcW w:w="1135" w:type="dxa"/>
          </w:tcPr>
          <w:p>
            <w:pPr>
              <w:pStyle w:val="nTable"/>
              <w:spacing w:after="40"/>
              <w:rPr>
                <w:sz w:val="19"/>
              </w:rPr>
            </w:pPr>
            <w:r>
              <w:rPr>
                <w:sz w:val="19"/>
              </w:rPr>
              <w:t>4 Dec 1985</w:t>
            </w:r>
          </w:p>
        </w:tc>
        <w:tc>
          <w:tcPr>
            <w:tcW w:w="2552" w:type="dxa"/>
            <w:gridSpan w:val="2"/>
          </w:tcPr>
          <w:p>
            <w:pPr>
              <w:pStyle w:val="nTable"/>
              <w:spacing w:after="40"/>
              <w:rPr>
                <w:sz w:val="19"/>
              </w:rPr>
            </w:pPr>
            <w:r>
              <w:rPr>
                <w:sz w:val="19"/>
              </w:rPr>
              <w:t>Act other than s. 31, 34, 38, 59, 63, 68, 71, 77</w:t>
            </w:r>
            <w:r>
              <w:rPr>
                <w:sz w:val="19"/>
              </w:rPr>
              <w:noBreakHyphen/>
              <w:t xml:space="preserve">80 and 96: 31 Jan 1986 (see s. 2 and </w:t>
            </w:r>
            <w:r>
              <w:rPr>
                <w:i/>
                <w:sz w:val="19"/>
              </w:rPr>
              <w:t>Gazette</w:t>
            </w:r>
            <w:r>
              <w:rPr>
                <w:sz w:val="19"/>
              </w:rPr>
              <w:t xml:space="preserve"> 31 Jan 1986 p. 320);</w:t>
            </w:r>
            <w:r>
              <w:rPr>
                <w:sz w:val="19"/>
              </w:rPr>
              <w:br/>
              <w:t>s. 31, 34, 38, 59, 63, 68, 71, 77</w:t>
            </w:r>
            <w:r>
              <w:rPr>
                <w:sz w:val="19"/>
              </w:rPr>
              <w:noBreakHyphen/>
              <w:t xml:space="preserve">80 and 96: 16 Oct 1987 (see 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5" w:type="dxa"/>
          </w:tcPr>
          <w:p>
            <w:pPr>
              <w:pStyle w:val="nTable"/>
              <w:spacing w:after="40"/>
              <w:rPr>
                <w:sz w:val="19"/>
              </w:rPr>
            </w:pPr>
            <w:r>
              <w:rPr>
                <w:sz w:val="19"/>
              </w:rPr>
              <w:t>26 Jun 1986</w:t>
            </w:r>
          </w:p>
        </w:tc>
        <w:tc>
          <w:tcPr>
            <w:tcW w:w="2552" w:type="dxa"/>
            <w:gridSpan w:val="2"/>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5" w:type="dxa"/>
          </w:tcPr>
          <w:p>
            <w:pPr>
              <w:pStyle w:val="nTable"/>
              <w:spacing w:after="40"/>
              <w:rPr>
                <w:sz w:val="19"/>
              </w:rPr>
            </w:pPr>
            <w:r>
              <w:rPr>
                <w:sz w:val="19"/>
              </w:rPr>
              <w:t>4 Dec 1986</w:t>
            </w:r>
          </w:p>
        </w:tc>
        <w:tc>
          <w:tcPr>
            <w:tcW w:w="2552" w:type="dxa"/>
            <w:gridSpan w:val="2"/>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5" w:type="dxa"/>
          </w:tcPr>
          <w:p>
            <w:pPr>
              <w:pStyle w:val="nTable"/>
              <w:spacing w:after="40"/>
              <w:rPr>
                <w:sz w:val="19"/>
              </w:rPr>
            </w:pPr>
            <w:r>
              <w:rPr>
                <w:sz w:val="19"/>
              </w:rPr>
              <w:t>12 Dec 1986</w:t>
            </w:r>
          </w:p>
        </w:tc>
        <w:tc>
          <w:tcPr>
            <w:tcW w:w="2552" w:type="dxa"/>
            <w:gridSpan w:val="2"/>
          </w:tcPr>
          <w:p>
            <w:pPr>
              <w:pStyle w:val="nTable"/>
              <w:spacing w:after="40"/>
              <w:rPr>
                <w:sz w:val="19"/>
              </w:rPr>
            </w:pPr>
            <w:r>
              <w:rPr>
                <w:sz w:val="19"/>
              </w:rPr>
              <w:t xml:space="preserve">9 Jan 1987 (see s. 2 and </w:t>
            </w:r>
            <w:r>
              <w:rPr>
                <w:i/>
                <w:iCs/>
                <w:sz w:val="19"/>
              </w:rPr>
              <w:t>G</w:t>
            </w:r>
            <w:r>
              <w:rPr>
                <w:i/>
                <w:sz w:val="19"/>
              </w:rPr>
              <w:t>azette</w:t>
            </w:r>
            <w:r>
              <w:rPr>
                <w:sz w:val="19"/>
              </w:rPr>
              <w:t xml:space="preserve"> 9 Jan 1987 p. 18)</w:t>
            </w:r>
          </w:p>
        </w:tc>
      </w:tr>
      <w:tr>
        <w:trPr>
          <w:cantSplit/>
        </w:trPr>
        <w:tc>
          <w:tcPr>
            <w:tcW w:w="453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2" w:type="dxa"/>
            <w:gridSpan w:val="2"/>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5" w:type="dxa"/>
          </w:tcPr>
          <w:p>
            <w:pPr>
              <w:pStyle w:val="nTable"/>
              <w:spacing w:after="40"/>
              <w:rPr>
                <w:sz w:val="19"/>
              </w:rPr>
            </w:pPr>
            <w:r>
              <w:rPr>
                <w:sz w:val="19"/>
              </w:rPr>
              <w:t>16 Jun 1987</w:t>
            </w:r>
          </w:p>
        </w:tc>
        <w:tc>
          <w:tcPr>
            <w:tcW w:w="2552" w:type="dxa"/>
            <w:gridSpan w:val="2"/>
          </w:tcPr>
          <w:p>
            <w:pPr>
              <w:pStyle w:val="nTable"/>
              <w:spacing w:after="40"/>
              <w:rPr>
                <w:sz w:val="19"/>
              </w:rPr>
            </w:pPr>
            <w:r>
              <w:rPr>
                <w:sz w:val="19"/>
              </w:rPr>
              <w:t xml:space="preserve">26 Jun 1987 (see s. 3 and </w:t>
            </w:r>
            <w:r>
              <w:rPr>
                <w:i/>
                <w:sz w:val="19"/>
              </w:rPr>
              <w:t>Gazette</w:t>
            </w:r>
            <w:r>
              <w:rPr>
                <w:sz w:val="19"/>
              </w:rPr>
              <w:t xml:space="preserve"> 26 Jun 1987 p. 2447)</w:t>
            </w:r>
          </w:p>
        </w:tc>
      </w:tr>
      <w:tr>
        <w:trPr>
          <w:cantSplit/>
        </w:trPr>
        <w:tc>
          <w:tcPr>
            <w:tcW w:w="453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52" w:type="dxa"/>
            <w:gridSpan w:val="2"/>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5" w:type="dxa"/>
          </w:tcPr>
          <w:p>
            <w:pPr>
              <w:pStyle w:val="nTable"/>
              <w:spacing w:after="40"/>
              <w:rPr>
                <w:sz w:val="19"/>
              </w:rPr>
            </w:pPr>
            <w:r>
              <w:rPr>
                <w:sz w:val="19"/>
              </w:rPr>
              <w:t>1 Dec 1987</w:t>
            </w:r>
          </w:p>
        </w:tc>
        <w:tc>
          <w:tcPr>
            <w:tcW w:w="2552"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5" w:type="dxa"/>
          </w:tcPr>
          <w:p>
            <w:pPr>
              <w:pStyle w:val="nTable"/>
              <w:keepNext/>
              <w:keepLines/>
              <w:spacing w:after="40"/>
              <w:rPr>
                <w:sz w:val="19"/>
              </w:rPr>
            </w:pPr>
            <w:r>
              <w:rPr>
                <w:sz w:val="19"/>
              </w:rPr>
              <w:t>31 Dec 1987</w:t>
            </w:r>
          </w:p>
        </w:tc>
        <w:tc>
          <w:tcPr>
            <w:tcW w:w="2552" w:type="dxa"/>
            <w:gridSpan w:val="2"/>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5" w:type="dxa"/>
          </w:tcPr>
          <w:p>
            <w:pPr>
              <w:pStyle w:val="nTable"/>
              <w:spacing w:after="40"/>
              <w:rPr>
                <w:sz w:val="19"/>
              </w:rPr>
            </w:pPr>
            <w:r>
              <w:rPr>
                <w:sz w:val="19"/>
              </w:rPr>
              <w:t>31 Dec 1987</w:t>
            </w:r>
          </w:p>
        </w:tc>
        <w:tc>
          <w:tcPr>
            <w:tcW w:w="2552" w:type="dxa"/>
            <w:gridSpan w:val="2"/>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6</w:t>
            </w:r>
          </w:p>
        </w:tc>
        <w:tc>
          <w:tcPr>
            <w:tcW w:w="1134" w:type="dxa"/>
          </w:tcPr>
          <w:p>
            <w:pPr>
              <w:pStyle w:val="nTable"/>
              <w:spacing w:after="40"/>
              <w:rPr>
                <w:sz w:val="19"/>
              </w:rPr>
            </w:pPr>
            <w:r>
              <w:rPr>
                <w:sz w:val="19"/>
              </w:rPr>
              <w:t>22 of 1990 (as amended by No. 37 of 1993 s. 30(1) and (2) and No. 58 of 1994 s. 52)</w:t>
            </w:r>
          </w:p>
        </w:tc>
        <w:tc>
          <w:tcPr>
            <w:tcW w:w="1135" w:type="dxa"/>
          </w:tcPr>
          <w:p>
            <w:pPr>
              <w:pStyle w:val="nTable"/>
              <w:spacing w:after="40"/>
              <w:rPr>
                <w:sz w:val="19"/>
              </w:rPr>
            </w:pPr>
            <w:r>
              <w:rPr>
                <w:sz w:val="19"/>
              </w:rPr>
              <w:t>28 Aug 1990</w:t>
            </w:r>
          </w:p>
        </w:tc>
        <w:tc>
          <w:tcPr>
            <w:tcW w:w="2552" w:type="dxa"/>
            <w:gridSpan w:val="2"/>
          </w:tcPr>
          <w:p>
            <w:pPr>
              <w:pStyle w:val="nTable"/>
              <w:spacing w:after="40"/>
              <w:rPr>
                <w:sz w:val="19"/>
              </w:rPr>
            </w:pPr>
            <w:r>
              <w:rPr>
                <w:sz w:val="19"/>
              </w:rPr>
              <w:t xml:space="preserve">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5"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r>
              <w:rPr>
                <w:i/>
                <w:sz w:val="19"/>
              </w:rPr>
              <w:t>Western Australian Land Authority Act 1992</w:t>
            </w:r>
            <w:r>
              <w:rPr>
                <w:sz w:val="19"/>
              </w:rPr>
              <w:t xml:space="preserve"> s. 49</w:t>
            </w:r>
          </w:p>
        </w:tc>
        <w:tc>
          <w:tcPr>
            <w:tcW w:w="1134" w:type="dxa"/>
          </w:tcPr>
          <w:p>
            <w:pPr>
              <w:pStyle w:val="nTable"/>
              <w:spacing w:after="40"/>
              <w:rPr>
                <w:sz w:val="19"/>
              </w:rPr>
            </w:pPr>
            <w:r>
              <w:rPr>
                <w:sz w:val="19"/>
              </w:rPr>
              <w:t>35 of 1992</w:t>
            </w:r>
          </w:p>
        </w:tc>
        <w:tc>
          <w:tcPr>
            <w:tcW w:w="1135" w:type="dxa"/>
          </w:tcPr>
          <w:p>
            <w:pPr>
              <w:pStyle w:val="nTable"/>
              <w:spacing w:after="40"/>
              <w:rPr>
                <w:sz w:val="19"/>
              </w:rPr>
            </w:pPr>
            <w:r>
              <w:rPr>
                <w:sz w:val="19"/>
              </w:rPr>
              <w:t>23 Jun 1992</w:t>
            </w:r>
          </w:p>
        </w:tc>
        <w:tc>
          <w:tcPr>
            <w:tcW w:w="2552" w:type="dxa"/>
            <w:gridSpan w:val="2"/>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5" w:type="dxa"/>
          </w:tcPr>
          <w:p>
            <w:pPr>
              <w:pStyle w:val="nTable"/>
              <w:spacing w:after="40"/>
              <w:rPr>
                <w:sz w:val="19"/>
              </w:rPr>
            </w:pPr>
            <w:r>
              <w:rPr>
                <w:sz w:val="19"/>
              </w:rPr>
              <w:t>2 Dec 1993</w:t>
            </w:r>
          </w:p>
        </w:tc>
        <w:tc>
          <w:tcPr>
            <w:tcW w:w="2552" w:type="dxa"/>
            <w:gridSpan w:val="2"/>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7</w:t>
            </w:r>
          </w:p>
        </w:tc>
        <w:tc>
          <w:tcPr>
            <w:tcW w:w="1134" w:type="dxa"/>
          </w:tcPr>
          <w:p>
            <w:pPr>
              <w:pStyle w:val="nTable"/>
              <w:keepNext/>
              <w:keepLines/>
              <w:spacing w:after="40"/>
              <w:rPr>
                <w:sz w:val="19"/>
              </w:rPr>
            </w:pPr>
            <w:r>
              <w:rPr>
                <w:sz w:val="19"/>
              </w:rPr>
              <w:t>37 of 1993</w:t>
            </w:r>
          </w:p>
        </w:tc>
        <w:tc>
          <w:tcPr>
            <w:tcW w:w="1135" w:type="dxa"/>
          </w:tcPr>
          <w:p>
            <w:pPr>
              <w:pStyle w:val="nTable"/>
              <w:keepNext/>
              <w:keepLines/>
              <w:spacing w:after="40"/>
              <w:rPr>
                <w:sz w:val="19"/>
              </w:rPr>
            </w:pPr>
            <w:r>
              <w:rPr>
                <w:sz w:val="19"/>
              </w:rPr>
              <w:t>16 Dec 1993</w:t>
            </w:r>
          </w:p>
        </w:tc>
        <w:tc>
          <w:tcPr>
            <w:tcW w:w="2552" w:type="dxa"/>
            <w:gridSpan w:val="2"/>
          </w:tcPr>
          <w:p>
            <w:pPr>
              <w:pStyle w:val="nTable"/>
              <w:spacing w:after="40"/>
              <w:rPr>
                <w:sz w:val="19"/>
              </w:rPr>
            </w:pPr>
            <w:r>
              <w:rPr>
                <w:sz w:val="19"/>
              </w:rPr>
              <w:t>Pt. 3: 28 Jun 1991 (see s. 2(2));</w:t>
            </w:r>
            <w:r>
              <w:rPr>
                <w:sz w:val="19"/>
              </w:rPr>
              <w:br/>
              <w:t xml:space="preserve">Act other than Pt. 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8</w:t>
            </w:r>
          </w:p>
        </w:tc>
        <w:tc>
          <w:tcPr>
            <w:tcW w:w="1134" w:type="dxa"/>
          </w:tcPr>
          <w:p>
            <w:pPr>
              <w:pStyle w:val="nTable"/>
              <w:spacing w:after="40"/>
              <w:rPr>
                <w:sz w:val="19"/>
              </w:rPr>
            </w:pPr>
            <w:r>
              <w:rPr>
                <w:sz w:val="19"/>
              </w:rPr>
              <w:t>58 of 1994 (as amended by No. 52 of 1995 Pt. 6 and No. 74 of 2003 s. 85)</w:t>
            </w:r>
          </w:p>
        </w:tc>
        <w:tc>
          <w:tcPr>
            <w:tcW w:w="1135" w:type="dxa"/>
          </w:tcPr>
          <w:p>
            <w:pPr>
              <w:pStyle w:val="nTable"/>
              <w:spacing w:after="40"/>
              <w:rPr>
                <w:sz w:val="19"/>
              </w:rPr>
            </w:pPr>
            <w:r>
              <w:rPr>
                <w:sz w:val="19"/>
              </w:rPr>
              <w:t>2 Nov 1994</w:t>
            </w:r>
          </w:p>
        </w:tc>
        <w:tc>
          <w:tcPr>
            <w:tcW w:w="2552" w:type="dxa"/>
            <w:gridSpan w:val="2"/>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5" w:type="dxa"/>
          </w:tcPr>
          <w:p>
            <w:pPr>
              <w:pStyle w:val="nTable"/>
              <w:keepNext/>
              <w:keepLines/>
              <w:spacing w:after="40"/>
              <w:rPr>
                <w:sz w:val="19"/>
              </w:rPr>
            </w:pPr>
            <w:r>
              <w:rPr>
                <w:sz w:val="19"/>
              </w:rPr>
              <w:t>9 Dec 1994</w:t>
            </w:r>
          </w:p>
        </w:tc>
        <w:tc>
          <w:tcPr>
            <w:tcW w:w="2552" w:type="dxa"/>
            <w:gridSpan w:val="2"/>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5" w:type="dxa"/>
          </w:tcPr>
          <w:p>
            <w:pPr>
              <w:pStyle w:val="nTable"/>
              <w:spacing w:after="40"/>
              <w:rPr>
                <w:sz w:val="19"/>
              </w:rPr>
            </w:pPr>
            <w:r>
              <w:rPr>
                <w:sz w:val="19"/>
              </w:rPr>
              <w:t>24 Nov 1995</w:t>
            </w:r>
          </w:p>
        </w:tc>
        <w:tc>
          <w:tcPr>
            <w:tcW w:w="2552"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5" w:type="dxa"/>
          </w:tcPr>
          <w:p>
            <w:pPr>
              <w:pStyle w:val="nTable"/>
              <w:spacing w:after="40"/>
              <w:rPr>
                <w:sz w:val="19"/>
              </w:rPr>
            </w:pPr>
            <w:r>
              <w:rPr>
                <w:sz w:val="19"/>
              </w:rPr>
              <w:t>27 Dec 1995</w:t>
            </w:r>
          </w:p>
        </w:tc>
        <w:tc>
          <w:tcPr>
            <w:tcW w:w="255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52"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p>
        </w:tc>
        <w:tc>
          <w:tcPr>
            <w:tcW w:w="1134" w:type="dxa"/>
          </w:tcPr>
          <w:p>
            <w:pPr>
              <w:pStyle w:val="nTable"/>
              <w:spacing w:after="40"/>
              <w:rPr>
                <w:sz w:val="19"/>
              </w:rPr>
            </w:pPr>
            <w:r>
              <w:rPr>
                <w:sz w:val="19"/>
              </w:rPr>
              <w:t>54 of 1996 (as amended by No. 39 of 2004 Pt. 11)</w:t>
            </w:r>
          </w:p>
        </w:tc>
        <w:tc>
          <w:tcPr>
            <w:tcW w:w="1135" w:type="dxa"/>
          </w:tcPr>
          <w:p>
            <w:pPr>
              <w:pStyle w:val="nTable"/>
              <w:spacing w:after="40"/>
              <w:rPr>
                <w:sz w:val="19"/>
              </w:rPr>
            </w:pPr>
            <w:r>
              <w:rPr>
                <w:sz w:val="19"/>
              </w:rPr>
              <w:t>11 Nov 1996</w:t>
            </w:r>
          </w:p>
        </w:tc>
        <w:tc>
          <w:tcPr>
            <w:tcW w:w="2552" w:type="dxa"/>
            <w:gridSpan w:val="2"/>
          </w:tcPr>
          <w:p>
            <w:pPr>
              <w:pStyle w:val="nTable"/>
              <w:spacing w:after="40"/>
              <w:rPr>
                <w:sz w:val="19"/>
              </w:rPr>
            </w:pPr>
            <w:r>
              <w:rPr>
                <w:sz w:val="19"/>
              </w:rPr>
              <w:t>s. 1</w:t>
            </w:r>
            <w:r>
              <w:rPr>
                <w:sz w:val="19"/>
              </w:rPr>
              <w:noBreakHyphen/>
              <w:t xml:space="preserve">2, 5, 7, 10, 13 and 23: 7 Dec 1996 (see s. 2 and </w:t>
            </w:r>
            <w:r>
              <w:rPr>
                <w:i/>
                <w:sz w:val="19"/>
              </w:rPr>
              <w:t xml:space="preserve">Gazette </w:t>
            </w:r>
            <w:r>
              <w:rPr>
                <w:sz w:val="19"/>
              </w:rPr>
              <w:t xml:space="preserve">6 Dec 1996 p. 6699); </w:t>
            </w:r>
          </w:p>
          <w:p>
            <w:pPr>
              <w:pStyle w:val="nTable"/>
              <w:spacing w:after="40"/>
              <w:rPr>
                <w:sz w:val="19"/>
              </w:rPr>
            </w:pPr>
            <w:r>
              <w:rPr>
                <w:sz w:val="19"/>
              </w:rPr>
              <w:t>s. 3, 4, 6, 8, 11, 12 and 14</w:t>
            </w:r>
            <w:r>
              <w:rPr>
                <w:sz w:val="19"/>
              </w:rPr>
              <w:noBreakHyphen/>
              <w:t xml:space="preserve">22: 11 Feb 2006 (see s. 2 and </w:t>
            </w:r>
            <w:r>
              <w:rPr>
                <w:i/>
                <w:sz w:val="19"/>
              </w:rPr>
              <w:t>Gazette</w:t>
            </w:r>
            <w:r>
              <w:rPr>
                <w:sz w:val="19"/>
              </w:rPr>
              <w:t xml:space="preserve"> 3 Feb 2006 p. 515);</w:t>
            </w:r>
          </w:p>
          <w:p>
            <w:pPr>
              <w:pStyle w:val="nTable"/>
              <w:spacing w:after="40"/>
              <w:rPr>
                <w:sz w:val="19"/>
                <w:vertAlign w:val="superscript"/>
              </w:rPr>
            </w:pPr>
            <w:r>
              <w:rPr>
                <w:sz w:val="19"/>
              </w:rP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5" w:type="dxa"/>
          </w:tcPr>
          <w:p>
            <w:pPr>
              <w:pStyle w:val="nTable"/>
              <w:spacing w:after="40"/>
              <w:rPr>
                <w:sz w:val="19"/>
              </w:rPr>
            </w:pPr>
            <w:r>
              <w:rPr>
                <w:sz w:val="19"/>
              </w:rPr>
              <w:t>10 Jun 1997</w:t>
            </w:r>
          </w:p>
        </w:tc>
        <w:tc>
          <w:tcPr>
            <w:tcW w:w="2552" w:type="dxa"/>
            <w:gridSpan w:val="2"/>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5" w:type="dxa"/>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52</w:t>
            </w:r>
          </w:p>
        </w:tc>
        <w:tc>
          <w:tcPr>
            <w:tcW w:w="1134"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9</w:t>
            </w:r>
          </w:p>
        </w:tc>
        <w:tc>
          <w:tcPr>
            <w:tcW w:w="1134" w:type="dxa"/>
          </w:tcPr>
          <w:p>
            <w:pPr>
              <w:pStyle w:val="nTable"/>
              <w:spacing w:after="40"/>
              <w:rPr>
                <w:sz w:val="19"/>
              </w:rPr>
            </w:pPr>
            <w:r>
              <w:rPr>
                <w:sz w:val="19"/>
              </w:rPr>
              <w:t>35 of 1998</w:t>
            </w:r>
          </w:p>
        </w:tc>
        <w:tc>
          <w:tcPr>
            <w:tcW w:w="1135" w:type="dxa"/>
          </w:tcPr>
          <w:p>
            <w:pPr>
              <w:pStyle w:val="nTable"/>
              <w:spacing w:after="40"/>
              <w:rPr>
                <w:sz w:val="19"/>
              </w:rPr>
            </w:pPr>
            <w:r>
              <w:rPr>
                <w:sz w:val="19"/>
              </w:rPr>
              <w:t>6 Jul 1998</w:t>
            </w:r>
          </w:p>
        </w:tc>
        <w:tc>
          <w:tcPr>
            <w:tcW w:w="2552" w:type="dxa"/>
            <w:gridSpan w:val="2"/>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5" w:type="dxa"/>
          </w:tcPr>
          <w:p>
            <w:pPr>
              <w:pStyle w:val="nTable"/>
              <w:spacing w:after="40"/>
              <w:rPr>
                <w:sz w:val="19"/>
              </w:rPr>
            </w:pPr>
            <w:r>
              <w:rPr>
                <w:sz w:val="19"/>
              </w:rPr>
              <w:t>11 Jan 1999</w:t>
            </w:r>
          </w:p>
        </w:tc>
        <w:tc>
          <w:tcPr>
            <w:tcW w:w="2552" w:type="dxa"/>
            <w:gridSpan w:val="2"/>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5" w:type="dxa"/>
          </w:tcPr>
          <w:p>
            <w:pPr>
              <w:pStyle w:val="nTable"/>
              <w:spacing w:after="40"/>
              <w:rPr>
                <w:sz w:val="19"/>
              </w:rPr>
            </w:pPr>
            <w:r>
              <w:rPr>
                <w:sz w:val="19"/>
              </w:rPr>
              <w:t>15 Jun 1999</w:t>
            </w:r>
          </w:p>
        </w:tc>
        <w:tc>
          <w:tcPr>
            <w:tcW w:w="2552" w:type="dxa"/>
            <w:gridSpan w:val="2"/>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9" w:type="dxa"/>
            <w:gridSpan w:val="5"/>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5" w:type="dxa"/>
          </w:tcPr>
          <w:p>
            <w:pPr>
              <w:pStyle w:val="nTable"/>
              <w:keepNext/>
              <w:keepLines/>
              <w:spacing w:after="40"/>
              <w:rPr>
                <w:sz w:val="19"/>
              </w:rPr>
            </w:pPr>
            <w:r>
              <w:rPr>
                <w:sz w:val="19"/>
              </w:rPr>
              <w:t>25 Nov 1999</w:t>
            </w:r>
          </w:p>
        </w:tc>
        <w:tc>
          <w:tcPr>
            <w:tcW w:w="2552" w:type="dxa"/>
            <w:gridSpan w:val="2"/>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5" w:type="dxa"/>
          </w:tcPr>
          <w:p>
            <w:pPr>
              <w:pStyle w:val="nTable"/>
              <w:keepNext/>
              <w:keepLines/>
              <w:spacing w:after="40"/>
              <w:rPr>
                <w:sz w:val="19"/>
              </w:rPr>
            </w:pPr>
            <w:r>
              <w:rPr>
                <w:sz w:val="19"/>
              </w:rPr>
              <w:t>4 Jul 2000</w:t>
            </w:r>
          </w:p>
        </w:tc>
        <w:tc>
          <w:tcPr>
            <w:tcW w:w="2552" w:type="dxa"/>
            <w:gridSpan w:val="2"/>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5" w:type="dxa"/>
          </w:tcPr>
          <w:p>
            <w:pPr>
              <w:pStyle w:val="nTable"/>
              <w:spacing w:after="40"/>
              <w:rPr>
                <w:sz w:val="19"/>
              </w:rPr>
            </w:pPr>
            <w:r>
              <w:rPr>
                <w:sz w:val="19"/>
              </w:rPr>
              <w:t>28 Nov 2000</w:t>
            </w:r>
          </w:p>
        </w:tc>
        <w:tc>
          <w:tcPr>
            <w:tcW w:w="2552" w:type="dxa"/>
            <w:gridSpan w:val="2"/>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5" w:type="dxa"/>
          </w:tcPr>
          <w:p>
            <w:pPr>
              <w:pStyle w:val="nTable"/>
              <w:spacing w:after="40"/>
              <w:rPr>
                <w:sz w:val="19"/>
              </w:rPr>
            </w:pPr>
            <w:r>
              <w:rPr>
                <w:sz w:val="19"/>
              </w:rPr>
              <w:t>4 Dec 2000</w:t>
            </w:r>
          </w:p>
        </w:tc>
        <w:tc>
          <w:tcPr>
            <w:tcW w:w="2552" w:type="dxa"/>
            <w:gridSpan w:val="2"/>
          </w:tcPr>
          <w:p>
            <w:pPr>
              <w:pStyle w:val="nTable"/>
              <w:spacing w:after="40"/>
              <w:rPr>
                <w:sz w:val="19"/>
              </w:rPr>
            </w:pPr>
            <w:r>
              <w:rPr>
                <w:sz w:val="19"/>
              </w:rPr>
              <w:t xml:space="preserve">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5" w:type="dxa"/>
          </w:tcPr>
          <w:p>
            <w:pPr>
              <w:pStyle w:val="nTable"/>
              <w:spacing w:after="40"/>
              <w:rPr>
                <w:sz w:val="19"/>
              </w:rPr>
            </w:pPr>
            <w:r>
              <w:rPr>
                <w:sz w:val="19"/>
              </w:rPr>
              <w:t>28 Jun 2001</w:t>
            </w:r>
          </w:p>
        </w:tc>
        <w:tc>
          <w:tcPr>
            <w:tcW w:w="2552" w:type="dxa"/>
            <w:gridSpan w:val="2"/>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9" w:type="dxa"/>
            <w:gridSpan w:val="5"/>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5" w:type="dxa"/>
          </w:tcPr>
          <w:p>
            <w:pPr>
              <w:pStyle w:val="nTable"/>
              <w:spacing w:after="40"/>
              <w:rPr>
                <w:sz w:val="19"/>
              </w:rPr>
            </w:pPr>
            <w:r>
              <w:rPr>
                <w:sz w:val="19"/>
              </w:rPr>
              <w:t>8 Jul 2002</w:t>
            </w:r>
          </w:p>
        </w:tc>
        <w:tc>
          <w:tcPr>
            <w:tcW w:w="2552" w:type="dxa"/>
            <w:gridSpan w:val="2"/>
          </w:tcPr>
          <w:p>
            <w:pPr>
              <w:pStyle w:val="nTable"/>
              <w:spacing w:after="40"/>
              <w:ind w:right="113"/>
              <w:rPr>
                <w:sz w:val="19"/>
              </w:rPr>
            </w:pPr>
            <w:r>
              <w:rPr>
                <w:sz w:val="19"/>
              </w:rPr>
              <w:t xml:space="preserve">s. 23: 15 Jul 2001 (see s. 2(3) and Cwlth. </w:t>
            </w:r>
            <w:r>
              <w:rPr>
                <w:i/>
                <w:sz w:val="19"/>
              </w:rPr>
              <w:t xml:space="preserve">Gazette </w:t>
            </w:r>
            <w:r>
              <w:rPr>
                <w:sz w:val="19"/>
              </w:rPr>
              <w:t>13 Jul 2001 No. S285);</w:t>
            </w:r>
            <w:r>
              <w:rPr>
                <w:sz w:val="19"/>
              </w:rPr>
              <w:br/>
              <w:t xml:space="preserve">Act other than s. 12 and 23: 18 Jan 2003 (see s. 2(1) and (2) and </w:t>
            </w:r>
            <w:r>
              <w:rPr>
                <w:i/>
                <w:sz w:val="19"/>
              </w:rPr>
              <w:t>Gazette</w:t>
            </w:r>
            <w:r>
              <w:rPr>
                <w:sz w:val="19"/>
              </w:rPr>
              <w:t xml:space="preserve"> 17 Jan 2003 p. 105);</w:t>
            </w:r>
            <w:r>
              <w:rPr>
                <w:sz w:val="19"/>
              </w:rPr>
              <w:br/>
              <w:t xml:space="preserve">s. 12: 10 Feb 2006 (see s. 2(2) and </w:t>
            </w:r>
            <w:r>
              <w:rPr>
                <w:i/>
                <w:sz w:val="19"/>
              </w:rPr>
              <w:t>Gazette</w:t>
            </w:r>
            <w:r>
              <w:rPr>
                <w:sz w:val="19"/>
              </w:rPr>
              <w:t xml:space="preserve"> 3 Feb 2006 p. 516);</w:t>
            </w:r>
            <w:r>
              <w:rPr>
                <w:sz w:val="19"/>
              </w:rPr>
              <w:br/>
              <w:t xml:space="preserve">Proclamation published 14 Jan 2005 p. 164 revoked (see </w:t>
            </w:r>
            <w:r>
              <w:rPr>
                <w:i/>
                <w:sz w:val="19"/>
              </w:rPr>
              <w:t>Gazette</w:t>
            </w:r>
            <w:r>
              <w:rPr>
                <w:sz w:val="19"/>
              </w:rPr>
              <w:t xml:space="preserve"> 24 Mar 2005 p. 1001)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52" w:type="dxa"/>
            <w:gridSpan w:val="2"/>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5" w:type="dxa"/>
          </w:tcPr>
          <w:p>
            <w:pPr>
              <w:pStyle w:val="nTable"/>
              <w:spacing w:after="40"/>
              <w:rPr>
                <w:sz w:val="19"/>
              </w:rPr>
            </w:pPr>
            <w:r>
              <w:rPr>
                <w:sz w:val="19"/>
              </w:rPr>
              <w:t>4 Dec 2003</w:t>
            </w:r>
          </w:p>
        </w:tc>
        <w:tc>
          <w:tcPr>
            <w:tcW w:w="2552" w:type="dxa"/>
            <w:gridSpan w:val="2"/>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r>
              <w:rPr>
                <w:sz w:val="19"/>
                <w:vertAlign w:val="superscript"/>
              </w:rPr>
              <w:t>10-21</w:t>
            </w:r>
          </w:p>
        </w:tc>
        <w:tc>
          <w:tcPr>
            <w:tcW w:w="1134" w:type="dxa"/>
          </w:tcPr>
          <w:p>
            <w:pPr>
              <w:pStyle w:val="nTable"/>
              <w:spacing w:after="40"/>
              <w:rPr>
                <w:sz w:val="19"/>
              </w:rPr>
            </w:pPr>
            <w:r>
              <w:rPr>
                <w:sz w:val="19"/>
              </w:rPr>
              <w:t>39 of 2004</w:t>
            </w:r>
          </w:p>
        </w:tc>
        <w:tc>
          <w:tcPr>
            <w:tcW w:w="1135" w:type="dxa"/>
          </w:tcPr>
          <w:p>
            <w:pPr>
              <w:pStyle w:val="nTable"/>
              <w:spacing w:after="40"/>
              <w:rPr>
                <w:sz w:val="19"/>
              </w:rPr>
            </w:pPr>
            <w:r>
              <w:rPr>
                <w:sz w:val="19"/>
              </w:rPr>
              <w:t>3 Nov 2004</w:t>
            </w:r>
          </w:p>
        </w:tc>
        <w:tc>
          <w:tcPr>
            <w:tcW w:w="2552" w:type="dxa"/>
            <w:gridSpan w:val="2"/>
          </w:tcPr>
          <w:p>
            <w:pPr>
              <w:pStyle w:val="nTable"/>
              <w:spacing w:after="40"/>
              <w:ind w:right="113"/>
              <w:rPr>
                <w:snapToGrid w:val="0"/>
                <w:sz w:val="19"/>
                <w:lang w:val="en-US"/>
              </w:rPr>
            </w:pPr>
            <w:r>
              <w:rPr>
                <w:snapToGrid w:val="0"/>
                <w:sz w:val="19"/>
                <w:lang w:val="en-US"/>
              </w:rPr>
              <w:t>Act other than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p>
          <w:p>
            <w:pPr>
              <w:pStyle w:val="nTable"/>
              <w:spacing w:after="40"/>
              <w:ind w:right="113"/>
              <w:rPr>
                <w:snapToGrid w:val="0"/>
                <w:sz w:val="19"/>
                <w:lang w:val="en-US"/>
              </w:rPr>
            </w:pPr>
            <w:r>
              <w:rPr>
                <w:snapToGrid w:val="0"/>
                <w:sz w:val="19"/>
                <w:lang w:val="en-US"/>
              </w:rPr>
              <w:t xml:space="preserve">Pt. 9: 31 Mar 2007 (see s. 2 and </w:t>
            </w:r>
            <w:r>
              <w:rPr>
                <w:i/>
                <w:iCs/>
                <w:snapToGrid w:val="0"/>
                <w:sz w:val="19"/>
                <w:lang w:val="en-US"/>
              </w:rPr>
              <w:t>Gazette</w:t>
            </w:r>
            <w:r>
              <w:rPr>
                <w:snapToGrid w:val="0"/>
                <w:sz w:val="19"/>
                <w:lang w:val="en-US"/>
              </w:rPr>
              <w:t xml:space="preserve"> 9 Mar 2007 p. 847);</w:t>
            </w:r>
          </w:p>
          <w:p>
            <w:pPr>
              <w:pStyle w:val="nTable"/>
              <w:spacing w:after="40"/>
              <w:ind w:right="113"/>
              <w:rPr>
                <w:sz w:val="19"/>
              </w:rPr>
            </w:pPr>
            <w:r>
              <w:rPr>
                <w:snapToGrid w:val="0"/>
                <w:sz w:val="19"/>
                <w:lang w:val="en-US"/>
              </w:rPr>
              <w:t xml:space="preserve">Proclamation published 14 Jan 2005 p. 164 revoked (see </w:t>
            </w:r>
            <w:r>
              <w:rPr>
                <w:i/>
                <w:iCs/>
                <w:snapToGrid w:val="0"/>
                <w:sz w:val="19"/>
                <w:lang w:val="en-US"/>
              </w:rPr>
              <w:t>Gazette</w:t>
            </w:r>
            <w:r>
              <w:rPr>
                <w:snapToGrid w:val="0"/>
                <w:sz w:val="19"/>
                <w:lang w:val="en-US"/>
              </w:rPr>
              <w:t xml:space="preserve"> 24 Mar 2005 p. 1002)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5" w:type="dxa"/>
          </w:tcPr>
          <w:p>
            <w:pPr>
              <w:pStyle w:val="nTable"/>
              <w:spacing w:after="40"/>
              <w:rPr>
                <w:sz w:val="19"/>
              </w:rPr>
            </w:pPr>
            <w:r>
              <w:rPr>
                <w:sz w:val="19"/>
              </w:rPr>
              <w:t>9 Nov 2004</w:t>
            </w:r>
          </w:p>
        </w:tc>
        <w:tc>
          <w:tcPr>
            <w:tcW w:w="2552" w:type="dxa"/>
            <w:gridSpan w:val="2"/>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2" w:type="dxa"/>
            <w:gridSpan w:val="2"/>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67 Subdiv. 2</w:t>
            </w:r>
            <w:r>
              <w:rPr>
                <w:rFonts w:ascii="Times" w:hAnsi="Times"/>
                <w:sz w:val="19"/>
                <w:vertAlign w:val="superscript"/>
              </w:rPr>
              <w:t> 22</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5"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5"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gridSpan w:val="2"/>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 </w:t>
            </w:r>
          </w:p>
        </w:tc>
        <w:tc>
          <w:tcPr>
            <w:tcW w:w="1134" w:type="dxa"/>
          </w:tcPr>
          <w:p>
            <w:pPr>
              <w:pStyle w:val="nTable"/>
              <w:spacing w:after="40"/>
              <w:rPr>
                <w:snapToGrid w:val="0"/>
                <w:sz w:val="19"/>
                <w:lang w:val="en-US"/>
              </w:rPr>
            </w:pPr>
            <w:r>
              <w:rPr>
                <w:snapToGrid w:val="0"/>
                <w:sz w:val="19"/>
                <w:lang w:val="en-US"/>
              </w:rPr>
              <w:t>84 of 2004</w:t>
            </w:r>
          </w:p>
        </w:tc>
        <w:tc>
          <w:tcPr>
            <w:tcW w:w="1135" w:type="dxa"/>
          </w:tcPr>
          <w:p>
            <w:pPr>
              <w:pStyle w:val="nTable"/>
              <w:spacing w:after="40"/>
              <w:rPr>
                <w:sz w:val="19"/>
              </w:rPr>
            </w:pPr>
            <w:r>
              <w:rPr>
                <w:sz w:val="19"/>
              </w:rPr>
              <w:t>16 Dec 2004</w:t>
            </w:r>
          </w:p>
        </w:tc>
        <w:tc>
          <w:tcPr>
            <w:tcW w:w="2552"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34" w:type="dxa"/>
          </w:tcPr>
          <w:p>
            <w:pPr>
              <w:pStyle w:val="nTable"/>
              <w:spacing w:after="40"/>
              <w:rPr>
                <w:sz w:val="19"/>
              </w:rPr>
            </w:pPr>
            <w:r>
              <w:rPr>
                <w:sz w:val="19"/>
              </w:rPr>
              <w:t>24 of 2005</w:t>
            </w:r>
          </w:p>
        </w:tc>
        <w:tc>
          <w:tcPr>
            <w:tcW w:w="1135"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s. 61: 1 Jan 2006 (see s. 2 and </w:t>
            </w:r>
            <w:r>
              <w:rPr>
                <w:i/>
                <w:sz w:val="19"/>
              </w:rPr>
              <w:t>Gazette</w:t>
            </w:r>
            <w:r>
              <w:rPr>
                <w:sz w:val="19"/>
              </w:rPr>
              <w:t xml:space="preserve"> 23 Dec 2005 p. 6244);</w:t>
            </w:r>
          </w:p>
          <w:p>
            <w:pPr>
              <w:pStyle w:val="nTable"/>
              <w:spacing w:after="40"/>
              <w:rPr>
                <w:sz w:val="19"/>
              </w:rPr>
            </w:pPr>
            <w:r>
              <w:rPr>
                <w:sz w:val="19"/>
              </w:rPr>
              <w:t xml:space="preserve">s. 62: 31 Mar 2007 (see s. 2(3) and </w:t>
            </w:r>
            <w:r>
              <w:rPr>
                <w:i/>
                <w:iCs/>
                <w:sz w:val="19"/>
              </w:rPr>
              <w:t>Gazette</w:t>
            </w:r>
            <w:r>
              <w:rPr>
                <w:sz w:val="19"/>
              </w:rPr>
              <w:t xml:space="preserve"> 9 Mar 2007 p. 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9" w:type="dxa"/>
            <w:gridSpan w:val="5"/>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(includes amendments listed above)</w:t>
            </w:r>
          </w:p>
        </w:tc>
      </w:tr>
      <w:tr>
        <w:trPr>
          <w:gridAfter w:val="1"/>
          <w:wAfter w:w="25" w:type="dxa"/>
          <w:cantSplit/>
          <w:ins w:id="2119" w:author="svcMRProcess" w:date="2020-02-19T00:00:00Z"/>
        </w:trPr>
        <w:tc>
          <w:tcPr>
            <w:tcW w:w="2273" w:type="dxa"/>
            <w:tcBorders>
              <w:bottom w:val="single" w:sz="4" w:space="0" w:color="auto"/>
            </w:tcBorders>
          </w:tcPr>
          <w:p>
            <w:pPr>
              <w:pStyle w:val="nTable"/>
              <w:spacing w:after="40"/>
              <w:rPr>
                <w:ins w:id="2120" w:author="svcMRProcess" w:date="2020-02-19T00:00:00Z"/>
                <w:i/>
                <w:snapToGrid w:val="0"/>
                <w:sz w:val="19"/>
                <w:lang w:val="en-US"/>
              </w:rPr>
            </w:pPr>
            <w:ins w:id="2121" w:author="svcMRProcess" w:date="2020-02-19T00:00:00Z">
              <w:r>
                <w:rPr>
                  <w:i/>
                  <w:snapToGrid w:val="0"/>
                  <w:sz w:val="19"/>
                </w:rPr>
                <w:t>Petroleum Amendment Act 2007</w:t>
              </w:r>
              <w:r>
                <w:rPr>
                  <w:iCs/>
                  <w:snapToGrid w:val="0"/>
                  <w:sz w:val="19"/>
                </w:rPr>
                <w:t xml:space="preserve"> s. 100</w:t>
              </w:r>
            </w:ins>
          </w:p>
        </w:tc>
        <w:tc>
          <w:tcPr>
            <w:tcW w:w="1134" w:type="dxa"/>
            <w:tcBorders>
              <w:bottom w:val="single" w:sz="4" w:space="0" w:color="auto"/>
            </w:tcBorders>
          </w:tcPr>
          <w:p>
            <w:pPr>
              <w:pStyle w:val="nTable"/>
              <w:keepNext/>
              <w:spacing w:after="40"/>
              <w:rPr>
                <w:ins w:id="2122" w:author="svcMRProcess" w:date="2020-02-19T00:00:00Z"/>
                <w:snapToGrid w:val="0"/>
                <w:sz w:val="19"/>
                <w:lang w:val="en-US"/>
              </w:rPr>
            </w:pPr>
            <w:ins w:id="2123" w:author="svcMRProcess" w:date="2020-02-19T00:00:00Z">
              <w:r>
                <w:rPr>
                  <w:sz w:val="19"/>
                </w:rPr>
                <w:t>35 of 2007</w:t>
              </w:r>
            </w:ins>
          </w:p>
        </w:tc>
        <w:tc>
          <w:tcPr>
            <w:tcW w:w="1134" w:type="dxa"/>
            <w:tcBorders>
              <w:bottom w:val="single" w:sz="4" w:space="0" w:color="auto"/>
            </w:tcBorders>
          </w:tcPr>
          <w:p>
            <w:pPr>
              <w:pStyle w:val="nTable"/>
              <w:spacing w:after="40"/>
              <w:rPr>
                <w:ins w:id="2124" w:author="svcMRProcess" w:date="2020-02-19T00:00:00Z"/>
                <w:snapToGrid w:val="0"/>
                <w:sz w:val="19"/>
                <w:lang w:val="en-US"/>
              </w:rPr>
            </w:pPr>
            <w:ins w:id="2125" w:author="svcMRProcess" w:date="2020-02-19T00:00:00Z">
              <w:r>
                <w:rPr>
                  <w:sz w:val="19"/>
                </w:rPr>
                <w:t>21 Dec 2007</w:t>
              </w:r>
            </w:ins>
          </w:p>
        </w:tc>
        <w:tc>
          <w:tcPr>
            <w:tcW w:w="2551" w:type="dxa"/>
            <w:tcBorders>
              <w:bottom w:val="single" w:sz="4" w:space="0" w:color="auto"/>
            </w:tcBorders>
          </w:tcPr>
          <w:p>
            <w:pPr>
              <w:pStyle w:val="nTable"/>
              <w:spacing w:after="40"/>
              <w:rPr>
                <w:ins w:id="2126" w:author="svcMRProcess" w:date="2020-02-19T00:00:00Z"/>
                <w:snapToGrid w:val="0"/>
                <w:sz w:val="19"/>
                <w:lang w:val="en-US"/>
              </w:rPr>
            </w:pPr>
            <w:ins w:id="2127" w:author="svcMRProcess" w:date="2020-02-19T00:00:00Z">
              <w:r>
                <w:rPr>
                  <w:sz w:val="19"/>
                </w:rPr>
                <w:t xml:space="preserve">19 Jan 2008 (see s. 2(b) and </w:t>
              </w:r>
              <w:r>
                <w:rPr>
                  <w:i/>
                  <w:iCs/>
                  <w:sz w:val="19"/>
                </w:rPr>
                <w:t>Gazette</w:t>
              </w:r>
              <w:r>
                <w:rPr>
                  <w:sz w:val="19"/>
                </w:rPr>
                <w:t xml:space="preserve"> 18 Jan 2008 p. 147)</w:t>
              </w:r>
            </w:ins>
          </w:p>
        </w:tc>
      </w:tr>
    </w:tbl>
    <w:p>
      <w:pPr>
        <w:pStyle w:val="nSubsection"/>
        <w:spacing w:before="360"/>
        <w:ind w:left="482" w:hanging="482"/>
      </w:pPr>
      <w:r>
        <w:rPr>
          <w:vertAlign w:val="superscript"/>
        </w:rPr>
        <w:t>1a</w:t>
      </w:r>
      <w:r>
        <w:tab/>
        <w:t>On the date as at which thi</w:t>
      </w:r>
      <w:bookmarkStart w:id="2128" w:name="_Hlt507390729"/>
      <w:bookmarkEnd w:id="2128"/>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2129" w:name="_Toc511102521"/>
      <w:bookmarkStart w:id="2130" w:name="_Toc38853889"/>
      <w:bookmarkStart w:id="2131" w:name="_Toc124061268"/>
      <w:bookmarkStart w:id="2132" w:name="_Toc188695552"/>
      <w:bookmarkStart w:id="2133" w:name="_Toc187053491"/>
      <w:r>
        <w:t>Provisions that have not come into operation</w:t>
      </w:r>
      <w:bookmarkEnd w:id="2129"/>
      <w:bookmarkEnd w:id="2130"/>
      <w:bookmarkEnd w:id="2131"/>
      <w:bookmarkEnd w:id="2132"/>
      <w:bookmarkEnd w:id="2133"/>
    </w:p>
    <w:tbl>
      <w:tblPr>
        <w:tblW w:w="0" w:type="auto"/>
        <w:tblInd w:w="28" w:type="dxa"/>
        <w:tblLayout w:type="fixed"/>
        <w:tblCellMar>
          <w:left w:w="56" w:type="dxa"/>
          <w:right w:w="56" w:type="dxa"/>
        </w:tblCellMar>
        <w:tblLook w:val="0000" w:firstRow="0" w:lastRow="0" w:firstColumn="0" w:lastColumn="0" w:noHBand="0" w:noVBand="0"/>
      </w:tblPr>
      <w:tblGrid>
        <w:gridCol w:w="2268"/>
        <w:gridCol w:w="1133"/>
        <w:gridCol w:w="1133"/>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Pr>
          <w:p>
            <w:pPr>
              <w:pStyle w:val="nTable"/>
              <w:spacing w:after="40"/>
              <w:ind w:right="113"/>
              <w:rPr>
                <w:i/>
                <w:snapToGrid w:val="0"/>
                <w:sz w:val="19"/>
                <w:vertAlign w:val="superscript"/>
              </w:rPr>
            </w:pPr>
            <w:r>
              <w:rPr>
                <w:i/>
                <w:snapToGrid w:val="0"/>
                <w:sz w:val="19"/>
              </w:rPr>
              <w:t xml:space="preserve">Mining Amendment Act 1996 </w:t>
            </w:r>
            <w:r>
              <w:rPr>
                <w:snapToGrid w:val="0"/>
                <w:sz w:val="19"/>
              </w:rPr>
              <w:t>s. 9</w:t>
            </w:r>
            <w:r>
              <w:rPr>
                <w:i/>
                <w:snapToGrid w:val="0"/>
                <w:sz w:val="19"/>
              </w:rPr>
              <w:t> </w:t>
            </w:r>
            <w:r>
              <w:rPr>
                <w:snapToGrid w:val="0"/>
                <w:sz w:val="19"/>
                <w:vertAlign w:val="superscript"/>
              </w:rPr>
              <w:t>23</w:t>
            </w:r>
          </w:p>
        </w:tc>
        <w:tc>
          <w:tcPr>
            <w:tcW w:w="1133" w:type="dxa"/>
          </w:tcPr>
          <w:p>
            <w:pPr>
              <w:pStyle w:val="nTable"/>
              <w:keepNext/>
              <w:spacing w:after="40"/>
              <w:rPr>
                <w:sz w:val="19"/>
              </w:rPr>
            </w:pPr>
            <w:r>
              <w:rPr>
                <w:sz w:val="19"/>
              </w:rPr>
              <w:t>54 of 1996</w:t>
            </w:r>
          </w:p>
        </w:tc>
        <w:tc>
          <w:tcPr>
            <w:tcW w:w="1133" w:type="dxa"/>
          </w:tcPr>
          <w:p>
            <w:pPr>
              <w:pStyle w:val="nTable"/>
              <w:keepNext/>
              <w:spacing w:after="40"/>
              <w:rPr>
                <w:sz w:val="19"/>
              </w:rPr>
            </w:pPr>
            <w:r>
              <w:rPr>
                <w:sz w:val="19"/>
              </w:rPr>
              <w:t>11 Nov 1996</w:t>
            </w:r>
          </w:p>
        </w:tc>
        <w:tc>
          <w:tcPr>
            <w:tcW w:w="2551" w:type="dxa"/>
          </w:tcPr>
          <w:p>
            <w:pPr>
              <w:pStyle w:val="nTable"/>
              <w:keepNext/>
              <w:spacing w:after="40"/>
              <w:rPr>
                <w:sz w:val="19"/>
              </w:rPr>
            </w:pPr>
            <w:r>
              <w:rPr>
                <w:sz w:val="19"/>
              </w:rPr>
              <w:t xml:space="preserve">To be proclaimed (see s. 2) </w:t>
            </w:r>
          </w:p>
        </w:tc>
      </w:tr>
      <w:tr>
        <w:trPr>
          <w:cantSplit/>
        </w:trPr>
        <w:tc>
          <w:tcPr>
            <w:tcW w:w="2268" w:type="dxa"/>
          </w:tcPr>
          <w:p>
            <w:pPr>
              <w:pStyle w:val="nTable"/>
              <w:spacing w:after="40"/>
              <w:ind w:right="113"/>
              <w:rPr>
                <w:snapToGrid w:val="0"/>
                <w:sz w:val="19"/>
              </w:rPr>
            </w:pPr>
            <w:r>
              <w:rPr>
                <w:i/>
                <w:snapToGrid w:val="0"/>
                <w:sz w:val="19"/>
              </w:rPr>
              <w:t>Native Title (State Provisions) Act 1999</w:t>
            </w:r>
            <w:r>
              <w:rPr>
                <w:snapToGrid w:val="0"/>
                <w:sz w:val="19"/>
              </w:rPr>
              <w:t>, s. 7.3</w:t>
            </w:r>
            <w:r>
              <w:rPr>
                <w:snapToGrid w:val="0"/>
                <w:sz w:val="19"/>
                <w:vertAlign w:val="superscript"/>
              </w:rPr>
              <w:t> 24</w:t>
            </w:r>
          </w:p>
        </w:tc>
        <w:tc>
          <w:tcPr>
            <w:tcW w:w="1133" w:type="dxa"/>
          </w:tcPr>
          <w:p>
            <w:pPr>
              <w:pStyle w:val="nTable"/>
              <w:keepNext/>
              <w:spacing w:after="40"/>
              <w:rPr>
                <w:sz w:val="19"/>
              </w:rPr>
            </w:pPr>
            <w:r>
              <w:rPr>
                <w:sz w:val="19"/>
              </w:rPr>
              <w:t>60 of 1999</w:t>
            </w:r>
          </w:p>
        </w:tc>
        <w:tc>
          <w:tcPr>
            <w:tcW w:w="1133" w:type="dxa"/>
          </w:tcPr>
          <w:p>
            <w:pPr>
              <w:pStyle w:val="nTable"/>
              <w:keepNext/>
              <w:spacing w:after="40"/>
              <w:rPr>
                <w:sz w:val="19"/>
              </w:rPr>
            </w:pPr>
            <w:r>
              <w:rPr>
                <w:sz w:val="19"/>
              </w:rPr>
              <w:t>10 Jan 2000</w:t>
            </w:r>
          </w:p>
        </w:tc>
        <w:tc>
          <w:tcPr>
            <w:tcW w:w="2551" w:type="dxa"/>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4" w:space="0" w:color="auto"/>
            </w:tcBorders>
          </w:tcPr>
          <w:p>
            <w:pPr>
              <w:pStyle w:val="nTable"/>
              <w:spacing w:after="40"/>
              <w:rPr>
                <w:sz w:val="19"/>
              </w:rPr>
            </w:pPr>
            <w:r>
              <w:rPr>
                <w:i/>
                <w:sz w:val="19"/>
              </w:rPr>
              <w:t>Offshore Minerals (Consequential Amendments) Act 2003</w:t>
            </w:r>
            <w:r>
              <w:rPr>
                <w:sz w:val="19"/>
              </w:rPr>
              <w:t xml:space="preserve"> Pt. 2</w:t>
            </w:r>
            <w:r>
              <w:rPr>
                <w:sz w:val="19"/>
                <w:vertAlign w:val="superscript"/>
              </w:rPr>
              <w:t> 25</w:t>
            </w:r>
          </w:p>
        </w:tc>
        <w:tc>
          <w:tcPr>
            <w:tcW w:w="1133" w:type="dxa"/>
            <w:tcBorders>
              <w:bottom w:val="single" w:sz="4" w:space="0" w:color="auto"/>
            </w:tcBorders>
          </w:tcPr>
          <w:p>
            <w:pPr>
              <w:pStyle w:val="nTable"/>
              <w:spacing w:after="40"/>
              <w:rPr>
                <w:sz w:val="19"/>
              </w:rPr>
            </w:pPr>
            <w:r>
              <w:rPr>
                <w:sz w:val="19"/>
              </w:rPr>
              <w:t>12 of 2003</w:t>
            </w:r>
          </w:p>
        </w:tc>
        <w:tc>
          <w:tcPr>
            <w:tcW w:w="1133" w:type="dxa"/>
            <w:tcBorders>
              <w:bottom w:val="single" w:sz="4" w:space="0" w:color="auto"/>
            </w:tcBorders>
          </w:tcPr>
          <w:p>
            <w:pPr>
              <w:pStyle w:val="nTable"/>
              <w:spacing w:after="40"/>
              <w:rPr>
                <w:sz w:val="19"/>
              </w:rPr>
            </w:pPr>
            <w:r>
              <w:rPr>
                <w:sz w:val="19"/>
              </w:rPr>
              <w:t>17 Apr 2003</w:t>
            </w:r>
          </w:p>
        </w:tc>
        <w:tc>
          <w:tcPr>
            <w:tcW w:w="2551" w:type="dxa"/>
            <w:tcBorders>
              <w:bottom w:val="single" w:sz="4" w:space="0" w:color="auto"/>
            </w:tcBorders>
          </w:tcPr>
          <w:p>
            <w:pPr>
              <w:pStyle w:val="nTable"/>
              <w:spacing w:after="40"/>
              <w:rPr>
                <w:sz w:val="19"/>
              </w:rPr>
            </w:pPr>
            <w:r>
              <w:rPr>
                <w:sz w:val="19"/>
              </w:rPr>
              <w:t>Operative on commencement of No. 10 of 2003 (see s. 2)</w:t>
            </w:r>
          </w:p>
        </w:tc>
      </w:tr>
      <w:tr>
        <w:trPr>
          <w:cantSplit/>
          <w:del w:id="2134" w:author="svcMRProcess" w:date="2020-02-19T00:00:00Z"/>
        </w:trPr>
        <w:tc>
          <w:tcPr>
            <w:tcW w:w="2268" w:type="dxa"/>
            <w:tcBorders>
              <w:bottom w:val="single" w:sz="4" w:space="0" w:color="auto"/>
            </w:tcBorders>
          </w:tcPr>
          <w:p>
            <w:pPr>
              <w:pStyle w:val="nTable"/>
              <w:spacing w:after="40"/>
              <w:rPr>
                <w:del w:id="2135" w:author="svcMRProcess" w:date="2020-02-19T00:00:00Z"/>
                <w:i/>
                <w:sz w:val="19"/>
              </w:rPr>
            </w:pPr>
            <w:del w:id="2136" w:author="svcMRProcess" w:date="2020-02-19T00:00:00Z">
              <w:r>
                <w:rPr>
                  <w:i/>
                  <w:snapToGrid w:val="0"/>
                  <w:sz w:val="19"/>
                </w:rPr>
                <w:delText>Petroleum Amendment Act 2007</w:delText>
              </w:r>
              <w:r>
                <w:rPr>
                  <w:iCs/>
                  <w:snapToGrid w:val="0"/>
                  <w:sz w:val="19"/>
                </w:rPr>
                <w:delText xml:space="preserve"> s. 100 </w:delText>
              </w:r>
              <w:r>
                <w:rPr>
                  <w:iCs/>
                  <w:snapToGrid w:val="0"/>
                  <w:sz w:val="19"/>
                  <w:vertAlign w:val="superscript"/>
                </w:rPr>
                <w:delText>29</w:delText>
              </w:r>
            </w:del>
          </w:p>
        </w:tc>
        <w:tc>
          <w:tcPr>
            <w:tcW w:w="1133" w:type="dxa"/>
            <w:tcBorders>
              <w:bottom w:val="single" w:sz="4" w:space="0" w:color="auto"/>
            </w:tcBorders>
          </w:tcPr>
          <w:p>
            <w:pPr>
              <w:pStyle w:val="nTable"/>
              <w:spacing w:after="40"/>
              <w:rPr>
                <w:del w:id="2137" w:author="svcMRProcess" w:date="2020-02-19T00:00:00Z"/>
                <w:sz w:val="19"/>
              </w:rPr>
            </w:pPr>
            <w:del w:id="2138" w:author="svcMRProcess" w:date="2020-02-19T00:00:00Z">
              <w:r>
                <w:rPr>
                  <w:sz w:val="19"/>
                </w:rPr>
                <w:delText>35 of 2007</w:delText>
              </w:r>
            </w:del>
          </w:p>
        </w:tc>
        <w:tc>
          <w:tcPr>
            <w:tcW w:w="1133" w:type="dxa"/>
            <w:tcBorders>
              <w:bottom w:val="single" w:sz="4" w:space="0" w:color="auto"/>
            </w:tcBorders>
          </w:tcPr>
          <w:p>
            <w:pPr>
              <w:pStyle w:val="nTable"/>
              <w:spacing w:after="40"/>
              <w:rPr>
                <w:del w:id="2139" w:author="svcMRProcess" w:date="2020-02-19T00:00:00Z"/>
                <w:sz w:val="19"/>
              </w:rPr>
            </w:pPr>
            <w:del w:id="2140" w:author="svcMRProcess" w:date="2020-02-19T00:00:00Z">
              <w:r>
                <w:rPr>
                  <w:sz w:val="19"/>
                </w:rPr>
                <w:delText>21 Dec 2007</w:delText>
              </w:r>
            </w:del>
          </w:p>
        </w:tc>
        <w:tc>
          <w:tcPr>
            <w:tcW w:w="2551" w:type="dxa"/>
            <w:tcBorders>
              <w:bottom w:val="single" w:sz="4" w:space="0" w:color="auto"/>
            </w:tcBorders>
          </w:tcPr>
          <w:p>
            <w:pPr>
              <w:pStyle w:val="nTable"/>
              <w:spacing w:after="40"/>
              <w:rPr>
                <w:del w:id="2141" w:author="svcMRProcess" w:date="2020-02-19T00:00:00Z"/>
                <w:sz w:val="19"/>
              </w:rPr>
            </w:pPr>
            <w:del w:id="2142" w:author="svcMRProcess" w:date="2020-02-19T00:00:00Z">
              <w:r>
                <w:rPr>
                  <w:sz w:val="19"/>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vertAlign w:val="superscript"/>
        </w:rPr>
        <w:t>5</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6</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MiscOpen"/>
        <w:spacing w:before="60"/>
        <w:rPr>
          <w:snapToGrid w:val="0"/>
        </w:rPr>
      </w:pPr>
      <w:r>
        <w:rPr>
          <w:snapToGrid w:val="0"/>
        </w:rPr>
        <w:t>“</w:t>
      </w:r>
    </w:p>
    <w:p>
      <w:pPr>
        <w:pStyle w:val="nzHeading5"/>
        <w:spacing w:before="0"/>
        <w:rPr>
          <w:snapToGrid w:val="0"/>
        </w:rPr>
      </w:pPr>
      <w:r>
        <w:rPr>
          <w:snapToGrid w:val="0"/>
        </w:rPr>
        <w:t>40.</w:t>
      </w:r>
      <w:r>
        <w:rPr>
          <w:snapToGrid w:val="0"/>
        </w:rPr>
        <w:tab/>
        <w:t xml:space="preserve">Savings and transitional </w:t>
      </w:r>
    </w:p>
    <w:p>
      <w:pPr>
        <w:pStyle w:val="nzSubsection"/>
        <w:keepNext/>
        <w:rPr>
          <w:snapToGrid w:val="0"/>
        </w:rPr>
      </w:pPr>
      <w:r>
        <w:rPr>
          <w:snapToGrid w:val="0"/>
        </w:rPr>
        <w:tab/>
        <w:t>(1)</w:t>
      </w:r>
      <w:r>
        <w:rPr>
          <w:snapToGrid w:val="0"/>
        </w:rPr>
        <w:tab/>
        <w:t>Notwithstanding sections 15, 16, 17, 19 and 34 but subject to this section — </w:t>
      </w:r>
    </w:p>
    <w:p>
      <w:pPr>
        <w:pStyle w:val="nzIndenta"/>
        <w:rPr>
          <w:snapToGrid w:val="0"/>
        </w:rPr>
      </w:pPr>
      <w:r>
        <w:rPr>
          <w:snapToGrid w:val="0"/>
        </w:rPr>
        <w:tab/>
        <w:t>(a)</w:t>
      </w:r>
      <w:r>
        <w:rPr>
          <w:snapToGrid w:val="0"/>
        </w:rPr>
        <w:tab/>
        <w:t>the amendments to the principal Act effected by those sections do not have effect in relation to —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spacing w:before="120"/>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spacing w:before="120"/>
        <w:rPr>
          <w:snapToGrid w:val="0"/>
        </w:rPr>
      </w:pPr>
      <w:r>
        <w:rPr>
          <w:snapToGrid w:val="0"/>
        </w:rPr>
        <w:tab/>
        <w:t>(3)</w:t>
      </w:r>
      <w:r>
        <w:rPr>
          <w:snapToGrid w:val="0"/>
        </w:rPr>
        <w:tab/>
        <w:t>In this section — </w:t>
      </w:r>
    </w:p>
    <w:p>
      <w:pPr>
        <w:pStyle w:val="nzDefstart"/>
      </w:pPr>
      <w:r>
        <w:rPr>
          <w:b/>
        </w:rPr>
        <w:tab/>
        <w:t xml:space="preserve">“block” </w:t>
      </w:r>
      <w:r>
        <w:t>means a block as described in section 56C of the principal Act as in force after the commencement of section 15 of this Act;</w:t>
      </w:r>
    </w:p>
    <w:p>
      <w:pPr>
        <w:pStyle w:val="nzDefstart"/>
      </w:pPr>
      <w:r>
        <w:rPr>
          <w:b/>
        </w:rPr>
        <w:tab/>
        <w:t>“commencement day”</w:t>
      </w:r>
      <w:r>
        <w:t xml:space="preserve"> means the day on which sections 15, 16, 17, 19 and 34 of this Act come into operation;</w:t>
      </w:r>
    </w:p>
    <w:p>
      <w:pPr>
        <w:pStyle w:val="nzDefstart"/>
      </w:pPr>
      <w:r>
        <w:rPr>
          <w:b/>
        </w:rPr>
        <w:tab/>
        <w:t>“existing licence”</w:t>
      </w:r>
      <w:r>
        <w:t xml:space="preserve"> means an exploration licence referred to in subsection (1)(a)(i) or (iii).</w:t>
      </w:r>
    </w:p>
    <w:p>
      <w:pPr>
        <w:pStyle w:val="nzSubsection"/>
        <w:spacing w:before="120"/>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MiscClose"/>
        <w:rPr>
          <w:snapToGrid w:val="0"/>
          <w:vertAlign w:val="superscript"/>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Mining Amendment Act 1993 </w:t>
      </w:r>
      <w:r>
        <w:rPr>
          <w:snapToGrid w:val="0"/>
        </w:rPr>
        <w:t>s. 5(2) reads as follows:</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19(2) reads as follows:</w:t>
      </w:r>
    </w:p>
    <w:p>
      <w:pPr>
        <w:pStyle w:val="MiscOpen"/>
        <w:rPr>
          <w:snapToGrid w:val="0"/>
        </w:rPr>
      </w:pPr>
      <w:r>
        <w:rPr>
          <w:snapToGrid w:val="0"/>
        </w:rPr>
        <w:t>“</w:t>
      </w:r>
    </w:p>
    <w:p>
      <w:pPr>
        <w:pStyle w:val="nzSubsection"/>
        <w:keepNext/>
        <w:spacing w:before="0"/>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rPr>
          <w:snapToGrid w:val="0"/>
        </w:rPr>
      </w:pPr>
      <w:r>
        <w:rPr>
          <w:snapToGrid w:val="0"/>
        </w:rPr>
        <w:tab/>
      </w:r>
      <w:r>
        <w:rPr>
          <w:snapToGrid w:val="0"/>
        </w:rPr>
        <w:tab/>
        <w:t>had been in operation when the act or thing was done.</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 xml:space="preserve">Mining Amendment Act 1993 </w:t>
      </w:r>
      <w:r>
        <w:rPr>
          <w:snapToGrid w:val="0"/>
        </w:rPr>
        <w:t>s. 28(2) reads as follows: </w:t>
      </w:r>
    </w:p>
    <w:p>
      <w:pPr>
        <w:pStyle w:val="MiscOpen"/>
        <w:rPr>
          <w:snapToGrid w:val="0"/>
        </w:rPr>
      </w:pPr>
      <w:r>
        <w:rPr>
          <w:snapToGrid w:val="0"/>
        </w:rPr>
        <w:t>“</w:t>
      </w:r>
    </w:p>
    <w:p>
      <w:pPr>
        <w:pStyle w:val="nzSubsection"/>
        <w:spacing w:before="120"/>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 xml:space="preserve">Mining Amendment Act 1993 </w:t>
      </w:r>
      <w:r>
        <w:rPr>
          <w:snapToGrid w:val="0"/>
        </w:rPr>
        <w:t>s. 30(3) reads as follows:</w:t>
      </w:r>
    </w:p>
    <w:p>
      <w:pPr>
        <w:pStyle w:val="MiscOpen"/>
        <w:rPr>
          <w:snapToGrid w:val="0"/>
        </w:rPr>
      </w:pPr>
      <w:r>
        <w:rPr>
          <w:snapToGrid w:val="0"/>
        </w:rPr>
        <w:t>“</w:t>
      </w:r>
    </w:p>
    <w:p>
      <w:pPr>
        <w:pStyle w:val="nzSubsection"/>
        <w:rPr>
          <w:snapToGrid w:val="0"/>
        </w:rPr>
      </w:pPr>
      <w:r>
        <w:rPr>
          <w:snapToGrid w:val="0"/>
        </w:rPr>
        <w:tab/>
        <w:t>(3)</w:t>
      </w:r>
      <w:r>
        <w:rPr>
          <w:snapToGrid w:val="0"/>
        </w:rPr>
        <w:tab/>
        <w:t>Notwithstanding section 40 of the principal Act as amended by this section —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Mining Amendment Act 1994 </w:t>
      </w:r>
      <w:r>
        <w:rPr>
          <w:snapToGrid w:val="0"/>
        </w:rPr>
        <w:t>s. 21(5) reads as follows:</w:t>
      </w:r>
    </w:p>
    <w:p>
      <w:pPr>
        <w:pStyle w:val="MiscOpen"/>
        <w:rPr>
          <w:snapToGrid w:val="0"/>
        </w:rPr>
      </w:pPr>
      <w:r>
        <w:rPr>
          <w:snapToGrid w:val="0"/>
        </w:rPr>
        <w:t>“</w:t>
      </w: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MiscClose"/>
        <w:rPr>
          <w:snapToGrid w:val="0"/>
        </w:rPr>
      </w:pPr>
      <w:r>
        <w:rPr>
          <w:snapToGrid w:val="0"/>
        </w:rPr>
        <w:t>”.</w:t>
      </w: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MiscOpen"/>
        <w:rPr>
          <w:snapToGrid w:val="0"/>
        </w:rPr>
      </w:pPr>
      <w:r>
        <w:rPr>
          <w:snapToGrid w:val="0"/>
        </w:rPr>
        <w:t>“</w:t>
      </w: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MiscClose"/>
      </w:pPr>
      <w:r>
        <w:t>”.</w:t>
      </w: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MiscOpen"/>
        <w:rPr>
          <w:snapToGrid w:val="0"/>
        </w:rPr>
      </w:pPr>
      <w:r>
        <w:rPr>
          <w:snapToGrid w:val="0"/>
        </w:rPr>
        <w:t>“</w:t>
      </w: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 </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b/>
          <w:snapToGrid w:val="0"/>
        </w:rPr>
        <w:t>“</w:t>
      </w:r>
      <w:r>
        <w:rPr>
          <w:b/>
          <w:bCs/>
        </w:rPr>
        <w:t>existing licence</w:t>
      </w:r>
      <w:r>
        <w:rPr>
          <w:b/>
          <w:snapToGrid w:val="0"/>
        </w:rPr>
        <w:t>”</w:t>
      </w:r>
      <w:r>
        <w:rPr>
          <w:snapToGrid w:val="0"/>
        </w:rPr>
        <w:t xml:space="preserve"> means an exploration licence referred to in section 40(1)(a)(i) or (iii) of the </w:t>
      </w:r>
      <w:r>
        <w:rPr>
          <w:i/>
          <w:snapToGrid w:val="0"/>
        </w:rPr>
        <w:t>Mining Amendment Act 1990</w:t>
      </w:r>
      <w:r>
        <w:rPr>
          <w:snapToGrid w:val="0"/>
        </w:rPr>
        <w: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9</w:t>
      </w:r>
      <w:r>
        <w:rPr>
          <w:snapToGrid w:val="0"/>
        </w:rPr>
        <w:tab/>
        <w:t xml:space="preserve">The </w:t>
      </w:r>
      <w:r>
        <w:rPr>
          <w:i/>
          <w:snapToGrid w:val="0"/>
        </w:rPr>
        <w:t xml:space="preserve">Mining Amendment Act 1998 </w:t>
      </w:r>
      <w:r>
        <w:rPr>
          <w:snapToGrid w:val="0"/>
        </w:rPr>
        <w:t>s. 4(3) reads as follows:</w:t>
      </w:r>
    </w:p>
    <w:p>
      <w:pPr>
        <w:pStyle w:val="MiscOpen"/>
        <w:rPr>
          <w:snapToGrid w:val="0"/>
        </w:rPr>
      </w:pPr>
      <w:r>
        <w:rPr>
          <w:snapToGrid w:val="0"/>
        </w:rPr>
        <w:t>“</w:t>
      </w: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rPr>
        <w:t>Mining Amendment Act 2004</w:t>
      </w:r>
      <w:r>
        <w:rPr>
          <w:snapToGrid w:val="0"/>
        </w:rPr>
        <w:t xml:space="preserve"> s. 5(2) reads as follows:</w:t>
      </w:r>
    </w:p>
    <w:p>
      <w:pPr>
        <w:pStyle w:val="MiscOpen"/>
        <w:rPr>
          <w:snapToGrid w:val="0"/>
        </w:rPr>
      </w:pPr>
      <w:r>
        <w:rPr>
          <w:snapToGrid w:val="0"/>
        </w:rPr>
        <w:t>“</w:t>
      </w: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Mining Amendment Act 2004</w:t>
      </w:r>
      <w:r>
        <w:rPr>
          <w:snapToGrid w:val="0"/>
        </w:rPr>
        <w:t xml:space="preserve"> s. 6(2) reads as follows:</w:t>
      </w:r>
    </w:p>
    <w:p>
      <w:pPr>
        <w:pStyle w:val="MiscOpen"/>
        <w:rPr>
          <w:snapToGrid w:val="0"/>
        </w:rPr>
      </w:pPr>
      <w:r>
        <w:rPr>
          <w:snapToGrid w:val="0"/>
        </w:rPr>
        <w:t>“</w:t>
      </w: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Mining Amendment Act 2004</w:t>
      </w:r>
      <w:r>
        <w:rPr>
          <w:snapToGrid w:val="0"/>
        </w:rPr>
        <w:t xml:space="preserve"> s. 11 reads as follows:</w:t>
      </w:r>
    </w:p>
    <w:p>
      <w:pPr>
        <w:pStyle w:val="MiscOpen"/>
        <w:rPr>
          <w:snapToGrid w:val="0"/>
        </w:rPr>
      </w:pPr>
      <w:r>
        <w:rPr>
          <w:snapToGrid w:val="0"/>
        </w:rPr>
        <w:t>“</w:t>
      </w:r>
    </w:p>
    <w:p>
      <w:pPr>
        <w:pStyle w:val="nzHeading5"/>
      </w:pPr>
      <w:r>
        <w:t>11.</w:t>
      </w:r>
      <w:r>
        <w:tab/>
        <w:t>Transitional provision</w:t>
      </w:r>
    </w:p>
    <w:p>
      <w:pPr>
        <w:pStyle w:val="nzSubsection"/>
      </w:pPr>
      <w:r>
        <w:tab/>
        <w:t>(1)</w:t>
      </w:r>
      <w:r>
        <w:tab/>
        <w:t xml:space="preserve">In this section — </w:t>
      </w:r>
    </w:p>
    <w:p>
      <w:pPr>
        <w:pStyle w:val="nzDefstart"/>
      </w:pPr>
      <w:r>
        <w:rPr>
          <w:b/>
        </w:rPr>
        <w:tab/>
      </w:r>
      <w:r>
        <w:rPr>
          <w:b/>
          <w:bCs/>
        </w:rPr>
        <w:t>“commencement”</w:t>
      </w:r>
      <w:r>
        <w:t xml:space="preserve"> means the commencement of this Part;</w:t>
      </w:r>
    </w:p>
    <w:p>
      <w:pPr>
        <w:pStyle w:val="nzDefstart"/>
      </w:pPr>
      <w:r>
        <w:tab/>
      </w:r>
      <w:r>
        <w:rPr>
          <w:b/>
          <w:bCs/>
        </w:rPr>
        <w:t>“old provisions</w:t>
      </w:r>
      <w:r>
        <w:rPr>
          <w:b/>
        </w:rPr>
        <w:t>”</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Mining Amendment Act 2004</w:t>
      </w:r>
      <w:r>
        <w:rPr>
          <w:snapToGrid w:val="0"/>
        </w:rPr>
        <w:t xml:space="preserve"> s. 15(2) reads as follows:</w:t>
      </w:r>
    </w:p>
    <w:p>
      <w:pPr>
        <w:pStyle w:val="MiscOpen"/>
        <w:rPr>
          <w:snapToGrid w:val="0"/>
        </w:rPr>
      </w:pPr>
      <w:r>
        <w:rPr>
          <w:snapToGrid w:val="0"/>
        </w:rPr>
        <w:t>“</w:t>
      </w: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MiscClose"/>
      </w:pPr>
      <w:r>
        <w:t>”.</w:t>
      </w: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19 reads as follows:</w:t>
      </w:r>
    </w:p>
    <w:p>
      <w:pPr>
        <w:pStyle w:val="MiscOpen"/>
        <w:rPr>
          <w:snapToGrid w:val="0"/>
        </w:rPr>
      </w:pPr>
      <w:r>
        <w:rPr>
          <w:snapToGrid w:val="0"/>
        </w:rPr>
        <w:t>“</w:t>
      </w:r>
    </w:p>
    <w:p>
      <w:pPr>
        <w:pStyle w:val="nzHeading5"/>
      </w:pPr>
      <w:r>
        <w:t>19.</w:t>
      </w:r>
      <w:r>
        <w:tab/>
        <w:t>Transitional and savings provisions</w:t>
      </w:r>
    </w:p>
    <w:p>
      <w:pPr>
        <w:pStyle w:val="nzSubsection"/>
      </w:pPr>
      <w:r>
        <w:tab/>
        <w:t>(1)</w:t>
      </w:r>
      <w:r>
        <w:tab/>
        <w:t xml:space="preserve">In this section — </w:t>
      </w:r>
    </w:p>
    <w:p>
      <w:pPr>
        <w:pStyle w:val="nzDefstart"/>
      </w:pPr>
      <w:r>
        <w:rPr>
          <w:b/>
        </w:rPr>
        <w:tab/>
        <w:t>“</w:t>
      </w:r>
      <w:r>
        <w:rPr>
          <w:b/>
          <w:bCs/>
        </w:rPr>
        <w:t>commencemen</w:t>
      </w:r>
      <w:r>
        <w:rPr>
          <w:rStyle w:val="CharDefText"/>
        </w:rPr>
        <w:t>t</w:t>
      </w:r>
      <w:r>
        <w:rPr>
          <w:b/>
        </w:rPr>
        <w:t>”</w:t>
      </w:r>
      <w:r>
        <w:t xml:space="preserve"> means the commencement of this Part;</w:t>
      </w:r>
    </w:p>
    <w:p>
      <w:pPr>
        <w:pStyle w:val="nzDefstart"/>
      </w:pPr>
      <w:r>
        <w:rPr>
          <w:b/>
        </w:rPr>
        <w:tab/>
        <w:t>“</w:t>
      </w:r>
      <w:r>
        <w:rPr>
          <w:b/>
          <w:bCs/>
        </w:rPr>
        <w:t>old provisions</w:t>
      </w:r>
      <w:r>
        <w:rPr>
          <w:b/>
        </w:rPr>
        <w:t>”</w:t>
      </w:r>
      <w:r>
        <w:t xml:space="preserve"> means the </w:t>
      </w:r>
      <w:r>
        <w:rPr>
          <w:i/>
        </w:rPr>
        <w:t>Mining Act 1978</w:t>
      </w:r>
      <w:r>
        <w:t xml:space="preserve"> as in force immediately before the commencement;</w:t>
      </w:r>
    </w:p>
    <w:p>
      <w:pPr>
        <w:pStyle w:val="nzDefstart"/>
      </w:pPr>
      <w:r>
        <w:rPr>
          <w:b/>
        </w:rPr>
        <w:tab/>
        <w:t>“</w:t>
      </w:r>
      <w:r>
        <w:rPr>
          <w:rStyle w:val="CharDefText"/>
        </w:rPr>
        <w:t>rele</w:t>
      </w:r>
      <w:r>
        <w:rPr>
          <w:b/>
          <w:bCs/>
        </w:rPr>
        <w:t>vant licence</w:t>
      </w:r>
      <w:r>
        <w:rPr>
          <w:b/>
        </w:rPr>
        <w:t>”</w:t>
      </w:r>
      <w:r>
        <w:t xml:space="preserve"> means —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63A, 65(1a) and 65(4)) continue to apply to and in relation to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 xml:space="preserve">Despite the amendments made by section 16, section 65(1a) of the old provisions continues to apply to and in relation to a relevant licence as if — </w:t>
      </w:r>
    </w:p>
    <w:p>
      <w:pPr>
        <w:pStyle w:val="nzIndenta"/>
      </w:pPr>
      <w:r>
        <w:tab/>
        <w:t>(a)</w:t>
      </w:r>
      <w:r>
        <w:tab/>
        <w:t xml:space="preserve">“licence — ” were replaced by — </w:t>
      </w:r>
    </w:p>
    <w:p>
      <w:pPr>
        <w:pStyle w:val="nzIndenta"/>
      </w:pPr>
      <w:r>
        <w:tab/>
      </w:r>
      <w:r>
        <w:tab/>
        <w:t>“    licence    ”;</w:t>
      </w:r>
    </w:p>
    <w:p>
      <w:pPr>
        <w:pStyle w:val="nzIndenta"/>
      </w:pPr>
      <w:r>
        <w:tab/>
        <w:t>(b)</w:t>
      </w:r>
      <w:r>
        <w:tab/>
        <w:t>paragraphs (a) and (b), and “or” after paragraph (a), were deleted; and</w:t>
      </w:r>
    </w:p>
    <w:p>
      <w:pPr>
        <w:pStyle w:val="nzIndenta"/>
      </w:pPr>
      <w:r>
        <w:tab/>
        <w:t>(c)</w:t>
      </w:r>
      <w:r>
        <w:tab/>
        <w:t xml:space="preserve">“the Minister may exempt” were replaced by — </w:t>
      </w:r>
    </w:p>
    <w:p>
      <w:pPr>
        <w:pStyle w:val="MiscOpen"/>
        <w:ind w:left="880"/>
      </w:pPr>
      <w:r>
        <w:t xml:space="preserve">“    </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Mining Amendment Act 2004</w:t>
      </w:r>
      <w:r>
        <w:rPr>
          <w:snapToGrid w:val="0"/>
        </w:rPr>
        <w:t xml:space="preserve"> s. 32(3) reads as follows:</w:t>
      </w:r>
    </w:p>
    <w:p>
      <w:pPr>
        <w:pStyle w:val="MiscOpen"/>
        <w:rPr>
          <w:snapToGrid w:val="0"/>
        </w:rPr>
      </w:pPr>
      <w:r>
        <w:rPr>
          <w:snapToGrid w:val="0"/>
        </w:rPr>
        <w:t>“</w:t>
      </w: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Mining Amendment Act 2004</w:t>
      </w:r>
      <w:r>
        <w:rPr>
          <w:snapToGrid w:val="0"/>
        </w:rPr>
        <w:t xml:space="preserve"> s. 35 reads as follows:</w:t>
      </w:r>
    </w:p>
    <w:p>
      <w:pPr>
        <w:pStyle w:val="MiscOpen"/>
        <w:rPr>
          <w:snapToGrid w:val="0"/>
        </w:rPr>
      </w:pPr>
      <w:r>
        <w:rPr>
          <w:snapToGrid w:val="0"/>
        </w:rPr>
        <w:t>“</w:t>
      </w:r>
    </w:p>
    <w:p>
      <w:pPr>
        <w:pStyle w:val="nzHeading5"/>
      </w:pPr>
      <w:r>
        <w:t>35.</w:t>
      </w:r>
      <w:r>
        <w:tab/>
        <w:t>Transitional provision</w:t>
      </w:r>
    </w:p>
    <w:p>
      <w:pPr>
        <w:pStyle w:val="nzSubsection"/>
      </w:pPr>
      <w:r>
        <w:tab/>
        <w:t>(1)</w:t>
      </w:r>
      <w:r>
        <w:tab/>
        <w:t xml:space="preserve">In this section — </w:t>
      </w:r>
    </w:p>
    <w:p>
      <w:pPr>
        <w:pStyle w:val="nzDefstart"/>
      </w:pPr>
      <w:r>
        <w:rPr>
          <w:b/>
        </w:rPr>
        <w:tab/>
        <w:t>“</w:t>
      </w:r>
      <w:r>
        <w:rPr>
          <w:b/>
          <w:bCs/>
        </w:rPr>
        <w:t>commencement</w:t>
      </w:r>
      <w:r>
        <w:rPr>
          <w:b/>
        </w:rPr>
        <w:t>”</w:t>
      </w:r>
      <w:r>
        <w:t xml:space="preserve"> means the commencement of this Part;</w:t>
      </w:r>
    </w:p>
    <w:p>
      <w:pPr>
        <w:pStyle w:val="nzDefstart"/>
      </w:pPr>
      <w:r>
        <w:rPr>
          <w:b/>
        </w:rPr>
        <w:tab/>
        <w:t>“</w:t>
      </w:r>
      <w:r>
        <w:rPr>
          <w:b/>
          <w:bCs/>
        </w:rPr>
        <w:t>old provisions</w:t>
      </w:r>
      <w:r>
        <w:rPr>
          <w:b/>
        </w:rPr>
        <w:t>”</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MiscClose"/>
        <w:rPr>
          <w:snapToGrid w:val="0"/>
        </w:rPr>
      </w:pPr>
      <w:r>
        <w:rPr>
          <w:snapToGrid w:val="0"/>
        </w:rPr>
        <w:t>”.</w:t>
      </w:r>
    </w:p>
    <w:p>
      <w:pPr>
        <w:pStyle w:val="nSubsection"/>
        <w:keepNext/>
        <w:rPr>
          <w:snapToGrid w:val="0"/>
        </w:rPr>
      </w:pPr>
      <w:r>
        <w:rPr>
          <w:snapToGrid w:val="0"/>
          <w:vertAlign w:val="superscript"/>
        </w:rPr>
        <w:t>17</w:t>
      </w:r>
      <w:r>
        <w:rPr>
          <w:snapToGrid w:val="0"/>
        </w:rPr>
        <w:tab/>
        <w:t xml:space="preserve">The </w:t>
      </w:r>
      <w:r>
        <w:rPr>
          <w:i/>
          <w:snapToGrid w:val="0"/>
        </w:rPr>
        <w:t>Mining Amendment Act 2004</w:t>
      </w:r>
      <w:r>
        <w:rPr>
          <w:snapToGrid w:val="0"/>
        </w:rPr>
        <w:t xml:space="preserve"> s. 36(2)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xml:space="preserve"> —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Mining Amendment Act 2004</w:t>
      </w:r>
      <w:r>
        <w:rPr>
          <w:snapToGrid w:val="0"/>
        </w:rPr>
        <w:t xml:space="preserve"> s. 39(2) reads as follows:</w:t>
      </w:r>
    </w:p>
    <w:p>
      <w:pPr>
        <w:pStyle w:val="MiscOpen"/>
        <w:rPr>
          <w:snapToGrid w:val="0"/>
        </w:rPr>
      </w:pPr>
      <w:r>
        <w:rPr>
          <w:snapToGrid w:val="0"/>
        </w:rPr>
        <w:t>“</w:t>
      </w: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xml:space="preserve"> —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Mining Amendment Act 2004</w:t>
      </w:r>
      <w:r>
        <w:rPr>
          <w:snapToGrid w:val="0"/>
        </w:rPr>
        <w:t xml:space="preserve"> s. 90(2) reads as follows:</w:t>
      </w:r>
    </w:p>
    <w:p>
      <w:pPr>
        <w:pStyle w:val="MiscOpen"/>
        <w:rPr>
          <w:snapToGrid w:val="0"/>
        </w:rPr>
      </w:pPr>
      <w:r>
        <w:rPr>
          <w:snapToGrid w:val="0"/>
        </w:rPr>
        <w:t>“</w:t>
      </w: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MiscOpen"/>
        <w:rPr>
          <w:snapToGrid w:val="0"/>
        </w:rPr>
      </w:pPr>
      <w:r>
        <w:rPr>
          <w:snapToGrid w:val="0"/>
        </w:rPr>
        <w:t>“</w:t>
      </w: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 xml:space="preserve">In subsections (2) and (3) — </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existing mining authorisation</w:t>
      </w:r>
      <w:r>
        <w:rPr>
          <w:b/>
        </w:rPr>
        <w:t>”</w:t>
      </w:r>
      <w:r>
        <w:t xml:space="preserve"> means a mining authorisation in force immediately before the commencement;</w:t>
      </w:r>
    </w:p>
    <w:p>
      <w:pPr>
        <w:pStyle w:val="nzDefstart"/>
      </w:pPr>
      <w:r>
        <w:rPr>
          <w:b/>
        </w:rPr>
        <w:tab/>
        <w:t>“</w:t>
      </w:r>
      <w:r>
        <w:rPr>
          <w:b/>
          <w:bCs/>
        </w:rPr>
        <w:t>mining authorisation</w:t>
      </w:r>
      <w:r>
        <w:rPr>
          <w:b/>
        </w:rPr>
        <w:t>”</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MiscClose"/>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Mining Amendment Act 2004</w:t>
      </w:r>
      <w:r>
        <w:rPr>
          <w:snapToGrid w:val="0"/>
        </w:rPr>
        <w:t xml:space="preserve"> Pt. 12 reads as follows:</w:t>
      </w:r>
    </w:p>
    <w:p>
      <w:pPr>
        <w:pStyle w:val="MiscOpen"/>
        <w:rPr>
          <w:snapToGrid w:val="0"/>
        </w:rPr>
      </w:pPr>
      <w:r>
        <w:rPr>
          <w:snapToGrid w:val="0"/>
        </w:rPr>
        <w:t>“</w:t>
      </w:r>
    </w:p>
    <w:p>
      <w:pPr>
        <w:pStyle w:val="nzHeading2"/>
        <w:outlineLvl w:val="0"/>
      </w:pPr>
      <w:r>
        <w:t>Part 12 — Transitional regulations</w:t>
      </w:r>
    </w:p>
    <w:p>
      <w:pPr>
        <w:pStyle w:val="nzHeading5"/>
      </w:pPr>
      <w:r>
        <w:t>105.</w:t>
      </w:r>
      <w:r>
        <w:tab/>
        <w:t>Further transitional provisions may be made</w:t>
      </w:r>
    </w:p>
    <w:p>
      <w:pPr>
        <w:pStyle w:val="nzSubsection"/>
      </w:pPr>
      <w:r>
        <w:tab/>
        <w:t>(1)</w:t>
      </w:r>
      <w:r>
        <w:tab/>
        <w:t xml:space="preserve">In this section — </w:t>
      </w:r>
    </w:p>
    <w:p>
      <w:pPr>
        <w:pStyle w:val="nzDefstart"/>
      </w:pPr>
      <w:r>
        <w:rPr>
          <w:b/>
        </w:rPr>
        <w:tab/>
        <w:t>“</w:t>
      </w:r>
      <w:r>
        <w:rPr>
          <w:b/>
          <w:bCs/>
        </w:rPr>
        <w:t>amending provision</w:t>
      </w:r>
      <w:r>
        <w:rPr>
          <w:b/>
        </w:rPr>
        <w:t>”</w:t>
      </w:r>
      <w:r>
        <w:t xml:space="preserve"> means a provision of this Act;</w:t>
      </w:r>
    </w:p>
    <w:p>
      <w:pPr>
        <w:pStyle w:val="nzDefstart"/>
      </w:pPr>
      <w:r>
        <w:rPr>
          <w:b/>
        </w:rPr>
        <w:tab/>
        <w:t>“</w:t>
      </w:r>
      <w:r>
        <w:rPr>
          <w:b/>
          <w:bCs/>
        </w:rPr>
        <w:t>commencement</w:t>
      </w:r>
      <w:r>
        <w:rPr>
          <w:b/>
        </w:rPr>
        <w:t>”</w:t>
      </w:r>
      <w:r>
        <w:t xml:space="preserve"> means the commencement of this section;</w:t>
      </w:r>
    </w:p>
    <w:p>
      <w:pPr>
        <w:pStyle w:val="nzDefstart"/>
      </w:pPr>
      <w:r>
        <w:rPr>
          <w:b/>
        </w:rPr>
        <w:tab/>
        <w:t>“</w:t>
      </w:r>
      <w:r>
        <w:rPr>
          <w:b/>
          <w:bCs/>
        </w:rPr>
        <w:t>specified</w:t>
      </w:r>
      <w:r>
        <w:rPr>
          <w:b/>
        </w:rPr>
        <w:t>”</w:t>
      </w:r>
      <w:r>
        <w:t xml:space="preserve"> means specified or described in the regulations;</w:t>
      </w:r>
    </w:p>
    <w:p>
      <w:pPr>
        <w:pStyle w:val="nzDefstart"/>
      </w:pPr>
      <w:r>
        <w:rPr>
          <w:b/>
        </w:rPr>
        <w:tab/>
        <w:t>“</w:t>
      </w:r>
      <w:r>
        <w:rPr>
          <w:b/>
          <w:bCs/>
        </w:rPr>
        <w:t>transitional matter</w:t>
      </w:r>
      <w:r>
        <w:rPr>
          <w:b/>
        </w:rPr>
        <w:t>”</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pPr>
      <w:r>
        <w:tab/>
        <w:t>(3)</w:t>
      </w:r>
      <w:r>
        <w:tab/>
        <w:t xml:space="preserve">Regulations referred to in subsection (2) may provide that specified provisions of this Act or the </w:t>
      </w:r>
      <w:r>
        <w:rPr>
          <w:i/>
        </w:rPr>
        <w:t>Mining Act 1978</w:t>
      </w:r>
      <w:r>
        <w:t xml:space="preserv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Regulations referred to in subsection (2) must be made within 12 months after the commencement.</w:t>
      </w:r>
    </w:p>
    <w:p>
      <w:pPr>
        <w:pStyle w:val="nzSubsection"/>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pPr>
      <w:r>
        <w:tab/>
        <w:t>(6)</w:t>
      </w:r>
      <w:r>
        <w:tab/>
        <w:t xml:space="preserve">If regulations contain a provision referred to in subsection (5),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nSubsection"/>
        <w:jc w:val="right"/>
        <w:rPr>
          <w:snapToGrid w:val="0"/>
          <w:vertAlign w:val="superscript"/>
        </w:rPr>
      </w:pPr>
      <w:r>
        <w:rPr>
          <w:snapToGrid w:val="0"/>
        </w:rPr>
        <w:t>”.</w:t>
      </w:r>
    </w:p>
    <w:p>
      <w:pPr>
        <w:pStyle w:val="nSubsection"/>
      </w:pPr>
      <w:r>
        <w:rPr>
          <w:vertAlign w:val="superscript"/>
        </w:rPr>
        <w:t>22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23</w:t>
      </w:r>
      <w:r>
        <w:rPr>
          <w:snapToGrid w:val="0"/>
        </w:rPr>
        <w:tab/>
        <w:t xml:space="preserve">On the date as at which this </w:t>
      </w:r>
      <w:r>
        <w:t>compilation</w:t>
      </w:r>
      <w:r>
        <w:rPr>
          <w:snapToGrid w:val="0"/>
        </w:rPr>
        <w:t xml:space="preserve"> was prepared, the </w:t>
      </w:r>
      <w:r>
        <w:rPr>
          <w:i/>
          <w:snapToGrid w:val="0"/>
        </w:rPr>
        <w:t>Mining Amendment Act 1996</w:t>
      </w:r>
      <w:r>
        <w:rPr>
          <w:snapToGrid w:val="0"/>
        </w:rPr>
        <w:t xml:space="preserve"> s. 9 had not come into operation.  It reads as follows:</w:t>
      </w:r>
    </w:p>
    <w:p>
      <w:pPr>
        <w:pStyle w:val="MiscOpen"/>
        <w:rPr>
          <w:snapToGrid w:val="0"/>
        </w:rPr>
      </w:pPr>
      <w:r>
        <w:rPr>
          <w:snapToGrid w:val="0"/>
        </w:rPr>
        <w:t>“</w:t>
      </w:r>
    </w:p>
    <w:p>
      <w:pPr>
        <w:pStyle w:val="nzHeading5"/>
        <w:rPr>
          <w:snapToGrid w:val="0"/>
        </w:rPr>
      </w:pPr>
      <w:r>
        <w:rPr>
          <w:snapToGrid w:val="0"/>
        </w:rPr>
        <w:t>9.</w:t>
      </w:r>
      <w:r>
        <w:rPr>
          <w:snapToGrid w:val="0"/>
        </w:rPr>
        <w:tab/>
        <w:t>Section 65 amended</w:t>
      </w:r>
    </w:p>
    <w:p>
      <w:pPr>
        <w:pStyle w:val="nzSubsection"/>
        <w:rPr>
          <w:snapToGrid w:val="0"/>
        </w:rPr>
      </w:pPr>
      <w:r>
        <w:rPr>
          <w:snapToGrid w:val="0"/>
        </w:rPr>
        <w:tab/>
      </w:r>
      <w:r>
        <w:rPr>
          <w:snapToGrid w:val="0"/>
        </w:rPr>
        <w:tab/>
        <w:t xml:space="preserve">Section 65(1c) of the principal Act is amended — </w:t>
      </w:r>
    </w:p>
    <w:p>
      <w:pPr>
        <w:pStyle w:val="nzIndenta"/>
        <w:rPr>
          <w:snapToGrid w:val="0"/>
        </w:rPr>
      </w:pPr>
      <w:r>
        <w:rPr>
          <w:snapToGrid w:val="0"/>
        </w:rPr>
        <w:tab/>
        <w:t>(a)</w:t>
      </w:r>
      <w:r>
        <w:rPr>
          <w:snapToGrid w:val="0"/>
        </w:rPr>
        <w:tab/>
        <w:t>by deleting paragraph (a); and</w:t>
      </w:r>
    </w:p>
    <w:p>
      <w:pPr>
        <w:pStyle w:val="nzIndenta"/>
        <w:rPr>
          <w:snapToGrid w:val="0"/>
        </w:rPr>
      </w:pPr>
      <w:r>
        <w:rPr>
          <w:snapToGrid w:val="0"/>
        </w:rPr>
        <w:tab/>
        <w:t>(b)</w:t>
      </w:r>
      <w:r>
        <w:rPr>
          <w:snapToGrid w:val="0"/>
        </w:rPr>
        <w:tab/>
        <w:t xml:space="preserve">in paragraph (b) by deleting “at the principal office of the Department at Perth” and substituting the following — </w:t>
      </w:r>
    </w:p>
    <w:p>
      <w:pPr>
        <w:pStyle w:val="nzIndenta"/>
        <w:rPr>
          <w:snapToGrid w:val="0"/>
        </w:rPr>
      </w:pPr>
      <w:r>
        <w:rPr>
          <w:snapToGrid w:val="0"/>
        </w:rPr>
        <w:tab/>
      </w:r>
      <w:r>
        <w:rPr>
          <w:snapToGrid w:val="0"/>
        </w:rPr>
        <w:tab/>
        <w:t>“    for registration    ”.</w:t>
      </w:r>
    </w:p>
    <w:p>
      <w:pPr>
        <w:pStyle w:val="MiscClose"/>
        <w:rPr>
          <w:snapToGrid w:val="0"/>
        </w:rPr>
      </w:pPr>
      <w:r>
        <w:rPr>
          <w:snapToGrid w:val="0"/>
        </w:rPr>
        <w:t>”.</w:t>
      </w:r>
    </w:p>
    <w:p>
      <w:pPr>
        <w:pStyle w:val="nSubsection"/>
        <w:rPr>
          <w:snapToGrid w:val="0"/>
        </w:rPr>
      </w:pPr>
      <w:r>
        <w:rPr>
          <w:snapToGrid w:val="0"/>
          <w:vertAlign w:val="superscript"/>
        </w:rPr>
        <w:t>24</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spacing w:before="0"/>
        <w:rPr>
          <w:snapToGrid w:val="0"/>
        </w:rPr>
      </w:pPr>
      <w:r>
        <w:rPr>
          <w:snapToGrid w:val="0"/>
        </w:rPr>
        <w:t>Schedule 2 Div. 5 reads as follows:</w:t>
      </w:r>
    </w:p>
    <w:p>
      <w:pPr>
        <w:pStyle w:val="MiscOpen"/>
        <w:tabs>
          <w:tab w:val="clear" w:pos="893"/>
        </w:tabs>
        <w:rPr>
          <w:snapToGrid w:val="0"/>
        </w:rPr>
      </w:pPr>
      <w:r>
        <w:rPr>
          <w:snapToGrid w:val="0"/>
        </w:rPr>
        <w:t>“</w:t>
      </w:r>
    </w:p>
    <w:p>
      <w:pPr>
        <w:pStyle w:val="nzHeading3"/>
        <w:outlineLvl w:val="0"/>
        <w:rPr>
          <w:snapToGrid w:val="0"/>
        </w:rPr>
      </w:pPr>
      <w:bookmarkStart w:id="2143" w:name="_Toc523620955"/>
      <w:r>
        <w:rPr>
          <w:snapToGrid w:val="0"/>
        </w:rPr>
        <w:t xml:space="preserve">Division 5 — </w:t>
      </w:r>
      <w:r>
        <w:rPr>
          <w:i/>
          <w:iCs/>
          <w:snapToGrid w:val="0"/>
        </w:rPr>
        <w:t>Mining Act 1978</w:t>
      </w:r>
      <w:bookmarkEnd w:id="2143"/>
      <w:r>
        <w:rPr>
          <w:snapToGrid w:val="0"/>
        </w:rPr>
        <w:t xml:space="preserve"> </w:t>
      </w:r>
    </w:p>
    <w:p>
      <w:pPr>
        <w:pStyle w:val="nzHeading5"/>
        <w:rPr>
          <w:snapToGrid w:val="0"/>
        </w:rPr>
      </w:pPr>
      <w:bookmarkStart w:id="2144" w:name="_Toc465061836"/>
      <w:bookmarkStart w:id="2145" w:name="_Toc465760625"/>
      <w:bookmarkStart w:id="2146" w:name="_Toc469927473"/>
      <w:r>
        <w:t>35.</w:t>
      </w:r>
      <w:r>
        <w:tab/>
      </w:r>
      <w:r>
        <w:rPr>
          <w:snapToGrid w:val="0"/>
        </w:rPr>
        <w:t>The Act amended</w:t>
      </w:r>
      <w:bookmarkEnd w:id="2144"/>
      <w:bookmarkEnd w:id="2145"/>
      <w:bookmarkEnd w:id="2146"/>
      <w:r>
        <w:rPr>
          <w:snapToGrid w:val="0"/>
        </w:rPr>
        <w:t xml:space="preserve"> </w:t>
      </w:r>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147" w:name="_Toc465061837"/>
      <w:bookmarkStart w:id="2148" w:name="_Toc465760626"/>
      <w:bookmarkStart w:id="2149" w:name="_Toc469927474"/>
      <w:r>
        <w:rPr>
          <w:snapToGrid w:val="0"/>
        </w:rPr>
        <w:t>36.</w:t>
      </w:r>
      <w:r>
        <w:rPr>
          <w:snapToGrid w:val="0"/>
        </w:rPr>
        <w:tab/>
        <w:t>Section 19 amended</w:t>
      </w:r>
      <w:bookmarkEnd w:id="2147"/>
      <w:bookmarkEnd w:id="2148"/>
      <w:bookmarkEnd w:id="2149"/>
      <w:r>
        <w:rPr>
          <w:snapToGrid w:val="0"/>
        </w:rPr>
        <w:t xml:space="preserve"> </w:t>
      </w:r>
    </w:p>
    <w:p>
      <w:pPr>
        <w:pStyle w:val="nzSubsection"/>
        <w:rPr>
          <w:snapToGrid w:val="0"/>
        </w:rPr>
      </w:pPr>
      <w:r>
        <w:rPr>
          <w:snapToGrid w:val="0"/>
        </w:rPr>
        <w:tab/>
        <w:t>(1)</w:t>
      </w:r>
      <w:r>
        <w:rPr>
          <w:snapToGrid w:val="0"/>
        </w:rPr>
        <w:tab/>
        <w:t>Section 19(6)(a) is amended by inserting immediately before “grant” the following —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150" w:name="_Toc465061838"/>
      <w:bookmarkStart w:id="2151" w:name="_Toc465760627"/>
      <w:bookmarkStart w:id="2152" w:name="_Toc469927475"/>
      <w:r>
        <w:rPr>
          <w:snapToGrid w:val="0"/>
        </w:rPr>
        <w:t>37.</w:t>
      </w:r>
      <w:r>
        <w:rPr>
          <w:snapToGrid w:val="0"/>
        </w:rPr>
        <w:tab/>
        <w:t>Section 39A inserted</w:t>
      </w:r>
      <w:bookmarkEnd w:id="2150"/>
      <w:bookmarkEnd w:id="2151"/>
      <w:bookmarkEnd w:id="2152"/>
      <w:r>
        <w:rPr>
          <w:snapToGrid w:val="0"/>
        </w:rPr>
        <w:t xml:space="preserve"> </w:t>
      </w:r>
    </w:p>
    <w:p>
      <w:pPr>
        <w:pStyle w:val="nzSubsection"/>
        <w:keepNext/>
        <w:rPr>
          <w:snapToGrid w:val="0"/>
        </w:rPr>
      </w:pPr>
      <w:r>
        <w:rPr>
          <w:snapToGrid w:val="0"/>
        </w:rPr>
        <w:tab/>
      </w:r>
      <w:r>
        <w:rPr>
          <w:snapToGrid w:val="0"/>
        </w:rPr>
        <w:tab/>
        <w:t>Immediately before section 40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53" w:name="_Hlt464965881"/>
      <w:r>
        <w:rPr>
          <w:snapToGrid w:val="0"/>
        </w:rPr>
        <w:t>3</w:t>
      </w:r>
      <w:bookmarkEnd w:id="2153"/>
      <w:r>
        <w:rPr>
          <w:snapToGrid w:val="0"/>
        </w:rPr>
        <w:t xml:space="preserve">,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54" w:name="_Hlt464961273"/>
      <w:r>
        <w:rPr>
          <w:snapToGrid w:val="0"/>
        </w:rPr>
        <w:t>11</w:t>
      </w:r>
      <w:bookmarkEnd w:id="215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55" w:name="_Toc465061839"/>
      <w:bookmarkStart w:id="2156" w:name="_Toc465760628"/>
      <w:bookmarkStart w:id="2157" w:name="_Toc469927476"/>
      <w:r>
        <w:rPr>
          <w:snapToGrid w:val="0"/>
        </w:rPr>
        <w:t>38.</w:t>
      </w:r>
      <w:r>
        <w:rPr>
          <w:snapToGrid w:val="0"/>
        </w:rPr>
        <w:tab/>
        <w:t>Section 49 amended</w:t>
      </w:r>
      <w:bookmarkEnd w:id="2155"/>
      <w:bookmarkEnd w:id="2156"/>
      <w:bookmarkEnd w:id="2157"/>
      <w:r>
        <w:rPr>
          <w:snapToGrid w:val="0"/>
        </w:rPr>
        <w:t xml:space="preserve"> </w:t>
      </w:r>
    </w:p>
    <w:p>
      <w:pPr>
        <w:pStyle w:val="nzSubsection"/>
        <w:keepNext/>
        <w:rPr>
          <w:snapToGrid w:val="0"/>
        </w:rPr>
      </w:pPr>
      <w:r>
        <w:rPr>
          <w:snapToGrid w:val="0"/>
        </w:rPr>
        <w:tab/>
      </w:r>
      <w:r>
        <w:rPr>
          <w:snapToGrid w:val="0"/>
        </w:rPr>
        <w:tab/>
        <w:t>After section 49(1)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158" w:name="_Hlt464965978"/>
      <w:r>
        <w:rPr>
          <w:snapToGrid w:val="0"/>
        </w:rPr>
        <w:t>3</w:t>
      </w:r>
      <w:bookmarkEnd w:id="215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59" w:name="_Toc465061840"/>
      <w:bookmarkStart w:id="2160" w:name="_Toc465760629"/>
      <w:bookmarkStart w:id="2161" w:name="_Toc469927477"/>
      <w:r>
        <w:rPr>
          <w:snapToGrid w:val="0"/>
        </w:rPr>
        <w:t>39.</w:t>
      </w:r>
      <w:r>
        <w:rPr>
          <w:snapToGrid w:val="0"/>
        </w:rPr>
        <w:tab/>
        <w:t>Section 56 amended</w:t>
      </w:r>
      <w:bookmarkEnd w:id="2159"/>
      <w:bookmarkEnd w:id="2160"/>
      <w:bookmarkEnd w:id="2161"/>
      <w:r>
        <w:rPr>
          <w:snapToGrid w:val="0"/>
        </w:rPr>
        <w:t xml:space="preserve"> </w:t>
      </w:r>
    </w:p>
    <w:p>
      <w:pPr>
        <w:pStyle w:val="nzSubsection"/>
        <w:rPr>
          <w:snapToGrid w:val="0"/>
        </w:rPr>
      </w:pPr>
      <w:r>
        <w:rPr>
          <w:snapToGrid w:val="0"/>
        </w:rPr>
        <w:tab/>
      </w:r>
      <w:r>
        <w:rPr>
          <w:snapToGrid w:val="0"/>
        </w:rPr>
        <w:tab/>
        <w:t>After section 56(1)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162" w:name="_Hlt467393596"/>
      <w:r>
        <w:rPr>
          <w:snapToGrid w:val="0"/>
        </w:rPr>
        <w:t>26</w:t>
      </w:r>
      <w:bookmarkEnd w:id="2162"/>
      <w:r>
        <w:rPr>
          <w:snapToGrid w:val="0"/>
        </w:rPr>
        <w:t>, 3.22(1) or 4.</w:t>
      </w:r>
      <w:bookmarkStart w:id="2163" w:name="_Hlt467393777"/>
      <w:r>
        <w:rPr>
          <w:snapToGrid w:val="0"/>
        </w:rPr>
        <w:t>21</w:t>
      </w:r>
      <w:bookmarkEnd w:id="2163"/>
      <w:r>
        <w:rPr>
          <w:snapToGrid w:val="0"/>
        </w:rPr>
        <w:t xml:space="preserve"> that is given to the Commission under section 2.</w:t>
      </w:r>
      <w:bookmarkStart w:id="2164" w:name="_Hlt467393808"/>
      <w:r>
        <w:rPr>
          <w:snapToGrid w:val="0"/>
        </w:rPr>
        <w:t>26</w:t>
      </w:r>
      <w:bookmarkEnd w:id="2164"/>
      <w:r>
        <w:rPr>
          <w:snapToGrid w:val="0"/>
        </w:rPr>
        <w:t>, 3.</w:t>
      </w:r>
      <w:bookmarkStart w:id="2165" w:name="_Hlt467393876"/>
      <w:r>
        <w:rPr>
          <w:snapToGrid w:val="0"/>
        </w:rPr>
        <w:t>25</w:t>
      </w:r>
      <w:bookmarkEnd w:id="2165"/>
      <w:r>
        <w:rPr>
          <w:snapToGrid w:val="0"/>
        </w:rPr>
        <w:t xml:space="preserve"> or 4.</w:t>
      </w:r>
      <w:bookmarkStart w:id="2166" w:name="_Hlt467393902"/>
      <w:r>
        <w:rPr>
          <w:snapToGrid w:val="0"/>
        </w:rPr>
        <w:t>21</w:t>
      </w:r>
      <w:bookmarkEnd w:id="2166"/>
      <w:r>
        <w:rPr>
          <w:snapToGrid w:val="0"/>
        </w:rPr>
        <w:t xml:space="preserve">; </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167" w:name="_Hlt467393937"/>
      <w:r>
        <w:rPr>
          <w:snapToGrid w:val="0"/>
        </w:rPr>
        <w:t>32</w:t>
      </w:r>
      <w:bookmarkEnd w:id="2167"/>
      <w:r>
        <w:rPr>
          <w:snapToGrid w:val="0"/>
        </w:rPr>
        <w:t xml:space="preserve"> or 4.</w:t>
      </w:r>
      <w:bookmarkStart w:id="2168" w:name="_Hlt467393985"/>
      <w:r>
        <w:rPr>
          <w:snapToGrid w:val="0"/>
        </w:rPr>
        <w:t>27</w:t>
      </w:r>
      <w:bookmarkEnd w:id="2168"/>
      <w:r>
        <w:rPr>
          <w:snapToGrid w:val="0"/>
        </w:rPr>
        <w:t xml:space="preserve">; </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169" w:name="_Hlt467394019"/>
      <w:r>
        <w:rPr>
          <w:snapToGrid w:val="0"/>
        </w:rPr>
        <w:t>38</w:t>
      </w:r>
      <w:bookmarkEnd w:id="2169"/>
      <w:r>
        <w:rPr>
          <w:snapToGrid w:val="0"/>
        </w:rPr>
        <w:t>, 3.</w:t>
      </w:r>
      <w:bookmarkStart w:id="2170" w:name="_Hlt467394052"/>
      <w:r>
        <w:rPr>
          <w:snapToGrid w:val="0"/>
        </w:rPr>
        <w:t>29</w:t>
      </w:r>
      <w:bookmarkEnd w:id="2170"/>
      <w:r>
        <w:rPr>
          <w:snapToGrid w:val="0"/>
        </w:rPr>
        <w:t>, 3.</w:t>
      </w:r>
      <w:bookmarkStart w:id="2171" w:name="_Hlt467394127"/>
      <w:r>
        <w:rPr>
          <w:snapToGrid w:val="0"/>
        </w:rPr>
        <w:t>44</w:t>
      </w:r>
      <w:bookmarkEnd w:id="2171"/>
      <w:r>
        <w:rPr>
          <w:snapToGrid w:val="0"/>
        </w:rPr>
        <w:t xml:space="preserve"> or 4.</w:t>
      </w:r>
      <w:bookmarkStart w:id="2172" w:name="_Hlt467394161"/>
      <w:r>
        <w:rPr>
          <w:snapToGrid w:val="0"/>
        </w:rPr>
        <w:t>33</w:t>
      </w:r>
      <w:bookmarkEnd w:id="2172"/>
      <w:r>
        <w:rPr>
          <w:snapToGrid w:val="0"/>
        </w:rPr>
        <w:t xml:space="preserve">; </w:t>
      </w:r>
    </w:p>
    <w:p>
      <w:pPr>
        <w:pStyle w:val="nzMiscellaneousBody"/>
        <w:tabs>
          <w:tab w:val="left" w:pos="1560"/>
          <w:tab w:val="left" w:pos="1985"/>
        </w:tabs>
        <w:ind w:left="1985" w:hanging="1418"/>
        <w:rPr>
          <w:snapToGrid w:val="0"/>
        </w:rPr>
      </w:pPr>
      <w:r>
        <w:rPr>
          <w:snapToGrid w:val="0"/>
        </w:rPr>
        <w:tab/>
        <w:t>(d)</w:t>
      </w:r>
      <w:r>
        <w:rPr>
          <w:snapToGrid w:val="0"/>
        </w:rPr>
        <w:tab/>
        <w:t>a declaration under section 3.</w:t>
      </w:r>
      <w:bookmarkStart w:id="2173" w:name="_Hlt467394212"/>
      <w:r>
        <w:rPr>
          <w:snapToGrid w:val="0"/>
        </w:rPr>
        <w:t>51</w:t>
      </w:r>
      <w:bookmarkEnd w:id="2173"/>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174" w:name="_Toc465061841"/>
      <w:bookmarkStart w:id="2175" w:name="_Toc465760630"/>
      <w:bookmarkStart w:id="2176" w:name="_Toc469927478"/>
      <w:r>
        <w:rPr>
          <w:snapToGrid w:val="0"/>
        </w:rPr>
        <w:t>40.</w:t>
      </w:r>
      <w:r>
        <w:rPr>
          <w:snapToGrid w:val="0"/>
        </w:rPr>
        <w:tab/>
        <w:t>Section 56AA inserted</w:t>
      </w:r>
      <w:bookmarkEnd w:id="2174"/>
      <w:bookmarkEnd w:id="2175"/>
      <w:bookmarkEnd w:id="2176"/>
      <w:r>
        <w:rPr>
          <w:snapToGrid w:val="0"/>
        </w:rPr>
        <w:t xml:space="preserve"> </w:t>
      </w:r>
    </w:p>
    <w:p>
      <w:pPr>
        <w:pStyle w:val="nzSubsection"/>
        <w:keepNext/>
        <w:rPr>
          <w:snapToGrid w:val="0"/>
        </w:rPr>
      </w:pPr>
      <w:r>
        <w:rPr>
          <w:snapToGrid w:val="0"/>
        </w:rPr>
        <w:tab/>
      </w:r>
      <w:r>
        <w:rPr>
          <w:snapToGrid w:val="0"/>
        </w:rPr>
        <w:tab/>
        <w:t>Immediately before section 56B the following 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77" w:name="_Hlt464966470"/>
      <w:r>
        <w:rPr>
          <w:snapToGrid w:val="0"/>
        </w:rPr>
        <w:t>11</w:t>
      </w:r>
      <w:bookmarkEnd w:id="2177"/>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178" w:name="_Toc465061842"/>
      <w:bookmarkStart w:id="2179" w:name="_Toc465760631"/>
      <w:bookmarkStart w:id="2180" w:name="_Toc469927479"/>
      <w:r>
        <w:rPr>
          <w:snapToGrid w:val="0"/>
        </w:rPr>
        <w:t>41.</w:t>
      </w:r>
      <w:r>
        <w:rPr>
          <w:snapToGrid w:val="0"/>
        </w:rPr>
        <w:tab/>
        <w:t>Section 67 amended</w:t>
      </w:r>
      <w:bookmarkEnd w:id="2178"/>
      <w:bookmarkEnd w:id="2179"/>
      <w:bookmarkEnd w:id="2180"/>
      <w:r>
        <w:rPr>
          <w:snapToGrid w:val="0"/>
        </w:rPr>
        <w:t xml:space="preserve"> </w:t>
      </w:r>
    </w:p>
    <w:p>
      <w:pPr>
        <w:pStyle w:val="nzSubsection"/>
        <w:rPr>
          <w:snapToGrid w:val="0"/>
        </w:rPr>
      </w:pPr>
      <w:r>
        <w:rPr>
          <w:snapToGrid w:val="0"/>
        </w:rPr>
        <w:tab/>
      </w:r>
      <w:r>
        <w:rPr>
          <w:snapToGrid w:val="0"/>
        </w:rPr>
        <w:tab/>
        <w:t>After section 67(1) the following subsection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181" w:name="_Hlt464966507"/>
      <w:r>
        <w:rPr>
          <w:snapToGrid w:val="0"/>
        </w:rPr>
        <w:t>3</w:t>
      </w:r>
      <w:bookmarkEnd w:id="2181"/>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82" w:name="_Toc465061843"/>
      <w:bookmarkStart w:id="2183" w:name="_Toc465760632"/>
      <w:bookmarkStart w:id="2184" w:name="_Toc469927480"/>
      <w:r>
        <w:rPr>
          <w:snapToGrid w:val="0"/>
        </w:rPr>
        <w:t>42.</w:t>
      </w:r>
      <w:r>
        <w:rPr>
          <w:snapToGrid w:val="0"/>
        </w:rPr>
        <w:tab/>
        <w:t>Section 70AA inserted</w:t>
      </w:r>
      <w:bookmarkEnd w:id="2182"/>
      <w:bookmarkEnd w:id="2183"/>
      <w:bookmarkEnd w:id="2184"/>
      <w:r>
        <w:rPr>
          <w:snapToGrid w:val="0"/>
        </w:rPr>
        <w:t xml:space="preserve"> </w:t>
      </w:r>
    </w:p>
    <w:p>
      <w:pPr>
        <w:pStyle w:val="nzSubsection"/>
        <w:rPr>
          <w:snapToGrid w:val="0"/>
        </w:rPr>
      </w:pPr>
      <w:r>
        <w:rPr>
          <w:snapToGrid w:val="0"/>
        </w:rPr>
        <w:tab/>
      </w:r>
      <w:r>
        <w:rPr>
          <w:snapToGrid w:val="0"/>
        </w:rPr>
        <w:tab/>
        <w:t>After section 70A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185" w:name="_Hlt464966521"/>
      <w:r>
        <w:rPr>
          <w:snapToGrid w:val="0"/>
        </w:rPr>
        <w:t>3</w:t>
      </w:r>
      <w:bookmarkEnd w:id="2185"/>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 </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86" w:name="_Toc465061844"/>
      <w:bookmarkStart w:id="2187" w:name="_Toc465760633"/>
      <w:bookmarkStart w:id="2188" w:name="_Toc469927481"/>
      <w:r>
        <w:rPr>
          <w:snapToGrid w:val="0"/>
        </w:rPr>
        <w:t>43.</w:t>
      </w:r>
      <w:r>
        <w:rPr>
          <w:snapToGrid w:val="0"/>
        </w:rPr>
        <w:tab/>
        <w:t>Section 70L amended</w:t>
      </w:r>
      <w:bookmarkEnd w:id="2186"/>
      <w:bookmarkEnd w:id="2187"/>
      <w:bookmarkEnd w:id="2188"/>
      <w:r>
        <w:rPr>
          <w:snapToGrid w:val="0"/>
        </w:rPr>
        <w:t xml:space="preserve"> </w:t>
      </w:r>
    </w:p>
    <w:p>
      <w:pPr>
        <w:pStyle w:val="nzSubsection"/>
        <w:rPr>
          <w:snapToGrid w:val="0"/>
        </w:rPr>
      </w:pPr>
      <w:r>
        <w:rPr>
          <w:snapToGrid w:val="0"/>
        </w:rPr>
        <w:tab/>
      </w:r>
      <w:r>
        <w:rPr>
          <w:snapToGrid w:val="0"/>
        </w:rPr>
        <w:tab/>
        <w:t>After section 70L(1) the following subsection is inserted — </w:t>
      </w:r>
    </w:p>
    <w:p>
      <w:pPr>
        <w:pStyle w:val="nzMiscellaneousBody"/>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189" w:name="_Hlt464966559"/>
      <w:r>
        <w:rPr>
          <w:snapToGrid w:val="0"/>
        </w:rPr>
        <w:t>3</w:t>
      </w:r>
      <w:bookmarkEnd w:id="218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90" w:name="_Toc465061845"/>
      <w:bookmarkStart w:id="2191" w:name="_Toc465760634"/>
      <w:bookmarkStart w:id="2192" w:name="_Toc469927482"/>
      <w:r>
        <w:rPr>
          <w:snapToGrid w:val="0"/>
        </w:rPr>
        <w:t>44.</w:t>
      </w:r>
      <w:r>
        <w:rPr>
          <w:snapToGrid w:val="0"/>
        </w:rPr>
        <w:tab/>
        <w:t>Section 70O inserted</w:t>
      </w:r>
      <w:bookmarkEnd w:id="2190"/>
      <w:bookmarkEnd w:id="2191"/>
      <w:bookmarkEnd w:id="2192"/>
      <w:r>
        <w:rPr>
          <w:snapToGrid w:val="0"/>
        </w:rPr>
        <w:t xml:space="preserve"> </w:t>
      </w:r>
    </w:p>
    <w:p>
      <w:pPr>
        <w:pStyle w:val="nzSubsection"/>
        <w:keepNext/>
        <w:rPr>
          <w:snapToGrid w:val="0"/>
        </w:rPr>
      </w:pPr>
      <w:r>
        <w:rPr>
          <w:snapToGrid w:val="0"/>
        </w:rPr>
        <w:tab/>
      </w:r>
      <w:r>
        <w:rPr>
          <w:snapToGrid w:val="0"/>
        </w:rPr>
        <w:tab/>
        <w:t>Immediately before section 71 the following section is inserted — </w:t>
      </w:r>
    </w:p>
    <w:p>
      <w:pPr>
        <w:pStyle w:val="nzMiscellaneousBody"/>
        <w:keepNext/>
        <w:tabs>
          <w:tab w:val="left" w:pos="1134"/>
          <w:tab w:val="left" w:pos="1560"/>
        </w:tabs>
        <w:spacing w:before="60"/>
        <w:rPr>
          <w:snapToGrid w:val="0"/>
        </w:rPr>
      </w:pPr>
      <w:r>
        <w:rPr>
          <w:snapToGrid w:val="0"/>
        </w:rPr>
        <w:t xml:space="preserve">“    </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r>
        <w:rPr>
          <w:b/>
          <w:snapToGrid w:val="0"/>
          <w:spacing w:val="-4"/>
        </w:rPr>
        <w:t xml:space="preserve"> </w:t>
      </w:r>
    </w:p>
    <w:p>
      <w:pPr>
        <w:pStyle w:val="nzMiscellaneousBody"/>
        <w:tabs>
          <w:tab w:val="left" w:pos="1134"/>
          <w:tab w:val="left" w:pos="1560"/>
        </w:tabs>
        <w:ind w:left="1560" w:hanging="993"/>
        <w:rPr>
          <w:snapToGrid w:val="0"/>
        </w:rPr>
      </w:pPr>
      <w:r>
        <w:rPr>
          <w:snapToGrid w:val="0"/>
        </w:rPr>
        <w:tab/>
        <w:t>(1)</w:t>
      </w:r>
      <w:r>
        <w:rPr>
          <w:snapToGrid w:val="0"/>
        </w:rPr>
        <w:tab/>
        <w:t>Where —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193" w:name="_Hlt464966584"/>
      <w:r>
        <w:rPr>
          <w:snapToGrid w:val="0"/>
        </w:rPr>
        <w:t>3</w:t>
      </w:r>
      <w:bookmarkEnd w:id="2193"/>
      <w:r>
        <w:rPr>
          <w:snapToGrid w:val="0"/>
        </w:rPr>
        <w:t xml:space="preserve">, as the case may be, of that Act. </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194" w:name="_Hlt464966599"/>
      <w:r>
        <w:rPr>
          <w:snapToGrid w:val="0"/>
        </w:rPr>
        <w:t>11</w:t>
      </w:r>
      <w:bookmarkEnd w:id="2194"/>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95" w:name="_Toc465061846"/>
      <w:bookmarkStart w:id="2196" w:name="_Toc465760635"/>
      <w:bookmarkStart w:id="2197" w:name="_Toc469927483"/>
      <w:r>
        <w:rPr>
          <w:snapToGrid w:val="0"/>
        </w:rPr>
        <w:t>45.</w:t>
      </w:r>
      <w:r>
        <w:rPr>
          <w:snapToGrid w:val="0"/>
        </w:rPr>
        <w:tab/>
        <w:t>Section 75 amended</w:t>
      </w:r>
      <w:bookmarkEnd w:id="2195"/>
      <w:bookmarkEnd w:id="2196"/>
      <w:bookmarkEnd w:id="2197"/>
      <w:r>
        <w:rPr>
          <w:snapToGrid w:val="0"/>
        </w:rPr>
        <w:t xml:space="preserve"> </w:t>
      </w:r>
    </w:p>
    <w:p>
      <w:pPr>
        <w:pStyle w:val="nzSubsection"/>
        <w:keepNext/>
        <w:rPr>
          <w:snapToGrid w:val="0"/>
        </w:rPr>
      </w:pPr>
      <w:r>
        <w:rPr>
          <w:snapToGrid w:val="0"/>
        </w:rPr>
        <w:tab/>
      </w:r>
      <w:r>
        <w:rPr>
          <w:snapToGrid w:val="0"/>
        </w:rPr>
        <w:tab/>
        <w:t>After section 75(7) the following subsection is inserted — </w:t>
      </w:r>
    </w:p>
    <w:p>
      <w:pPr>
        <w:pStyle w:val="nzMiscellaneousBody"/>
        <w:keepNext/>
        <w:tabs>
          <w:tab w:val="left" w:pos="1134"/>
          <w:tab w:val="left" w:pos="1560"/>
        </w:tabs>
        <w:spacing w:before="0"/>
        <w:rPr>
          <w:snapToGrid w:val="0"/>
        </w:rPr>
      </w:pPr>
      <w:r>
        <w:rPr>
          <w:snapToGrid w:val="0"/>
        </w:rPr>
        <w:t xml:space="preserve">“    </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198" w:name="_Hlt464966616"/>
      <w:r>
        <w:rPr>
          <w:snapToGrid w:val="0"/>
        </w:rPr>
        <w:t>3</w:t>
      </w:r>
      <w:bookmarkEnd w:id="2198"/>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199" w:name="_Toc465061847"/>
      <w:bookmarkStart w:id="2200" w:name="_Toc465760636"/>
      <w:bookmarkStart w:id="2201" w:name="_Toc469927484"/>
      <w:r>
        <w:rPr>
          <w:snapToGrid w:val="0"/>
        </w:rPr>
        <w:t>46.</w:t>
      </w:r>
      <w:r>
        <w:rPr>
          <w:snapToGrid w:val="0"/>
        </w:rPr>
        <w:tab/>
        <w:t>Section 85C inserted</w:t>
      </w:r>
      <w:bookmarkEnd w:id="2199"/>
      <w:bookmarkEnd w:id="2200"/>
      <w:bookmarkEnd w:id="2201"/>
      <w:r>
        <w:rPr>
          <w:snapToGrid w:val="0"/>
        </w:rPr>
        <w:t xml:space="preserve"> </w:t>
      </w:r>
    </w:p>
    <w:p>
      <w:pPr>
        <w:pStyle w:val="nzSubsection"/>
        <w:rPr>
          <w:snapToGrid w:val="0"/>
        </w:rPr>
      </w:pPr>
      <w:r>
        <w:rPr>
          <w:snapToGrid w:val="0"/>
        </w:rPr>
        <w:tab/>
      </w:r>
      <w:r>
        <w:rPr>
          <w:snapToGrid w:val="0"/>
        </w:rPr>
        <w:tab/>
        <w:t>Immediately before section 86 the following section is inserted — </w:t>
      </w:r>
    </w:p>
    <w:p>
      <w:pPr>
        <w:pStyle w:val="nzMiscellaneousBody"/>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 xml:space="preserve">. </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02" w:name="_Toc465061848"/>
      <w:bookmarkStart w:id="2203" w:name="_Toc465760637"/>
      <w:bookmarkStart w:id="2204" w:name="_Toc469927485"/>
      <w:r>
        <w:rPr>
          <w:snapToGrid w:val="0"/>
        </w:rPr>
        <w:t>47.</w:t>
      </w:r>
      <w:r>
        <w:rPr>
          <w:snapToGrid w:val="0"/>
        </w:rPr>
        <w:tab/>
        <w:t>Section 90A inserted</w:t>
      </w:r>
      <w:bookmarkEnd w:id="2202"/>
      <w:bookmarkEnd w:id="2203"/>
      <w:bookmarkEnd w:id="2204"/>
      <w:r>
        <w:rPr>
          <w:snapToGrid w:val="0"/>
        </w:rPr>
        <w:t xml:space="preserve"> </w:t>
      </w:r>
    </w:p>
    <w:p>
      <w:pPr>
        <w:pStyle w:val="nzSubsection"/>
        <w:keepNext/>
        <w:rPr>
          <w:snapToGrid w:val="0"/>
        </w:rPr>
      </w:pPr>
      <w:r>
        <w:rPr>
          <w:snapToGrid w:val="0"/>
        </w:rPr>
        <w:tab/>
      </w:r>
      <w:r>
        <w:rPr>
          <w:snapToGrid w:val="0"/>
        </w:rPr>
        <w:tab/>
        <w:t>Immediately before section 91 the following section is inserted — </w:t>
      </w:r>
    </w:p>
    <w:p>
      <w:pPr>
        <w:pStyle w:val="nzMiscellaneousBody"/>
        <w:keepNext/>
        <w:tabs>
          <w:tab w:val="left" w:pos="1134"/>
          <w:tab w:val="left" w:pos="1560"/>
        </w:tabs>
        <w:rPr>
          <w:snapToGrid w:val="0"/>
        </w:rPr>
      </w:pPr>
      <w:r>
        <w:rPr>
          <w:snapToGrid w:val="0"/>
        </w:rPr>
        <w:t xml:space="preserve">“    </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r>
        <w:rPr>
          <w:b/>
          <w:snapToGrid w:val="0"/>
        </w:rPr>
        <w:t xml:space="preserve"> </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MiscClose"/>
        <w:rPr>
          <w:snapToGrid w:val="0"/>
        </w:rPr>
      </w:pPr>
      <w:r>
        <w:rPr>
          <w:snapToGrid w:val="0"/>
        </w:rPr>
        <w:t>”.</w:t>
      </w:r>
    </w:p>
    <w:p>
      <w:pPr>
        <w:pStyle w:val="nSubsection"/>
        <w:rPr>
          <w:snapToGrid w:val="0"/>
        </w:rPr>
      </w:pPr>
      <w:r>
        <w:rPr>
          <w:snapToGrid w:val="0"/>
          <w:vertAlign w:val="superscript"/>
        </w:rPr>
        <w:t>25</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MiscOpen"/>
        <w:spacing w:before="0"/>
        <w:rPr>
          <w:snapToGrid w:val="0"/>
        </w:rPr>
      </w:pPr>
      <w:r>
        <w:rPr>
          <w:snapToGrid w:val="0"/>
        </w:rPr>
        <w:t>“</w:t>
      </w:r>
    </w:p>
    <w:p>
      <w:pPr>
        <w:pStyle w:val="nzHeading2"/>
        <w:outlineLvl w:val="0"/>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r>
        <w:rPr>
          <w:i/>
          <w:snapToGrid w:val="0"/>
        </w:rPr>
        <w:t xml:space="preserve"> </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 xml:space="preserve">Section 8 amended </w:t>
      </w:r>
    </w:p>
    <w:p>
      <w:pPr>
        <w:pStyle w:val="nzSubsection"/>
      </w:pPr>
      <w:r>
        <w:tab/>
        <w:t>(1)</w:t>
      </w:r>
      <w:r>
        <w:tab/>
        <w:t>Section 8(1) is amended, in the definition of “Crown land”, by deleting “in the State,”.</w:t>
      </w:r>
    </w:p>
    <w:p>
      <w:pPr>
        <w:pStyle w:val="nzSubsection"/>
      </w:pPr>
      <w:r>
        <w:tab/>
        <w:t>(2)</w:t>
      </w:r>
      <w:r>
        <w:tab/>
        <w:t>Section 8(1) is amended, in the definition of “land”, by deleting “includes the foreshore and the sea bed within the meaning of section 25” and inserting instead — </w:t>
      </w:r>
    </w:p>
    <w:p>
      <w:pPr>
        <w:pStyle w:val="MiscOpen"/>
        <w:spacing w:before="0"/>
        <w:ind w:left="879"/>
        <w:rPr>
          <w:snapToGrid w:val="0"/>
        </w:rPr>
      </w:pPr>
      <w:r>
        <w:rPr>
          <w:snapToGrid w:val="0"/>
        </w:rPr>
        <w:t xml:space="preserve">“    </w:t>
      </w:r>
    </w:p>
    <w:p>
      <w:pPr>
        <w:pStyle w:val="nzMiscellaneousBody"/>
      </w:pPr>
      <w:r>
        <w:tab/>
      </w:r>
      <w:r>
        <w:tab/>
        <w:t>includes —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 xml:space="preserve">Section 9 amended </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 xml:space="preserve">Section 9A inserted </w:t>
      </w:r>
    </w:p>
    <w:p>
      <w:pPr>
        <w:pStyle w:val="nzSubsection"/>
        <w:rPr>
          <w:snapToGrid w:val="0"/>
        </w:rPr>
      </w:pPr>
      <w:r>
        <w:rPr>
          <w:snapToGrid w:val="0"/>
        </w:rPr>
        <w:tab/>
      </w:r>
      <w:r>
        <w:rPr>
          <w:snapToGrid w:val="0"/>
        </w:rPr>
        <w:tab/>
      </w:r>
      <w:r>
        <w:t>After</w:t>
      </w:r>
      <w:r>
        <w:rPr>
          <w:snapToGrid w:val="0"/>
        </w:rPr>
        <w:t xml:space="preserve"> section 9 the following section is inserted in Part I — </w:t>
      </w:r>
    </w:p>
    <w:p>
      <w:pPr>
        <w:pStyle w:val="MiscOpen"/>
        <w:rPr>
          <w:snapToGrid w:val="0"/>
        </w:rPr>
      </w:pPr>
      <w:r>
        <w:rPr>
          <w:snapToGrid w:val="0"/>
        </w:rPr>
        <w:t xml:space="preserve">“    </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tabs>
          <w:tab w:val="left" w:pos="1418"/>
          <w:tab w:val="left" w:pos="1985"/>
        </w:tabs>
        <w:ind w:left="1985" w:hanging="1418"/>
      </w:pPr>
      <w:r>
        <w:tab/>
      </w:r>
      <w:r>
        <w:tab/>
        <w:t>this Act applies, while the tenement or any successor tenement remains in force, as if the area were still within the offshore area.</w:t>
      </w:r>
    </w:p>
    <w:p>
      <w:pPr>
        <w:pStyle w:val="nzMiscellaneousBody"/>
        <w:tabs>
          <w:tab w:val="left" w:pos="1418"/>
          <w:tab w:val="left" w:pos="1985"/>
        </w:tabs>
        <w:ind w:left="1985" w:hanging="1418"/>
      </w:pPr>
      <w:r>
        <w:tab/>
        <w:t>(2)</w:t>
      </w:r>
      <w:r>
        <w:tab/>
        <w:t>In subsection (1) — </w:t>
      </w:r>
    </w:p>
    <w:p>
      <w:pPr>
        <w:pStyle w:val="nzMiscellaneousBody"/>
        <w:tabs>
          <w:tab w:val="left" w:pos="1985"/>
          <w:tab w:val="left" w:pos="2268"/>
        </w:tabs>
        <w:ind w:left="2268" w:hanging="1701"/>
      </w:pPr>
      <w:r>
        <w:tab/>
      </w:r>
      <w:r>
        <w:rPr>
          <w:b/>
        </w:rPr>
        <w:t>“</w:t>
      </w:r>
      <w:r>
        <w:rPr>
          <w:b/>
          <w:bCs/>
        </w:rPr>
        <w:t>offshore area</w:t>
      </w:r>
      <w:r>
        <w:rPr>
          <w:b/>
        </w:rPr>
        <w:t>”</w:t>
      </w:r>
      <w:r>
        <w:t xml:space="preserve"> means an area that comes within paragraph (b) of the definition of “land” in section 8(1).</w:t>
      </w:r>
    </w:p>
    <w:p>
      <w:pPr>
        <w:pStyle w:val="nzMiscellaneousBody"/>
        <w:tabs>
          <w:tab w:val="left" w:pos="1418"/>
          <w:tab w:val="left" w:pos="1985"/>
        </w:tabs>
        <w:ind w:left="1985" w:hanging="1418"/>
      </w:pPr>
      <w:r>
        <w:tab/>
        <w:t>(3)</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tabs>
          <w:tab w:val="left" w:pos="1418"/>
          <w:tab w:val="left" w:pos="1985"/>
        </w:tabs>
        <w:ind w:left="1985" w:hanging="1418"/>
      </w:pPr>
      <w:r>
        <w:tab/>
        <w:t>(4)</w:t>
      </w:r>
      <w:r>
        <w:tab/>
        <w:t>If —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ind w:left="1985" w:hanging="1418"/>
      </w:pPr>
      <w:r>
        <w:tab/>
        <w:t>(5)</w:t>
      </w:r>
      <w:r>
        <w:tab/>
        <w:t>If —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 xml:space="preserve">Section 16 amended </w:t>
      </w:r>
    </w:p>
    <w:p>
      <w:pPr>
        <w:pStyle w:val="nzSubsection"/>
        <w:rPr>
          <w:snapToGrid w:val="0"/>
        </w:rPr>
      </w:pPr>
      <w:r>
        <w:rPr>
          <w:snapToGrid w:val="0"/>
        </w:rPr>
        <w:tab/>
      </w:r>
      <w:r>
        <w:rPr>
          <w:snapToGrid w:val="0"/>
        </w:rPr>
        <w:tab/>
        <w:t>Section 16(1)(a) is amended by inserting after “State”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 xml:space="preserve">Section 25 amended </w:t>
      </w:r>
    </w:p>
    <w:p>
      <w:pPr>
        <w:pStyle w:val="nzSubsection"/>
        <w:rPr>
          <w:snapToGrid w:val="0"/>
        </w:rPr>
      </w:pPr>
      <w:r>
        <w:rPr>
          <w:snapToGrid w:val="0"/>
        </w:rPr>
        <w:tab/>
      </w:r>
      <w:r>
        <w:rPr>
          <w:snapToGrid w:val="0"/>
        </w:rPr>
        <w:tab/>
        <w:t>Section 25(1)(b) is amended by deleting “seaward limits of the territorial waters of the State” and inserting instead — </w:t>
      </w:r>
    </w:p>
    <w:p>
      <w:pPr>
        <w:pStyle w:val="MiscOpen"/>
        <w:ind w:left="1616"/>
        <w:rPr>
          <w:snapToGrid w:val="0"/>
        </w:rPr>
      </w:pPr>
      <w:r>
        <w:rPr>
          <w:snapToGrid w:val="0"/>
        </w:rPr>
        <w:t xml:space="preserve">“    </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r>
        <w:rPr>
          <w:snapToGrid w:val="0"/>
        </w:rPr>
        <w:t xml:space="preserve"> </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 xml:space="preserve">Section 56C amended </w:t>
      </w:r>
    </w:p>
    <w:p>
      <w:pPr>
        <w:pStyle w:val="nzSubsection"/>
        <w:keepNext/>
        <w:rPr>
          <w:snapToGrid w:val="0"/>
        </w:rPr>
      </w:pPr>
      <w:r>
        <w:rPr>
          <w:snapToGrid w:val="0"/>
        </w:rPr>
        <w:tab/>
      </w:r>
      <w:r>
        <w:rPr>
          <w:snapToGrid w:val="0"/>
        </w:rPr>
        <w:tab/>
        <w:t>After section 56C(4) the following subsection is inserted — </w:t>
      </w:r>
    </w:p>
    <w:p>
      <w:pPr>
        <w:pStyle w:val="MiscOpen"/>
        <w:keepLines w:val="0"/>
        <w:ind w:left="851"/>
        <w:rPr>
          <w:snapToGrid w:val="0"/>
        </w:rPr>
      </w:pPr>
      <w:r>
        <w:rPr>
          <w:snapToGrid w:val="0"/>
        </w:rPr>
        <w:t xml:space="preserve">“    </w:t>
      </w:r>
    </w:p>
    <w:p>
      <w:pPr>
        <w:pStyle w:val="nzMiscellaneousBody"/>
        <w:tabs>
          <w:tab w:val="left" w:pos="1418"/>
          <w:tab w:val="left" w:pos="1985"/>
        </w:tabs>
        <w:ind w:left="1985" w:hanging="1418"/>
      </w:pPr>
      <w:r>
        <w:tab/>
        <w:t>(5)</w:t>
      </w:r>
      <w:r>
        <w:tab/>
        <w:t>In subsection (2) — </w:t>
      </w:r>
    </w:p>
    <w:p>
      <w:pPr>
        <w:pStyle w:val="nzMiscellaneousBody"/>
        <w:tabs>
          <w:tab w:val="left" w:pos="1985"/>
          <w:tab w:val="left" w:pos="2410"/>
        </w:tabs>
        <w:ind w:left="2410" w:hanging="1843"/>
      </w:pPr>
      <w:r>
        <w:tab/>
      </w:r>
      <w:r>
        <w:rPr>
          <w:b/>
        </w:rPr>
        <w:t>“</w:t>
      </w:r>
      <w:r>
        <w:rPr>
          <w:b/>
          <w:bCs/>
        </w:rPr>
        <w:t>State</w:t>
      </w:r>
      <w:r>
        <w:rPr>
          <w:b/>
        </w:rPr>
        <w:t>”</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 xml:space="preserve">Section 132 amended </w:t>
      </w:r>
    </w:p>
    <w:p>
      <w:pPr>
        <w:pStyle w:val="nzSubsection"/>
        <w:rPr>
          <w:snapToGrid w:val="0"/>
        </w:rPr>
      </w:pPr>
      <w:r>
        <w:rPr>
          <w:snapToGrid w:val="0"/>
        </w:rPr>
        <w:tab/>
      </w:r>
      <w:r>
        <w:rPr>
          <w:snapToGrid w:val="0"/>
        </w:rPr>
        <w:tab/>
        <w:t>Section 132(2) is amended by inserting after “the State” — </w:t>
      </w:r>
    </w:p>
    <w:p>
      <w:pPr>
        <w:pStyle w:val="MiscOpen"/>
        <w:keepNext w:val="0"/>
        <w:keepLines w:val="0"/>
        <w:ind w:left="879"/>
        <w:rPr>
          <w:snapToGrid w:val="0"/>
        </w:rPr>
      </w:pPr>
      <w:r>
        <w:rPr>
          <w:snapToGrid w:val="0"/>
        </w:rPr>
        <w:t xml:space="preserve">“    </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nSubsection"/>
        <w:jc w:val="right"/>
        <w:rPr>
          <w:snapToGrid w:val="0"/>
          <w:vertAlign w:val="superscript"/>
        </w:rPr>
      </w:pPr>
      <w:r>
        <w:t>”.</w:t>
      </w:r>
    </w:p>
    <w:p>
      <w:pPr>
        <w:pStyle w:val="nSubsection"/>
        <w:rPr>
          <w:snapToGrid w:val="0"/>
        </w:rPr>
      </w:pPr>
      <w:r>
        <w:rPr>
          <w:snapToGrid w:val="0"/>
          <w:vertAlign w:val="superscript"/>
        </w:rPr>
        <w:t>26</w:t>
      </w:r>
      <w:r>
        <w:rPr>
          <w:snapToGrid w:val="0"/>
        </w:rPr>
        <w:tab/>
        <w:t xml:space="preserve">The </w:t>
      </w:r>
      <w:r>
        <w:rPr>
          <w:i/>
          <w:snapToGrid w:val="0"/>
        </w:rPr>
        <w:t>Mining Amendment Act 2004</w:t>
      </w:r>
      <w:r>
        <w:rPr>
          <w:iCs/>
          <w:snapToGrid w:val="0"/>
        </w:rPr>
        <w:t xml:space="preserve"> s. 86 reads as follows</w:t>
      </w:r>
      <w:r>
        <w:rPr>
          <w:snapToGrid w:val="0"/>
        </w:rPr>
        <w:t>:</w:t>
      </w:r>
    </w:p>
    <w:p>
      <w:pPr>
        <w:pStyle w:val="MiscOpen"/>
        <w:rPr>
          <w:snapToGrid w:val="0"/>
        </w:rPr>
      </w:pPr>
      <w:r>
        <w:rPr>
          <w:snapToGrid w:val="0"/>
        </w:rPr>
        <w:t>“</w:t>
      </w:r>
    </w:p>
    <w:p>
      <w:pPr>
        <w:pStyle w:val="nzHeading5"/>
      </w:pPr>
      <w:bookmarkStart w:id="2205" w:name="_Toc87061537"/>
      <w:r>
        <w:rPr>
          <w:rStyle w:val="CharSectno"/>
        </w:rPr>
        <w:t>86</w:t>
      </w:r>
      <w:r>
        <w:t>.</w:t>
      </w:r>
      <w:r>
        <w:tab/>
        <w:t>Transitional provision</w:t>
      </w:r>
      <w:bookmarkEnd w:id="2205"/>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MiscClose"/>
        <w:spacing w:before="120"/>
        <w:rPr>
          <w:snapToGrid w:val="0"/>
        </w:rPr>
      </w:pPr>
      <w:r>
        <w:rPr>
          <w:snapToGrid w:val="0"/>
        </w:rPr>
        <w:t>”.</w:t>
      </w:r>
    </w:p>
    <w:p>
      <w:pPr>
        <w:pStyle w:val="nSubsection"/>
        <w:rPr>
          <w:snapToGrid w:val="0"/>
        </w:rPr>
      </w:pPr>
      <w:r>
        <w:rPr>
          <w:vertAlign w:val="superscript"/>
        </w:rPr>
        <w:t>27</w:t>
      </w:r>
      <w:r>
        <w:rPr>
          <w:snapToGrid w:val="0"/>
        </w:rPr>
        <w:tab/>
        <w:t>Footnote no longer applicable.</w:t>
      </w:r>
    </w:p>
    <w:p>
      <w:pPr>
        <w:pStyle w:val="nSubsection"/>
        <w:rPr>
          <w:snapToGrid w:val="0"/>
        </w:rPr>
      </w:pPr>
      <w:r>
        <w:rPr>
          <w:snapToGrid w:val="0"/>
          <w:vertAlign w:val="superscript"/>
        </w:rPr>
        <w:t>28</w:t>
      </w:r>
      <w:r>
        <w:rPr>
          <w:snapToGrid w:val="0"/>
        </w:rPr>
        <w:tab/>
        <w:t xml:space="preserve">The </w:t>
      </w:r>
      <w:r>
        <w:rPr>
          <w:i/>
          <w:iCs/>
          <w:snapToGrid w:val="0"/>
        </w:rPr>
        <w:t>Mining Amendment Act 1981</w:t>
      </w:r>
      <w:r>
        <w:rPr>
          <w:snapToGrid w:val="0"/>
        </w:rPr>
        <w:t xml:space="preserve"> s.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MiscClose"/>
      </w:pPr>
      <w:r>
        <w:t>”.</w:t>
      </w:r>
    </w:p>
    <w:p>
      <w:pPr>
        <w:pStyle w:val="nSubsection"/>
        <w:keepLines/>
        <w:rPr>
          <w:del w:id="2206" w:author="svcMRProcess" w:date="2020-02-19T00:00:00Z"/>
          <w:snapToGrid w:val="0"/>
        </w:rPr>
      </w:pPr>
      <w:del w:id="2207" w:author="svcMRProcess" w:date="2020-02-19T00:00:00Z">
        <w:r>
          <w:rPr>
            <w:snapToGrid w:val="0"/>
            <w:vertAlign w:val="superscript"/>
          </w:rPr>
          <w:delText>29</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100</w:delText>
        </w:r>
        <w:r>
          <w:delText xml:space="preserve"> </w:delText>
        </w:r>
        <w:r>
          <w:rPr>
            <w:snapToGrid w:val="0"/>
          </w:rPr>
          <w:delText>had not come into operation.  It reads as follows:</w:delText>
        </w:r>
      </w:del>
    </w:p>
    <w:p>
      <w:pPr>
        <w:pStyle w:val="MiscOpen"/>
        <w:keepNext w:val="0"/>
        <w:spacing w:before="60"/>
        <w:rPr>
          <w:del w:id="2208" w:author="svcMRProcess" w:date="2020-02-19T00:00:00Z"/>
        </w:rPr>
      </w:pPr>
      <w:del w:id="2209" w:author="svcMRProcess" w:date="2020-02-19T00:00:00Z">
        <w:r>
          <w:delText>“</w:delText>
        </w:r>
      </w:del>
    </w:p>
    <w:p>
      <w:pPr>
        <w:pStyle w:val="nzHeading5"/>
        <w:rPr>
          <w:del w:id="2210" w:author="svcMRProcess" w:date="2020-02-19T00:00:00Z"/>
        </w:rPr>
      </w:pPr>
      <w:bookmarkStart w:id="2211" w:name="_Toc185403667"/>
      <w:bookmarkStart w:id="2212" w:name="_Toc186515103"/>
      <w:del w:id="2213" w:author="svcMRProcess" w:date="2020-02-19T00:00:00Z">
        <w:r>
          <w:rPr>
            <w:rStyle w:val="CharSectno"/>
          </w:rPr>
          <w:delText>100</w:delText>
        </w:r>
        <w:r>
          <w:delText>.</w:delText>
        </w:r>
        <w:r>
          <w:tab/>
        </w:r>
        <w:r>
          <w:rPr>
            <w:i/>
          </w:rPr>
          <w:delText>Mining Act 1978</w:delText>
        </w:r>
        <w:r>
          <w:delText xml:space="preserve"> amended</w:delText>
        </w:r>
        <w:bookmarkEnd w:id="2211"/>
        <w:bookmarkEnd w:id="2212"/>
      </w:del>
    </w:p>
    <w:p>
      <w:pPr>
        <w:pStyle w:val="nzSubsection"/>
        <w:rPr>
          <w:del w:id="2214" w:author="svcMRProcess" w:date="2020-02-19T00:00:00Z"/>
        </w:rPr>
      </w:pPr>
      <w:del w:id="2215" w:author="svcMRProcess" w:date="2020-02-19T00:00:00Z">
        <w:r>
          <w:tab/>
          <w:delText>(1)</w:delText>
        </w:r>
        <w:r>
          <w:tab/>
          <w:delText xml:space="preserve">The amendments in this section are to the </w:delText>
        </w:r>
        <w:r>
          <w:rPr>
            <w:i/>
          </w:rPr>
          <w:delText>Mining Act 1978</w:delText>
        </w:r>
        <w:r>
          <w:rPr>
            <w:iCs/>
          </w:rPr>
          <w:delText>.</w:delText>
        </w:r>
      </w:del>
    </w:p>
    <w:p>
      <w:pPr>
        <w:pStyle w:val="nzSubsection"/>
        <w:rPr>
          <w:del w:id="2216" w:author="svcMRProcess" w:date="2020-02-19T00:00:00Z"/>
        </w:rPr>
      </w:pPr>
      <w:del w:id="2217" w:author="svcMRProcess" w:date="2020-02-19T00:00:00Z">
        <w:r>
          <w:tab/>
          <w:delText>(2)</w:delText>
        </w:r>
        <w:r>
          <w:tab/>
          <w:delText>Section 8(1) is amended in the definition of “minerals” as follows:</w:delText>
        </w:r>
      </w:del>
    </w:p>
    <w:p>
      <w:pPr>
        <w:pStyle w:val="nzIndenta"/>
        <w:rPr>
          <w:del w:id="2218" w:author="svcMRProcess" w:date="2020-02-19T00:00:00Z"/>
        </w:rPr>
      </w:pPr>
      <w:del w:id="2219" w:author="svcMRProcess" w:date="2020-02-19T00:00:00Z">
        <w:r>
          <w:tab/>
          <w:delText>(a)</w:delText>
        </w:r>
        <w:r>
          <w:tab/>
          <w:delText>in paragraph (b) by deleting “</w:delText>
        </w:r>
        <w:r>
          <w:rPr>
            <w:i/>
            <w:iCs/>
          </w:rPr>
          <w:delText>Petroleum Act 1967</w:delText>
        </w:r>
        <w:r>
          <w:delText xml:space="preserve">” and inserting instead — </w:delText>
        </w:r>
      </w:del>
    </w:p>
    <w:p>
      <w:pPr>
        <w:pStyle w:val="MiscOpen"/>
        <w:ind w:left="1880"/>
        <w:rPr>
          <w:del w:id="2220" w:author="svcMRProcess" w:date="2020-02-19T00:00:00Z"/>
        </w:rPr>
      </w:pPr>
      <w:del w:id="2221" w:author="svcMRProcess" w:date="2020-02-19T00:00:00Z">
        <w:r>
          <w:delText xml:space="preserve">“    </w:delText>
        </w:r>
      </w:del>
    </w:p>
    <w:p>
      <w:pPr>
        <w:pStyle w:val="nzDefpara"/>
        <w:rPr>
          <w:del w:id="2222" w:author="svcMRProcess" w:date="2020-02-19T00:00:00Z"/>
        </w:rPr>
      </w:pPr>
      <w:del w:id="2223" w:author="svcMRProcess" w:date="2020-02-19T00:00:00Z">
        <w:r>
          <w:tab/>
        </w:r>
        <w:r>
          <w:tab/>
        </w:r>
        <w:r>
          <w:rPr>
            <w:i/>
            <w:iCs/>
          </w:rPr>
          <w:delText>Petroleum and Geothermal Energy Resources Act 1967</w:delText>
        </w:r>
      </w:del>
    </w:p>
    <w:p>
      <w:pPr>
        <w:pStyle w:val="MiscClose"/>
        <w:keepNext/>
        <w:rPr>
          <w:del w:id="2224" w:author="svcMRProcess" w:date="2020-02-19T00:00:00Z"/>
        </w:rPr>
      </w:pPr>
      <w:del w:id="2225" w:author="svcMRProcess" w:date="2020-02-19T00:00:00Z">
        <w:r>
          <w:delText xml:space="preserve">    ”;</w:delText>
        </w:r>
      </w:del>
    </w:p>
    <w:p>
      <w:pPr>
        <w:pStyle w:val="nzIndenta"/>
        <w:rPr>
          <w:del w:id="2226" w:author="svcMRProcess" w:date="2020-02-19T00:00:00Z"/>
        </w:rPr>
      </w:pPr>
      <w:del w:id="2227" w:author="svcMRProcess" w:date="2020-02-19T00:00:00Z">
        <w:r>
          <w:tab/>
          <w:delText>(b)</w:delText>
        </w:r>
        <w:r>
          <w:tab/>
          <w:delText xml:space="preserve">after paragraph (b) by inserting — </w:delText>
        </w:r>
      </w:del>
    </w:p>
    <w:p>
      <w:pPr>
        <w:pStyle w:val="MiscOpen"/>
        <w:ind w:left="1580"/>
        <w:rPr>
          <w:del w:id="2228" w:author="svcMRProcess" w:date="2020-02-19T00:00:00Z"/>
        </w:rPr>
      </w:pPr>
      <w:del w:id="2229" w:author="svcMRProcess" w:date="2020-02-19T00:00:00Z">
        <w:r>
          <w:delText xml:space="preserve">“    </w:delText>
        </w:r>
      </w:del>
    </w:p>
    <w:p>
      <w:pPr>
        <w:pStyle w:val="nzDefpara"/>
        <w:rPr>
          <w:del w:id="2230" w:author="svcMRProcess" w:date="2020-02-19T00:00:00Z"/>
        </w:rPr>
      </w:pPr>
      <w:del w:id="2231" w:author="svcMRProcess" w:date="2020-02-19T00:00:00Z">
        <w:r>
          <w:tab/>
          <w:delText>(ba)</w:delText>
        </w:r>
        <w:r>
          <w:tab/>
          <w:delText xml:space="preserve">without limiting paragraph (b), geothermal energy resources as defined in the </w:delText>
        </w:r>
        <w:r>
          <w:rPr>
            <w:i/>
            <w:iCs/>
          </w:rPr>
          <w:delText>Petroleum and Geothermal Energy Resources Act 1967</w:delText>
        </w:r>
        <w:r>
          <w:delText xml:space="preserve"> section 5(1); or</w:delText>
        </w:r>
      </w:del>
    </w:p>
    <w:p>
      <w:pPr>
        <w:pStyle w:val="MiscClose"/>
        <w:rPr>
          <w:del w:id="2232" w:author="svcMRProcess" w:date="2020-02-19T00:00:00Z"/>
        </w:rPr>
      </w:pPr>
      <w:del w:id="2233" w:author="svcMRProcess" w:date="2020-02-19T00:00:00Z">
        <w:r>
          <w:delText xml:space="preserve">    ”;</w:delText>
        </w:r>
      </w:del>
    </w:p>
    <w:p>
      <w:pPr>
        <w:pStyle w:val="nzIndenta"/>
        <w:rPr>
          <w:del w:id="2234" w:author="svcMRProcess" w:date="2020-02-19T00:00:00Z"/>
        </w:rPr>
      </w:pPr>
      <w:del w:id="2235" w:author="svcMRProcess" w:date="2020-02-19T00:00:00Z">
        <w:r>
          <w:tab/>
          <w:delText>(c)</w:delText>
        </w:r>
        <w:r>
          <w:tab/>
          <w:delText xml:space="preserve">after each of paragraphs (a) and (b) and (d)(i) and (ii) by inserting — </w:delText>
        </w:r>
      </w:del>
    </w:p>
    <w:p>
      <w:pPr>
        <w:pStyle w:val="nzIndenta"/>
        <w:rPr>
          <w:del w:id="2236" w:author="svcMRProcess" w:date="2020-02-19T00:00:00Z"/>
        </w:rPr>
      </w:pPr>
      <w:del w:id="2237" w:author="svcMRProcess" w:date="2020-02-19T00:00:00Z">
        <w:r>
          <w:tab/>
        </w:r>
        <w:r>
          <w:tab/>
          <w:delText>“    or    ”.</w:delText>
        </w:r>
      </w:del>
    </w:p>
    <w:p>
      <w:pPr>
        <w:pStyle w:val="nzSubsection"/>
        <w:rPr>
          <w:del w:id="2238" w:author="svcMRProcess" w:date="2020-02-19T00:00:00Z"/>
        </w:rPr>
      </w:pPr>
      <w:del w:id="2239" w:author="svcMRProcess" w:date="2020-02-19T00:00:00Z">
        <w:r>
          <w:tab/>
          <w:delText>(3)</w:delText>
        </w:r>
        <w:r>
          <w:tab/>
          <w:delText>Section 8(2) is amended by deleting “</w:delText>
        </w:r>
        <w:r>
          <w:rPr>
            <w:i/>
            <w:iCs/>
          </w:rPr>
          <w:delText>Petroleum Act 1967</w:delText>
        </w:r>
        <w:r>
          <w:delText xml:space="preserve">” and inserting instead — </w:delText>
        </w:r>
      </w:del>
    </w:p>
    <w:p>
      <w:pPr>
        <w:pStyle w:val="nzSubsection"/>
        <w:rPr>
          <w:del w:id="2240" w:author="svcMRProcess" w:date="2020-02-19T00:00:00Z"/>
        </w:rPr>
      </w:pPr>
      <w:del w:id="2241" w:author="svcMRProcess" w:date="2020-02-19T00:00:00Z">
        <w:r>
          <w:tab/>
        </w:r>
        <w:r>
          <w:tab/>
          <w:delText xml:space="preserve">“    </w:delText>
        </w:r>
        <w:r>
          <w:rPr>
            <w:i/>
            <w:iCs/>
          </w:rPr>
          <w:delText>Petroleum and Geothermal Energy Resources Act 1967</w:delText>
        </w:r>
        <w:r>
          <w:delText xml:space="preserve">    ”.</w:delText>
        </w:r>
      </w:del>
    </w:p>
    <w:p>
      <w:pPr>
        <w:pStyle w:val="nzSubsection"/>
        <w:rPr>
          <w:del w:id="2242" w:author="svcMRProcess" w:date="2020-02-19T00:00:00Z"/>
        </w:rPr>
      </w:pPr>
      <w:del w:id="2243" w:author="svcMRProcess" w:date="2020-02-19T00:00:00Z">
        <w:r>
          <w:tab/>
          <w:delText>(4)</w:delText>
        </w:r>
        <w:r>
          <w:tab/>
          <w:delText>Section 8A(1) is amended by deleting “</w:delText>
        </w:r>
        <w:r>
          <w:rPr>
            <w:i/>
            <w:iCs/>
          </w:rPr>
          <w:delText>Petroleum Act 1967</w:delText>
        </w:r>
        <w:r>
          <w:delText xml:space="preserve">” and inserting instead — </w:delText>
        </w:r>
      </w:del>
    </w:p>
    <w:p>
      <w:pPr>
        <w:pStyle w:val="nzSubsection"/>
        <w:rPr>
          <w:del w:id="2244" w:author="svcMRProcess" w:date="2020-02-19T00:00:00Z"/>
        </w:rPr>
      </w:pPr>
      <w:del w:id="2245" w:author="svcMRProcess" w:date="2020-02-19T00:00:00Z">
        <w:r>
          <w:tab/>
        </w:r>
        <w:r>
          <w:tab/>
          <w:delText xml:space="preserve">“    </w:delText>
        </w:r>
        <w:r>
          <w:rPr>
            <w:i/>
            <w:iCs/>
          </w:rPr>
          <w:delText>Petroleum and Geothermal Energy Resources Act 1967</w:delText>
        </w:r>
        <w:r>
          <w:delText xml:space="preserve">    ”.</w:delText>
        </w:r>
      </w:del>
    </w:p>
    <w:p>
      <w:pPr>
        <w:pStyle w:val="nzSubsection"/>
        <w:rPr>
          <w:del w:id="2246" w:author="svcMRProcess" w:date="2020-02-19T00:00:00Z"/>
        </w:rPr>
      </w:pPr>
      <w:del w:id="2247" w:author="svcMRProcess" w:date="2020-02-19T00:00:00Z">
        <w:r>
          <w:tab/>
          <w:delText>(5)</w:delText>
        </w:r>
        <w:r>
          <w:tab/>
          <w:delText>Section 159(1) is amended by deleting “</w:delText>
        </w:r>
        <w:r>
          <w:rPr>
            <w:i/>
            <w:iCs/>
          </w:rPr>
          <w:delText>Petroleum Act 1967</w:delText>
        </w:r>
        <w:r>
          <w:delText xml:space="preserve">” and inserting instead — </w:delText>
        </w:r>
      </w:del>
    </w:p>
    <w:p>
      <w:pPr>
        <w:pStyle w:val="nzSubsection"/>
        <w:rPr>
          <w:del w:id="2248" w:author="svcMRProcess" w:date="2020-02-19T00:00:00Z"/>
        </w:rPr>
      </w:pPr>
      <w:del w:id="2249" w:author="svcMRProcess" w:date="2020-02-19T00:00:00Z">
        <w:r>
          <w:tab/>
        </w:r>
        <w:r>
          <w:tab/>
          <w:delText xml:space="preserve">“    </w:delText>
        </w:r>
        <w:r>
          <w:rPr>
            <w:i/>
            <w:iCs/>
          </w:rPr>
          <w:delText>Petroleum and Geothermal Energy Resources Act 1967</w:delText>
        </w:r>
        <w:r>
          <w:delText xml:space="preserve">    ”.</w:delText>
        </w:r>
      </w:del>
    </w:p>
    <w:p>
      <w:pPr>
        <w:pStyle w:val="nzSubsection"/>
        <w:rPr>
          <w:del w:id="2250" w:author="svcMRProcess" w:date="2020-02-19T00:00:00Z"/>
        </w:rPr>
      </w:pPr>
      <w:del w:id="2251" w:author="svcMRProcess" w:date="2020-02-19T00:00:00Z">
        <w:r>
          <w:tab/>
          <w:delText>(6)</w:delText>
        </w:r>
        <w:r>
          <w:tab/>
          <w:delText xml:space="preserve">After section 159(3) the following subsection is inserted — </w:delText>
        </w:r>
      </w:del>
    </w:p>
    <w:p>
      <w:pPr>
        <w:pStyle w:val="MiscOpen"/>
        <w:ind w:left="600"/>
        <w:rPr>
          <w:del w:id="2252" w:author="svcMRProcess" w:date="2020-02-19T00:00:00Z"/>
        </w:rPr>
      </w:pPr>
      <w:del w:id="2253" w:author="svcMRProcess" w:date="2020-02-19T00:00:00Z">
        <w:r>
          <w:delText xml:space="preserve">“    </w:delText>
        </w:r>
      </w:del>
    </w:p>
    <w:p>
      <w:pPr>
        <w:pStyle w:val="nzSubsection"/>
        <w:rPr>
          <w:del w:id="2254" w:author="svcMRProcess" w:date="2020-02-19T00:00:00Z"/>
        </w:rPr>
      </w:pPr>
      <w:del w:id="2255" w:author="svcMRProcess" w:date="2020-02-19T00:00:00Z">
        <w:r>
          <w:tab/>
          <w:delText>(4)</w:delText>
        </w:r>
        <w:r>
          <w:tab/>
          <w:delText xml:space="preserve">In this section — </w:delText>
        </w:r>
      </w:del>
    </w:p>
    <w:p>
      <w:pPr>
        <w:pStyle w:val="nzIndenta"/>
        <w:rPr>
          <w:del w:id="2256" w:author="svcMRProcess" w:date="2020-02-19T00:00:00Z"/>
        </w:rPr>
      </w:pPr>
      <w:del w:id="2257" w:author="svcMRProcess" w:date="2020-02-19T00:00:00Z">
        <w:r>
          <w:tab/>
          <w:delText>(a)</w:delText>
        </w:r>
        <w:r>
          <w:tab/>
          <w:delText>a reference to a licence or permit includes a reference to a drilling reservation or lease; and</w:delText>
        </w:r>
      </w:del>
    </w:p>
    <w:p>
      <w:pPr>
        <w:pStyle w:val="nzIndenta"/>
        <w:rPr>
          <w:del w:id="2258" w:author="svcMRProcess" w:date="2020-02-19T00:00:00Z"/>
        </w:rPr>
      </w:pPr>
      <w:del w:id="2259" w:author="svcMRProcess" w:date="2020-02-19T00:00:00Z">
        <w:r>
          <w:tab/>
          <w:delText>(b)</w:delText>
        </w:r>
        <w:r>
          <w:tab/>
          <w:delText>a reference to a licensee or permittee includes a reference to the registered holder of a drilling reservation or lease.</w:delText>
        </w:r>
      </w:del>
    </w:p>
    <w:p>
      <w:pPr>
        <w:pStyle w:val="MiscClose"/>
        <w:rPr>
          <w:del w:id="2260" w:author="svcMRProcess" w:date="2020-02-19T00:00:00Z"/>
        </w:rPr>
      </w:pPr>
      <w:del w:id="2261" w:author="svcMRProcess" w:date="2020-02-19T00:00:00Z">
        <w:r>
          <w:delText xml:space="preserve">    ”.</w:delText>
        </w:r>
      </w:del>
    </w:p>
    <w:p>
      <w:pPr>
        <w:pStyle w:val="MiscClose"/>
        <w:rPr>
          <w:del w:id="2262" w:author="svcMRProcess" w:date="2020-02-19T00:00:00Z"/>
        </w:rPr>
      </w:pPr>
      <w:del w:id="2263" w:author="svcMRProcess" w:date="2020-02-19T00:00:00Z">
        <w:r>
          <w:delText>”.</w:delText>
        </w:r>
      </w:del>
    </w:p>
    <w:p>
      <w:pPr>
        <w:rPr>
          <w:snapToGrid w:val="0"/>
        </w:rPr>
      </w:pPr>
    </w:p>
    <w:p>
      <w:pPr>
        <w:rPr>
          <w:snapToGrid w:val="0"/>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jc w:val="left"/>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7"/>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26"/>
    <w:docVar w:name="WAFER_20151208135326" w:val="RemoveTrackChanges"/>
    <w:docVar w:name="WAFER_20151208135326_GUID" w:val="65ef960d-9b75-4020-aa8b-6d7f0b39fe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81704</Words>
  <Characters>379925</Characters>
  <Application>Microsoft Office Word</Application>
  <DocSecurity>0</DocSecurity>
  <Lines>9498</Lines>
  <Paragraphs>4314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457315</CharactersWithSpaces>
  <SharedDoc>false</SharedDoc>
  <HLinks>
    <vt:vector size="6" baseType="variant">
      <vt:variant>
        <vt:i4>5439608</vt:i4>
      </vt:variant>
      <vt:variant>
        <vt:i4>443537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06-d0-01 - 06-e0-02</dc:title>
  <dc:subject/>
  <dc:creator/>
  <cp:keywords/>
  <dc:description/>
  <cp:lastModifiedBy>svcMRProcess</cp:lastModifiedBy>
  <cp:revision>2</cp:revision>
  <cp:lastPrinted>2007-03-28T03:23:00Z</cp:lastPrinted>
  <dcterms:created xsi:type="dcterms:W3CDTF">2020-02-18T16:00:00Z</dcterms:created>
  <dcterms:modified xsi:type="dcterms:W3CDTF">2020-02-18T16:00:00Z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517</vt:i4>
  </property>
  <property fmtid="{D5CDD505-2E9C-101B-9397-08002B2CF9AE}" pid="6" name="ReprintNo">
    <vt:lpwstr>6</vt:lpwstr>
  </property>
  <property fmtid="{D5CDD505-2E9C-101B-9397-08002B2CF9AE}" pid="7" name="FromSuffix">
    <vt:lpwstr>06-d0-01</vt:lpwstr>
  </property>
  <property fmtid="{D5CDD505-2E9C-101B-9397-08002B2CF9AE}" pid="8" name="FromAsAtDate">
    <vt:lpwstr>21 Dec 2007</vt:lpwstr>
  </property>
  <property fmtid="{D5CDD505-2E9C-101B-9397-08002B2CF9AE}" pid="9" name="ToSuffix">
    <vt:lpwstr>06-e0-02</vt:lpwstr>
  </property>
  <property fmtid="{D5CDD505-2E9C-101B-9397-08002B2CF9AE}" pid="10" name="ToAsAtDate">
    <vt:lpwstr>19 Jan 2008</vt:lpwstr>
  </property>
</Properties>
</file>