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2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WA"/>
      </w:pPr>
      <w:r>
        <w:rPr>
          <w:noProof/>
          <w:lang w:eastAsia="en-A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27" name="Picture 27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NameofActRegPage1"/>
        <w:spacing w:before="3760" w:after="16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Western Australian Public Sector Code of Ethics (2007)</w:t>
      </w:r>
      <w:r>
        <w:fldChar w:fldCharType="end"/>
      </w:r>
    </w:p>
    <w:p>
      <w:pPr>
        <w:spacing w:after="800"/>
        <w:jc w:val="center"/>
      </w:pPr>
      <w:r>
        <w:t>Compare between:</w:t>
      </w:r>
    </w:p>
    <w:p>
      <w:pPr>
        <w:jc w:val="center"/>
      </w:pPr>
      <w:r>
        <w:t>[</w:t>
      </w:r>
      <w:r>
        <w:fldChar w:fldCharType="begin"/>
      </w:r>
      <w:r>
        <w:instrText xml:space="preserve"> DocProperty FromAsAtDate</w:instrText>
      </w:r>
      <w:r>
        <w:fldChar w:fldCharType="separate"/>
      </w:r>
      <w:r>
        <w:t>08 May 2007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FromSuffix </w:instrText>
      </w:r>
      <w:r>
        <w:fldChar w:fldCharType="separate"/>
      </w:r>
      <w:r>
        <w:t>00-a0-03</w:t>
      </w:r>
      <w:r>
        <w:fldChar w:fldCharType="end"/>
      </w:r>
      <w:r>
        <w:t>] and [</w:t>
      </w:r>
      <w:r>
        <w:fldChar w:fldCharType="begin"/>
      </w:r>
      <w:r>
        <w:instrText xml:space="preserve"> DocProperty ToAsAtDate</w:instrText>
      </w:r>
      <w:r>
        <w:fldChar w:fldCharType="separate"/>
      </w:r>
      <w:r>
        <w:t>18 Jan 2008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ToSuffix</w:instrText>
      </w:r>
      <w:r>
        <w:fldChar w:fldCharType="separate"/>
      </w:r>
      <w:r>
        <w:t>00-b0-04</w:t>
      </w:r>
      <w:r>
        <w:fldChar w:fldCharType="end"/>
      </w:r>
      <w:r>
        <w:t>]</w:t>
      </w:r>
    </w:p>
    <w:p>
      <w:pPr>
        <w:jc w:val="center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/>
    <w:p>
      <w:pPr>
        <w:jc w:val="center"/>
        <w:sectPr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</w:pPr>
      <w:r>
        <w:lastRenderedPageBreak/>
        <w:t>Western Australia</w:t>
      </w:r>
    </w:p>
    <w:p>
      <w:pPr>
        <w:pStyle w:val="PrincipalActReg"/>
      </w:pPr>
      <w:r>
        <w:t>Public Sector Management Act 1994</w:t>
      </w:r>
    </w:p>
    <w:p>
      <w:pPr>
        <w:pStyle w:val="NameofActReg"/>
        <w:rPr>
          <w:smallCaps/>
          <w:sz w:val="18"/>
        </w:rPr>
      </w:pPr>
      <w:r>
        <w:t>Western Australian Public Sector Code of Ethics (2007)</w:t>
      </w:r>
    </w:p>
    <w:p>
      <w:pPr>
        <w:pStyle w:val="WA"/>
        <w:rPr>
          <w:b/>
          <w:bCs/>
        </w:rPr>
      </w:pPr>
      <w:r>
        <w:rPr>
          <w:b/>
          <w:bCs/>
        </w:rPr>
        <w:t>M</w:t>
      </w:r>
      <w:bookmarkStart w:id="1" w:name="_GoBack"/>
      <w:bookmarkEnd w:id="1"/>
      <w:r>
        <w:rPr>
          <w:b/>
          <w:bCs/>
        </w:rPr>
        <w:t>inimum Standard of Conduct and Integrity for the</w:t>
      </w:r>
      <w:r>
        <w:rPr>
          <w:b/>
          <w:bCs/>
        </w:rPr>
        <w:br/>
        <w:t xml:space="preserve">Western Australian Public Sector </w:t>
      </w:r>
    </w:p>
    <w:p>
      <w:pPr>
        <w:pStyle w:val="MiscellaneousBody"/>
        <w:spacing w:before="360"/>
      </w:pPr>
      <w:r>
        <w:t xml:space="preserve">I, Maxine Murray, Commissioner for Public Sector Standards, in accordance with Section 21 (5) of the Public Sector Management Act 1994, hereby gazette the </w:t>
      </w:r>
      <w:bookmarkStart w:id="2" w:name="OLE_LINK5"/>
      <w:r>
        <w:t>Western Australian Public Sector Code of Ethics.</w:t>
      </w:r>
      <w:bookmarkEnd w:id="2"/>
    </w:p>
    <w:p>
      <w:pPr>
        <w:pStyle w:val="Heading5"/>
        <w:rPr>
          <w:rStyle w:val="CharSectno"/>
        </w:rPr>
      </w:pPr>
    </w:p>
    <w:p>
      <w:pPr>
        <w:pStyle w:val="MiscellaneousHeading"/>
        <w:jc w:val="left"/>
        <w:rPr>
          <w:b/>
          <w:bCs/>
        </w:rPr>
      </w:pPr>
      <w:r>
        <w:rPr>
          <w:b/>
          <w:bCs/>
        </w:rPr>
        <w:t>Commencement</w:t>
      </w:r>
    </w:p>
    <w:p>
      <w:pPr>
        <w:pStyle w:val="MiscellaneousBody"/>
        <w:spacing w:before="120"/>
      </w:pPr>
      <w:r>
        <w:t>The Western Australian Public Sector Code of Ethics operates from 8 May 2007.</w:t>
      </w:r>
    </w:p>
    <w:p>
      <w:pPr>
        <w:pStyle w:val="MiscellaneousHeading"/>
        <w:jc w:val="left"/>
        <w:rPr>
          <w:b/>
          <w:bCs/>
        </w:rPr>
      </w:pPr>
      <w:r>
        <w:rPr>
          <w:b/>
          <w:bCs/>
        </w:rPr>
        <w:t>Scope and Coverage</w:t>
      </w:r>
    </w:p>
    <w:p>
      <w:pPr>
        <w:pStyle w:val="MiscellaneousBody"/>
        <w:spacing w:before="120"/>
      </w:pPr>
      <w:r>
        <w:t>The Western Australian Public Sector Code of Ethics applies equally to all—</w:t>
      </w:r>
    </w:p>
    <w:p>
      <w:pPr>
        <w:pStyle w:val="MiscellaneousBody"/>
        <w:tabs>
          <w:tab w:val="left" w:pos="284"/>
          <w:tab w:val="left" w:pos="851"/>
        </w:tabs>
        <w:spacing w:before="120"/>
        <w:ind w:left="851" w:hanging="851"/>
      </w:pPr>
      <w:r>
        <w:rPr>
          <w:rFonts w:ascii="Symbol" w:hAnsi="Symbol"/>
        </w:rPr>
        <w:tab/>
      </w:r>
      <w:r>
        <w:rPr>
          <w:rFonts w:ascii="Symbol" w:hAnsi="Symbol"/>
        </w:rPr>
        <w:t></w:t>
      </w:r>
      <w:r>
        <w:tab/>
        <w:t xml:space="preserve">public sector employees, including chief executive officers, chief employees and ministerial staff </w:t>
      </w:r>
    </w:p>
    <w:p>
      <w:pPr>
        <w:pStyle w:val="MiscellaneousBody"/>
        <w:tabs>
          <w:tab w:val="left" w:pos="284"/>
          <w:tab w:val="left" w:pos="851"/>
        </w:tabs>
        <w:spacing w:before="120"/>
        <w:ind w:left="851" w:hanging="851"/>
      </w:pPr>
      <w:r>
        <w:rPr>
          <w:rFonts w:ascii="Symbol" w:hAnsi="Symbol"/>
        </w:rPr>
        <w:tab/>
      </w:r>
      <w:r>
        <w:rPr>
          <w:rFonts w:ascii="Symbol" w:hAnsi="Symbol"/>
        </w:rPr>
        <w:t></w:t>
      </w:r>
      <w:r>
        <w:tab/>
        <w:t>public sector bodies established or continued for a public purpose under written law, including boards and committees</w:t>
      </w:r>
    </w:p>
    <w:p>
      <w:pPr>
        <w:pStyle w:val="MiscellaneousHeading"/>
        <w:rPr>
          <w:b/>
          <w:bCs/>
        </w:rPr>
      </w:pPr>
      <w:r>
        <w:rPr>
          <w:b/>
          <w:bCs/>
        </w:rPr>
        <w:t>JUSTICE</w:t>
      </w:r>
    </w:p>
    <w:p>
      <w:pPr>
        <w:pStyle w:val="MiscellaneousBody"/>
        <w:spacing w:before="120"/>
      </w:pPr>
      <w:r>
        <w:t>Justice means being impartial and using power fairly for the common good. It means not abusing, discriminating against or exploiting people.</w:t>
      </w:r>
    </w:p>
    <w:p>
      <w:r>
        <w:t>The Code</w:t>
      </w:r>
    </w:p>
    <w:p>
      <w:pPr>
        <w:pStyle w:val="MiscellaneousBody"/>
        <w:spacing w:before="120"/>
      </w:pPr>
      <w:r>
        <w:t>To meet the minimum standards of conduct and integrity, all public sector bodies and employees must—</w:t>
      </w:r>
    </w:p>
    <w:p>
      <w:pPr>
        <w:pStyle w:val="MiscellaneousBody"/>
        <w:tabs>
          <w:tab w:val="left" w:pos="284"/>
          <w:tab w:val="left" w:pos="851"/>
        </w:tabs>
        <w:spacing w:before="120"/>
        <w:ind w:left="851" w:hanging="851"/>
      </w:pPr>
      <w:r>
        <w:rPr>
          <w:rFonts w:ascii="Symbol" w:hAnsi="Symbol"/>
        </w:rPr>
        <w:tab/>
      </w:r>
      <w:r>
        <w:rPr>
          <w:rFonts w:ascii="Symbol" w:hAnsi="Symbol"/>
        </w:rPr>
        <w:t></w:t>
      </w:r>
      <w:r>
        <w:tab/>
        <w:t>Act without fear or favour and be open and accountable</w:t>
      </w:r>
    </w:p>
    <w:p>
      <w:pPr>
        <w:pStyle w:val="MiscellaneousBody"/>
        <w:tabs>
          <w:tab w:val="left" w:pos="284"/>
          <w:tab w:val="left" w:pos="851"/>
        </w:tabs>
        <w:spacing w:before="120"/>
        <w:ind w:left="851" w:hanging="851"/>
      </w:pPr>
      <w:r>
        <w:rPr>
          <w:rFonts w:ascii="Symbol" w:hAnsi="Symbol"/>
        </w:rPr>
        <w:tab/>
      </w:r>
      <w:r>
        <w:rPr>
          <w:rFonts w:ascii="Symbol" w:hAnsi="Symbol"/>
        </w:rPr>
        <w:t></w:t>
      </w:r>
      <w:r>
        <w:tab/>
        <w:t>Serve the Government of the day by providing timely, well considered information and policy advice</w:t>
      </w:r>
    </w:p>
    <w:p>
      <w:pPr>
        <w:pStyle w:val="MiscellaneousBody"/>
        <w:tabs>
          <w:tab w:val="left" w:pos="284"/>
          <w:tab w:val="left" w:pos="851"/>
        </w:tabs>
        <w:spacing w:before="120"/>
        <w:ind w:left="851" w:hanging="851"/>
      </w:pPr>
      <w:r>
        <w:rPr>
          <w:rFonts w:ascii="Symbol" w:hAnsi="Symbol"/>
        </w:rPr>
        <w:tab/>
      </w:r>
      <w:r>
        <w:rPr>
          <w:rFonts w:ascii="Symbol" w:hAnsi="Symbol"/>
        </w:rPr>
        <w:t></w:t>
      </w:r>
      <w:r>
        <w:tab/>
        <w:t>Remain politically impartial in all dealings with Ministers and ministerial staff</w:t>
      </w:r>
    </w:p>
    <w:p>
      <w:pPr>
        <w:pStyle w:val="MiscellaneousBody"/>
        <w:tabs>
          <w:tab w:val="left" w:pos="284"/>
          <w:tab w:val="left" w:pos="851"/>
        </w:tabs>
        <w:spacing w:before="120"/>
        <w:ind w:left="851" w:hanging="851"/>
      </w:pPr>
      <w:r>
        <w:rPr>
          <w:rFonts w:ascii="Symbol" w:hAnsi="Symbol"/>
        </w:rPr>
        <w:tab/>
      </w:r>
      <w:r>
        <w:rPr>
          <w:rFonts w:ascii="Symbol" w:hAnsi="Symbol"/>
        </w:rPr>
        <w:t></w:t>
      </w:r>
      <w:r>
        <w:tab/>
        <w:t>Recognise peoples’ right to due process</w:t>
      </w:r>
    </w:p>
    <w:p>
      <w:pPr>
        <w:pStyle w:val="MiscellaneousBody"/>
        <w:tabs>
          <w:tab w:val="left" w:pos="284"/>
          <w:tab w:val="left" w:pos="851"/>
        </w:tabs>
        <w:spacing w:before="120"/>
        <w:ind w:left="851" w:hanging="851"/>
      </w:pPr>
      <w:r>
        <w:rPr>
          <w:rFonts w:ascii="Symbol" w:hAnsi="Symbol"/>
        </w:rPr>
        <w:tab/>
      </w:r>
      <w:r>
        <w:rPr>
          <w:rFonts w:ascii="Symbol" w:hAnsi="Symbol"/>
        </w:rPr>
        <w:t></w:t>
      </w:r>
      <w:r>
        <w:tab/>
        <w:t>Treat all people equally and fairly, recognising that fairness can involve treating people differently according to circumstances</w:t>
      </w:r>
    </w:p>
    <w:p>
      <w:pPr>
        <w:pStyle w:val="MiscellaneousBody"/>
        <w:tabs>
          <w:tab w:val="left" w:pos="284"/>
          <w:tab w:val="left" w:pos="851"/>
        </w:tabs>
        <w:spacing w:before="120"/>
        <w:ind w:left="851" w:hanging="851"/>
      </w:pPr>
      <w:r>
        <w:rPr>
          <w:rFonts w:ascii="Symbol" w:hAnsi="Symbol"/>
        </w:rPr>
        <w:tab/>
      </w:r>
      <w:r>
        <w:rPr>
          <w:rFonts w:ascii="Symbol" w:hAnsi="Symbol"/>
        </w:rPr>
        <w:t></w:t>
      </w:r>
      <w:r>
        <w:tab/>
        <w:t>Act promptly to help resolve complaints</w:t>
      </w:r>
    </w:p>
    <w:p>
      <w:pPr>
        <w:pStyle w:val="MiscellaneousBody"/>
        <w:tabs>
          <w:tab w:val="left" w:pos="284"/>
          <w:tab w:val="left" w:pos="851"/>
        </w:tabs>
        <w:spacing w:before="120"/>
        <w:ind w:left="851" w:hanging="851"/>
      </w:pPr>
      <w:r>
        <w:rPr>
          <w:rFonts w:ascii="Symbol" w:hAnsi="Symbol"/>
        </w:rPr>
        <w:tab/>
      </w:r>
      <w:r>
        <w:rPr>
          <w:rFonts w:ascii="Symbol" w:hAnsi="Symbol"/>
        </w:rPr>
        <w:t></w:t>
      </w:r>
      <w:r>
        <w:tab/>
        <w:t xml:space="preserve">Report fraud, misconduct and corruption </w:t>
      </w:r>
    </w:p>
    <w:p>
      <w:pPr>
        <w:pStyle w:val="MiscellaneousBody"/>
        <w:tabs>
          <w:tab w:val="left" w:pos="284"/>
          <w:tab w:val="left" w:pos="851"/>
        </w:tabs>
        <w:spacing w:before="120"/>
        <w:ind w:left="851" w:hanging="851"/>
      </w:pPr>
      <w:r>
        <w:rPr>
          <w:rFonts w:ascii="Symbol" w:hAnsi="Symbol"/>
        </w:rPr>
        <w:tab/>
      </w:r>
      <w:r>
        <w:rPr>
          <w:rFonts w:ascii="Symbol" w:hAnsi="Symbol"/>
        </w:rPr>
        <w:t></w:t>
      </w:r>
      <w:r>
        <w:tab/>
        <w:t>Recognise peoples’ right to equal opportunity</w:t>
      </w:r>
    </w:p>
    <w:p>
      <w:pPr>
        <w:pStyle w:val="MiscellaneousBody"/>
        <w:tabs>
          <w:tab w:val="left" w:pos="284"/>
          <w:tab w:val="left" w:pos="851"/>
        </w:tabs>
        <w:spacing w:before="120"/>
        <w:ind w:left="851" w:hanging="851"/>
      </w:pPr>
      <w:r>
        <w:rPr>
          <w:rFonts w:ascii="Symbol" w:hAnsi="Symbol"/>
        </w:rPr>
        <w:tab/>
      </w:r>
      <w:r>
        <w:rPr>
          <w:rFonts w:ascii="Symbol" w:hAnsi="Symbol"/>
        </w:rPr>
        <w:t></w:t>
      </w:r>
      <w:r>
        <w:tab/>
        <w:t>Refrain from comment or action that compromises the political impartiality of the public sector</w:t>
      </w:r>
    </w:p>
    <w:p>
      <w:pPr>
        <w:pStyle w:val="MiscellaneousBody"/>
        <w:tabs>
          <w:tab w:val="left" w:pos="284"/>
          <w:tab w:val="left" w:pos="851"/>
        </w:tabs>
        <w:spacing w:before="120"/>
        <w:ind w:left="851" w:hanging="851"/>
      </w:pPr>
      <w:r>
        <w:rPr>
          <w:rFonts w:ascii="Symbol" w:hAnsi="Symbol"/>
        </w:rPr>
        <w:tab/>
      </w:r>
      <w:r>
        <w:rPr>
          <w:rFonts w:ascii="Symbol" w:hAnsi="Symbol"/>
        </w:rPr>
        <w:t></w:t>
      </w:r>
      <w:r>
        <w:tab/>
        <w:t xml:space="preserve">Act with integrity to the highest ethical standard </w:t>
      </w:r>
    </w:p>
    <w:p>
      <w:pPr>
        <w:pStyle w:val="MiscellaneousBody"/>
        <w:tabs>
          <w:tab w:val="left" w:pos="284"/>
          <w:tab w:val="left" w:pos="851"/>
        </w:tabs>
        <w:spacing w:before="120"/>
        <w:ind w:left="851" w:hanging="851"/>
      </w:pPr>
      <w:r>
        <w:rPr>
          <w:rFonts w:ascii="Symbol" w:hAnsi="Symbol"/>
        </w:rPr>
        <w:tab/>
      </w:r>
      <w:r>
        <w:rPr>
          <w:rFonts w:ascii="Symbol" w:hAnsi="Symbol"/>
        </w:rPr>
        <w:t></w:t>
      </w:r>
      <w:r>
        <w:tab/>
        <w:t>Refrain from using any circumstance or information connected to official duties for personal profit or gain</w:t>
      </w:r>
    </w:p>
    <w:p>
      <w:pPr>
        <w:pStyle w:val="MiscellaneousBody"/>
        <w:tabs>
          <w:tab w:val="left" w:pos="284"/>
          <w:tab w:val="left" w:pos="851"/>
        </w:tabs>
        <w:spacing w:before="120"/>
        <w:ind w:left="851" w:hanging="851"/>
      </w:pPr>
      <w:r>
        <w:rPr>
          <w:rFonts w:ascii="Symbol" w:hAnsi="Symbol"/>
        </w:rPr>
        <w:tab/>
      </w:r>
      <w:r>
        <w:rPr>
          <w:rFonts w:ascii="Symbol" w:hAnsi="Symbol"/>
        </w:rPr>
        <w:t></w:t>
      </w:r>
      <w:r>
        <w:tab/>
        <w:t>Declare and take appropriate action to manage any interest that may conflict with the performance of public duty</w:t>
      </w:r>
    </w:p>
    <w:p>
      <w:pPr>
        <w:pStyle w:val="MiscellaneousBody"/>
        <w:tabs>
          <w:tab w:val="left" w:pos="284"/>
          <w:tab w:val="left" w:pos="851"/>
        </w:tabs>
        <w:spacing w:before="120"/>
        <w:ind w:left="851" w:hanging="851"/>
      </w:pPr>
      <w:r>
        <w:rPr>
          <w:rFonts w:ascii="Symbol" w:hAnsi="Symbol"/>
        </w:rPr>
        <w:tab/>
      </w:r>
      <w:r>
        <w:rPr>
          <w:rFonts w:ascii="Symbol" w:hAnsi="Symbol"/>
        </w:rPr>
        <w:t></w:t>
      </w:r>
      <w:r>
        <w:tab/>
        <w:t>Comply with any applicable code of conduct</w:t>
      </w:r>
    </w:p>
    <w:p>
      <w:pPr>
        <w:pStyle w:val="MiscellaneousHeading"/>
        <w:rPr>
          <w:b/>
          <w:bCs/>
        </w:rPr>
      </w:pPr>
      <w:r>
        <w:rPr>
          <w:b/>
          <w:bCs/>
        </w:rPr>
        <w:t>RESPECT FOR PERSONS</w:t>
      </w:r>
    </w:p>
    <w:p>
      <w:pPr>
        <w:pStyle w:val="MiscellaneousBody"/>
        <w:spacing w:before="120"/>
      </w:pPr>
      <w:r>
        <w:t>Respect for persons means being honest and treating people courteously, so that they maintain their dignity and their rights are upheld. It means not harassing, intimidating or abusing people.</w:t>
      </w:r>
    </w:p>
    <w:p>
      <w:pPr>
        <w:pStyle w:val="MiscellaneousHeading"/>
        <w:jc w:val="left"/>
        <w:rPr>
          <w:b/>
          <w:bCs/>
        </w:rPr>
      </w:pPr>
      <w:r>
        <w:rPr>
          <w:b/>
          <w:bCs/>
        </w:rPr>
        <w:t>The Code</w:t>
      </w:r>
    </w:p>
    <w:p>
      <w:pPr>
        <w:pStyle w:val="MiscellaneousBody"/>
        <w:spacing w:before="120"/>
      </w:pPr>
      <w:r>
        <w:t>To meet the minimum standards of conduct and integrity, all public sector bodies and employees must—</w:t>
      </w:r>
    </w:p>
    <w:p>
      <w:pPr>
        <w:pStyle w:val="MiscellaneousBody"/>
        <w:tabs>
          <w:tab w:val="left" w:pos="284"/>
          <w:tab w:val="left" w:pos="851"/>
        </w:tabs>
        <w:spacing w:before="120"/>
        <w:ind w:left="851" w:hanging="851"/>
      </w:pPr>
      <w:r>
        <w:rPr>
          <w:rFonts w:ascii="Symbol" w:hAnsi="Symbol"/>
        </w:rPr>
        <w:tab/>
      </w:r>
      <w:r>
        <w:rPr>
          <w:rFonts w:ascii="Symbol" w:hAnsi="Symbol"/>
        </w:rPr>
        <w:t></w:t>
      </w:r>
      <w:r>
        <w:tab/>
        <w:t xml:space="preserve">Act impartially </w:t>
      </w:r>
    </w:p>
    <w:p>
      <w:pPr>
        <w:pStyle w:val="MiscellaneousBody"/>
        <w:tabs>
          <w:tab w:val="left" w:pos="284"/>
          <w:tab w:val="left" w:pos="851"/>
        </w:tabs>
        <w:spacing w:before="120"/>
        <w:ind w:left="851" w:hanging="851"/>
      </w:pPr>
      <w:r>
        <w:rPr>
          <w:rFonts w:ascii="Symbol" w:hAnsi="Symbol"/>
        </w:rPr>
        <w:tab/>
      </w:r>
      <w:r>
        <w:rPr>
          <w:rFonts w:ascii="Symbol" w:hAnsi="Symbol"/>
        </w:rPr>
        <w:t></w:t>
      </w:r>
      <w:r>
        <w:tab/>
        <w:t>Act in the public interest</w:t>
      </w:r>
    </w:p>
    <w:p>
      <w:pPr>
        <w:pStyle w:val="MiscellaneousBody"/>
        <w:tabs>
          <w:tab w:val="left" w:pos="284"/>
          <w:tab w:val="left" w:pos="851"/>
        </w:tabs>
        <w:spacing w:before="120"/>
        <w:ind w:left="851" w:hanging="851"/>
      </w:pPr>
      <w:r>
        <w:rPr>
          <w:rFonts w:ascii="Symbol" w:hAnsi="Symbol"/>
        </w:rPr>
        <w:tab/>
      </w:r>
      <w:r>
        <w:rPr>
          <w:rFonts w:ascii="Symbol" w:hAnsi="Symbol"/>
        </w:rPr>
        <w:t></w:t>
      </w:r>
      <w:r>
        <w:tab/>
        <w:t>Protect privacy and confidentiality</w:t>
      </w:r>
    </w:p>
    <w:p>
      <w:pPr>
        <w:pStyle w:val="MiscellaneousBody"/>
        <w:tabs>
          <w:tab w:val="left" w:pos="284"/>
          <w:tab w:val="left" w:pos="851"/>
        </w:tabs>
        <w:spacing w:before="120"/>
        <w:ind w:left="851" w:hanging="851"/>
      </w:pPr>
      <w:r>
        <w:rPr>
          <w:rFonts w:ascii="Symbol" w:hAnsi="Symbol"/>
        </w:rPr>
        <w:tab/>
      </w:r>
      <w:r>
        <w:rPr>
          <w:rFonts w:ascii="Symbol" w:hAnsi="Symbol"/>
        </w:rPr>
        <w:t></w:t>
      </w:r>
      <w:r>
        <w:tab/>
        <w:t>Respect peoples’ dignity and their well-being</w:t>
      </w:r>
    </w:p>
    <w:p>
      <w:pPr>
        <w:pStyle w:val="MiscellaneousBody"/>
        <w:tabs>
          <w:tab w:val="left" w:pos="284"/>
          <w:tab w:val="left" w:pos="851"/>
        </w:tabs>
        <w:spacing w:before="120"/>
        <w:ind w:left="851" w:hanging="851"/>
      </w:pPr>
      <w:r>
        <w:rPr>
          <w:rFonts w:ascii="Symbol" w:hAnsi="Symbol"/>
        </w:rPr>
        <w:tab/>
      </w:r>
      <w:r>
        <w:rPr>
          <w:rFonts w:ascii="Symbol" w:hAnsi="Symbol"/>
        </w:rPr>
        <w:t></w:t>
      </w:r>
      <w:r>
        <w:tab/>
        <w:t>Inform others of decisions and actions that may adversely affect them</w:t>
      </w:r>
    </w:p>
    <w:p>
      <w:pPr>
        <w:pStyle w:val="MiscellaneousBody"/>
        <w:tabs>
          <w:tab w:val="left" w:pos="284"/>
          <w:tab w:val="left" w:pos="851"/>
        </w:tabs>
        <w:spacing w:before="120"/>
        <w:ind w:left="851" w:hanging="851"/>
      </w:pPr>
      <w:r>
        <w:rPr>
          <w:rFonts w:ascii="Symbol" w:hAnsi="Symbol"/>
        </w:rPr>
        <w:tab/>
      </w:r>
      <w:r>
        <w:rPr>
          <w:rFonts w:ascii="Symbol" w:hAnsi="Symbol"/>
        </w:rPr>
        <w:t></w:t>
      </w:r>
      <w:r>
        <w:tab/>
        <w:t>Respect peoples’ need to seek advice and support</w:t>
      </w:r>
    </w:p>
    <w:p>
      <w:pPr>
        <w:pStyle w:val="MiscellaneousBody"/>
        <w:tabs>
          <w:tab w:val="left" w:pos="284"/>
          <w:tab w:val="left" w:pos="851"/>
        </w:tabs>
        <w:spacing w:before="120"/>
        <w:ind w:left="851" w:hanging="851"/>
      </w:pPr>
      <w:r>
        <w:rPr>
          <w:rFonts w:ascii="Symbol" w:hAnsi="Symbol"/>
        </w:rPr>
        <w:tab/>
      </w:r>
      <w:r>
        <w:rPr>
          <w:rFonts w:ascii="Symbol" w:hAnsi="Symbol"/>
        </w:rPr>
        <w:t></w:t>
      </w:r>
      <w:r>
        <w:tab/>
        <w:t>Maintain constructive and professional working relationships appreciative of each others respective roles</w:t>
      </w:r>
    </w:p>
    <w:p>
      <w:pPr>
        <w:pStyle w:val="MiscellaneousBody"/>
        <w:tabs>
          <w:tab w:val="left" w:pos="284"/>
          <w:tab w:val="left" w:pos="851"/>
        </w:tabs>
        <w:spacing w:before="120"/>
        <w:ind w:left="851" w:hanging="851"/>
      </w:pPr>
      <w:r>
        <w:rPr>
          <w:rFonts w:ascii="Symbol" w:hAnsi="Symbol"/>
        </w:rPr>
        <w:tab/>
      </w:r>
      <w:r>
        <w:rPr>
          <w:rFonts w:ascii="Symbol" w:hAnsi="Symbol"/>
        </w:rPr>
        <w:t></w:t>
      </w:r>
      <w:r>
        <w:tab/>
        <w:t>Treat others with courtesy, consideration and sensitivity</w:t>
      </w:r>
    </w:p>
    <w:p>
      <w:pPr>
        <w:pStyle w:val="MiscellaneousBody"/>
        <w:tabs>
          <w:tab w:val="left" w:pos="284"/>
          <w:tab w:val="left" w:pos="851"/>
        </w:tabs>
        <w:spacing w:before="120"/>
        <w:ind w:left="851" w:hanging="851"/>
      </w:pPr>
      <w:r>
        <w:rPr>
          <w:rFonts w:ascii="Symbol" w:hAnsi="Symbol"/>
        </w:rPr>
        <w:tab/>
      </w:r>
      <w:r>
        <w:rPr>
          <w:rFonts w:ascii="Symbol" w:hAnsi="Symbol"/>
        </w:rPr>
        <w:t></w:t>
      </w:r>
      <w:r>
        <w:tab/>
        <w:t>Respect diversity</w:t>
      </w:r>
    </w:p>
    <w:p>
      <w:pPr>
        <w:pStyle w:val="MiscellaneousBody"/>
        <w:tabs>
          <w:tab w:val="left" w:pos="284"/>
          <w:tab w:val="left" w:pos="851"/>
        </w:tabs>
        <w:spacing w:before="120"/>
        <w:ind w:left="851" w:hanging="851"/>
      </w:pPr>
      <w:r>
        <w:rPr>
          <w:rFonts w:ascii="Symbol" w:hAnsi="Symbol"/>
        </w:rPr>
        <w:tab/>
      </w:r>
      <w:r>
        <w:rPr>
          <w:rFonts w:ascii="Symbol" w:hAnsi="Symbol"/>
        </w:rPr>
        <w:t></w:t>
      </w:r>
      <w:r>
        <w:tab/>
        <w:t>Be honest</w:t>
      </w:r>
    </w:p>
    <w:p>
      <w:pPr>
        <w:pStyle w:val="MiscellaneousBody"/>
        <w:tabs>
          <w:tab w:val="left" w:pos="284"/>
          <w:tab w:val="left" w:pos="851"/>
        </w:tabs>
        <w:spacing w:before="120"/>
        <w:ind w:left="851" w:hanging="851"/>
      </w:pPr>
      <w:r>
        <w:rPr>
          <w:rFonts w:ascii="Symbol" w:hAnsi="Symbol"/>
        </w:rPr>
        <w:tab/>
      </w:r>
      <w:r>
        <w:rPr>
          <w:rFonts w:ascii="Symbol" w:hAnsi="Symbol"/>
        </w:rPr>
        <w:t></w:t>
      </w:r>
      <w:r>
        <w:tab/>
        <w:t>Respond promptly to enquiries</w:t>
      </w:r>
    </w:p>
    <w:p>
      <w:pPr>
        <w:pStyle w:val="MiscellaneousBody"/>
        <w:tabs>
          <w:tab w:val="left" w:pos="284"/>
          <w:tab w:val="left" w:pos="851"/>
        </w:tabs>
        <w:spacing w:before="120"/>
        <w:ind w:left="851" w:hanging="851"/>
      </w:pPr>
      <w:r>
        <w:rPr>
          <w:rFonts w:ascii="Symbol" w:hAnsi="Symbol"/>
        </w:rPr>
        <w:tab/>
      </w:r>
      <w:r>
        <w:rPr>
          <w:rFonts w:ascii="Symbol" w:hAnsi="Symbol"/>
        </w:rPr>
        <w:t></w:t>
      </w:r>
      <w:r>
        <w:tab/>
        <w:t>Be scrupulous with the use of information known to you in the course of your official duties</w:t>
      </w:r>
    </w:p>
    <w:p>
      <w:pPr>
        <w:pStyle w:val="MiscellaneousHeading"/>
        <w:rPr>
          <w:b/>
          <w:bCs/>
        </w:rPr>
      </w:pPr>
      <w:r>
        <w:rPr>
          <w:b/>
          <w:bCs/>
        </w:rPr>
        <w:t>RESPONSIBLE CARE</w:t>
      </w:r>
    </w:p>
    <w:p>
      <w:pPr>
        <w:pStyle w:val="MiscellaneousBody"/>
        <w:spacing w:before="120"/>
      </w:pPr>
      <w:r>
        <w:t>Responsible Care means protecting and managing with care, the human, natural and financial resources of the State. It means decision and actions do not harm the short and long-term wellbeing of people and resources.</w:t>
      </w:r>
    </w:p>
    <w:p>
      <w:pPr>
        <w:pStyle w:val="MiscellaneousHeading"/>
        <w:jc w:val="left"/>
        <w:rPr>
          <w:b/>
          <w:bCs/>
        </w:rPr>
      </w:pPr>
      <w:r>
        <w:rPr>
          <w:b/>
          <w:bCs/>
        </w:rPr>
        <w:t>The Code</w:t>
      </w:r>
    </w:p>
    <w:p>
      <w:pPr>
        <w:pStyle w:val="MiscellaneousBody"/>
        <w:spacing w:before="120"/>
      </w:pPr>
      <w:r>
        <w:t>To meet the minimum standards of conduct and integrity, all public sector bodies and employees must—</w:t>
      </w:r>
    </w:p>
    <w:p>
      <w:pPr>
        <w:pStyle w:val="MiscellaneousBody"/>
        <w:tabs>
          <w:tab w:val="left" w:pos="284"/>
          <w:tab w:val="left" w:pos="851"/>
        </w:tabs>
        <w:spacing w:before="120"/>
        <w:ind w:left="851" w:hanging="851"/>
      </w:pPr>
      <w:r>
        <w:rPr>
          <w:rFonts w:ascii="Symbol" w:hAnsi="Symbol"/>
        </w:rPr>
        <w:tab/>
      </w:r>
      <w:r>
        <w:rPr>
          <w:rFonts w:ascii="Symbol" w:hAnsi="Symbol"/>
        </w:rPr>
        <w:t></w:t>
      </w:r>
      <w:r>
        <w:tab/>
        <w:t>Provide full and accurate information to Government and the public while respecting the privacy of individuals</w:t>
      </w:r>
    </w:p>
    <w:p>
      <w:pPr>
        <w:pStyle w:val="MiscellaneousBody"/>
        <w:tabs>
          <w:tab w:val="left" w:pos="284"/>
          <w:tab w:val="left" w:pos="851"/>
        </w:tabs>
        <w:spacing w:before="120"/>
        <w:ind w:left="851" w:hanging="851"/>
      </w:pPr>
      <w:r>
        <w:rPr>
          <w:rFonts w:ascii="Symbol" w:hAnsi="Symbol"/>
        </w:rPr>
        <w:tab/>
      </w:r>
      <w:r>
        <w:rPr>
          <w:rFonts w:ascii="Symbol" w:hAnsi="Symbol"/>
        </w:rPr>
        <w:t></w:t>
      </w:r>
      <w:r>
        <w:tab/>
        <w:t>Be openly accountable to all laws and regulatory frameworks</w:t>
      </w:r>
    </w:p>
    <w:p>
      <w:pPr>
        <w:pStyle w:val="MiscellaneousBody"/>
        <w:tabs>
          <w:tab w:val="left" w:pos="284"/>
          <w:tab w:val="left" w:pos="851"/>
        </w:tabs>
        <w:spacing w:before="120"/>
        <w:ind w:left="851" w:hanging="851"/>
      </w:pPr>
      <w:r>
        <w:rPr>
          <w:rFonts w:ascii="Symbol" w:hAnsi="Symbol"/>
        </w:rPr>
        <w:tab/>
      </w:r>
      <w:r>
        <w:rPr>
          <w:rFonts w:ascii="Symbol" w:hAnsi="Symbol"/>
        </w:rPr>
        <w:t></w:t>
      </w:r>
      <w:r>
        <w:tab/>
        <w:t>Deliver service efficiently, effectively and courteously</w:t>
      </w:r>
    </w:p>
    <w:p>
      <w:pPr>
        <w:pStyle w:val="MiscellaneousBody"/>
        <w:tabs>
          <w:tab w:val="left" w:pos="284"/>
          <w:tab w:val="left" w:pos="851"/>
        </w:tabs>
        <w:spacing w:before="120"/>
        <w:ind w:left="851" w:hanging="851"/>
      </w:pPr>
      <w:r>
        <w:rPr>
          <w:rFonts w:ascii="Symbol" w:hAnsi="Symbol"/>
        </w:rPr>
        <w:tab/>
      </w:r>
      <w:r>
        <w:rPr>
          <w:rFonts w:ascii="Symbol" w:hAnsi="Symbol"/>
        </w:rPr>
        <w:t></w:t>
      </w:r>
      <w:r>
        <w:tab/>
        <w:t>Ensure any information provided to Parliament is timely and accurate</w:t>
      </w:r>
    </w:p>
    <w:p>
      <w:pPr>
        <w:pStyle w:val="MiscellaneousBody"/>
        <w:tabs>
          <w:tab w:val="left" w:pos="284"/>
          <w:tab w:val="left" w:pos="851"/>
        </w:tabs>
        <w:spacing w:before="120"/>
        <w:ind w:left="851" w:hanging="851"/>
      </w:pPr>
      <w:r>
        <w:rPr>
          <w:rFonts w:ascii="Symbol" w:hAnsi="Symbol"/>
        </w:rPr>
        <w:tab/>
      </w:r>
      <w:r>
        <w:rPr>
          <w:rFonts w:ascii="Symbol" w:hAnsi="Symbol"/>
        </w:rPr>
        <w:t></w:t>
      </w:r>
      <w:r>
        <w:tab/>
        <w:t>Co-operate to achieve what is best for the community</w:t>
      </w:r>
    </w:p>
    <w:p>
      <w:pPr>
        <w:pStyle w:val="MiscellaneousBody"/>
        <w:tabs>
          <w:tab w:val="left" w:pos="284"/>
          <w:tab w:val="left" w:pos="851"/>
        </w:tabs>
        <w:spacing w:before="120"/>
        <w:ind w:left="851" w:hanging="851"/>
      </w:pPr>
      <w:r>
        <w:rPr>
          <w:rFonts w:ascii="Symbol" w:hAnsi="Symbol"/>
        </w:rPr>
        <w:tab/>
      </w:r>
      <w:r>
        <w:rPr>
          <w:rFonts w:ascii="Symbol" w:hAnsi="Symbol"/>
        </w:rPr>
        <w:t></w:t>
      </w:r>
      <w:r>
        <w:tab/>
        <w:t>Be sensitive to the diversity of the members of the public</w:t>
      </w:r>
    </w:p>
    <w:p>
      <w:pPr>
        <w:pStyle w:val="MiscellaneousBody"/>
        <w:tabs>
          <w:tab w:val="left" w:pos="284"/>
          <w:tab w:val="left" w:pos="851"/>
        </w:tabs>
        <w:spacing w:before="120"/>
        <w:ind w:left="851" w:hanging="851"/>
      </w:pPr>
      <w:r>
        <w:rPr>
          <w:rFonts w:ascii="Symbol" w:hAnsi="Symbol"/>
        </w:rPr>
        <w:tab/>
      </w:r>
      <w:r>
        <w:rPr>
          <w:rFonts w:ascii="Symbol" w:hAnsi="Symbol"/>
        </w:rPr>
        <w:t></w:t>
      </w:r>
      <w:r>
        <w:tab/>
        <w:t>Administer the law equitably and fairly</w:t>
      </w:r>
    </w:p>
    <w:p>
      <w:pPr>
        <w:pStyle w:val="MiscellaneousBody"/>
        <w:tabs>
          <w:tab w:val="left" w:pos="284"/>
          <w:tab w:val="left" w:pos="851"/>
        </w:tabs>
        <w:spacing w:before="120"/>
        <w:ind w:left="851" w:hanging="851"/>
      </w:pPr>
      <w:r>
        <w:rPr>
          <w:rFonts w:ascii="Symbol" w:hAnsi="Symbol"/>
        </w:rPr>
        <w:tab/>
      </w:r>
      <w:r>
        <w:rPr>
          <w:rFonts w:ascii="Symbol" w:hAnsi="Symbol"/>
        </w:rPr>
        <w:t></w:t>
      </w:r>
      <w:r>
        <w:tab/>
        <w:t>Assume responsibility for the best deployment, safety and use of human, natural and financial resources</w:t>
      </w:r>
    </w:p>
    <w:p>
      <w:pPr>
        <w:pStyle w:val="MiscellaneousBody"/>
        <w:tabs>
          <w:tab w:val="left" w:pos="284"/>
          <w:tab w:val="left" w:pos="851"/>
        </w:tabs>
        <w:spacing w:before="120"/>
        <w:ind w:left="851" w:hanging="851"/>
      </w:pPr>
      <w:r>
        <w:rPr>
          <w:rFonts w:ascii="Symbol" w:hAnsi="Symbol"/>
        </w:rPr>
        <w:tab/>
      </w:r>
      <w:r>
        <w:rPr>
          <w:rFonts w:ascii="Symbol" w:hAnsi="Symbol"/>
        </w:rPr>
        <w:t></w:t>
      </w:r>
      <w:r>
        <w:tab/>
        <w:t>Seek effective and efficient use of public assets, to minimise costs, avoid waste and prevent injuries or harm.</w:t>
      </w:r>
    </w:p>
    <w:p>
      <w:pPr>
        <w:pStyle w:val="MiscellaneousBody"/>
        <w:tabs>
          <w:tab w:val="left" w:pos="284"/>
          <w:tab w:val="left" w:pos="851"/>
        </w:tabs>
        <w:spacing w:before="120"/>
        <w:ind w:left="851" w:hanging="851"/>
      </w:pPr>
      <w:r>
        <w:rPr>
          <w:rFonts w:ascii="Symbol" w:hAnsi="Symbol"/>
        </w:rPr>
        <w:tab/>
      </w:r>
      <w:r>
        <w:rPr>
          <w:rFonts w:ascii="Symbol" w:hAnsi="Symbol"/>
        </w:rPr>
        <w:t></w:t>
      </w:r>
      <w:r>
        <w:tab/>
        <w:t>Maintain records sufficient to enable review by others.</w:t>
      </w:r>
    </w:p>
    <w:p>
      <w:pPr>
        <w:pStyle w:val="MiscellaneousBody"/>
        <w:tabs>
          <w:tab w:val="left" w:pos="284"/>
          <w:tab w:val="left" w:pos="851"/>
        </w:tabs>
        <w:spacing w:before="120"/>
        <w:ind w:left="851" w:hanging="851"/>
      </w:pPr>
      <w:r>
        <w:rPr>
          <w:rFonts w:ascii="Symbol" w:hAnsi="Symbol"/>
        </w:rPr>
        <w:tab/>
      </w:r>
      <w:r>
        <w:rPr>
          <w:rFonts w:ascii="Symbol" w:hAnsi="Symbol"/>
        </w:rPr>
        <w:t></w:t>
      </w:r>
      <w:r>
        <w:tab/>
        <w:t>Be open and accountable for decisions and consult those affected where possible.</w:t>
      </w:r>
    </w:p>
    <w:p>
      <w:pPr>
        <w:pStyle w:val="MiscellaneousBody"/>
        <w:tabs>
          <w:tab w:val="left" w:pos="284"/>
          <w:tab w:val="left" w:pos="851"/>
        </w:tabs>
        <w:spacing w:before="120"/>
        <w:ind w:left="851" w:hanging="851"/>
      </w:pPr>
      <w:r>
        <w:rPr>
          <w:rFonts w:ascii="Symbol" w:hAnsi="Symbol"/>
        </w:rPr>
        <w:tab/>
      </w:r>
      <w:r>
        <w:rPr>
          <w:rFonts w:ascii="Symbol" w:hAnsi="Symbol"/>
        </w:rPr>
        <w:t></w:t>
      </w:r>
      <w:r>
        <w:tab/>
        <w:t>Develop skills and competencies in accordance with responsibilities and help others to do so</w:t>
      </w:r>
    </w:p>
    <w:p>
      <w:pPr>
        <w:pStyle w:val="MiscellaneousBody"/>
        <w:tabs>
          <w:tab w:val="left" w:pos="284"/>
          <w:tab w:val="left" w:pos="851"/>
        </w:tabs>
        <w:spacing w:before="120"/>
        <w:ind w:left="851" w:hanging="851"/>
      </w:pPr>
      <w:r>
        <w:rPr>
          <w:rFonts w:ascii="Symbol" w:hAnsi="Symbol"/>
        </w:rPr>
        <w:tab/>
      </w:r>
      <w:r>
        <w:rPr>
          <w:rFonts w:ascii="Symbol" w:hAnsi="Symbol"/>
        </w:rPr>
        <w:t></w:t>
      </w:r>
      <w:r>
        <w:tab/>
        <w:t>Be conscientious and scrupulous in the performance of public duty</w:t>
      </w:r>
    </w:p>
    <w:p>
      <w:pPr>
        <w:pStyle w:val="MiscellaneousBody"/>
        <w:tabs>
          <w:tab w:val="left" w:pos="284"/>
          <w:tab w:val="left" w:pos="851"/>
        </w:tabs>
        <w:spacing w:before="120"/>
        <w:ind w:left="851" w:hanging="851"/>
      </w:pPr>
      <w:r>
        <w:rPr>
          <w:rFonts w:ascii="Symbol" w:hAnsi="Symbol"/>
        </w:rPr>
        <w:tab/>
      </w:r>
      <w:r>
        <w:rPr>
          <w:rFonts w:ascii="Symbol" w:hAnsi="Symbol"/>
        </w:rPr>
        <w:t></w:t>
      </w:r>
      <w:r>
        <w:tab/>
        <w:t>Minimise risk and harm to yourself and others</w:t>
      </w:r>
    </w:p>
    <w:p>
      <w:pPr>
        <w:pStyle w:val="MiscellaneousBody"/>
        <w:tabs>
          <w:tab w:val="left" w:pos="284"/>
          <w:tab w:val="left" w:pos="851"/>
        </w:tabs>
        <w:spacing w:before="120"/>
        <w:ind w:left="851" w:hanging="851"/>
      </w:pPr>
      <w:r>
        <w:rPr>
          <w:rFonts w:ascii="Symbol" w:hAnsi="Symbol"/>
        </w:rPr>
        <w:tab/>
      </w:r>
      <w:r>
        <w:rPr>
          <w:rFonts w:ascii="Symbol" w:hAnsi="Symbol"/>
        </w:rPr>
        <w:t></w:t>
      </w:r>
      <w:r>
        <w:tab/>
        <w:t>Ensure personal political views do not prejudice, influence or favour your decisions or behaviour</w:t>
      </w:r>
    </w:p>
    <w:p>
      <w:pPr>
        <w:pStyle w:val="MiscellaneousHeading"/>
        <w:jc w:val="left"/>
        <w:rPr>
          <w:b/>
          <w:bCs/>
        </w:rPr>
      </w:pPr>
      <w:r>
        <w:rPr>
          <w:b/>
          <w:bCs/>
        </w:rPr>
        <w:t>The following applies only to ministerial staff—</w:t>
      </w:r>
    </w:p>
    <w:p>
      <w:pPr>
        <w:pStyle w:val="MiscellaneousBody"/>
        <w:tabs>
          <w:tab w:val="left" w:pos="284"/>
          <w:tab w:val="left" w:pos="851"/>
        </w:tabs>
        <w:spacing w:before="120"/>
        <w:ind w:left="851" w:hanging="851"/>
      </w:pPr>
      <w:r>
        <w:rPr>
          <w:rFonts w:ascii="Symbol" w:hAnsi="Symbol"/>
        </w:rPr>
        <w:tab/>
      </w:r>
      <w:r>
        <w:rPr>
          <w:rFonts w:ascii="Symbol" w:hAnsi="Symbol"/>
        </w:rPr>
        <w:t></w:t>
      </w:r>
      <w:r>
        <w:tab/>
      </w:r>
      <w:r>
        <w:rPr>
          <w:iCs/>
        </w:rPr>
        <w:t xml:space="preserve">Refrain from exercising executive authority in relation to any matter, including for example budgets, </w:t>
      </w:r>
      <w:r>
        <w:t>contracts</w:t>
      </w:r>
      <w:r>
        <w:rPr>
          <w:iCs/>
        </w:rPr>
        <w:t>, grants or employment matters concerning public sector staff</w:t>
      </w:r>
    </w:p>
    <w:p>
      <w:pPr>
        <w:pStyle w:val="MiscellaneousBody"/>
        <w:tabs>
          <w:tab w:val="left" w:pos="284"/>
          <w:tab w:val="left" w:pos="851"/>
        </w:tabs>
        <w:spacing w:before="120"/>
        <w:ind w:left="851" w:hanging="851"/>
      </w:pPr>
      <w:r>
        <w:rPr>
          <w:rFonts w:ascii="Symbol" w:hAnsi="Symbol"/>
        </w:rPr>
        <w:tab/>
      </w:r>
      <w:r>
        <w:rPr>
          <w:rFonts w:ascii="Symbol" w:hAnsi="Symbol"/>
        </w:rPr>
        <w:t></w:t>
      </w:r>
      <w:r>
        <w:tab/>
        <w:t xml:space="preserve">Refrain from asking public sector employees to do anything inconsistent with their obligations under this Code of Ethics and their agency’s Code of Conduct </w:t>
      </w:r>
    </w:p>
    <w:p>
      <w:pPr>
        <w:pStyle w:val="MiscellaneousBody"/>
        <w:tabs>
          <w:tab w:val="left" w:pos="284"/>
          <w:tab w:val="left" w:pos="851"/>
        </w:tabs>
        <w:spacing w:before="120"/>
        <w:ind w:left="851" w:hanging="851"/>
      </w:pPr>
      <w:r>
        <w:rPr>
          <w:rFonts w:ascii="Symbol" w:hAnsi="Symbol"/>
        </w:rPr>
        <w:tab/>
      </w:r>
      <w:r>
        <w:rPr>
          <w:rFonts w:ascii="Symbol" w:hAnsi="Symbol"/>
        </w:rPr>
        <w:t></w:t>
      </w:r>
      <w:r>
        <w:tab/>
        <w:t>Comply with applicable agreements concerning relationships and communication with the public sector</w:t>
      </w:r>
    </w:p>
    <w:p>
      <w:pPr>
        <w:pStyle w:val="MiscellaneousBody"/>
        <w:tabs>
          <w:tab w:val="left" w:pos="284"/>
          <w:tab w:val="left" w:pos="851"/>
        </w:tabs>
        <w:spacing w:before="120"/>
        <w:ind w:left="851" w:hanging="851"/>
      </w:pPr>
      <w:r>
        <w:rPr>
          <w:rFonts w:ascii="Symbol" w:hAnsi="Symbol"/>
        </w:rPr>
        <w:tab/>
      </w:r>
      <w:r>
        <w:rPr>
          <w:rFonts w:ascii="Symbol" w:hAnsi="Symbol"/>
        </w:rPr>
        <w:t></w:t>
      </w:r>
      <w:r>
        <w:tab/>
        <w:t>Ensure information and advice prepared by the public sector is forwarded to their Minister and is not suppressed or supplanted</w:t>
      </w:r>
    </w:p>
    <w:p>
      <w:pPr>
        <w:pStyle w:val="MiscellaneousBody"/>
        <w:tabs>
          <w:tab w:val="left" w:pos="284"/>
          <w:tab w:val="left" w:pos="851"/>
        </w:tabs>
        <w:spacing w:before="120"/>
        <w:ind w:left="851" w:hanging="851"/>
      </w:pPr>
      <w:r>
        <w:rPr>
          <w:rFonts w:ascii="Symbol" w:hAnsi="Symbol"/>
        </w:rPr>
        <w:tab/>
      </w:r>
      <w:r>
        <w:rPr>
          <w:rFonts w:ascii="Symbol" w:hAnsi="Symbol"/>
        </w:rPr>
        <w:t></w:t>
      </w:r>
      <w:r>
        <w:tab/>
        <w:t>Refrain from using office time or resources for party political work</w:t>
      </w:r>
    </w:p>
    <w:p>
      <w:pPr>
        <w:pStyle w:val="MiscellaneousHeading"/>
        <w:jc w:val="left"/>
        <w:rPr>
          <w:b/>
          <w:bCs/>
        </w:rPr>
      </w:pPr>
      <w:r>
        <w:rPr>
          <w:b/>
          <w:bCs/>
        </w:rPr>
        <w:t>The following does not apply to ministerial staff—</w:t>
      </w:r>
    </w:p>
    <w:p>
      <w:pPr>
        <w:pStyle w:val="MiscellaneousBody"/>
        <w:tabs>
          <w:tab w:val="left" w:pos="284"/>
          <w:tab w:val="left" w:pos="851"/>
        </w:tabs>
        <w:spacing w:before="120"/>
        <w:ind w:left="851" w:hanging="851"/>
      </w:pPr>
      <w:r>
        <w:rPr>
          <w:rFonts w:ascii="Symbol" w:hAnsi="Symbol"/>
        </w:rPr>
        <w:tab/>
      </w:r>
      <w:r>
        <w:rPr>
          <w:rFonts w:ascii="Symbol" w:hAnsi="Symbol"/>
        </w:rPr>
        <w:t></w:t>
      </w:r>
      <w:r>
        <w:tab/>
        <w:t>Remain politically impartial in all dealings with Ministers and ministerial staff</w:t>
      </w:r>
    </w:p>
    <w:p>
      <w:pPr>
        <w:pStyle w:val="MiscellaneousBody"/>
        <w:tabs>
          <w:tab w:val="left" w:pos="284"/>
          <w:tab w:val="left" w:pos="851"/>
        </w:tabs>
        <w:spacing w:before="120"/>
        <w:ind w:left="851" w:hanging="851"/>
      </w:pPr>
      <w:r>
        <w:rPr>
          <w:rFonts w:ascii="Symbol" w:hAnsi="Symbol"/>
        </w:rPr>
        <w:tab/>
      </w:r>
      <w:r>
        <w:rPr>
          <w:rFonts w:ascii="Symbol" w:hAnsi="Symbol"/>
        </w:rPr>
        <w:t></w:t>
      </w:r>
      <w:r>
        <w:tab/>
        <w:t>Ensure personal political views do not prejudice, influence or favour your decisions or behaviour</w:t>
      </w:r>
    </w:p>
    <w:p>
      <w:pPr>
        <w:sectPr>
          <w:headerReference w:type="even" r:id="rId14"/>
          <w:headerReference w:type="default" r:id="rId15"/>
          <w:footerReference w:type="even" r:id="rId16"/>
          <w:footerReference w:type="default" r:id="rId17"/>
          <w:headerReference w:type="first" r:id="rId18"/>
          <w:footerReference w:type="first" r:id="rId19"/>
          <w:pgSz w:w="11907" w:h="16840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nHeading2"/>
      </w:pPr>
      <w:bookmarkStart w:id="3" w:name="_Toc190753659"/>
      <w:bookmarkStart w:id="4" w:name="_Toc426122314"/>
      <w:bookmarkStart w:id="5" w:name="_Toc167080149"/>
      <w:bookmarkStart w:id="6" w:name="_Toc167080221"/>
      <w:r>
        <w:t>Notes</w:t>
      </w:r>
      <w:bookmarkEnd w:id="3"/>
      <w:bookmarkEnd w:id="4"/>
      <w:bookmarkEnd w:id="5"/>
      <w:bookmarkEnd w:id="6"/>
    </w:p>
    <w:p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 </w:t>
      </w:r>
      <w:bookmarkStart w:id="7" w:name="UpToHere"/>
      <w:bookmarkEnd w:id="7"/>
      <w:r>
        <w:rPr>
          <w:snapToGrid w:val="0"/>
        </w:rPr>
        <w:t xml:space="preserve">is a compilation of the </w:t>
      </w:r>
      <w:r>
        <w:rPr>
          <w:i/>
        </w:rPr>
        <w:t>Western Australian Public Sector Code of Ethics (2007).</w:t>
      </w:r>
    </w:p>
    <w:p>
      <w:pPr>
        <w:pStyle w:val="nHeading3"/>
      </w:pPr>
      <w:bookmarkStart w:id="8" w:name="_Toc190753660"/>
      <w:bookmarkStart w:id="9" w:name="_Toc426122315"/>
      <w:bookmarkStart w:id="10" w:name="_Toc511102520"/>
      <w:bookmarkStart w:id="11" w:name="_Toc513888953"/>
      <w:bookmarkStart w:id="12" w:name="_Toc1897788"/>
      <w:bookmarkStart w:id="13" w:name="_Toc167080222"/>
      <w:r>
        <w:t>Compilation table</w:t>
      </w:r>
      <w:bookmarkEnd w:id="8"/>
      <w:bookmarkEnd w:id="9"/>
      <w:bookmarkEnd w:id="10"/>
      <w:bookmarkEnd w:id="11"/>
      <w:bookmarkEnd w:id="12"/>
      <w:bookmarkEnd w:id="13"/>
    </w:p>
    <w:tbl>
      <w:tblPr>
        <w:tblW w:w="0" w:type="auto"/>
        <w:tblInd w:w="28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9"/>
        <w:gridCol w:w="1276"/>
        <w:gridCol w:w="2693"/>
      </w:tblGrid>
      <w:tr>
        <w:trPr>
          <w:tblHeader/>
        </w:trPr>
        <w:tc>
          <w:tcPr>
            <w:tcW w:w="3119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before="60" w:after="6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before="60" w:after="60"/>
              <w:rPr>
                <w:b/>
              </w:rPr>
            </w:pPr>
            <w:r>
              <w:rPr>
                <w:b/>
              </w:rPr>
              <w:t>Gazettal</w:t>
            </w:r>
          </w:p>
        </w:tc>
        <w:tc>
          <w:tcPr>
            <w:tcW w:w="2693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before="60" w:after="6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c>
          <w:tcPr>
            <w:tcW w:w="3119" w:type="dxa"/>
            <w:tcBorders>
              <w:top w:val="single" w:sz="8" w:space="0" w:color="auto"/>
            </w:tcBorders>
          </w:tcPr>
          <w:p>
            <w:pPr>
              <w:pStyle w:val="nTable"/>
            </w:pPr>
            <w:r>
              <w:rPr>
                <w:i/>
              </w:rPr>
              <w:t>Western Australian Public Sector Code of Ethics (2007)</w:t>
            </w:r>
          </w:p>
        </w:tc>
        <w:tc>
          <w:tcPr>
            <w:tcW w:w="1276" w:type="dxa"/>
            <w:tcBorders>
              <w:top w:val="single" w:sz="8" w:space="0" w:color="auto"/>
            </w:tcBorders>
          </w:tcPr>
          <w:p>
            <w:pPr>
              <w:pStyle w:val="nTable"/>
            </w:pPr>
            <w:r>
              <w:t>8 May 2007 p. 1981-2</w:t>
            </w:r>
          </w:p>
        </w:tc>
        <w:tc>
          <w:tcPr>
            <w:tcW w:w="2693" w:type="dxa"/>
            <w:tcBorders>
              <w:top w:val="single" w:sz="8" w:space="0" w:color="auto"/>
            </w:tcBorders>
          </w:tcPr>
          <w:p>
            <w:pPr>
              <w:pStyle w:val="nTable"/>
            </w:pPr>
            <w:r>
              <w:t>8 May 2007</w:t>
            </w:r>
          </w:p>
        </w:tc>
      </w:tr>
    </w:tbl>
    <w:p>
      <w:pPr>
        <w:rPr>
          <w:del w:id="14" w:author="Master Repository Process" w:date="2021-09-18T18:08:00Z"/>
        </w:rPr>
      </w:pPr>
    </w:p>
    <w:tbl>
      <w:tblPr>
        <w:tblW w:w="0" w:type="auto"/>
        <w:tblInd w:w="28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7088"/>
      </w:tblGrid>
      <w:tr>
        <w:trPr>
          <w:cantSplit/>
          <w:ins w:id="15" w:author="Master Repository Process" w:date="2021-09-18T18:08:00Z"/>
        </w:trPr>
        <w:tc>
          <w:tcPr>
            <w:tcW w:w="7088" w:type="dxa"/>
            <w:tcBorders>
              <w:bottom w:val="single" w:sz="4" w:space="0" w:color="auto"/>
            </w:tcBorders>
          </w:tcPr>
          <w:p>
            <w:pPr>
              <w:pStyle w:val="nTable"/>
              <w:rPr>
                <w:ins w:id="16" w:author="Master Repository Process" w:date="2021-09-18T18:08:00Z"/>
                <w:b/>
                <w:bCs/>
                <w:color w:val="FF0000"/>
              </w:rPr>
            </w:pPr>
            <w:ins w:id="17" w:author="Master Repository Process" w:date="2021-09-18T18:08:00Z">
              <w:r>
                <w:rPr>
                  <w:b/>
                  <w:bCs/>
                  <w:color w:val="FF0000"/>
                </w:rPr>
                <w:t xml:space="preserve">This Code was repealed by the </w:t>
              </w:r>
              <w:r>
                <w:rPr>
                  <w:b/>
                  <w:bCs/>
                  <w:i/>
                  <w:iCs/>
                  <w:color w:val="FF0000"/>
                </w:rPr>
                <w:t>Western Australian Public Sector Code of Ethics (Repeal) 2007</w:t>
              </w:r>
              <w:r>
                <w:rPr>
                  <w:b/>
                  <w:bCs/>
                  <w:color w:val="FF0000"/>
                </w:rPr>
                <w:t xml:space="preserve"> as at 18 Jan 2008 (see </w:t>
              </w:r>
              <w:r>
                <w:rPr>
                  <w:b/>
                  <w:bCs/>
                  <w:i/>
                  <w:iCs/>
                  <w:color w:val="FF0000"/>
                </w:rPr>
                <w:t>Gazette</w:t>
              </w:r>
              <w:r>
                <w:rPr>
                  <w:b/>
                  <w:bCs/>
                  <w:color w:val="FF0000"/>
                </w:rPr>
                <w:t xml:space="preserve"> 18 Jan 2008 p. 164)</w:t>
              </w:r>
            </w:ins>
          </w:p>
        </w:tc>
      </w:tr>
    </w:tbl>
    <w:p/>
    <w:p>
      <w:pPr>
        <w:sectPr>
          <w:headerReference w:type="even" r:id="rId20"/>
          <w:headerReference w:type="default" r:id="rId21"/>
          <w:headerReference w:type="first" r:id="rId22"/>
          <w:pgSz w:w="11907" w:h="16840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/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continuous"/>
      <w:pgSz w:w="11907" w:h="16840" w:code="9"/>
      <w:pgMar w:top="2376" w:right="2404" w:bottom="3544" w:left="2404" w:header="720" w:footer="338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  <w:r>
      <w:rPr>
        <w:sz w:val="20"/>
      </w:rPr>
      <w:tab/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08 May 2007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00-a0-03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18 Jan 2008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00-b0-04</w:t>
    </w:r>
    <w:r>
      <w:rPr>
        <w:sz w:val="20"/>
      </w:rPr>
      <w:fldChar w:fldCharType="end"/>
    </w:r>
    <w:r>
      <w:rPr>
        <w:sz w:val="20"/>
      </w:rPr>
      <w:t>]</w:t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08 May 2007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00-a0-03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18 Jan 2008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00-b0-04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08 May 2007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00-a0-03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18 Jan 2008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00-b0-04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Western Australian Public Sector Code of Ethics (2007)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cr/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Western Australian Public Sector Code of Ethics (2007)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Western Australian Public Sector Code of Ethics (2007)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Western Australian Public Sector Code of Ethics (2007)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18" w:name="Compilation"/>
    <w:bookmarkEnd w:id="18"/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bookmarkStart w:id="19" w:name="Coversheet"/>
    <w:bookmarkEnd w:id="19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C89A6880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A106F990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92C83AA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0D46BAE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89868496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42529E22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FB825428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89B09A6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E0E8DE84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8DBCE00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1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3C2808C0"/>
    <w:multiLevelType w:val="singleLevel"/>
    <w:tmpl w:val="517434A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6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7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3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15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Master Repository Process">
    <w15:presenceInfo w15:providerId="AD" w15:userId="S-1-5-21-446834752-3266806679-4089291514-131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visionView w:formatting="0"/>
  <w:defaultTabStop w:val="720"/>
  <w:evenAndOddHeaders/>
  <w:drawingGridHorizontalSpacing w:val="120"/>
  <w:drawingGridVerticalSpacing w:val="163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WAFER" w:val="20151117145010"/>
    <w:docVar w:name="WAFER_20150731150731" w:val="ResetPageSize,UpdateArrangement,UpdateNTable"/>
    <w:docVar w:name="WAFER_20150731150731_GUID" w:val="6f391b37-6014-484a-999d-f3d3ec5a568b"/>
    <w:docVar w:name="WAFER_20151117145010" w:val="UpdateStyles,UsedStyles"/>
    <w:docVar w:name="WAFER_20151117145010_GUID" w:val="4940147d-9188-4a8c-bca5-b00dffc89485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25951DAD-92C4-486D-8F0B-A4FFAF3232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  <w:lang w:eastAsia="en-US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  <w:lang w:eastAsia="en-US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  <w:lang w:eastAsia="en-US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  <w:lang w:eastAsia="en-US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  <w:lang w:eastAsia="en-US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  <w:lang w:eastAsia="en-US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  <w:lang w:eastAsia="en-US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  <w:lang w:eastAsia="en-US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">
    <w:name w:val="Body Text"/>
    <w:basedOn w:val="Normal"/>
    <w:semiHidden/>
    <w:pPr>
      <w:spacing w:after="12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  <w:rPr>
      <w:lang w:eastAsia="en-US"/>
    </w:rPr>
  </w:style>
  <w:style w:type="character" w:customStyle="1" w:styleId="CharChapNo">
    <w:name w:val="CharChapNo"/>
    <w:rPr>
      <w:noProof w:val="0"/>
      <w:lang w:val="en-AU"/>
    </w:rPr>
  </w:style>
  <w:style w:type="character" w:customStyle="1" w:styleId="CharChapText">
    <w:name w:val="CharChapText"/>
    <w:rPr>
      <w:noProof w:val="0"/>
      <w:lang w:val="en-AU"/>
    </w:rPr>
  </w:style>
  <w:style w:type="character" w:customStyle="1" w:styleId="CharDefText">
    <w:name w:val="CharDefText"/>
    <w:basedOn w:val="DefaultParagraphFont"/>
    <w:rPr>
      <w:b/>
    </w:rPr>
  </w:style>
  <w:style w:type="character" w:customStyle="1" w:styleId="CharDivNo">
    <w:name w:val="CharDivNo"/>
    <w:rPr>
      <w:noProof w:val="0"/>
      <w:lang w:val="en-AU"/>
    </w:rPr>
  </w:style>
  <w:style w:type="character" w:customStyle="1" w:styleId="CharDivText">
    <w:name w:val="CharDivText"/>
    <w:rPr>
      <w:noProof w:val="0"/>
      <w:lang w:val="en-AU"/>
    </w:rPr>
  </w:style>
  <w:style w:type="character" w:customStyle="1" w:styleId="CharPartNo">
    <w:name w:val="CharPartNo"/>
    <w:rPr>
      <w:noProof w:val="0"/>
      <w:lang w:val="en-AU"/>
    </w:rPr>
  </w:style>
  <w:style w:type="character" w:customStyle="1" w:styleId="CharPartText">
    <w:name w:val="CharPartText"/>
    <w:rPr>
      <w:noProof w:val="0"/>
      <w:lang w:val="en-AU"/>
    </w:rPr>
  </w:style>
  <w:style w:type="character" w:customStyle="1" w:styleId="CharProduced">
    <w:name w:val="CharProduced"/>
    <w:rPr>
      <w:noProof w:val="0"/>
      <w:spacing w:val="-3"/>
      <w:lang w:val="en-AU"/>
    </w:rPr>
  </w:style>
  <w:style w:type="character" w:customStyle="1" w:styleId="CharSchNo">
    <w:name w:val="CharSchNo"/>
    <w:rPr>
      <w:noProof w:val="0"/>
      <w:lang w:val="en-AU"/>
    </w:rPr>
  </w:style>
  <w:style w:type="character" w:customStyle="1" w:styleId="CharSchText">
    <w:name w:val="CharSchText"/>
    <w:rPr>
      <w:noProof w:val="0"/>
      <w:lang w:val="en-AU"/>
    </w:rPr>
  </w:style>
  <w:style w:type="character" w:customStyle="1" w:styleId="CharSClsNo">
    <w:name w:val="CharSClsNo"/>
    <w:basedOn w:val="DefaultParagraphFont"/>
    <w:rPr>
      <w:sz w:val="22"/>
      <w:lang w:val="en-AU"/>
    </w:rPr>
  </w:style>
  <w:style w:type="character" w:customStyle="1" w:styleId="CharSDivNo">
    <w:name w:val="CharSDivNo"/>
    <w:basedOn w:val="DefaultParagraphFont"/>
    <w:rPr>
      <w:sz w:val="24"/>
      <w:lang w:val="en-AU"/>
    </w:rPr>
  </w:style>
  <w:style w:type="character" w:customStyle="1" w:styleId="CharSDivText">
    <w:name w:val="CharSDivText"/>
    <w:basedOn w:val="DefaultParagraphFont"/>
    <w:rPr>
      <w:sz w:val="24"/>
    </w:rPr>
  </w:style>
  <w:style w:type="character" w:customStyle="1" w:styleId="CharSectno">
    <w:name w:val="CharSectno"/>
    <w:rPr>
      <w:noProof w:val="0"/>
      <w:lang w:val="en-AU"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  <w:lang w:val="en-AU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lang w:eastAsia="en-US"/>
    </w:rPr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WA">
    <w:name w:val="WA"/>
    <w:pPr>
      <w:spacing w:after="720"/>
      <w:jc w:val="center"/>
    </w:pPr>
    <w:rPr>
      <w:sz w:val="24"/>
      <w:lang w:eastAsia="en-US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  <w:lang w:eastAsia="en-US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  <w:lang w:eastAsia="en-US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  <w:lang w:eastAsia="en-US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</w:pPr>
    <w:rPr>
      <w:i/>
      <w:snapToGrid w:val="0"/>
      <w:sz w:val="24"/>
      <w:lang w:eastAsia="en-US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ubdivision">
    <w:name w:val="Ednote(subdivision)"/>
    <w:basedOn w:val="Ednotepart"/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  <w:lang w:eastAsia="en-US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  <w:lang w:eastAsia="en-US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paragraph" w:customStyle="1" w:styleId="Equation">
    <w:name w:val="Equation"/>
    <w:rPr>
      <w:noProof/>
      <w:sz w:val="24"/>
      <w:lang w:eastAsia="en-US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  <w:lang w:eastAsia="en-US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  <w:lang w:eastAsia="en-US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  <w:lang w:eastAsia="en-US"/>
    </w:rPr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Graphics">
    <w:name w:val="Graphics"/>
    <w:basedOn w:val="Equation"/>
  </w:style>
  <w:style w:type="paragraph" w:styleId="Header">
    <w:name w:val="header"/>
    <w:rPr>
      <w:rFonts w:ascii="Arial" w:hAnsi="Arial"/>
      <w:noProof/>
    </w:r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  <w:lang w:eastAsia="en-US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  <w:lang w:eastAsia="en-US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paragraph" w:styleId="List">
    <w:name w:val="List"/>
    <w:basedOn w:val="Normal"/>
    <w:semiHidden/>
    <w:pPr>
      <w:ind w:left="283" w:hanging="283"/>
    </w:p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2"/>
      </w:numPr>
    </w:pPr>
  </w:style>
  <w:style w:type="paragraph" w:styleId="ListBullet2">
    <w:name w:val="List Bullet 2"/>
    <w:basedOn w:val="Normal"/>
    <w:autoRedefine/>
    <w:semiHidden/>
    <w:pPr>
      <w:numPr>
        <w:numId w:val="3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semiHidden/>
    <w:pPr>
      <w:numPr>
        <w:numId w:val="4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semiHidden/>
    <w:pPr>
      <w:numPr>
        <w:numId w:val="5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semiHidden/>
    <w:pPr>
      <w:numPr>
        <w:numId w:val="6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7"/>
      </w:numPr>
    </w:pPr>
  </w:style>
  <w:style w:type="paragraph" w:styleId="ListNumber2">
    <w:name w:val="List Number 2"/>
    <w:basedOn w:val="Normal"/>
    <w:semiHidden/>
    <w:pPr>
      <w:numPr>
        <w:numId w:val="8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semiHidden/>
    <w:pPr>
      <w:numPr>
        <w:numId w:val="9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semiHidden/>
    <w:pPr>
      <w:numPr>
        <w:numId w:val="10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semiHidden/>
    <w:pPr>
      <w:numPr>
        <w:numId w:val="11"/>
      </w:numPr>
      <w:tabs>
        <w:tab w:val="clear" w:pos="1492"/>
        <w:tab w:val="num" w:pos="1800"/>
      </w:tabs>
      <w:ind w:left="1800"/>
    </w:pPr>
  </w:style>
  <w:style w:type="paragraph" w:customStyle="1" w:styleId="LongTitle">
    <w:name w:val="Long Title"/>
    <w:rPr>
      <w:b/>
      <w:sz w:val="24"/>
      <w:lang w:eastAsia="en-US"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  <w:lang w:eastAsia="en-US"/>
    </w:rPr>
  </w:style>
  <w:style w:type="paragraph" w:customStyle="1" w:styleId="MadeBy">
    <w:name w:val="MadeBy"/>
    <w:pPr>
      <w:spacing w:before="600"/>
    </w:pPr>
    <w:rPr>
      <w:sz w:val="24"/>
      <w:lang w:eastAsia="en-US"/>
    </w:r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  <w:lang w:eastAsia="en-US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  <w:lang w:eastAsia="en-US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  <w:lang w:eastAsia="en-US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  <w:lang w:eastAsia="en-US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  <w:lang w:eastAsia="en-US"/>
    </w:r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PrincipalActReg">
    <w:name w:val="PrincipalAct_Reg"/>
    <w:pPr>
      <w:spacing w:after="480"/>
      <w:jc w:val="center"/>
    </w:pPr>
    <w:rPr>
      <w:sz w:val="24"/>
      <w:lang w:eastAsia="en-US"/>
    </w:rPr>
  </w:style>
  <w:style w:type="paragraph" w:customStyle="1" w:styleId="ReprintNo">
    <w:name w:val="ReprintNo"/>
    <w:rPr>
      <w:b/>
      <w:noProof/>
      <w:sz w:val="28"/>
    </w:rPr>
  </w:style>
  <w:style w:type="paragraph" w:styleId="Salutation">
    <w:name w:val="Salutation"/>
    <w:basedOn w:val="Normal"/>
    <w:next w:val="Normal"/>
    <w:semiHidden/>
  </w:style>
  <w:style w:type="paragraph" w:styleId="Signature">
    <w:name w:val="Signature"/>
    <w:basedOn w:val="Normal"/>
    <w:semiHidden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  <w:lang w:eastAsia="en-US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  <w:lang w:eastAsia="en-US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  <w:lang w:eastAsia="en-US"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  <w:lang w:eastAsia="en-US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  <w:lang w:eastAsia="en-US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  <w:lang w:eastAsia="en-US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division">
    <w:name w:val="yEdnote(subdivision)"/>
    <w:basedOn w:val="yEdnoteschedule"/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yShoulderClause">
    <w:name w:val="yShoulderClause"/>
    <w:next w:val="Normal"/>
    <w:pPr>
      <w:spacing w:before="120"/>
      <w:jc w:val="right"/>
    </w:pPr>
    <w:rPr>
      <w:sz w:val="22"/>
      <w:lang w:eastAsia="en-US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Tablet">
    <w:name w:val="zTable t"/>
    <w:basedOn w:val="Table"/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  <w:style w:type="paragraph" w:styleId="Revision">
    <w:name w:val="Revision"/>
    <w:hidden/>
    <w:uiPriority w:val="99"/>
    <w:semiHidden/>
    <w:rPr>
      <w:sz w:val="24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Segoe UI" w:hAnsi="Segoe UI" w:cs="Segoe UI"/>
      <w:sz w:val="18"/>
      <w:szCs w:val="18"/>
      <w:lang w:eastAsia="en-US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3097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header" Target="header6.xml"/><Relationship Id="rId26" Type="http://schemas.openxmlformats.org/officeDocument/2006/relationships/footer" Target="footer8.xml"/><Relationship Id="rId3" Type="http://schemas.openxmlformats.org/officeDocument/2006/relationships/settings" Target="settings.xml"/><Relationship Id="rId21" Type="http://schemas.openxmlformats.org/officeDocument/2006/relationships/header" Target="header8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footer" Target="footer7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header" Target="header7.xml"/><Relationship Id="rId29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24" Type="http://schemas.openxmlformats.org/officeDocument/2006/relationships/header" Target="header11.xml"/><Relationship Id="rId5" Type="http://schemas.openxmlformats.org/officeDocument/2006/relationships/footnotes" Target="footnotes.xml"/><Relationship Id="rId15" Type="http://schemas.openxmlformats.org/officeDocument/2006/relationships/header" Target="header5.xml"/><Relationship Id="rId23" Type="http://schemas.openxmlformats.org/officeDocument/2006/relationships/header" Target="header10.xml"/><Relationship Id="rId28" Type="http://schemas.openxmlformats.org/officeDocument/2006/relationships/footer" Target="footer9.xml"/><Relationship Id="rId10" Type="http://schemas.openxmlformats.org/officeDocument/2006/relationships/footer" Target="footer1.xml"/><Relationship Id="rId19" Type="http://schemas.openxmlformats.org/officeDocument/2006/relationships/footer" Target="footer6.xml"/><Relationship Id="rId31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header" Target="header9.xml"/><Relationship Id="rId27" Type="http://schemas.openxmlformats.org/officeDocument/2006/relationships/header" Target="header12.xml"/><Relationship Id="rId30" Type="http://schemas.microsoft.com/office/2011/relationships/people" Target="peop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898</Words>
  <Characters>5160</Characters>
  <Application>Microsoft Office Word</Application>
  <DocSecurity>0</DocSecurity>
  <Lines>147</Lines>
  <Paragraphs>102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Western Australian Public Sector Code of Ethics (2007) 00-a0-03 - 00-b0-04</dc:title>
  <dc:subject/>
  <dc:creator/>
  <cp:keywords/>
  <dc:description/>
  <cp:lastModifiedBy>Master Repository Process</cp:lastModifiedBy>
  <cp:revision>2</cp:revision>
  <dcterms:created xsi:type="dcterms:W3CDTF">2021-09-18T10:08:00Z</dcterms:created>
  <dcterms:modified xsi:type="dcterms:W3CDTF">2021-09-18T10:08:00Z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8 May 2007 p 1981-2</vt:lpwstr>
  </property>
  <property fmtid="{D5CDD505-2E9C-101B-9397-08002B2CF9AE}" pid="3" name="CommencementDate">
    <vt:lpwstr>20080118</vt:lpwstr>
  </property>
  <property fmtid="{D5CDD505-2E9C-101B-9397-08002B2CF9AE}" pid="4" name="DocumentType">
    <vt:lpwstr>Reg</vt:lpwstr>
  </property>
  <property fmtid="{D5CDD505-2E9C-101B-9397-08002B2CF9AE}" pid="5" name="OwlsUID">
    <vt:i4>39835</vt:i4>
  </property>
  <property fmtid="{D5CDD505-2E9C-101B-9397-08002B2CF9AE}" pid="6" name="Status">
    <vt:lpwstr>NIF</vt:lpwstr>
  </property>
  <property fmtid="{D5CDD505-2E9C-101B-9397-08002B2CF9AE}" pid="7" name="FromSuffix">
    <vt:lpwstr>00-a0-03</vt:lpwstr>
  </property>
  <property fmtid="{D5CDD505-2E9C-101B-9397-08002B2CF9AE}" pid="8" name="FromAsAtDate">
    <vt:lpwstr>08 May 2007</vt:lpwstr>
  </property>
  <property fmtid="{D5CDD505-2E9C-101B-9397-08002B2CF9AE}" pid="9" name="ToSuffix">
    <vt:lpwstr>00-b0-04</vt:lpwstr>
  </property>
  <property fmtid="{D5CDD505-2E9C-101B-9397-08002B2CF9AE}" pid="10" name="ToAsAtDate">
    <vt:lpwstr>18 Jan 2008</vt:lpwstr>
  </property>
</Properties>
</file>