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307494"/>
      <w:bookmarkStart w:id="14" w:name="_Toc7250784"/>
      <w:bookmarkStart w:id="15" w:name="_Toc102376425"/>
      <w:bookmarkStart w:id="16" w:name="_Toc193252394"/>
      <w:bookmarkStart w:id="17" w:name="_Toc172101508"/>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18" w:name="_Toc411307495"/>
      <w:bookmarkStart w:id="19" w:name="_Toc7250785"/>
      <w:bookmarkStart w:id="20" w:name="_Toc102376426"/>
      <w:bookmarkStart w:id="21" w:name="_Toc193252395"/>
      <w:bookmarkStart w:id="22" w:name="_Toc172101509"/>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3" w:name="_Toc411307496"/>
      <w:bookmarkStart w:id="24" w:name="_Toc7250786"/>
      <w:bookmarkStart w:id="25" w:name="_Toc102376427"/>
      <w:bookmarkStart w:id="26" w:name="_Toc193252396"/>
      <w:bookmarkStart w:id="27" w:name="_Toc172101510"/>
      <w:r>
        <w:rPr>
          <w:rStyle w:val="CharSectno"/>
        </w:rPr>
        <w:t>4</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lastRenderedPageBreak/>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8" w:name="_Toc89523135"/>
      <w:bookmarkStart w:id="29" w:name="_Toc89523183"/>
      <w:bookmarkStart w:id="30" w:name="_Toc92864329"/>
      <w:bookmarkStart w:id="31" w:name="_Toc97104108"/>
      <w:bookmarkStart w:id="32" w:name="_Toc102376428"/>
      <w:bookmarkStart w:id="33" w:name="_Toc132075312"/>
      <w:bookmarkStart w:id="34" w:name="_Toc132608665"/>
      <w:bookmarkStart w:id="35" w:name="_Toc132703359"/>
      <w:bookmarkStart w:id="36" w:name="_Toc134851046"/>
      <w:bookmarkStart w:id="37" w:name="_Toc137349808"/>
      <w:bookmarkStart w:id="38" w:name="_Toc172101511"/>
      <w:bookmarkStart w:id="39" w:name="_Toc193252397"/>
      <w:r>
        <w:rPr>
          <w:rStyle w:val="CharPartNo"/>
        </w:rPr>
        <w:t>Part II</w:t>
      </w:r>
      <w:r>
        <w:t> — </w:t>
      </w:r>
      <w:r>
        <w:rPr>
          <w:rStyle w:val="CharPartText"/>
        </w:rPr>
        <w:t>Land Valuers Licensing Board</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pPr>
      <w:bookmarkStart w:id="40" w:name="_Toc92864330"/>
      <w:bookmarkStart w:id="41" w:name="_Toc97104109"/>
      <w:bookmarkStart w:id="42" w:name="_Toc102376429"/>
      <w:bookmarkStart w:id="43" w:name="_Toc132075313"/>
      <w:bookmarkStart w:id="44" w:name="_Toc132608666"/>
      <w:bookmarkStart w:id="45" w:name="_Toc132703360"/>
      <w:bookmarkStart w:id="46" w:name="_Toc134851047"/>
      <w:bookmarkStart w:id="47" w:name="_Toc137349809"/>
      <w:bookmarkStart w:id="48" w:name="_Toc172101512"/>
      <w:bookmarkStart w:id="49" w:name="_Toc193252398"/>
      <w:bookmarkStart w:id="50" w:name="_Toc411307497"/>
      <w:bookmarkStart w:id="51" w:name="_Toc7250787"/>
      <w:r>
        <w:rPr>
          <w:rStyle w:val="CharDivNo"/>
        </w:rPr>
        <w:t>Division 1</w:t>
      </w:r>
      <w:r>
        <w:t xml:space="preserve"> — </w:t>
      </w:r>
      <w:r>
        <w:rPr>
          <w:rStyle w:val="CharDivText"/>
        </w:rPr>
        <w:t>Land Valuers Licensing Board</w:t>
      </w:r>
      <w:bookmarkEnd w:id="40"/>
      <w:bookmarkEnd w:id="41"/>
      <w:bookmarkEnd w:id="42"/>
      <w:bookmarkEnd w:id="43"/>
      <w:bookmarkEnd w:id="44"/>
      <w:bookmarkEnd w:id="45"/>
      <w:bookmarkEnd w:id="46"/>
      <w:bookmarkEnd w:id="47"/>
      <w:bookmarkEnd w:id="48"/>
      <w:bookmarkEnd w:id="49"/>
    </w:p>
    <w:p>
      <w:pPr>
        <w:pStyle w:val="Footnoteheading"/>
        <w:tabs>
          <w:tab w:val="left" w:pos="851"/>
        </w:tabs>
      </w:pPr>
      <w:r>
        <w:tab/>
        <w:t>[Heading inserted by No. 55 of 2004 s. 587.]</w:t>
      </w:r>
    </w:p>
    <w:p>
      <w:pPr>
        <w:pStyle w:val="Heading5"/>
        <w:rPr>
          <w:snapToGrid w:val="0"/>
        </w:rPr>
      </w:pPr>
      <w:bookmarkStart w:id="52" w:name="_Toc102376430"/>
      <w:bookmarkStart w:id="53" w:name="_Toc193252399"/>
      <w:bookmarkStart w:id="54" w:name="_Toc172101513"/>
      <w:r>
        <w:rPr>
          <w:rStyle w:val="CharSectno"/>
        </w:rPr>
        <w:t>5</w:t>
      </w:r>
      <w:r>
        <w:rPr>
          <w:snapToGrid w:val="0"/>
        </w:rPr>
        <w:t>.</w:t>
      </w:r>
      <w:r>
        <w:rPr>
          <w:snapToGrid w:val="0"/>
        </w:rPr>
        <w:tab/>
        <w:t>The Board</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55" w:name="_Toc411307498"/>
      <w:bookmarkStart w:id="56" w:name="_Toc7250788"/>
      <w:bookmarkStart w:id="57" w:name="_Toc102376431"/>
      <w:bookmarkStart w:id="58" w:name="_Toc193252400"/>
      <w:bookmarkStart w:id="59" w:name="_Toc172101514"/>
      <w:r>
        <w:rPr>
          <w:rStyle w:val="CharSectno"/>
        </w:rPr>
        <w:t>6</w:t>
      </w:r>
      <w:r>
        <w:rPr>
          <w:snapToGrid w:val="0"/>
        </w:rPr>
        <w:t>.</w:t>
      </w:r>
      <w:r>
        <w:rPr>
          <w:snapToGrid w:val="0"/>
        </w:rPr>
        <w:tab/>
        <w:t>Composition of Board</w:t>
      </w:r>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60" w:name="_Toc411307499"/>
      <w:bookmarkStart w:id="61" w:name="_Toc7250789"/>
      <w:bookmarkStart w:id="62" w:name="_Toc102376432"/>
      <w:bookmarkStart w:id="63" w:name="_Toc193252401"/>
      <w:bookmarkStart w:id="64" w:name="_Toc172101515"/>
      <w:r>
        <w:rPr>
          <w:rStyle w:val="CharSectno"/>
        </w:rPr>
        <w:t>7</w:t>
      </w:r>
      <w:r>
        <w:rPr>
          <w:snapToGrid w:val="0"/>
        </w:rPr>
        <w:t>.</w:t>
      </w:r>
      <w:r>
        <w:rPr>
          <w:snapToGrid w:val="0"/>
        </w:rPr>
        <w:tab/>
        <w:t>Term of office</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65" w:name="_Toc411307500"/>
      <w:bookmarkStart w:id="66" w:name="_Toc7250790"/>
      <w:bookmarkStart w:id="67" w:name="_Toc102376433"/>
      <w:bookmarkStart w:id="68" w:name="_Toc193252402"/>
      <w:bookmarkStart w:id="69" w:name="_Toc172101516"/>
      <w:r>
        <w:rPr>
          <w:rStyle w:val="CharSectno"/>
        </w:rPr>
        <w:t>8</w:t>
      </w:r>
      <w:r>
        <w:rPr>
          <w:snapToGrid w:val="0"/>
        </w:rPr>
        <w:t>.</w:t>
      </w:r>
      <w:r>
        <w:rPr>
          <w:snapToGrid w:val="0"/>
        </w:rPr>
        <w:tab/>
        <w:t>Meetings of the Board</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70" w:name="_Toc411307501"/>
      <w:bookmarkStart w:id="71" w:name="_Toc7250791"/>
      <w:bookmarkStart w:id="72" w:name="_Toc102376434"/>
      <w:bookmarkStart w:id="73" w:name="_Toc193252403"/>
      <w:bookmarkStart w:id="74" w:name="_Toc172101517"/>
      <w:r>
        <w:rPr>
          <w:rStyle w:val="CharSectno"/>
        </w:rPr>
        <w:t>9</w:t>
      </w:r>
      <w:r>
        <w:rPr>
          <w:snapToGrid w:val="0"/>
        </w:rPr>
        <w:t>.</w:t>
      </w:r>
      <w:r>
        <w:rPr>
          <w:snapToGrid w:val="0"/>
        </w:rPr>
        <w:tab/>
        <w:t>Validity of acts of Board</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75" w:name="_Toc411307502"/>
      <w:bookmarkStart w:id="76" w:name="_Toc7250792"/>
      <w:bookmarkStart w:id="77" w:name="_Toc102376435"/>
      <w:bookmarkStart w:id="78" w:name="_Toc193252404"/>
      <w:bookmarkStart w:id="79" w:name="_Toc172101518"/>
      <w:r>
        <w:rPr>
          <w:rStyle w:val="CharSectno"/>
        </w:rPr>
        <w:t>10</w:t>
      </w:r>
      <w:r>
        <w:rPr>
          <w:snapToGrid w:val="0"/>
        </w:rPr>
        <w:t>.</w:t>
      </w:r>
      <w:r>
        <w:rPr>
          <w:snapToGrid w:val="0"/>
        </w:rPr>
        <w:tab/>
        <w:t>Remuneration of members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80" w:name="_Toc411307503"/>
      <w:bookmarkStart w:id="81" w:name="_Toc7250793"/>
      <w:bookmarkStart w:id="82" w:name="_Toc102376436"/>
      <w:bookmarkStart w:id="83" w:name="_Toc193252405"/>
      <w:bookmarkStart w:id="84" w:name="_Toc172101519"/>
      <w:r>
        <w:rPr>
          <w:rStyle w:val="CharSectno"/>
        </w:rPr>
        <w:t>11</w:t>
      </w:r>
      <w:r>
        <w:rPr>
          <w:snapToGrid w:val="0"/>
        </w:rPr>
        <w:t>.</w:t>
      </w:r>
      <w:r>
        <w:rPr>
          <w:snapToGrid w:val="0"/>
        </w:rPr>
        <w:tab/>
        <w:t>The Registrar and other officers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85" w:name="_Toc92864338"/>
      <w:bookmarkStart w:id="86" w:name="_Toc97104117"/>
      <w:bookmarkStart w:id="87" w:name="_Toc102376437"/>
      <w:bookmarkStart w:id="88" w:name="_Toc132075321"/>
      <w:bookmarkStart w:id="89" w:name="_Toc132608674"/>
      <w:bookmarkStart w:id="90" w:name="_Toc132703368"/>
      <w:bookmarkStart w:id="91" w:name="_Toc134851055"/>
      <w:bookmarkStart w:id="92" w:name="_Toc137349817"/>
      <w:bookmarkStart w:id="93" w:name="_Toc172101520"/>
      <w:bookmarkStart w:id="94" w:name="_Toc193252406"/>
      <w:bookmarkStart w:id="95" w:name="_Toc411307504"/>
      <w:bookmarkStart w:id="96" w:name="_Toc7250794"/>
      <w:r>
        <w:rPr>
          <w:rStyle w:val="CharDivNo"/>
        </w:rPr>
        <w:t>Division 2</w:t>
      </w:r>
      <w:r>
        <w:t> — </w:t>
      </w:r>
      <w:r>
        <w:rPr>
          <w:rStyle w:val="CharDivText"/>
        </w:rPr>
        <w:t>General</w:t>
      </w:r>
      <w:bookmarkEnd w:id="85"/>
      <w:bookmarkEnd w:id="86"/>
      <w:bookmarkEnd w:id="87"/>
      <w:bookmarkEnd w:id="88"/>
      <w:bookmarkEnd w:id="89"/>
      <w:bookmarkEnd w:id="90"/>
      <w:bookmarkEnd w:id="91"/>
      <w:bookmarkEnd w:id="92"/>
      <w:bookmarkEnd w:id="93"/>
      <w:bookmarkEnd w:id="94"/>
    </w:p>
    <w:p>
      <w:pPr>
        <w:pStyle w:val="Footnoteheading"/>
        <w:tabs>
          <w:tab w:val="left" w:pos="851"/>
        </w:tabs>
      </w:pPr>
      <w:r>
        <w:tab/>
        <w:t>[Heading inserted by No. 55 of 2004 s. 588.]</w:t>
      </w:r>
    </w:p>
    <w:p>
      <w:pPr>
        <w:pStyle w:val="Heading5"/>
        <w:rPr>
          <w:snapToGrid w:val="0"/>
        </w:rPr>
      </w:pPr>
      <w:bookmarkStart w:id="97" w:name="_Toc102376438"/>
      <w:bookmarkStart w:id="98" w:name="_Toc193252407"/>
      <w:bookmarkStart w:id="99" w:name="_Toc172101521"/>
      <w:r>
        <w:rPr>
          <w:rStyle w:val="CharSectno"/>
        </w:rPr>
        <w:t>12</w:t>
      </w:r>
      <w:r>
        <w:rPr>
          <w:snapToGrid w:val="0"/>
        </w:rPr>
        <w:t>.</w:t>
      </w:r>
      <w:r>
        <w:rPr>
          <w:snapToGrid w:val="0"/>
        </w:rPr>
        <w:tab/>
        <w:t>Proceedings before the Board</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00" w:name="_Toc411307505"/>
      <w:bookmarkStart w:id="101" w:name="_Toc7250795"/>
      <w:r>
        <w:tab/>
        <w:t>[Section 12 amended by No. 55 of 2004 s. 589; No. 69 of 2006 s. 15.]</w:t>
      </w:r>
    </w:p>
    <w:p>
      <w:pPr>
        <w:pStyle w:val="Heading5"/>
        <w:rPr>
          <w:snapToGrid w:val="0"/>
        </w:rPr>
      </w:pPr>
      <w:bookmarkStart w:id="102" w:name="_Toc102376439"/>
      <w:bookmarkStart w:id="103" w:name="_Toc193252408"/>
      <w:bookmarkStart w:id="104" w:name="_Toc172101522"/>
      <w:r>
        <w:rPr>
          <w:rStyle w:val="CharSectno"/>
        </w:rPr>
        <w:t>13</w:t>
      </w:r>
      <w:r>
        <w:rPr>
          <w:snapToGrid w:val="0"/>
        </w:rPr>
        <w:t>.</w:t>
      </w:r>
      <w:r>
        <w:rPr>
          <w:snapToGrid w:val="0"/>
        </w:rPr>
        <w:tab/>
        <w:t>Powers of the Board</w:t>
      </w:r>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05" w:name="_Toc411307506"/>
      <w:bookmarkStart w:id="106" w:name="_Toc7250796"/>
      <w:r>
        <w:tab/>
        <w:t>[Section 13 amended by No. 55 of 2004 s. 590; No. 69 of 2006 s. 16.]</w:t>
      </w:r>
    </w:p>
    <w:p>
      <w:pPr>
        <w:pStyle w:val="Heading5"/>
        <w:rPr>
          <w:snapToGrid w:val="0"/>
        </w:rPr>
      </w:pPr>
      <w:bookmarkStart w:id="107" w:name="_Toc102376440"/>
      <w:bookmarkStart w:id="108" w:name="_Toc193252409"/>
      <w:bookmarkStart w:id="109" w:name="_Toc172101523"/>
      <w:r>
        <w:rPr>
          <w:rStyle w:val="CharSectno"/>
        </w:rPr>
        <w:t>14</w:t>
      </w:r>
      <w:r>
        <w:rPr>
          <w:snapToGrid w:val="0"/>
        </w:rPr>
        <w:t>.</w:t>
      </w:r>
      <w:r>
        <w:rPr>
          <w:snapToGrid w:val="0"/>
        </w:rPr>
        <w:tab/>
        <w:t>Orders for costs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110" w:name="_Toc411307507"/>
      <w:bookmarkStart w:id="111" w:name="_Toc7250797"/>
      <w:r>
        <w:tab/>
        <w:t>[Section 14 amended by No. 55 of 2004 s. 591.]</w:t>
      </w:r>
    </w:p>
    <w:p>
      <w:pPr>
        <w:pStyle w:val="Heading5"/>
        <w:rPr>
          <w:snapToGrid w:val="0"/>
        </w:rPr>
      </w:pPr>
      <w:bookmarkStart w:id="112" w:name="_Toc102376441"/>
      <w:bookmarkStart w:id="113" w:name="_Toc193252410"/>
      <w:bookmarkStart w:id="114" w:name="_Toc172101524"/>
      <w:bookmarkStart w:id="115" w:name="_Toc7340318"/>
      <w:bookmarkStart w:id="116" w:name="_Toc89523150"/>
      <w:bookmarkStart w:id="117" w:name="_Toc89523198"/>
      <w:bookmarkEnd w:id="110"/>
      <w:bookmarkEnd w:id="111"/>
      <w:r>
        <w:rPr>
          <w:rStyle w:val="CharSectno"/>
        </w:rPr>
        <w:t>15</w:t>
      </w:r>
      <w:r>
        <w:rPr>
          <w:snapToGrid w:val="0"/>
        </w:rPr>
        <w:t>.</w:t>
      </w:r>
      <w:r>
        <w:rPr>
          <w:snapToGrid w:val="0"/>
        </w:rPr>
        <w:tab/>
        <w:t>Powers of investigation</w:t>
      </w:r>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18" w:name="_Hlt40842707"/>
      <w:bookmarkEnd w:id="118"/>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19" w:name="_Toc102376442"/>
      <w:bookmarkStart w:id="120" w:name="_Toc193252411"/>
      <w:bookmarkStart w:id="121" w:name="_Toc172101525"/>
      <w:r>
        <w:rPr>
          <w:rStyle w:val="CharSectno"/>
        </w:rPr>
        <w:t>15A</w:t>
      </w:r>
      <w:r>
        <w:rPr>
          <w:snapToGrid w:val="0"/>
        </w:rPr>
        <w:t>.</w:t>
      </w:r>
      <w:r>
        <w:rPr>
          <w:snapToGrid w:val="0"/>
        </w:rPr>
        <w:tab/>
        <w:t>Incriminating information, questions, or documents</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22" w:name="_Toc102376443"/>
      <w:bookmarkStart w:id="123" w:name="_Toc193252412"/>
      <w:bookmarkStart w:id="124" w:name="_Toc172101526"/>
      <w:r>
        <w:rPr>
          <w:rStyle w:val="CharSectno"/>
        </w:rPr>
        <w:t>15B</w:t>
      </w:r>
      <w:r>
        <w:rPr>
          <w:snapToGrid w:val="0"/>
        </w:rPr>
        <w:t>.</w:t>
      </w:r>
      <w:r>
        <w:rPr>
          <w:snapToGrid w:val="0"/>
        </w:rPr>
        <w:tab/>
        <w:t>Failure to comply with investigation</w:t>
      </w:r>
      <w:bookmarkEnd w:id="122"/>
      <w:bookmarkEnd w:id="123"/>
      <w:bookmarkEnd w:id="124"/>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25" w:name="_Toc102376444"/>
      <w:bookmarkStart w:id="126" w:name="_Toc193252413"/>
      <w:bookmarkStart w:id="127" w:name="_Toc172101527"/>
      <w:r>
        <w:rPr>
          <w:rStyle w:val="CharSectno"/>
        </w:rPr>
        <w:t>15C</w:t>
      </w:r>
      <w:r>
        <w:rPr>
          <w:snapToGrid w:val="0"/>
        </w:rPr>
        <w:t>.</w:t>
      </w:r>
      <w:r>
        <w:rPr>
          <w:snapToGrid w:val="0"/>
        </w:rPr>
        <w:tab/>
        <w:t>Obstruction of investigator</w:t>
      </w:r>
      <w:bookmarkEnd w:id="125"/>
      <w:bookmarkEnd w:id="126"/>
      <w:bookmarkEnd w:id="127"/>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28" w:name="_Toc102376445"/>
      <w:bookmarkStart w:id="129" w:name="_Toc193252414"/>
      <w:bookmarkStart w:id="130" w:name="_Toc172101528"/>
      <w:r>
        <w:rPr>
          <w:rStyle w:val="CharSectno"/>
        </w:rPr>
        <w:t>16</w:t>
      </w:r>
      <w:r>
        <w:rPr>
          <w:snapToGrid w:val="0"/>
        </w:rPr>
        <w:t>.</w:t>
      </w:r>
      <w:r>
        <w:rPr>
          <w:snapToGrid w:val="0"/>
        </w:rPr>
        <w:tab/>
      </w:r>
      <w:bookmarkEnd w:id="115"/>
      <w:r>
        <w:rPr>
          <w:snapToGrid w:val="0"/>
        </w:rPr>
        <w:t>Application for review</w:t>
      </w:r>
      <w:bookmarkEnd w:id="128"/>
      <w:bookmarkEnd w:id="129"/>
      <w:bookmarkEnd w:id="130"/>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31" w:name="_Toc92864347"/>
      <w:bookmarkStart w:id="132" w:name="_Toc97104126"/>
      <w:bookmarkStart w:id="133" w:name="_Toc102376446"/>
      <w:bookmarkStart w:id="134" w:name="_Toc132075330"/>
      <w:bookmarkStart w:id="135" w:name="_Toc132608683"/>
      <w:bookmarkStart w:id="136" w:name="_Toc132703377"/>
      <w:bookmarkStart w:id="137" w:name="_Toc134851064"/>
      <w:bookmarkStart w:id="138" w:name="_Toc137349826"/>
      <w:bookmarkStart w:id="139" w:name="_Toc172101529"/>
      <w:bookmarkStart w:id="140" w:name="_Toc193252415"/>
      <w:r>
        <w:rPr>
          <w:rStyle w:val="CharPartNo"/>
        </w:rPr>
        <w:t>Part III</w:t>
      </w:r>
      <w:r>
        <w:rPr>
          <w:rStyle w:val="CharDivNo"/>
        </w:rPr>
        <w:t> </w:t>
      </w:r>
      <w:r>
        <w:t>—</w:t>
      </w:r>
      <w:r>
        <w:rPr>
          <w:rStyle w:val="CharDivText"/>
        </w:rPr>
        <w:t> </w:t>
      </w:r>
      <w:r>
        <w:rPr>
          <w:rStyle w:val="CharPartText"/>
        </w:rPr>
        <w:t>Licensing</w:t>
      </w:r>
      <w:bookmarkEnd w:id="116"/>
      <w:bookmarkEnd w:id="117"/>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11307509"/>
      <w:bookmarkStart w:id="142" w:name="_Toc7250799"/>
      <w:bookmarkStart w:id="143" w:name="_Toc102376447"/>
      <w:bookmarkStart w:id="144" w:name="_Toc193252416"/>
      <w:bookmarkStart w:id="145" w:name="_Toc172101530"/>
      <w:r>
        <w:rPr>
          <w:rStyle w:val="CharSectno"/>
        </w:rPr>
        <w:t>17</w:t>
      </w:r>
      <w:r>
        <w:rPr>
          <w:snapToGrid w:val="0"/>
        </w:rPr>
        <w:t>.</w:t>
      </w:r>
      <w:r>
        <w:rPr>
          <w:snapToGrid w:val="0"/>
        </w:rPr>
        <w:tab/>
        <w:t>Application</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46" w:name="_Toc411307510"/>
      <w:bookmarkStart w:id="147" w:name="_Toc7250800"/>
      <w:bookmarkStart w:id="148" w:name="_Toc102376448"/>
      <w:bookmarkStart w:id="149" w:name="_Toc193252417"/>
      <w:bookmarkStart w:id="150" w:name="_Toc172101531"/>
      <w:r>
        <w:rPr>
          <w:rStyle w:val="CharSectno"/>
        </w:rPr>
        <w:t>18</w:t>
      </w:r>
      <w:r>
        <w:rPr>
          <w:snapToGrid w:val="0"/>
        </w:rPr>
        <w:t>.</w:t>
      </w:r>
      <w:r>
        <w:rPr>
          <w:snapToGrid w:val="0"/>
        </w:rPr>
        <w:tab/>
        <w:t>Objections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51" w:name="_Toc411307511"/>
      <w:bookmarkStart w:id="152" w:name="_Toc7250801"/>
      <w:bookmarkStart w:id="153" w:name="_Toc102376449"/>
      <w:bookmarkStart w:id="154" w:name="_Toc193252418"/>
      <w:bookmarkStart w:id="155" w:name="_Toc172101532"/>
      <w:r>
        <w:rPr>
          <w:rStyle w:val="CharSectno"/>
        </w:rPr>
        <w:t>19</w:t>
      </w:r>
      <w:r>
        <w:rPr>
          <w:snapToGrid w:val="0"/>
        </w:rPr>
        <w:t>.</w:t>
      </w:r>
      <w:r>
        <w:rPr>
          <w:snapToGrid w:val="0"/>
        </w:rPr>
        <w:tab/>
        <w:t xml:space="preserve">Grant of </w:t>
      </w:r>
      <w:bookmarkEnd w:id="151"/>
      <w:r>
        <w:rPr>
          <w:snapToGrid w:val="0"/>
        </w:rPr>
        <w:t>licence</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56" w:name="_Toc102376450"/>
      <w:bookmarkStart w:id="157" w:name="_Toc193252419"/>
      <w:bookmarkStart w:id="158" w:name="_Toc172101533"/>
      <w:bookmarkStart w:id="159" w:name="_Toc411307512"/>
      <w:bookmarkStart w:id="160" w:name="_Toc7250802"/>
      <w:r>
        <w:rPr>
          <w:rStyle w:val="CharSectno"/>
        </w:rPr>
        <w:t>19A.</w:t>
      </w:r>
      <w:r>
        <w:tab/>
        <w:t>Unopposed applications</w:t>
      </w:r>
      <w:bookmarkEnd w:id="156"/>
      <w:bookmarkEnd w:id="157"/>
      <w:bookmarkEnd w:id="158"/>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61" w:name="_Toc102376451"/>
      <w:bookmarkStart w:id="162" w:name="_Toc193252420"/>
      <w:bookmarkStart w:id="163" w:name="_Toc172101534"/>
      <w:r>
        <w:rPr>
          <w:rStyle w:val="CharSectno"/>
        </w:rPr>
        <w:t>20</w:t>
      </w:r>
      <w:r>
        <w:rPr>
          <w:snapToGrid w:val="0"/>
        </w:rPr>
        <w:t>.</w:t>
      </w:r>
      <w:r>
        <w:rPr>
          <w:snapToGrid w:val="0"/>
        </w:rPr>
        <w:tab/>
        <w:t>Fee and oath</w:t>
      </w:r>
      <w:bookmarkEnd w:id="159"/>
      <w:bookmarkEnd w:id="160"/>
      <w:bookmarkEnd w:id="161"/>
      <w:bookmarkEnd w:id="162"/>
      <w:bookmarkEnd w:id="163"/>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64" w:name="_Toc102376452"/>
      <w:bookmarkStart w:id="165" w:name="_Toc193252421"/>
      <w:bookmarkStart w:id="166" w:name="_Toc172101535"/>
      <w:bookmarkStart w:id="167" w:name="_Toc411307513"/>
      <w:bookmarkStart w:id="168" w:name="_Toc7250803"/>
      <w:r>
        <w:rPr>
          <w:rStyle w:val="CharSectno"/>
        </w:rPr>
        <w:t>20A</w:t>
      </w:r>
      <w:r>
        <w:t>.</w:t>
      </w:r>
      <w:r>
        <w:tab/>
        <w:t>Suspension of licence by State Administrative Tribunal</w:t>
      </w:r>
      <w:bookmarkEnd w:id="164"/>
      <w:bookmarkEnd w:id="165"/>
      <w:bookmarkEnd w:id="166"/>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69" w:name="_Toc102376453"/>
      <w:bookmarkStart w:id="170" w:name="_Toc193252422"/>
      <w:bookmarkStart w:id="171" w:name="_Toc172101536"/>
      <w:r>
        <w:rPr>
          <w:rStyle w:val="CharSectno"/>
        </w:rPr>
        <w:t>21</w:t>
      </w:r>
      <w:r>
        <w:rPr>
          <w:snapToGrid w:val="0"/>
        </w:rPr>
        <w:t>.</w:t>
      </w:r>
      <w:r>
        <w:rPr>
          <w:snapToGrid w:val="0"/>
        </w:rPr>
        <w:tab/>
        <w:t xml:space="preserve">Expiry and surrender of </w:t>
      </w:r>
      <w:bookmarkEnd w:id="167"/>
      <w:r>
        <w:rPr>
          <w:snapToGrid w:val="0"/>
        </w:rPr>
        <w:t>licence</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72" w:name="_Toc411307514"/>
      <w:bookmarkStart w:id="173" w:name="_Toc7250804"/>
      <w:bookmarkStart w:id="174" w:name="_Toc102376454"/>
      <w:bookmarkStart w:id="175" w:name="_Toc193252423"/>
      <w:bookmarkStart w:id="176" w:name="_Toc172101537"/>
      <w:r>
        <w:rPr>
          <w:rStyle w:val="CharSectno"/>
        </w:rPr>
        <w:t>22</w:t>
      </w:r>
      <w:r>
        <w:rPr>
          <w:snapToGrid w:val="0"/>
        </w:rPr>
        <w:t>.</w:t>
      </w:r>
      <w:r>
        <w:rPr>
          <w:snapToGrid w:val="0"/>
        </w:rPr>
        <w:tab/>
        <w:t xml:space="preserve">Renewal of </w:t>
      </w:r>
      <w:bookmarkEnd w:id="172"/>
      <w:r>
        <w:rPr>
          <w:snapToGrid w:val="0"/>
        </w:rPr>
        <w:t>licence</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77" w:name="_Toc89523157"/>
      <w:bookmarkStart w:id="178" w:name="_Toc89523205"/>
      <w:bookmarkStart w:id="179" w:name="_Toc92864356"/>
      <w:bookmarkStart w:id="180" w:name="_Toc97104135"/>
      <w:bookmarkStart w:id="181" w:name="_Toc102376455"/>
      <w:bookmarkStart w:id="182" w:name="_Toc132075339"/>
      <w:bookmarkStart w:id="183" w:name="_Toc132608692"/>
      <w:bookmarkStart w:id="184" w:name="_Toc132703386"/>
      <w:bookmarkStart w:id="185" w:name="_Toc134851073"/>
      <w:bookmarkStart w:id="186" w:name="_Toc137349835"/>
      <w:bookmarkStart w:id="187" w:name="_Toc172101538"/>
      <w:bookmarkStart w:id="188" w:name="_Toc193252424"/>
      <w:r>
        <w:rPr>
          <w:rStyle w:val="CharPartNo"/>
        </w:rPr>
        <w:t>Part IV</w:t>
      </w:r>
      <w:r>
        <w:t> — </w:t>
      </w:r>
      <w:r>
        <w:rPr>
          <w:rStyle w:val="CharPartText"/>
        </w:rPr>
        <w:t>Control of the practice of valuation</w:t>
      </w:r>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3"/>
        <w:rPr>
          <w:snapToGrid w:val="0"/>
        </w:rPr>
      </w:pPr>
      <w:bookmarkStart w:id="189" w:name="_Toc89523158"/>
      <w:bookmarkStart w:id="190" w:name="_Toc89523206"/>
      <w:bookmarkStart w:id="191" w:name="_Toc92864357"/>
      <w:bookmarkStart w:id="192" w:name="_Toc97104136"/>
      <w:bookmarkStart w:id="193" w:name="_Toc102376456"/>
      <w:bookmarkStart w:id="194" w:name="_Toc132075340"/>
      <w:bookmarkStart w:id="195" w:name="_Toc132608693"/>
      <w:bookmarkStart w:id="196" w:name="_Toc132703387"/>
      <w:bookmarkStart w:id="197" w:name="_Toc134851074"/>
      <w:bookmarkStart w:id="198" w:name="_Toc137349836"/>
      <w:bookmarkStart w:id="199" w:name="_Toc172101539"/>
      <w:bookmarkStart w:id="200" w:name="_Toc193252425"/>
      <w:r>
        <w:rPr>
          <w:rStyle w:val="CharDivNo"/>
        </w:rPr>
        <w:t>Division 1</w:t>
      </w:r>
      <w:r>
        <w:rPr>
          <w:snapToGrid w:val="0"/>
        </w:rP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spacing w:before="180"/>
        <w:rPr>
          <w:snapToGrid w:val="0"/>
        </w:rPr>
      </w:pPr>
      <w:bookmarkStart w:id="201" w:name="_Toc411307515"/>
      <w:bookmarkStart w:id="202" w:name="_Toc7250805"/>
      <w:bookmarkStart w:id="203" w:name="_Toc102376457"/>
      <w:bookmarkStart w:id="204" w:name="_Toc193252426"/>
      <w:bookmarkStart w:id="205" w:name="_Toc172101540"/>
      <w:r>
        <w:rPr>
          <w:rStyle w:val="CharSectno"/>
        </w:rPr>
        <w:t>23</w:t>
      </w:r>
      <w:r>
        <w:rPr>
          <w:snapToGrid w:val="0"/>
        </w:rPr>
        <w:t>.</w:t>
      </w:r>
      <w:r>
        <w:rPr>
          <w:snapToGrid w:val="0"/>
        </w:rPr>
        <w:tab/>
        <w:t>Valuers to be licensed</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06" w:name="_Toc411307516"/>
      <w:bookmarkStart w:id="207" w:name="_Toc7250806"/>
      <w:bookmarkStart w:id="208" w:name="_Toc102376458"/>
      <w:bookmarkStart w:id="209" w:name="_Toc193252427"/>
      <w:bookmarkStart w:id="210" w:name="_Toc172101541"/>
      <w:r>
        <w:rPr>
          <w:rStyle w:val="CharSectno"/>
        </w:rPr>
        <w:t>24</w:t>
      </w:r>
      <w:r>
        <w:rPr>
          <w:snapToGrid w:val="0"/>
        </w:rPr>
        <w:t>.</w:t>
      </w:r>
      <w:r>
        <w:rPr>
          <w:snapToGrid w:val="0"/>
        </w:rPr>
        <w:tab/>
        <w:t>False claim of being licensed</w:t>
      </w:r>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11" w:name="_Toc411307517"/>
      <w:bookmarkStart w:id="212" w:name="_Toc7250807"/>
      <w:bookmarkStart w:id="213" w:name="_Toc102376459"/>
      <w:r>
        <w:tab/>
        <w:t xml:space="preserve">[Section 24 amended by No. 69 of 2006 s. 18.] </w:t>
      </w:r>
    </w:p>
    <w:p>
      <w:pPr>
        <w:pStyle w:val="Heading5"/>
        <w:spacing w:before="180"/>
        <w:rPr>
          <w:snapToGrid w:val="0"/>
        </w:rPr>
      </w:pPr>
      <w:bookmarkStart w:id="214" w:name="_Toc193252428"/>
      <w:bookmarkStart w:id="215" w:name="_Toc172101542"/>
      <w:r>
        <w:rPr>
          <w:rStyle w:val="CharSectno"/>
        </w:rPr>
        <w:t>25</w:t>
      </w:r>
      <w:r>
        <w:rPr>
          <w:snapToGrid w:val="0"/>
        </w:rPr>
        <w:t>.</w:t>
      </w:r>
      <w:r>
        <w:rPr>
          <w:snapToGrid w:val="0"/>
        </w:rPr>
        <w:tab/>
        <w:t>Remuneration of licensed valuers</w:t>
      </w:r>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216" w:name="_Toc89523162"/>
      <w:bookmarkStart w:id="217" w:name="_Toc89523210"/>
      <w:bookmarkStart w:id="218" w:name="_Toc92864361"/>
      <w:bookmarkStart w:id="219" w:name="_Toc97104140"/>
      <w:bookmarkStart w:id="220" w:name="_Toc102376460"/>
      <w:bookmarkStart w:id="221" w:name="_Toc132075344"/>
      <w:bookmarkStart w:id="222" w:name="_Toc132608697"/>
      <w:bookmarkStart w:id="223" w:name="_Toc132703391"/>
      <w:bookmarkStart w:id="224" w:name="_Toc134851078"/>
      <w:bookmarkStart w:id="225" w:name="_Toc137349840"/>
      <w:bookmarkStart w:id="226" w:name="_Toc172101543"/>
      <w:bookmarkStart w:id="227" w:name="_Toc193252429"/>
      <w:r>
        <w:rPr>
          <w:rStyle w:val="CharDivNo"/>
        </w:rPr>
        <w:t>Division 2</w:t>
      </w:r>
      <w:r>
        <w:rPr>
          <w:snapToGrid w:val="0"/>
        </w:rPr>
        <w:t> — </w:t>
      </w:r>
      <w:r>
        <w:rPr>
          <w:rStyle w:val="CharDivText"/>
        </w:rPr>
        <w:t>Discipline</w:t>
      </w:r>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keepNext w:val="0"/>
        <w:spacing w:before="180"/>
        <w:rPr>
          <w:snapToGrid w:val="0"/>
        </w:rPr>
      </w:pPr>
      <w:bookmarkStart w:id="228" w:name="_Toc411307518"/>
      <w:bookmarkStart w:id="229" w:name="_Toc7250808"/>
      <w:bookmarkStart w:id="230" w:name="_Toc102376461"/>
      <w:bookmarkStart w:id="231" w:name="_Toc193252430"/>
      <w:bookmarkStart w:id="232" w:name="_Toc172101544"/>
      <w:r>
        <w:rPr>
          <w:rStyle w:val="CharSectno"/>
        </w:rPr>
        <w:t>26</w:t>
      </w:r>
      <w:r>
        <w:rPr>
          <w:snapToGrid w:val="0"/>
        </w:rPr>
        <w:t>.</w:t>
      </w:r>
      <w:r>
        <w:rPr>
          <w:snapToGrid w:val="0"/>
        </w:rPr>
        <w:tab/>
        <w:t>Licensed valuers’ code</w:t>
      </w:r>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33" w:name="_Toc102376462"/>
      <w:bookmarkStart w:id="234" w:name="_Toc193252431"/>
      <w:bookmarkStart w:id="235" w:name="_Toc172101545"/>
      <w:bookmarkStart w:id="236" w:name="_Toc411307520"/>
      <w:bookmarkStart w:id="237" w:name="_Toc7250810"/>
      <w:r>
        <w:rPr>
          <w:rStyle w:val="CharSectno"/>
        </w:rPr>
        <w:t>27</w:t>
      </w:r>
      <w:r>
        <w:rPr>
          <w:snapToGrid w:val="0"/>
        </w:rPr>
        <w:t>.</w:t>
      </w:r>
      <w:r>
        <w:rPr>
          <w:snapToGrid w:val="0"/>
        </w:rPr>
        <w:tab/>
        <w:t>Disciplinary proceedings against licensed valuers</w:t>
      </w:r>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38" w:name="_Toc102376463"/>
      <w:bookmarkStart w:id="239" w:name="_Toc193252432"/>
      <w:bookmarkStart w:id="240" w:name="_Toc172101546"/>
      <w:r>
        <w:rPr>
          <w:rStyle w:val="CharSectno"/>
        </w:rPr>
        <w:t>28</w:t>
      </w:r>
      <w:r>
        <w:rPr>
          <w:snapToGrid w:val="0"/>
        </w:rPr>
        <w:t>.</w:t>
      </w:r>
      <w:r>
        <w:rPr>
          <w:snapToGrid w:val="0"/>
        </w:rPr>
        <w:tab/>
        <w:t xml:space="preserve">Powers on </w:t>
      </w:r>
      <w:bookmarkEnd w:id="236"/>
      <w:bookmarkEnd w:id="237"/>
      <w:bookmarkEnd w:id="238"/>
      <w:r>
        <w:rPr>
          <w:snapToGrid w:val="0"/>
        </w:rPr>
        <w:t>disciplinary proceedings</w:t>
      </w:r>
      <w:bookmarkEnd w:id="239"/>
      <w:bookmarkEnd w:id="240"/>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41" w:name="_Toc89523166"/>
      <w:bookmarkStart w:id="242" w:name="_Toc89523214"/>
      <w:bookmarkStart w:id="243" w:name="_Toc92864365"/>
      <w:bookmarkStart w:id="244" w:name="_Toc97104144"/>
      <w:bookmarkStart w:id="245" w:name="_Toc102376464"/>
      <w:bookmarkStart w:id="246" w:name="_Toc132075348"/>
      <w:bookmarkStart w:id="247" w:name="_Toc132608701"/>
      <w:bookmarkStart w:id="248" w:name="_Toc132703395"/>
      <w:bookmarkStart w:id="249" w:name="_Toc134851082"/>
      <w:bookmarkStart w:id="250" w:name="_Toc137349844"/>
      <w:bookmarkStart w:id="251" w:name="_Toc172101547"/>
      <w:bookmarkStart w:id="252" w:name="_Toc193252433"/>
      <w:r>
        <w:rPr>
          <w:rStyle w:val="CharPartNo"/>
        </w:rPr>
        <w:t>Part V</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11307521"/>
      <w:bookmarkStart w:id="254" w:name="_Toc7250811"/>
      <w:bookmarkStart w:id="255" w:name="_Toc102376465"/>
      <w:bookmarkStart w:id="256" w:name="_Toc193252434"/>
      <w:bookmarkStart w:id="257" w:name="_Toc172101548"/>
      <w:r>
        <w:rPr>
          <w:rStyle w:val="CharSectno"/>
        </w:rPr>
        <w:t>29</w:t>
      </w:r>
      <w:r>
        <w:rPr>
          <w:snapToGrid w:val="0"/>
        </w:rPr>
        <w:t>.</w:t>
      </w:r>
      <w:r>
        <w:rPr>
          <w:snapToGrid w:val="0"/>
        </w:rPr>
        <w:tab/>
        <w:t>Registers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58" w:name="_Toc411307522"/>
      <w:bookmarkStart w:id="259" w:name="_Toc7250812"/>
      <w:bookmarkStart w:id="260" w:name="_Toc102376466"/>
      <w:bookmarkStart w:id="261" w:name="_Toc193252435"/>
      <w:bookmarkStart w:id="262" w:name="_Toc172101549"/>
      <w:r>
        <w:rPr>
          <w:rStyle w:val="CharSectno"/>
        </w:rPr>
        <w:t>29A</w:t>
      </w:r>
      <w:r>
        <w:rPr>
          <w:snapToGrid w:val="0"/>
        </w:rPr>
        <w:t>.</w:t>
      </w:r>
      <w:r>
        <w:rPr>
          <w:snapToGrid w:val="0"/>
        </w:rPr>
        <w:tab/>
        <w:t>Change of particulars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263" w:name="_Toc411307523"/>
      <w:bookmarkStart w:id="264" w:name="_Toc7250813"/>
      <w:bookmarkStart w:id="265" w:name="_Toc102376467"/>
      <w:bookmarkStart w:id="266" w:name="_Toc193252436"/>
      <w:bookmarkStart w:id="267" w:name="_Toc172101550"/>
      <w:r>
        <w:rPr>
          <w:rStyle w:val="CharSectno"/>
        </w:rPr>
        <w:t>30</w:t>
      </w:r>
      <w:r>
        <w:rPr>
          <w:snapToGrid w:val="0"/>
        </w:rPr>
        <w:t>.</w:t>
      </w:r>
      <w:r>
        <w:rPr>
          <w:snapToGrid w:val="0"/>
        </w:rPr>
        <w:tab/>
        <w:t>Lists and certificates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68" w:name="_Toc411307524"/>
      <w:bookmarkStart w:id="269" w:name="_Toc7250814"/>
      <w:bookmarkStart w:id="270" w:name="_Toc102376468"/>
      <w:bookmarkStart w:id="271" w:name="_Toc193252437"/>
      <w:bookmarkStart w:id="272" w:name="_Toc172101551"/>
      <w:r>
        <w:rPr>
          <w:rStyle w:val="CharSectno"/>
        </w:rPr>
        <w:t>31</w:t>
      </w:r>
      <w:r>
        <w:rPr>
          <w:snapToGrid w:val="0"/>
        </w:rPr>
        <w:t>.</w:t>
      </w:r>
      <w:r>
        <w:rPr>
          <w:snapToGrid w:val="0"/>
        </w:rPr>
        <w:tab/>
        <w:t>Annual report</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73" w:name="_Toc411307525"/>
      <w:bookmarkStart w:id="274" w:name="_Toc7250815"/>
      <w:r>
        <w:tab/>
        <w:t>[Section 31 amended by No. 55 of 2004 s. 599.]</w:t>
      </w:r>
    </w:p>
    <w:p>
      <w:pPr>
        <w:pStyle w:val="Heading5"/>
        <w:rPr>
          <w:snapToGrid w:val="0"/>
        </w:rPr>
      </w:pPr>
      <w:bookmarkStart w:id="275" w:name="_Toc102376469"/>
      <w:bookmarkStart w:id="276" w:name="_Toc193252438"/>
      <w:bookmarkStart w:id="277" w:name="_Toc172101552"/>
      <w:r>
        <w:rPr>
          <w:rStyle w:val="CharSectno"/>
        </w:rPr>
        <w:t>32</w:t>
      </w:r>
      <w:r>
        <w:rPr>
          <w:snapToGrid w:val="0"/>
        </w:rPr>
        <w:t>.</w:t>
      </w:r>
      <w:r>
        <w:rPr>
          <w:snapToGrid w:val="0"/>
        </w:rPr>
        <w:tab/>
        <w:t>Immunity of Board and officers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78" w:name="_Toc411307526"/>
      <w:bookmarkStart w:id="279" w:name="_Toc7250816"/>
      <w:bookmarkStart w:id="280" w:name="_Toc102376470"/>
      <w:bookmarkStart w:id="281" w:name="_Toc193252439"/>
      <w:bookmarkStart w:id="282" w:name="_Toc172101553"/>
      <w:r>
        <w:rPr>
          <w:rStyle w:val="CharSectno"/>
        </w:rPr>
        <w:t>33</w:t>
      </w:r>
      <w:r>
        <w:rPr>
          <w:snapToGrid w:val="0"/>
        </w:rPr>
        <w:t>.</w:t>
      </w:r>
      <w:r>
        <w:rPr>
          <w:snapToGrid w:val="0"/>
        </w:rPr>
        <w:tab/>
        <w:t>Secrecy</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283" w:name="_Toc411307527"/>
      <w:bookmarkStart w:id="284" w:name="_Toc7250817"/>
      <w:bookmarkStart w:id="285" w:name="_Toc102376471"/>
      <w:r>
        <w:tab/>
        <w:t>[Section 33 amended by No. 69 of 2006 s. 22.]</w:t>
      </w:r>
    </w:p>
    <w:p>
      <w:pPr>
        <w:pStyle w:val="Heading5"/>
        <w:rPr>
          <w:snapToGrid w:val="0"/>
        </w:rPr>
      </w:pPr>
      <w:bookmarkStart w:id="286" w:name="_Toc193252440"/>
      <w:bookmarkStart w:id="287" w:name="_Toc172101554"/>
      <w:r>
        <w:rPr>
          <w:rStyle w:val="CharSectno"/>
        </w:rPr>
        <w:t>34</w:t>
      </w:r>
      <w:r>
        <w:rPr>
          <w:snapToGrid w:val="0"/>
        </w:rPr>
        <w:t>.</w:t>
      </w:r>
      <w:r>
        <w:rPr>
          <w:snapToGrid w:val="0"/>
        </w:rPr>
        <w:tab/>
        <w:t>Offences by corporations</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88" w:name="_Toc411307528"/>
      <w:bookmarkStart w:id="289" w:name="_Toc7250818"/>
      <w:bookmarkStart w:id="290" w:name="_Toc102376472"/>
      <w:bookmarkStart w:id="291" w:name="_Toc193252441"/>
      <w:bookmarkStart w:id="292" w:name="_Toc172101555"/>
      <w:r>
        <w:rPr>
          <w:rStyle w:val="CharSectno"/>
        </w:rPr>
        <w:t>35</w:t>
      </w:r>
      <w:r>
        <w:rPr>
          <w:snapToGrid w:val="0"/>
        </w:rPr>
        <w:t>.</w:t>
      </w:r>
      <w:r>
        <w:rPr>
          <w:snapToGrid w:val="0"/>
        </w:rPr>
        <w:tab/>
        <w:t>Proceedings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93" w:name="_Toc411307529"/>
      <w:bookmarkStart w:id="294" w:name="_Toc7250819"/>
      <w:bookmarkStart w:id="295" w:name="_Toc102376473"/>
      <w:bookmarkStart w:id="296" w:name="_Toc193252442"/>
      <w:bookmarkStart w:id="297" w:name="_Toc172101556"/>
      <w:r>
        <w:rPr>
          <w:rStyle w:val="CharSectno"/>
        </w:rPr>
        <w:t>36</w:t>
      </w:r>
      <w:r>
        <w:rPr>
          <w:snapToGrid w:val="0"/>
        </w:rPr>
        <w:t>.</w:t>
      </w:r>
      <w:r>
        <w:rPr>
          <w:snapToGrid w:val="0"/>
        </w:rPr>
        <w:tab/>
        <w:t>Regulations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98" w:name="_Toc89523176"/>
      <w:bookmarkStart w:id="299" w:name="_Toc89523224"/>
      <w:bookmarkStart w:id="300" w:name="_Toc92864375"/>
      <w:bookmarkStart w:id="301" w:name="_Toc97104154"/>
      <w:bookmarkStart w:id="302" w:name="_Toc102376474"/>
      <w:bookmarkStart w:id="303" w:name="_Toc132075358"/>
      <w:bookmarkStart w:id="304" w:name="_Toc132608711"/>
      <w:bookmarkStart w:id="305" w:name="_Toc132703405"/>
      <w:bookmarkStart w:id="306" w:name="_Toc134851092"/>
      <w:bookmarkStart w:id="307" w:name="_Toc137349854"/>
      <w:bookmarkStart w:id="308" w:name="_Toc172101557"/>
      <w:bookmarkStart w:id="309" w:name="_Toc193252443"/>
      <w:r>
        <w:t>Notes</w:t>
      </w:r>
      <w:bookmarkEnd w:id="298"/>
      <w:bookmarkEnd w:id="299"/>
      <w:bookmarkEnd w:id="300"/>
      <w:bookmarkEnd w:id="301"/>
      <w:bookmarkEnd w:id="302"/>
      <w:bookmarkEnd w:id="303"/>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w:t>
      </w:r>
      <w:del w:id="310" w:author="svcMRProcess" w:date="2018-09-04T07:10:00Z">
        <w:r>
          <w:rPr>
            <w:snapToGrid w:val="0"/>
          </w:rPr>
          <w:delText xml:space="preserve">reprint </w:delText>
        </w:r>
      </w:del>
      <w:r>
        <w:rPr>
          <w:snapToGrid w:val="0"/>
        </w:rPr>
        <w:t>is a compilation</w:t>
      </w:r>
      <w:del w:id="311" w:author="svcMRProcess" w:date="2018-09-04T07:10:00Z">
        <w:r>
          <w:rPr>
            <w:snapToGrid w:val="0"/>
          </w:rPr>
          <w:delText xml:space="preserve"> as at 12 May 2006</w:delText>
        </w:r>
      </w:del>
      <w:r>
        <w:rPr>
          <w:snapToGrid w:val="0"/>
        </w:rPr>
        <w:t xml:space="preserve">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2" w:name="_Toc193252444"/>
      <w:bookmarkStart w:id="313" w:name="_Toc172101558"/>
      <w:r>
        <w:rPr>
          <w:snapToGrid w:val="0"/>
        </w:rPr>
        <w:t>Compilation table</w:t>
      </w:r>
      <w:bookmarkEnd w:id="312"/>
      <w:bookmarkEnd w:id="3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Borders>
              <w:bottom w:val="single" w:sz="4" w:space="0" w:color="auto"/>
            </w:tcBorders>
          </w:tcPr>
          <w:p>
            <w:pPr>
              <w:pStyle w:val="nTable"/>
              <w:spacing w:after="40"/>
              <w:rPr>
                <w:sz w:val="19"/>
              </w:rPr>
            </w:pPr>
            <w:r>
              <w:rPr>
                <w:snapToGrid w:val="0"/>
                <w:sz w:val="19"/>
                <w:lang w:val="en-US"/>
              </w:rPr>
              <w:t>69 of 2006</w:t>
            </w:r>
          </w:p>
        </w:tc>
        <w:tc>
          <w:tcPr>
            <w:tcW w:w="1134" w:type="dxa"/>
            <w:tcBorders>
              <w:bottom w:val="single" w:sz="4" w:space="0" w:color="auto"/>
            </w:tcBorders>
          </w:tcPr>
          <w:p>
            <w:pPr>
              <w:pStyle w:val="nTable"/>
              <w:spacing w:after="40"/>
              <w:rPr>
                <w:sz w:val="19"/>
              </w:rPr>
            </w:pPr>
            <w:r>
              <w:rPr>
                <w:sz w:val="19"/>
              </w:rPr>
              <w:t>13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bl>
    <w:p>
      <w:pPr>
        <w:pStyle w:val="nSubsection"/>
        <w:spacing w:before="360"/>
        <w:ind w:left="482" w:hanging="482"/>
      </w:pPr>
      <w:r>
        <w:rPr>
          <w:vertAlign w:val="superscript"/>
        </w:rPr>
        <w:t>1a</w:t>
      </w:r>
      <w:r>
        <w:tab/>
        <w:t>On the date as at which thi</w:t>
      </w:r>
      <w:bookmarkStart w:id="314" w:name="_Hlt507390729"/>
      <w:bookmarkEnd w:id="314"/>
      <w:r>
        <w:t xml:space="preserve">s </w:t>
      </w:r>
      <w:del w:id="315" w:author="svcMRProcess" w:date="2018-09-04T07:10:00Z">
        <w:r>
          <w:delText>reprint</w:delText>
        </w:r>
      </w:del>
      <w:ins w:id="316" w:author="svcMRProcess" w:date="2018-09-04T07:10:00Z">
        <w:r>
          <w:t>compilation</w:t>
        </w:r>
      </w:ins>
      <w:r>
        <w:t xml:space="preserve"> was prepared, provisions referred to in the following table had not come into operation and were therefore not included in </w:t>
      </w:r>
      <w:del w:id="317" w:author="svcMRProcess" w:date="2018-09-04T07:10:00Z">
        <w:r>
          <w:delText>compiling the reprint.</w:delText>
        </w:r>
      </w:del>
      <w:ins w:id="318" w:author="svcMRProcess" w:date="2018-09-04T07:10:00Z">
        <w:r>
          <w:t>this compilation.</w:t>
        </w:r>
      </w:ins>
      <w:r>
        <w:t xml:space="preserve">  For the text of the provisions see the endnotes referred to in the table.</w:t>
      </w:r>
    </w:p>
    <w:p>
      <w:pPr>
        <w:pStyle w:val="nHeading3"/>
        <w:rPr>
          <w:snapToGrid w:val="0"/>
        </w:rPr>
      </w:pPr>
      <w:bookmarkStart w:id="319" w:name="_Toc193252445"/>
      <w:bookmarkStart w:id="320" w:name="_Toc172101559"/>
      <w:r>
        <w:rPr>
          <w:snapToGrid w:val="0"/>
        </w:rPr>
        <w:t>Provisions that have not come into operation</w:t>
      </w:r>
      <w:bookmarkEnd w:id="319"/>
      <w:bookmarkEnd w:id="320"/>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54"/>
        <w:gridCol w:w="1221"/>
        <w:gridCol w:w="2559"/>
      </w:tblGrid>
      <w:tr>
        <w:tc>
          <w:tcPr>
            <w:tcW w:w="225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0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22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3" w:type="dxa"/>
            <w:tcBorders>
              <w:top w:val="single" w:sz="4"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054" w:type="dxa"/>
            <w:tcBorders>
              <w:top w:val="single" w:sz="4" w:space="0" w:color="auto"/>
            </w:tcBorders>
          </w:tcPr>
          <w:p>
            <w:pPr>
              <w:pStyle w:val="nTable"/>
              <w:spacing w:after="40"/>
              <w:rPr>
                <w:snapToGrid w:val="0"/>
                <w:sz w:val="19"/>
                <w:lang w:val="en-US"/>
              </w:rPr>
            </w:pPr>
            <w:r>
              <w:rPr>
                <w:snapToGrid w:val="0"/>
                <w:sz w:val="19"/>
                <w:lang w:val="en-US"/>
              </w:rPr>
              <w:t>84 of 2004</w:t>
            </w:r>
          </w:p>
        </w:tc>
        <w:tc>
          <w:tcPr>
            <w:tcW w:w="1221" w:type="dxa"/>
            <w:tcBorders>
              <w:top w:val="single" w:sz="4" w:space="0" w:color="auto"/>
            </w:tcBorders>
          </w:tcPr>
          <w:p>
            <w:pPr>
              <w:pStyle w:val="nTable"/>
              <w:spacing w:after="40"/>
              <w:rPr>
                <w:sz w:val="19"/>
              </w:rPr>
            </w:pPr>
            <w:r>
              <w:rPr>
                <w:sz w:val="19"/>
              </w:rPr>
              <w:t>16 Dec 2004</w:t>
            </w:r>
          </w:p>
        </w:tc>
        <w:tc>
          <w:tcPr>
            <w:tcW w:w="2559" w:type="dxa"/>
            <w:tcBorders>
              <w:top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ins w:id="321" w:author="svcMRProcess" w:date="2018-09-04T07:10:00Z"/>
        </w:trPr>
        <w:tc>
          <w:tcPr>
            <w:tcW w:w="2253" w:type="dxa"/>
            <w:tcBorders>
              <w:bottom w:val="single" w:sz="4" w:space="0" w:color="auto"/>
            </w:tcBorders>
          </w:tcPr>
          <w:p>
            <w:pPr>
              <w:pStyle w:val="nTable"/>
              <w:spacing w:after="40"/>
              <w:rPr>
                <w:ins w:id="322" w:author="svcMRProcess" w:date="2018-09-04T07:10:00Z"/>
                <w:i/>
                <w:snapToGrid w:val="0"/>
                <w:sz w:val="19"/>
                <w:vertAlign w:val="superscript"/>
                <w:lang w:val="en-US"/>
              </w:rPr>
            </w:pPr>
            <w:ins w:id="323" w:author="svcMRProcess" w:date="2018-09-04T07:10:00Z">
              <w:r>
                <w:rPr>
                  <w:i/>
                  <w:snapToGrid w:val="0"/>
                </w:rPr>
                <w:t>Criminal Law and Evidence Amendment Act 2008</w:t>
              </w:r>
              <w:r>
                <w:rPr>
                  <w:iCs/>
                  <w:snapToGrid w:val="0"/>
                </w:rPr>
                <w:t xml:space="preserve"> s. 65 and 78(2)(b) </w:t>
              </w:r>
              <w:r>
                <w:rPr>
                  <w:iCs/>
                  <w:snapToGrid w:val="0"/>
                  <w:vertAlign w:val="superscript"/>
                </w:rPr>
                <w:t>7</w:t>
              </w:r>
            </w:ins>
          </w:p>
        </w:tc>
        <w:tc>
          <w:tcPr>
            <w:tcW w:w="1054" w:type="dxa"/>
            <w:tcBorders>
              <w:bottom w:val="single" w:sz="4" w:space="0" w:color="auto"/>
            </w:tcBorders>
          </w:tcPr>
          <w:p>
            <w:pPr>
              <w:pStyle w:val="nTable"/>
              <w:spacing w:after="40"/>
              <w:rPr>
                <w:ins w:id="324" w:author="svcMRProcess" w:date="2018-09-04T07:10:00Z"/>
                <w:snapToGrid w:val="0"/>
                <w:sz w:val="19"/>
                <w:lang w:val="en-US"/>
              </w:rPr>
            </w:pPr>
            <w:ins w:id="325" w:author="svcMRProcess" w:date="2018-09-04T07:10:00Z">
              <w:r>
                <w:rPr>
                  <w:sz w:val="19"/>
                </w:rPr>
                <w:t>2 of 2008</w:t>
              </w:r>
            </w:ins>
          </w:p>
        </w:tc>
        <w:tc>
          <w:tcPr>
            <w:tcW w:w="1221" w:type="dxa"/>
            <w:tcBorders>
              <w:bottom w:val="single" w:sz="4" w:space="0" w:color="auto"/>
            </w:tcBorders>
          </w:tcPr>
          <w:p>
            <w:pPr>
              <w:pStyle w:val="nTable"/>
              <w:spacing w:after="40"/>
              <w:rPr>
                <w:ins w:id="326" w:author="svcMRProcess" w:date="2018-09-04T07:10:00Z"/>
                <w:sz w:val="19"/>
              </w:rPr>
            </w:pPr>
            <w:ins w:id="327" w:author="svcMRProcess" w:date="2018-09-04T07:10:00Z">
              <w:r>
                <w:rPr>
                  <w:sz w:val="19"/>
                </w:rPr>
                <w:t>12 Mar 2008</w:t>
              </w:r>
            </w:ins>
          </w:p>
        </w:tc>
        <w:tc>
          <w:tcPr>
            <w:tcW w:w="2559" w:type="dxa"/>
            <w:tcBorders>
              <w:bottom w:val="single" w:sz="4" w:space="0" w:color="auto"/>
            </w:tcBorders>
          </w:tcPr>
          <w:p>
            <w:pPr>
              <w:pStyle w:val="nTable"/>
              <w:spacing w:after="40"/>
              <w:rPr>
                <w:ins w:id="328" w:author="svcMRProcess" w:date="2018-09-04T07:10:00Z"/>
                <w:snapToGrid w:val="0"/>
                <w:sz w:val="19"/>
                <w:lang w:val="en-US"/>
              </w:rPr>
            </w:pPr>
            <w:ins w:id="329" w:author="svcMRProcess" w:date="2018-09-04T07:10:00Z">
              <w:r>
                <w:rPr>
                  <w:snapToGrid w:val="0"/>
                  <w:sz w:val="19"/>
                  <w:lang w:val="en-US"/>
                </w:rPr>
                <w:t>To be proclaimed (see s. 2)</w:t>
              </w:r>
            </w:ins>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w:t>
      </w:r>
      <w:del w:id="330" w:author="svcMRProcess" w:date="2018-09-04T07:10:00Z">
        <w:r>
          <w:rPr>
            <w:snapToGrid w:val="0"/>
          </w:rPr>
          <w:delText>reprint</w:delText>
        </w:r>
      </w:del>
      <w:ins w:id="331" w:author="svcMRProcess" w:date="2018-09-04T07:10:00Z">
        <w:r>
          <w:rPr>
            <w:snapToGrid w:val="0"/>
          </w:rPr>
          <w:t>compilation</w:t>
        </w:r>
      </w:ins>
      <w:r>
        <w:rPr>
          <w:snapToGrid w:val="0"/>
        </w:rPr>
        <w:t xml:space="preserve">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332" w:name="_Toc90429397"/>
      <w:r>
        <w:rPr>
          <w:rStyle w:val="CharSectno"/>
        </w:rPr>
        <w:t>82</w:t>
      </w:r>
      <w:r>
        <w:t>.</w:t>
      </w:r>
      <w:r>
        <w:tab/>
        <w:t>References to “defendant” changed to “accused”</w:t>
      </w:r>
      <w:bookmarkEnd w:id="332"/>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 </w:t>
            </w:r>
            <w:r>
              <w:rPr>
                <w:vertAlign w:val="superscript"/>
              </w:rPr>
              <w:t>6</w:t>
            </w:r>
          </w:p>
        </w:tc>
      </w:tr>
    </w:tbl>
    <w:p>
      <w:pPr>
        <w:pStyle w:val="MiscClose"/>
      </w:pPr>
      <w:r>
        <w:t>”.</w:t>
      </w:r>
    </w:p>
    <w:p>
      <w:pPr>
        <w:pStyle w:val="nSubsection"/>
      </w:pPr>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p>
    <w:p>
      <w:pPr>
        <w:pStyle w:val="nSubsection"/>
        <w:keepLines/>
        <w:rPr>
          <w:ins w:id="333" w:author="svcMRProcess" w:date="2018-09-04T07:10:00Z"/>
          <w:snapToGrid w:val="0"/>
        </w:rPr>
      </w:pPr>
      <w:ins w:id="334" w:author="svcMRProcess" w:date="2018-09-04T07:10: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65 and 78(2)(b) </w:t>
        </w:r>
        <w:r>
          <w:rPr>
            <w:snapToGrid w:val="0"/>
          </w:rPr>
          <w:t>had not come into operation.  They read as follows:</w:t>
        </w:r>
      </w:ins>
    </w:p>
    <w:p>
      <w:pPr>
        <w:pStyle w:val="MiscOpen"/>
        <w:rPr>
          <w:ins w:id="335" w:author="svcMRProcess" w:date="2018-09-04T07:10:00Z"/>
        </w:rPr>
      </w:pPr>
      <w:ins w:id="336" w:author="svcMRProcess" w:date="2018-09-04T07:10:00Z">
        <w:r>
          <w:t>“</w:t>
        </w:r>
      </w:ins>
    </w:p>
    <w:p>
      <w:pPr>
        <w:pStyle w:val="nzHeading5"/>
        <w:rPr>
          <w:ins w:id="337" w:author="svcMRProcess" w:date="2018-09-04T07:10:00Z"/>
        </w:rPr>
      </w:pPr>
      <w:bookmarkStart w:id="338" w:name="_Toc192051030"/>
      <w:bookmarkStart w:id="339" w:name="_Toc193093678"/>
      <w:bookmarkStart w:id="340" w:name="_Toc193098312"/>
      <w:ins w:id="341" w:author="svcMRProcess" w:date="2018-09-04T07:10:00Z">
        <w:r>
          <w:rPr>
            <w:rStyle w:val="CharSectno"/>
          </w:rPr>
          <w:t>65</w:t>
        </w:r>
        <w:r>
          <w:t>.</w:t>
        </w:r>
        <w:r>
          <w:tab/>
        </w:r>
        <w:r>
          <w:rPr>
            <w:i/>
          </w:rPr>
          <w:t xml:space="preserve">Land Valuers Licensing Act 1978 </w:t>
        </w:r>
        <w:r>
          <w:t>amended</w:t>
        </w:r>
        <w:bookmarkEnd w:id="338"/>
        <w:bookmarkEnd w:id="339"/>
        <w:bookmarkEnd w:id="340"/>
      </w:ins>
    </w:p>
    <w:p>
      <w:pPr>
        <w:pStyle w:val="nzSubsection"/>
        <w:rPr>
          <w:ins w:id="342" w:author="svcMRProcess" w:date="2018-09-04T07:10:00Z"/>
        </w:rPr>
      </w:pPr>
      <w:ins w:id="343" w:author="svcMRProcess" w:date="2018-09-04T07:10:00Z">
        <w:r>
          <w:tab/>
          <w:t>(1)</w:t>
        </w:r>
        <w:r>
          <w:tab/>
          <w:t xml:space="preserve">The amendments in this section are to the </w:t>
        </w:r>
        <w:r>
          <w:rPr>
            <w:i/>
          </w:rPr>
          <w:t>Land Valuers Licensing Act 1978</w:t>
        </w:r>
        <w:r>
          <w:t>.</w:t>
        </w:r>
      </w:ins>
    </w:p>
    <w:p>
      <w:pPr>
        <w:pStyle w:val="nzSubsection"/>
        <w:rPr>
          <w:ins w:id="344" w:author="svcMRProcess" w:date="2018-09-04T07:10:00Z"/>
        </w:rPr>
      </w:pPr>
      <w:ins w:id="345" w:author="svcMRProcess" w:date="2018-09-04T07:10:00Z">
        <w:r>
          <w:tab/>
          <w:t>(2)</w:t>
        </w:r>
        <w:r>
          <w:tab/>
          <w:t xml:space="preserve">Section 15B(2) is amended by deleting “defendant” in each place where it occurs and in each place inserting instead — </w:t>
        </w:r>
      </w:ins>
    </w:p>
    <w:p>
      <w:pPr>
        <w:pStyle w:val="nzSubsection"/>
        <w:rPr>
          <w:ins w:id="346" w:author="svcMRProcess" w:date="2018-09-04T07:10:00Z"/>
        </w:rPr>
      </w:pPr>
      <w:ins w:id="347" w:author="svcMRProcess" w:date="2018-09-04T07:10:00Z">
        <w:r>
          <w:tab/>
        </w:r>
        <w:r>
          <w:tab/>
          <w:t>“    accused    ”.</w:t>
        </w:r>
      </w:ins>
    </w:p>
    <w:p>
      <w:pPr>
        <w:pStyle w:val="nzHeading5"/>
        <w:rPr>
          <w:ins w:id="348" w:author="svcMRProcess" w:date="2018-09-04T07:10:00Z"/>
        </w:rPr>
      </w:pPr>
      <w:bookmarkStart w:id="349" w:name="_Toc192051044"/>
      <w:bookmarkStart w:id="350" w:name="_Toc193093692"/>
      <w:ins w:id="351" w:author="svcMRProcess" w:date="2018-09-04T07:10:00Z">
        <w:r>
          <w:rPr>
            <w:rStyle w:val="CharSectno"/>
          </w:rPr>
          <w:t>78</w:t>
        </w:r>
        <w:r>
          <w:t>.</w:t>
        </w:r>
        <w:r>
          <w:tab/>
        </w:r>
        <w:r>
          <w:rPr>
            <w:i/>
            <w:iCs/>
          </w:rPr>
          <w:t xml:space="preserve">Criminal Procedure and Appeals (Consequential and Other Provisions) Act 2004 </w:t>
        </w:r>
        <w:r>
          <w:t>amended</w:t>
        </w:r>
        <w:bookmarkEnd w:id="349"/>
        <w:bookmarkEnd w:id="350"/>
      </w:ins>
    </w:p>
    <w:p>
      <w:pPr>
        <w:pStyle w:val="nzSubsection"/>
        <w:rPr>
          <w:ins w:id="352" w:author="svcMRProcess" w:date="2018-09-04T07:10:00Z"/>
        </w:rPr>
      </w:pPr>
      <w:ins w:id="353" w:author="svcMRProcess" w:date="2018-09-04T07:10:00Z">
        <w:r>
          <w:tab/>
          <w:t>(1)</w:t>
        </w:r>
        <w:r>
          <w:tab/>
          <w:t xml:space="preserve">The amendments in this section are to the </w:t>
        </w:r>
        <w:r>
          <w:rPr>
            <w:i/>
            <w:iCs/>
          </w:rPr>
          <w:t>Criminal Procedure and Appeals (Consequential and Other Provisions) Act 2004</w:t>
        </w:r>
        <w:r>
          <w:t>.</w:t>
        </w:r>
      </w:ins>
    </w:p>
    <w:p>
      <w:pPr>
        <w:pStyle w:val="nzSubsection"/>
        <w:rPr>
          <w:ins w:id="354" w:author="svcMRProcess" w:date="2018-09-04T07:10:00Z"/>
        </w:rPr>
      </w:pPr>
      <w:ins w:id="355" w:author="svcMRProcess" w:date="2018-09-04T07:10:00Z">
        <w:r>
          <w:tab/>
          <w:t>(2)</w:t>
        </w:r>
        <w:r>
          <w:tab/>
          <w:t>Section 82 is amended in Table 2 as follows:</w:t>
        </w:r>
      </w:ins>
    </w:p>
    <w:p>
      <w:pPr>
        <w:pStyle w:val="nzIndenta"/>
        <w:rPr>
          <w:ins w:id="356" w:author="svcMRProcess" w:date="2018-09-04T07:10:00Z"/>
        </w:rPr>
      </w:pPr>
      <w:ins w:id="357" w:author="svcMRProcess" w:date="2018-09-04T07:10:00Z">
        <w:r>
          <w:tab/>
          <w:t>(b)</w:t>
        </w:r>
        <w:r>
          <w:tab/>
          <w:t xml:space="preserve">by deleting the row relating to the </w:t>
        </w:r>
        <w:r>
          <w:rPr>
            <w:i/>
          </w:rPr>
          <w:t>Land Valuers Licensing Act 1978</w:t>
        </w:r>
        <w:r>
          <w:t>;</w:t>
        </w:r>
      </w:ins>
    </w:p>
    <w:p>
      <w:pPr>
        <w:pStyle w:val="MiscClose"/>
        <w:rPr>
          <w:ins w:id="358" w:author="svcMRProcess" w:date="2018-09-04T07:10:00Z"/>
        </w:rPr>
      </w:pPr>
      <w:ins w:id="359" w:author="svcMRProcess" w:date="2018-09-04T07:10:00Z">
        <w: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651"/>
    <w:docVar w:name="WAFER_20151204155651" w:val="RemoveTrackChanges"/>
    <w:docVar w:name="WAFER_20151204155651_GUID" w:val="97e960a6-e66b-4456-9c24-29a9d4aab1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7588</Words>
  <Characters>35137</Characters>
  <Application>Microsoft Office Word</Application>
  <DocSecurity>0</DocSecurity>
  <Lines>976</Lines>
  <Paragraphs>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02-c0-03 - 02-d0-02</dc:title>
  <dc:subject/>
  <dc:creator/>
  <cp:keywords/>
  <dc:description/>
  <cp:lastModifiedBy>svcMRProcess</cp:lastModifiedBy>
  <cp:revision>2</cp:revision>
  <cp:lastPrinted>2006-05-23T04:11:00Z</cp:lastPrinted>
  <dcterms:created xsi:type="dcterms:W3CDTF">2018-09-03T23:10:00Z</dcterms:created>
  <dcterms:modified xsi:type="dcterms:W3CDTF">2018-09-03T23:10:00Z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14 Jul 2007</vt:lpwstr>
  </property>
  <property fmtid="{D5CDD505-2E9C-101B-9397-08002B2CF9AE}" pid="9" name="ToSuffix">
    <vt:lpwstr>02-d0-02</vt:lpwstr>
  </property>
  <property fmtid="{D5CDD505-2E9C-101B-9397-08002B2CF9AE}" pid="10" name="ToAsAtDate">
    <vt:lpwstr>12 Mar 2008</vt:lpwstr>
  </property>
</Properties>
</file>