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2007</w:t>
      </w:r>
      <w:r>
        <w:fldChar w:fldCharType="end"/>
      </w:r>
      <w:r>
        <w:t xml:space="preserve">, </w:t>
      </w:r>
      <w:r>
        <w:fldChar w:fldCharType="begin"/>
      </w:r>
      <w:r>
        <w:instrText xml:space="preserve"> DocProperty FromSuffix </w:instrText>
      </w:r>
      <w:r>
        <w:fldChar w:fldCharType="separate"/>
      </w:r>
      <w:r>
        <w:t>04-e0-02</w:t>
      </w:r>
      <w:r>
        <w:fldChar w:fldCharType="end"/>
      </w:r>
      <w:r>
        <w:t>] and [</w:t>
      </w:r>
      <w:r>
        <w:fldChar w:fldCharType="begin"/>
      </w:r>
      <w:r>
        <w:instrText xml:space="preserve"> DocProperty ToAsAtDate</w:instrText>
      </w:r>
      <w:r>
        <w:fldChar w:fldCharType="separate"/>
      </w:r>
      <w:r>
        <w:t>04 Apr 2008</w:t>
      </w:r>
      <w:r>
        <w:fldChar w:fldCharType="end"/>
      </w:r>
      <w:r>
        <w:t xml:space="preserve">, </w:t>
      </w:r>
      <w:r>
        <w:fldChar w:fldCharType="begin"/>
      </w:r>
      <w:r>
        <w:instrText xml:space="preserve"> DocProperty ToSuffix</w:instrText>
      </w:r>
      <w:r>
        <w:fldChar w:fldCharType="separate"/>
      </w:r>
      <w:r>
        <w:t>04-f0-01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Health Act 1911</w:t>
      </w:r>
    </w:p>
    <w:p>
      <w:pPr>
        <w:pStyle w:val="NameofActReg"/>
      </w:pPr>
      <w:r>
        <w:t>Health (Treatment of Sewage and Disposal of Effluent and Liquid Waste) Regulations 1974</w:t>
      </w:r>
    </w:p>
    <w:p>
      <w:pPr>
        <w:pStyle w:val="Heading2"/>
        <w:pageBreakBefore w:val="0"/>
      </w:pPr>
      <w:bookmarkStart w:id="0" w:name="_Toc92695582"/>
      <w:bookmarkStart w:id="1" w:name="_Toc92968524"/>
      <w:bookmarkStart w:id="2" w:name="_Toc92968616"/>
      <w:bookmarkStart w:id="3" w:name="_Toc94935549"/>
      <w:bookmarkStart w:id="4" w:name="_Toc94935764"/>
      <w:bookmarkStart w:id="5" w:name="_Toc94941333"/>
      <w:bookmarkStart w:id="6" w:name="_Toc105237809"/>
      <w:bookmarkStart w:id="7" w:name="_Toc105470578"/>
      <w:bookmarkStart w:id="8" w:name="_Toc107800425"/>
      <w:bookmarkStart w:id="9" w:name="_Toc110666895"/>
      <w:bookmarkStart w:id="10" w:name="_Toc110842735"/>
      <w:bookmarkStart w:id="11" w:name="_Toc113177893"/>
      <w:bookmarkStart w:id="12" w:name="_Toc113259747"/>
      <w:bookmarkStart w:id="13" w:name="_Toc113262892"/>
      <w:bookmarkStart w:id="14" w:name="_Toc117907356"/>
      <w:bookmarkStart w:id="15" w:name="_Toc134332464"/>
      <w:bookmarkStart w:id="16" w:name="_Toc134337413"/>
      <w:bookmarkStart w:id="17" w:name="_Toc134337703"/>
      <w:bookmarkStart w:id="18" w:name="_Toc139258656"/>
      <w:bookmarkStart w:id="19" w:name="_Toc167179010"/>
      <w:bookmarkStart w:id="20" w:name="_Toc170201158"/>
      <w:bookmarkStart w:id="21" w:name="_Toc170715688"/>
      <w:bookmarkStart w:id="22" w:name="_Toc195006235"/>
      <w:bookmarkStart w:id="23" w:name="_Toc195069987"/>
      <w:r>
        <w:rPr>
          <w:rStyle w:val="CharPartNo"/>
        </w:rPr>
        <w:t>P</w:t>
      </w:r>
      <w:bookmarkStart w:id="24" w:name="_GoBack"/>
      <w:bookmarkEnd w:id="2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Footnoteheading"/>
        <w:ind w:left="890"/>
        <w:rPr>
          <w:snapToGrid w:val="0"/>
        </w:rPr>
      </w:pPr>
      <w:r>
        <w:rPr>
          <w:snapToGrid w:val="0"/>
        </w:rPr>
        <w:tab/>
        <w:t>[Heading inserted in Gazette 29 Jul 1997 p. 4065.]</w:t>
      </w:r>
    </w:p>
    <w:p>
      <w:pPr>
        <w:pStyle w:val="Heading5"/>
        <w:rPr>
          <w:snapToGrid w:val="0"/>
        </w:rPr>
      </w:pPr>
      <w:bookmarkStart w:id="25" w:name="_Toc47935267"/>
      <w:bookmarkStart w:id="26" w:name="_Toc113177894"/>
      <w:bookmarkStart w:id="27" w:name="_Toc195069988"/>
      <w:bookmarkStart w:id="28" w:name="_Toc170715689"/>
      <w:r>
        <w:rPr>
          <w:rStyle w:val="CharSectno"/>
        </w:rPr>
        <w:t>1</w:t>
      </w:r>
      <w:r>
        <w:rPr>
          <w:snapToGrid w:val="0"/>
        </w:rPr>
        <w:t>.</w:t>
      </w:r>
      <w:r>
        <w:rPr>
          <w:snapToGrid w:val="0"/>
        </w:rPr>
        <w:tab/>
        <w:t>Citation and application</w:t>
      </w:r>
      <w:bookmarkEnd w:id="25"/>
      <w:bookmarkEnd w:id="26"/>
      <w:bookmarkEnd w:id="27"/>
      <w:bookmarkEnd w:id="28"/>
      <w:r>
        <w:rPr>
          <w:snapToGrid w:val="0"/>
        </w:rPr>
        <w:t xml:space="preserve"> </w:t>
      </w:r>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 xml:space="preserve">[Regulation 1 amended in Gazette 4 Sep 1992 p. 4471; 29 Jul 1997 p. 4065.] </w:t>
      </w:r>
    </w:p>
    <w:p>
      <w:pPr>
        <w:pStyle w:val="Ednotesection"/>
      </w:pPr>
      <w:r>
        <w:t>[</w:t>
      </w:r>
      <w:r>
        <w:rPr>
          <w:b/>
        </w:rPr>
        <w:t>2.</w:t>
      </w:r>
      <w:r>
        <w:rPr>
          <w:b/>
        </w:rPr>
        <w:tab/>
      </w:r>
      <w:r>
        <w:t xml:space="preserve">Repealed in Gazette 4 Sep 1992 p. 4471.] </w:t>
      </w:r>
    </w:p>
    <w:p>
      <w:pPr>
        <w:pStyle w:val="Heading5"/>
        <w:rPr>
          <w:snapToGrid w:val="0"/>
        </w:rPr>
      </w:pPr>
      <w:bookmarkStart w:id="29" w:name="_Toc47935268"/>
      <w:bookmarkStart w:id="30" w:name="_Toc113177895"/>
      <w:bookmarkStart w:id="31" w:name="_Toc195069989"/>
      <w:bookmarkStart w:id="32" w:name="_Toc170715690"/>
      <w:r>
        <w:rPr>
          <w:rStyle w:val="CharSectno"/>
        </w:rPr>
        <w:t>3</w:t>
      </w:r>
      <w:r>
        <w:rPr>
          <w:snapToGrid w:val="0"/>
        </w:rPr>
        <w:t>.</w:t>
      </w:r>
      <w:r>
        <w:rPr>
          <w:snapToGrid w:val="0"/>
        </w:rPr>
        <w:tab/>
        <w:t>Interpretation</w:t>
      </w:r>
      <w:bookmarkEnd w:id="29"/>
      <w:bookmarkEnd w:id="30"/>
      <w:bookmarkEnd w:id="31"/>
      <w:bookmarkEnd w:id="32"/>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adopted Code</w:t>
      </w:r>
      <w:r>
        <w:rPr>
          <w:b/>
        </w:rPr>
        <w:t>”</w:t>
      </w:r>
      <w:r>
        <w:t xml:space="preserve"> means a code adopted by regulation 6A(1); </w:t>
      </w:r>
    </w:p>
    <w:p>
      <w:pPr>
        <w:pStyle w:val="Defstart"/>
      </w:pPr>
      <w:r>
        <w:rPr>
          <w:b/>
        </w:rPr>
        <w:tab/>
        <w:t>“</w:t>
      </w:r>
      <w:r>
        <w:rPr>
          <w:rStyle w:val="CharDefText"/>
        </w:rPr>
        <w:t>aerobic treatment unit</w:t>
      </w:r>
      <w:r>
        <w:rPr>
          <w:b/>
        </w:rPr>
        <w:t>”</w:t>
      </w:r>
      <w:r>
        <w:t xml:space="preserve"> means an apparatus for treating sewage either wholly or partially by aerobic means and includes any associated effluent disposal system;</w:t>
      </w:r>
    </w:p>
    <w:p>
      <w:pPr>
        <w:pStyle w:val="Defstart"/>
      </w:pPr>
      <w:r>
        <w:rPr>
          <w:b/>
        </w:rPr>
        <w:tab/>
        <w:t>“</w:t>
      </w:r>
      <w:r>
        <w:rPr>
          <w:rStyle w:val="CharDefText"/>
        </w:rPr>
        <w:t>alternating system</w:t>
      </w:r>
      <w:r>
        <w:rPr>
          <w:b/>
        </w:rPr>
        <w:t>”</w:t>
      </w:r>
      <w:r>
        <w:t xml:space="preserve"> means any apparatus containing a flow alternation device that is connected to 2 receptacles for drainage to allow infiltration of effluent into the soil;</w:t>
      </w:r>
    </w:p>
    <w:p>
      <w:pPr>
        <w:pStyle w:val="Defstart"/>
      </w:pPr>
      <w:r>
        <w:rPr>
          <w:b/>
        </w:rPr>
        <w:tab/>
        <w:t>“</w:t>
      </w:r>
      <w:r>
        <w:rPr>
          <w:rStyle w:val="CharDefText"/>
        </w:rPr>
        <w:t>apparatus</w:t>
      </w:r>
      <w:r>
        <w:rPr>
          <w:b/>
        </w:rPr>
        <w:t>”</w:t>
      </w:r>
      <w:r>
        <w:t xml:space="preserve"> has the same meaning as is given by section 3 of the Act to the term “apparatus for the treatment of sewage”;</w:t>
      </w:r>
    </w:p>
    <w:p>
      <w:pPr>
        <w:pStyle w:val="Defstart"/>
      </w:pPr>
      <w:r>
        <w:rPr>
          <w:b/>
        </w:rPr>
        <w:tab/>
        <w:t>“</w:t>
      </w:r>
      <w:r>
        <w:rPr>
          <w:rStyle w:val="CharDefText"/>
        </w:rPr>
        <w:t>approval</w:t>
      </w:r>
      <w:r>
        <w:rPr>
          <w:b/>
        </w:rPr>
        <w:t>”</w:t>
      </w:r>
      <w:r>
        <w:t xml:space="preserve"> means an approval under regulation 4 or 4A;</w:t>
      </w:r>
    </w:p>
    <w:p>
      <w:pPr>
        <w:pStyle w:val="Defstart"/>
      </w:pPr>
      <w:r>
        <w:rPr>
          <w:b/>
        </w:rPr>
        <w:tab/>
        <w:t>“</w:t>
      </w:r>
      <w:r>
        <w:rPr>
          <w:rStyle w:val="CharDefText"/>
        </w:rPr>
        <w:t>approved</w:t>
      </w:r>
      <w:r>
        <w:rPr>
          <w:b/>
        </w:rPr>
        <w:t>”</w:t>
      </w:r>
      <w:r>
        <w:t xml:space="preserve"> means —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Executive Director, Public Health;</w:t>
      </w:r>
    </w:p>
    <w:p>
      <w:pPr>
        <w:pStyle w:val="Defstart"/>
      </w:pPr>
      <w:r>
        <w:rPr>
          <w:b/>
        </w:rPr>
        <w:tab/>
        <w:t>“</w:t>
      </w:r>
      <w:r>
        <w:rPr>
          <w:rStyle w:val="CharDefText"/>
        </w:rPr>
        <w:t>approving body</w:t>
      </w:r>
      <w:r>
        <w:rPr>
          <w:b/>
        </w:rPr>
        <w:t>”</w:t>
      </w:r>
      <w:r>
        <w:t xml:space="preserve"> means —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Executive Director, Public Health;</w:t>
      </w:r>
    </w:p>
    <w:p>
      <w:pPr>
        <w:pStyle w:val="Defstart"/>
      </w:pPr>
      <w:r>
        <w:rPr>
          <w:b/>
        </w:rPr>
        <w:tab/>
        <w:t>“</w:t>
      </w:r>
      <w:r>
        <w:rPr>
          <w:rStyle w:val="CharDefText"/>
        </w:rPr>
        <w:t>AS</w:t>
      </w:r>
      <w:r>
        <w:rPr>
          <w:b/>
        </w:rPr>
        <w:t>”</w:t>
      </w:r>
      <w:r>
        <w:t xml:space="preserve"> means Standards Australia standard;</w:t>
      </w:r>
    </w:p>
    <w:p>
      <w:pPr>
        <w:pStyle w:val="Defstart"/>
      </w:pPr>
      <w:r>
        <w:rPr>
          <w:b/>
        </w:rPr>
        <w:tab/>
        <w:t>“</w:t>
      </w:r>
      <w:r>
        <w:rPr>
          <w:rStyle w:val="CharDefText"/>
        </w:rPr>
        <w:t>authorised person</w:t>
      </w:r>
      <w:r>
        <w:rPr>
          <w:b/>
        </w:rPr>
        <w:t>”</w:t>
      </w:r>
      <w:r>
        <w:t>, in relation to an aerobic treatment unit, means a person who is authorised under regulation 42C to carry out maintenance on that type of unit;</w:t>
      </w:r>
    </w:p>
    <w:p>
      <w:pPr>
        <w:pStyle w:val="Defstart"/>
      </w:pPr>
      <w:r>
        <w:rPr>
          <w:b/>
        </w:rPr>
        <w:tab/>
        <w:t>“</w:t>
      </w:r>
      <w:r>
        <w:rPr>
          <w:rStyle w:val="CharDefText"/>
        </w:rPr>
        <w:t>blackwater</w:t>
      </w:r>
      <w:r>
        <w:rPr>
          <w:b/>
        </w:rPr>
        <w:t>”</w:t>
      </w:r>
      <w:r>
        <w:t xml:space="preserve"> means water containing faeces or urine; </w:t>
      </w:r>
    </w:p>
    <w:p>
      <w:pPr>
        <w:pStyle w:val="Defstart"/>
      </w:pPr>
      <w:r>
        <w:rPr>
          <w:b/>
        </w:rPr>
        <w:tab/>
        <w:t>“</w:t>
      </w:r>
      <w:r>
        <w:rPr>
          <w:rStyle w:val="CharDefText"/>
        </w:rPr>
        <w:t>blackwater system</w:t>
      </w:r>
      <w:r>
        <w:rPr>
          <w:b/>
        </w:rPr>
        <w:t>”</w:t>
      </w:r>
      <w:r>
        <w:rPr>
          <w:bCs/>
        </w:rPr>
        <w:t xml:space="preserve"> means </w:t>
      </w:r>
      <w:r>
        <w:t xml:space="preserve">an apparatus designed to receive blackwater; </w:t>
      </w:r>
    </w:p>
    <w:p>
      <w:pPr>
        <w:pStyle w:val="Defstart"/>
      </w:pPr>
      <w:r>
        <w:rPr>
          <w:b/>
        </w:rPr>
        <w:tab/>
        <w:t>“</w:t>
      </w:r>
      <w:r>
        <w:rPr>
          <w:rStyle w:val="CharDefText"/>
        </w:rPr>
        <w:t>certificate of compliance</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combined system</w:t>
      </w:r>
      <w:r>
        <w:rPr>
          <w:b/>
        </w:rPr>
        <w:t>”</w:t>
      </w:r>
      <w:r>
        <w:t xml:space="preserve"> means an apparatus designed to receive household and such other liquid wastes as the Executive Director, Public Health may approve, as well as sewage;</w:t>
      </w:r>
    </w:p>
    <w:p>
      <w:pPr>
        <w:pStyle w:val="Defstart"/>
      </w:pPr>
      <w:r>
        <w:rPr>
          <w:b/>
        </w:rPr>
        <w:tab/>
        <w:t>“</w:t>
      </w:r>
      <w:r>
        <w:rPr>
          <w:rStyle w:val="CharDefText"/>
        </w:rPr>
        <w:t>drainage plumbing work</w:t>
      </w:r>
      <w:r>
        <w:rPr>
          <w:b/>
        </w:rPr>
        <w:t>”</w:t>
      </w:r>
      <w:r>
        <w:t xml:space="preserve"> has the meaning given to that term in the </w:t>
      </w:r>
      <w:r>
        <w:rPr>
          <w:i/>
        </w:rPr>
        <w:t>Water Services Licensing (Plumbers Licensing and Plumbing Standards) Regulations 2000</w:t>
      </w:r>
      <w:r>
        <w:t>;</w:t>
      </w:r>
    </w:p>
    <w:p>
      <w:pPr>
        <w:pStyle w:val="Defstart"/>
      </w:pPr>
      <w:r>
        <w:rPr>
          <w:b/>
        </w:rPr>
        <w:tab/>
        <w:t>“</w:t>
      </w:r>
      <w:r>
        <w:rPr>
          <w:rStyle w:val="CharDefText"/>
        </w:rPr>
        <w:t>dwelling</w:t>
      </w:r>
      <w:r>
        <w:rPr>
          <w:b/>
        </w:rPr>
        <w:t>”</w:t>
      </w:r>
      <w:r>
        <w:t xml:space="preserve"> means a building or part of a building that is occupied or intended to be occupied for the purpose of human habitation;</w:t>
      </w:r>
    </w:p>
    <w:p>
      <w:pPr>
        <w:pStyle w:val="Defstart"/>
      </w:pPr>
      <w:r>
        <w:rPr>
          <w:b/>
        </w:rPr>
        <w:tab/>
        <w:t>“</w:t>
      </w:r>
      <w:r>
        <w:rPr>
          <w:rStyle w:val="CharDefText"/>
        </w:rPr>
        <w:t>effluent</w:t>
      </w:r>
      <w:r>
        <w:rPr>
          <w:b/>
        </w:rPr>
        <w:t>”</w:t>
      </w:r>
      <w:r>
        <w:t xml:space="preserve"> means the liquid discharge from the treatment tank;</w:t>
      </w:r>
    </w:p>
    <w:p>
      <w:pPr>
        <w:pStyle w:val="Defstart"/>
      </w:pPr>
      <w:r>
        <w:rPr>
          <w:b/>
        </w:rPr>
        <w:tab/>
        <w:t>“</w:t>
      </w:r>
      <w:r>
        <w:rPr>
          <w:rStyle w:val="CharDefText"/>
        </w:rPr>
        <w:t>fittings</w:t>
      </w:r>
      <w:r>
        <w:rPr>
          <w:b/>
        </w:rPr>
        <w:t>”</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pPr>
      <w:r>
        <w:rPr>
          <w:b/>
        </w:rPr>
        <w:tab/>
        <w:t>“</w:t>
      </w:r>
      <w:r>
        <w:rPr>
          <w:rStyle w:val="CharDefText"/>
        </w:rPr>
        <w:t>fixtures</w:t>
      </w:r>
      <w:r>
        <w:rPr>
          <w:b/>
        </w:rPr>
        <w:t>”</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pPr>
      <w:r>
        <w:rPr>
          <w:b/>
        </w:rPr>
        <w:tab/>
        <w:t>“</w:t>
      </w:r>
      <w:r>
        <w:rPr>
          <w:rStyle w:val="CharDefText"/>
        </w:rPr>
        <w:t>greywater</w:t>
      </w:r>
      <w:r>
        <w:rPr>
          <w:b/>
        </w:rPr>
        <w:t>”</w:t>
      </w:r>
      <w:r>
        <w:t xml:space="preserve"> means water containing kitchen, laundry or bathroom waste other than faeces or urine;</w:t>
      </w:r>
    </w:p>
    <w:p>
      <w:pPr>
        <w:pStyle w:val="Defstart"/>
      </w:pPr>
      <w:r>
        <w:rPr>
          <w:b/>
        </w:rPr>
        <w:tab/>
        <w:t>“</w:t>
      </w:r>
      <w:r>
        <w:rPr>
          <w:rStyle w:val="CharDefText"/>
        </w:rPr>
        <w:t>greywater system</w:t>
      </w:r>
      <w:r>
        <w:rPr>
          <w:b/>
        </w:rPr>
        <w:t>”</w:t>
      </w:r>
      <w:r>
        <w:t xml:space="preserve"> means an apparatus for treating greywater and enabling it to be used for garden irrigation; </w:t>
      </w:r>
    </w:p>
    <w:p>
      <w:pPr>
        <w:pStyle w:val="Defstart"/>
      </w:pPr>
      <w:r>
        <w:rPr>
          <w:b/>
        </w:rPr>
        <w:tab/>
        <w:t>“</w:t>
      </w:r>
      <w:r>
        <w:rPr>
          <w:rStyle w:val="CharDefText"/>
        </w:rPr>
        <w:t>infiltrative area</w:t>
      </w:r>
      <w:r>
        <w:rPr>
          <w:b/>
        </w:rPr>
        <w:t>”</w:t>
      </w:r>
      <w:r>
        <w:t xml:space="preserve"> means the internal surface of the bottom area and sidewall areas between the inverted level of the inlet and the base of a receptacle for drainage;</w:t>
      </w:r>
    </w:p>
    <w:p>
      <w:pPr>
        <w:pStyle w:val="Defstart"/>
      </w:pPr>
      <w:r>
        <w:rPr>
          <w:b/>
        </w:rPr>
        <w:tab/>
        <w:t>“</w:t>
      </w:r>
      <w:r>
        <w:rPr>
          <w:rStyle w:val="CharDefText"/>
        </w:rPr>
        <w:t>liquid waste system</w:t>
      </w:r>
      <w:r>
        <w:rPr>
          <w:b/>
        </w:rPr>
        <w:t>”</w:t>
      </w:r>
      <w:r>
        <w:t xml:space="preserve"> means an apparatus designed to receive liquid wastes only;</w:t>
      </w:r>
    </w:p>
    <w:p>
      <w:pPr>
        <w:pStyle w:val="Defstart"/>
      </w:pPr>
      <w:r>
        <w:rPr>
          <w:b/>
        </w:rPr>
        <w:tab/>
        <w:t>“</w:t>
      </w:r>
      <w:r>
        <w:rPr>
          <w:rStyle w:val="CharDefText"/>
        </w:rPr>
        <w:t>liquid wastes</w:t>
      </w:r>
      <w:r>
        <w:rPr>
          <w:b/>
        </w:rPr>
        <w:t>”</w:t>
      </w:r>
      <w:r>
        <w:t xml:space="preserve"> means wastewater or any other liquid waste from domestic, industrial or commercial activities, other than effluent;</w:t>
      </w:r>
    </w:p>
    <w:p>
      <w:pPr>
        <w:pStyle w:val="Defstart"/>
      </w:pPr>
      <w:r>
        <w:rPr>
          <w:b/>
        </w:rPr>
        <w:tab/>
        <w:t>“</w:t>
      </w:r>
      <w:r>
        <w:rPr>
          <w:rStyle w:val="CharDefText"/>
        </w:rPr>
        <w:t>non</w:t>
      </w:r>
      <w:r>
        <w:rPr>
          <w:rStyle w:val="CharDefText"/>
        </w:rPr>
        <w:noBreakHyphen/>
        <w:t>alternating system</w:t>
      </w:r>
      <w:r>
        <w:rPr>
          <w:b/>
        </w:rPr>
        <w:t>”</w:t>
      </w:r>
      <w:r>
        <w:t xml:space="preserve"> means an apparatus that does not contain a flow alternation device;</w:t>
      </w:r>
    </w:p>
    <w:p>
      <w:pPr>
        <w:pStyle w:val="Defstart"/>
      </w:pPr>
      <w:r>
        <w:rPr>
          <w:b/>
        </w:rPr>
        <w:tab/>
        <w:t>“</w:t>
      </w:r>
      <w:r>
        <w:rPr>
          <w:rStyle w:val="CharDefText"/>
        </w:rPr>
        <w:t>owner</w:t>
      </w:r>
      <w:r>
        <w:rPr>
          <w:b/>
        </w:rPr>
        <w:t>”</w:t>
      </w:r>
      <w:r>
        <w:t>, in relation to an apparatus, means the owner of the premises on which the apparatus is constructed or installed;</w:t>
      </w:r>
    </w:p>
    <w:p>
      <w:pPr>
        <w:pStyle w:val="Defstart"/>
      </w:pPr>
      <w:r>
        <w:rPr>
          <w:b/>
        </w:rPr>
        <w:tab/>
        <w:t>“</w:t>
      </w:r>
      <w:r>
        <w:rPr>
          <w:rStyle w:val="CharDefText"/>
        </w:rPr>
        <w:t>plumbing standards</w:t>
      </w:r>
      <w:r>
        <w:rPr>
          <w:b/>
        </w:rPr>
        <w:t>”</w:t>
      </w:r>
      <w:r>
        <w:t xml:space="preserve"> has the meaning given to that term in regulation 3(1) of the </w:t>
      </w:r>
      <w:r>
        <w:rPr>
          <w:i/>
        </w:rPr>
        <w:t>Water Services Licensing (Plumbers Licensing and Plumbing Standards) Regulations 2000</w:t>
      </w:r>
      <w:r>
        <w:t>;</w:t>
      </w:r>
    </w:p>
    <w:p>
      <w:pPr>
        <w:pStyle w:val="Defstart"/>
      </w:pPr>
      <w:r>
        <w:rPr>
          <w:b/>
        </w:rPr>
        <w:tab/>
        <w:t>“</w:t>
      </w:r>
      <w:r>
        <w:rPr>
          <w:rStyle w:val="CharDefText"/>
        </w:rPr>
        <w:t>receptacle for drainage</w:t>
      </w:r>
      <w:r>
        <w:rPr>
          <w:b/>
        </w:rPr>
        <w:t>”</w:t>
      </w:r>
      <w:r>
        <w:t xml:space="preserve"> means — </w:t>
      </w:r>
    </w:p>
    <w:p>
      <w:pPr>
        <w:pStyle w:val="Defpara"/>
      </w:pPr>
      <w:r>
        <w:tab/>
        <w:t>(a)</w:t>
      </w:r>
      <w:r>
        <w:tab/>
        <w:t xml:space="preserve">an evaporation drain, a soak well, French drain, leach drain or impervious sump; or </w:t>
      </w:r>
    </w:p>
    <w:p>
      <w:pPr>
        <w:pStyle w:val="Defpara"/>
      </w:pPr>
      <w:r>
        <w:tab/>
        <w:t>(b)</w:t>
      </w:r>
      <w:r>
        <w:tab/>
        <w:t>any other device or system for the disposal or re</w:t>
      </w:r>
      <w:r>
        <w:noBreakHyphen/>
        <w:t>use of effluent approved by the Executive Director, Public Health;</w:t>
      </w:r>
    </w:p>
    <w:p>
      <w:pPr>
        <w:pStyle w:val="Defstart"/>
      </w:pPr>
      <w:r>
        <w:rPr>
          <w:b/>
        </w:rPr>
        <w:tab/>
        <w:t>“</w:t>
      </w:r>
      <w:r>
        <w:rPr>
          <w:rStyle w:val="CharDefText"/>
        </w:rPr>
        <w:t>relevant local government</w:t>
      </w:r>
      <w:r>
        <w:rPr>
          <w:b/>
        </w:rPr>
        <w:t>”</w:t>
      </w:r>
      <w:r>
        <w:t xml:space="preserve"> means —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t>“</w:t>
      </w:r>
      <w:r>
        <w:rPr>
          <w:rStyle w:val="CharDefText"/>
        </w:rPr>
        <w:t>residential premises</w:t>
      </w:r>
      <w:r>
        <w:rPr>
          <w:b/>
        </w:rPr>
        <w:t>”</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t>“</w:t>
      </w:r>
      <w:r>
        <w:rPr>
          <w:rStyle w:val="CharDefText"/>
        </w:rPr>
        <w:t>sedimentation tank</w:t>
      </w:r>
      <w:r>
        <w:rPr>
          <w:b/>
        </w:rPr>
        <w:t>”</w:t>
      </w:r>
      <w:r>
        <w:t xml:space="preserve"> means that part of an apparatus designed to retain liquid waste for sedimentation, flotation and treatment;</w:t>
      </w:r>
    </w:p>
    <w:p>
      <w:pPr>
        <w:pStyle w:val="Defstart"/>
      </w:pPr>
      <w:r>
        <w:rPr>
          <w:b/>
        </w:rPr>
        <w:tab/>
        <w:t>“</w:t>
      </w:r>
      <w:r>
        <w:rPr>
          <w:rStyle w:val="CharDefText"/>
        </w:rPr>
        <w:t>septic tank</w:t>
      </w:r>
      <w:r>
        <w:rPr>
          <w:b/>
        </w:rPr>
        <w:t>”</w:t>
      </w:r>
      <w:r>
        <w:t xml:space="preserve"> means the part of an apparatus for the treatment of sewage designed to retain sewage for bacteriolytic treatment;</w:t>
      </w:r>
    </w:p>
    <w:p>
      <w:pPr>
        <w:pStyle w:val="Defstart"/>
        <w:keepNext/>
      </w:pPr>
      <w:r>
        <w:rPr>
          <w:b/>
        </w:rPr>
        <w:tab/>
        <w:t>“</w:t>
      </w:r>
      <w:r>
        <w:rPr>
          <w:rStyle w:val="CharDefText"/>
        </w:rPr>
        <w:t>single dwelling</w:t>
      </w:r>
      <w:r>
        <w:rPr>
          <w:b/>
        </w:rPr>
        <w:t>”</w:t>
      </w:r>
      <w:r>
        <w:t xml:space="preserve"> means a dwelling — </w:t>
      </w:r>
    </w:p>
    <w:p>
      <w:pPr>
        <w:pStyle w:val="Defpara"/>
      </w:pPr>
      <w:r>
        <w:tab/>
        <w:t>(a)</w:t>
      </w:r>
      <w:r>
        <w:tab/>
        <w:t>that is occupied or intended to be occupied for the purpose of human habitation by not more than 8 persons;</w:t>
      </w:r>
    </w:p>
    <w:p>
      <w:pPr>
        <w:pStyle w:val="Defpara"/>
      </w:pPr>
      <w:r>
        <w:tab/>
        <w:t>(b)</w:t>
      </w:r>
      <w:r>
        <w:tab/>
        <w:t xml:space="preserve">standing on a lot within the meaning of the </w:t>
      </w:r>
      <w:r>
        <w:rPr>
          <w:i/>
        </w:rPr>
        <w:t>Town Planning and Development Act 1928</w:t>
      </w:r>
      <w:r>
        <w:t>; and</w:t>
      </w:r>
    </w:p>
    <w:p>
      <w:pPr>
        <w:pStyle w:val="Defpara"/>
      </w:pPr>
      <w:r>
        <w:tab/>
        <w:t>(c)</w:t>
      </w:r>
      <w:r>
        <w:tab/>
        <w:t>that is the only dwelling standing on that lot;</w:t>
      </w:r>
    </w:p>
    <w:p>
      <w:pPr>
        <w:pStyle w:val="Defstart"/>
      </w:pPr>
      <w:r>
        <w:rPr>
          <w:b/>
        </w:rPr>
        <w:tab/>
        <w:t>“</w:t>
      </w:r>
      <w:r>
        <w:rPr>
          <w:rStyle w:val="CharDefText"/>
        </w:rPr>
        <w:t>wastewater</w:t>
      </w:r>
      <w:r>
        <w:rPr>
          <w:b/>
        </w:rPr>
        <w:t>”</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 xml:space="preserve">6; 28 Jun 2004 p. 2393-4; 7 Jan 2005 p. 64-5.] </w:t>
      </w:r>
    </w:p>
    <w:p>
      <w:pPr>
        <w:pStyle w:val="Heading2"/>
      </w:pPr>
      <w:bookmarkStart w:id="33" w:name="_Toc92695585"/>
      <w:bookmarkStart w:id="34" w:name="_Toc92968527"/>
      <w:bookmarkStart w:id="35" w:name="_Toc92968619"/>
      <w:bookmarkStart w:id="36" w:name="_Toc94935552"/>
      <w:bookmarkStart w:id="37" w:name="_Toc94935767"/>
      <w:bookmarkStart w:id="38" w:name="_Toc94941336"/>
      <w:bookmarkStart w:id="39" w:name="_Toc105237812"/>
      <w:bookmarkStart w:id="40" w:name="_Toc105470581"/>
      <w:bookmarkStart w:id="41" w:name="_Toc107800428"/>
      <w:bookmarkStart w:id="42" w:name="_Toc110666898"/>
      <w:bookmarkStart w:id="43" w:name="_Toc110842738"/>
      <w:bookmarkStart w:id="44" w:name="_Toc113177896"/>
      <w:bookmarkStart w:id="45" w:name="_Toc113259750"/>
      <w:bookmarkStart w:id="46" w:name="_Toc113262895"/>
      <w:bookmarkStart w:id="47" w:name="_Toc117907359"/>
      <w:bookmarkStart w:id="48" w:name="_Toc134332467"/>
      <w:bookmarkStart w:id="49" w:name="_Toc134337416"/>
      <w:bookmarkStart w:id="50" w:name="_Toc134337706"/>
      <w:bookmarkStart w:id="51" w:name="_Toc139258659"/>
      <w:bookmarkStart w:id="52" w:name="_Toc167179013"/>
      <w:bookmarkStart w:id="53" w:name="_Toc170201161"/>
      <w:bookmarkStart w:id="54" w:name="_Toc170715691"/>
      <w:bookmarkStart w:id="55" w:name="_Toc195006238"/>
      <w:bookmarkStart w:id="56" w:name="_Toc195069990"/>
      <w:r>
        <w:rPr>
          <w:rStyle w:val="CharPartNo"/>
        </w:rPr>
        <w:t>Part 2</w:t>
      </w:r>
      <w:r>
        <w:t> — </w:t>
      </w:r>
      <w:r>
        <w:rPr>
          <w:rStyle w:val="CharPartText"/>
        </w:rPr>
        <w:t>General</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Pr>
          <w:rStyle w:val="CharPartText"/>
        </w:rPr>
        <w:t xml:space="preserve"> </w:t>
      </w:r>
    </w:p>
    <w:p>
      <w:pPr>
        <w:pStyle w:val="Footnoteheading"/>
        <w:ind w:left="890"/>
        <w:rPr>
          <w:snapToGrid w:val="0"/>
        </w:rPr>
      </w:pPr>
      <w:r>
        <w:rPr>
          <w:snapToGrid w:val="0"/>
        </w:rPr>
        <w:tab/>
        <w:t>[Heading inserted in Gazette 29 Jul 1997 p. 4067.]</w:t>
      </w:r>
    </w:p>
    <w:p>
      <w:pPr>
        <w:pStyle w:val="Heading3"/>
        <w:rPr>
          <w:snapToGrid w:val="0"/>
        </w:rPr>
      </w:pPr>
      <w:bookmarkStart w:id="57" w:name="_Toc92695586"/>
      <w:bookmarkStart w:id="58" w:name="_Toc92968528"/>
      <w:bookmarkStart w:id="59" w:name="_Toc92968620"/>
      <w:bookmarkStart w:id="60" w:name="_Toc94935553"/>
      <w:bookmarkStart w:id="61" w:name="_Toc94935768"/>
      <w:bookmarkStart w:id="62" w:name="_Toc94941337"/>
      <w:bookmarkStart w:id="63" w:name="_Toc105237813"/>
      <w:bookmarkStart w:id="64" w:name="_Toc105470582"/>
      <w:bookmarkStart w:id="65" w:name="_Toc107800429"/>
      <w:bookmarkStart w:id="66" w:name="_Toc110666899"/>
      <w:bookmarkStart w:id="67" w:name="_Toc110842739"/>
      <w:bookmarkStart w:id="68" w:name="_Toc113177897"/>
      <w:bookmarkStart w:id="69" w:name="_Toc113259751"/>
      <w:bookmarkStart w:id="70" w:name="_Toc113262896"/>
      <w:bookmarkStart w:id="71" w:name="_Toc117907360"/>
      <w:bookmarkStart w:id="72" w:name="_Toc134332468"/>
      <w:bookmarkStart w:id="73" w:name="_Toc134337417"/>
      <w:bookmarkStart w:id="74" w:name="_Toc134337707"/>
      <w:bookmarkStart w:id="75" w:name="_Toc139258660"/>
      <w:bookmarkStart w:id="76" w:name="_Toc167179014"/>
      <w:bookmarkStart w:id="77" w:name="_Toc170201162"/>
      <w:bookmarkStart w:id="78" w:name="_Toc170715692"/>
      <w:bookmarkStart w:id="79" w:name="_Toc195006239"/>
      <w:bookmarkStart w:id="80" w:name="_Toc195069991"/>
      <w:r>
        <w:rPr>
          <w:rStyle w:val="CharDivNo"/>
        </w:rPr>
        <w:t>Division 1</w:t>
      </w:r>
      <w:r>
        <w:rPr>
          <w:snapToGrid w:val="0"/>
        </w:rPr>
        <w:t> — </w:t>
      </w:r>
      <w:r>
        <w:rPr>
          <w:rStyle w:val="CharDivText"/>
        </w:rPr>
        <w:t>Construction and installation of an apparatus</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r>
        <w:rPr>
          <w:rStyle w:val="CharDivText"/>
        </w:rPr>
        <w:t xml:space="preserve"> </w:t>
      </w:r>
    </w:p>
    <w:p>
      <w:pPr>
        <w:pStyle w:val="Footnoteheading"/>
        <w:ind w:left="890"/>
        <w:rPr>
          <w:snapToGrid w:val="0"/>
        </w:rPr>
      </w:pPr>
      <w:r>
        <w:rPr>
          <w:snapToGrid w:val="0"/>
        </w:rPr>
        <w:tab/>
        <w:t>[Heading inserted in Gazette 29 Jul 1997 p. 4067.]</w:t>
      </w:r>
    </w:p>
    <w:p>
      <w:pPr>
        <w:pStyle w:val="Heading5"/>
        <w:rPr>
          <w:snapToGrid w:val="0"/>
        </w:rPr>
      </w:pPr>
      <w:bookmarkStart w:id="81" w:name="_Toc47935269"/>
      <w:bookmarkStart w:id="82" w:name="_Toc113177898"/>
      <w:bookmarkStart w:id="83" w:name="_Toc195069992"/>
      <w:bookmarkStart w:id="84" w:name="_Toc170715693"/>
      <w:r>
        <w:rPr>
          <w:rStyle w:val="CharSectno"/>
        </w:rPr>
        <w:t>4</w:t>
      </w:r>
      <w:r>
        <w:rPr>
          <w:snapToGrid w:val="0"/>
        </w:rPr>
        <w:t>.</w:t>
      </w:r>
      <w:r>
        <w:rPr>
          <w:snapToGrid w:val="0"/>
        </w:rPr>
        <w:tab/>
        <w:t>Approval of the construction or installation of an apparatus by local government</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r>
      <w:r>
        <w:rPr>
          <w:snapToGrid w:val="0"/>
          <w:spacing w:val="-4"/>
        </w:rPr>
        <w:t>For the purposes of section 107(2)(a) of the Act, an apparatus is to be approved by a local government if it is intended to serve —</w:t>
      </w:r>
      <w:r>
        <w:rPr>
          <w:snapToGrid w:val="0"/>
        </w:rPr>
        <w:t> </w:t>
      </w:r>
    </w:p>
    <w:p>
      <w:pPr>
        <w:pStyle w:val="Indenta"/>
        <w:rPr>
          <w:snapToGrid w:val="0"/>
        </w:rPr>
      </w:pPr>
      <w:r>
        <w:rPr>
          <w:snapToGrid w:val="0"/>
        </w:rPr>
        <w:tab/>
        <w:t>(a)</w:t>
      </w:r>
      <w:r>
        <w:rPr>
          <w:snapToGrid w:val="0"/>
        </w:rPr>
        <w:tab/>
        <w:t>a single dwelling; or</w:t>
      </w:r>
    </w:p>
    <w:p>
      <w:pPr>
        <w:pStyle w:val="Indenta"/>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relevant local government together with —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r>
      <w:r>
        <w:rPr>
          <w:snapToGrid w:val="0"/>
          <w:spacing w:val="-4"/>
        </w:rPr>
        <w:t>Upon an application under subregulation (2), a local government shall, as soon as practicable after receiving the application —</w:t>
      </w:r>
      <w:r>
        <w:rPr>
          <w:snapToGrid w:val="0"/>
        </w:rPr>
        <w:t>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local government; and</w:t>
      </w:r>
    </w:p>
    <w:p>
      <w:pPr>
        <w:pStyle w:val="Indenti"/>
        <w:rPr>
          <w:snapToGrid w:val="0"/>
        </w:rPr>
      </w:pPr>
      <w:r>
        <w:rPr>
          <w:snapToGrid w:val="0"/>
        </w:rPr>
        <w:tab/>
        <w:t>(ii)</w:t>
      </w:r>
      <w:r>
        <w:rPr>
          <w:snapToGrid w:val="0"/>
        </w:rPr>
        <w:tab/>
        <w:t>subject to such conditions as the local government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(3a)</w:t>
      </w:r>
      <w:r>
        <w:tab/>
        <w:t>Any conditions imposed on the grant of an approval that relate to drainage plumbing work must not be inconsistent with the plumbing standards.</w:t>
      </w:r>
    </w:p>
    <w:p>
      <w:pPr>
        <w:pStyle w:val="Subsection"/>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 inserted in Gazette 29 Jul 1997 p. 4067</w:t>
      </w:r>
      <w:r>
        <w:noBreakHyphen/>
        <w:t xml:space="preserve">8; amended in Gazette 28 Jun 2004 p. 2394; 7 Jan 2005 p. 65.] </w:t>
      </w:r>
    </w:p>
    <w:p>
      <w:pPr>
        <w:pStyle w:val="Heading5"/>
        <w:rPr>
          <w:snapToGrid w:val="0"/>
        </w:rPr>
      </w:pPr>
      <w:bookmarkStart w:id="85" w:name="_Toc47935270"/>
      <w:bookmarkStart w:id="86" w:name="_Toc113177899"/>
      <w:bookmarkStart w:id="87" w:name="_Toc195069993"/>
      <w:bookmarkStart w:id="88" w:name="_Toc170715694"/>
      <w:r>
        <w:rPr>
          <w:rStyle w:val="CharSectno"/>
        </w:rPr>
        <w:t>4A</w:t>
      </w:r>
      <w:r>
        <w:rPr>
          <w:snapToGrid w:val="0"/>
        </w:rPr>
        <w:t>.</w:t>
      </w:r>
      <w:r>
        <w:rPr>
          <w:snapToGrid w:val="0"/>
        </w:rPr>
        <w:tab/>
        <w:t>Approval of the construction or installation of an apparatus by the Executive Director, Public Health</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In this regulation — </w:t>
      </w:r>
    </w:p>
    <w:p>
      <w:pPr>
        <w:pStyle w:val="Defstart"/>
        <w:rPr>
          <w:spacing w:val="-4"/>
        </w:rPr>
      </w:pPr>
      <w:r>
        <w:rPr>
          <w:b/>
        </w:rPr>
        <w:tab/>
      </w:r>
      <w:r>
        <w:rPr>
          <w:b/>
          <w:spacing w:val="-4"/>
        </w:rPr>
        <w:t>“</w:t>
      </w:r>
      <w:r>
        <w:rPr>
          <w:rStyle w:val="CharDefText"/>
        </w:rPr>
        <w:t>local government report</w:t>
      </w:r>
      <w:r>
        <w:rPr>
          <w:b/>
          <w:spacing w:val="-4"/>
        </w:rPr>
        <w:t>”</w:t>
      </w:r>
      <w:r>
        <w:rPr>
          <w:spacing w:val="-4"/>
        </w:rPr>
        <w:t>, in relation to an application for an approval under this regulation, means a report of the relevant local government setting out recommendations as to — </w:t>
      </w:r>
    </w:p>
    <w:p>
      <w:pPr>
        <w:pStyle w:val="Defpara"/>
      </w:pPr>
      <w:r>
        <w:tab/>
        <w:t>(a)</w:t>
      </w:r>
      <w:r>
        <w:tab/>
        <w:t>whether or not the approval should be granted; and</w:t>
      </w:r>
    </w:p>
    <w:p>
      <w:pPr>
        <w:pStyle w:val="Defpara"/>
      </w:pPr>
      <w:r>
        <w:tab/>
        <w:t>(b)</w:t>
      </w:r>
      <w:r>
        <w:tab/>
        <w:t>if an approval is recommended, the conditions, if any, to which the approval should be subject.</w:t>
      </w:r>
    </w:p>
    <w:p>
      <w:pPr>
        <w:pStyle w:val="Subsection"/>
        <w:rPr>
          <w:snapToGrid w:val="0"/>
        </w:rPr>
      </w:pPr>
      <w:r>
        <w:rPr>
          <w:snapToGrid w:val="0"/>
        </w:rPr>
        <w:tab/>
        <w:t>(2)</w:t>
      </w:r>
      <w:r>
        <w:rPr>
          <w:snapToGrid w:val="0"/>
        </w:rPr>
        <w:tab/>
        <w:t>For the purposes of section 107(2)(b) of the Act, an apparatus is to be approved by the Executive Director, Public Health if it is intended to serve a building that — </w:t>
      </w:r>
    </w:p>
    <w:p>
      <w:pPr>
        <w:pStyle w:val="Indenta"/>
        <w:rPr>
          <w:snapToGrid w:val="0"/>
        </w:rPr>
      </w:pPr>
      <w:r>
        <w:rPr>
          <w:snapToGrid w:val="0"/>
        </w:rPr>
        <w:tab/>
        <w:t>(a)</w:t>
      </w:r>
      <w:r>
        <w:rPr>
          <w:snapToGrid w:val="0"/>
        </w:rPr>
        <w:tab/>
        <w:t>is not a single dwelling; and</w:t>
      </w:r>
    </w:p>
    <w:p>
      <w:pPr>
        <w:pStyle w:val="Indenta"/>
        <w:rPr>
          <w:snapToGrid w:val="0"/>
        </w:rPr>
      </w:pPr>
      <w:r>
        <w:rPr>
          <w:snapToGrid w:val="0"/>
        </w:rPr>
        <w:tab/>
        <w:t>(b)</w:t>
      </w:r>
      <w:r>
        <w:rPr>
          <w:snapToGrid w:val="0"/>
        </w:rPr>
        <w:tab/>
        <w:t>produces more than 540 litres of sewage per day.</w:t>
      </w:r>
    </w:p>
    <w:p>
      <w:pPr>
        <w:pStyle w:val="Subsection"/>
        <w:rPr>
          <w:snapToGrid w:val="0"/>
        </w:rPr>
      </w:pPr>
      <w:r>
        <w:rPr>
          <w:snapToGrid w:val="0"/>
        </w:rPr>
        <w:tab/>
        <w:t>(3)</w:t>
      </w:r>
      <w:r>
        <w:rPr>
          <w:snapToGrid w:val="0"/>
        </w:rPr>
        <w:tab/>
        <w:t>A person may apply for an approval under this regulation by — </w:t>
      </w:r>
    </w:p>
    <w:p>
      <w:pPr>
        <w:pStyle w:val="Indenta"/>
        <w:rPr>
          <w:snapToGrid w:val="0"/>
        </w:rPr>
      </w:pPr>
      <w:r>
        <w:rPr>
          <w:snapToGrid w:val="0"/>
        </w:rPr>
        <w:tab/>
        <w:t>(a)</w:t>
      </w:r>
      <w:r>
        <w:rPr>
          <w:snapToGrid w:val="0"/>
        </w:rPr>
        <w:tab/>
        <w:t>completing an application in a form approved by the Executive Director, Public Health; and</w:t>
      </w:r>
    </w:p>
    <w:p>
      <w:pPr>
        <w:pStyle w:val="Indenta"/>
        <w:rPr>
          <w:snapToGrid w:val="0"/>
        </w:rPr>
      </w:pPr>
      <w:r>
        <w:rPr>
          <w:snapToGrid w:val="0"/>
        </w:rPr>
        <w:tab/>
        <w:t>(b)</w:t>
      </w:r>
      <w:r>
        <w:rPr>
          <w:snapToGrid w:val="0"/>
        </w:rPr>
        <w:tab/>
        <w:t>forwarding the application to the Executive Director, Public Health together with — </w:t>
      </w:r>
    </w:p>
    <w:p>
      <w:pPr>
        <w:pStyle w:val="Indenti"/>
        <w:rPr>
          <w:snapToGrid w:val="0"/>
        </w:rPr>
      </w:pPr>
      <w:r>
        <w:rPr>
          <w:snapToGrid w:val="0"/>
        </w:rPr>
        <w:tab/>
        <w:t>(i)</w:t>
      </w:r>
      <w:r>
        <w:rPr>
          <w:snapToGrid w:val="0"/>
        </w:rPr>
        <w:tab/>
        <w:t>any documents required under regulation 5;</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the person may make an application under subregulation (3) without forwarding to the Executive Director, Public Health a local government report.</w:t>
      </w:r>
    </w:p>
    <w:p>
      <w:pPr>
        <w:pStyle w:val="Subsection"/>
        <w:rPr>
          <w:snapToGrid w:val="0"/>
        </w:rPr>
      </w:pPr>
      <w:r>
        <w:rPr>
          <w:snapToGrid w:val="0"/>
        </w:rPr>
        <w:tab/>
        <w:t>(5)</w:t>
      </w:r>
      <w:r>
        <w:rPr>
          <w:snapToGrid w:val="0"/>
        </w:rPr>
        <w:tab/>
        <w:t>Upon an application under subregulation (3), the Executive Director, Public Health shall, as soon as practicable after receiving the application and after considering any local government report — </w:t>
      </w:r>
    </w:p>
    <w:p>
      <w:pPr>
        <w:pStyle w:val="Indenta"/>
        <w:rPr>
          <w:snapToGrid w:val="0"/>
        </w:rPr>
      </w:pPr>
      <w:r>
        <w:rPr>
          <w:snapToGrid w:val="0"/>
        </w:rPr>
        <w:tab/>
        <w:t>(a)</w:t>
      </w:r>
      <w:r>
        <w:rPr>
          <w:snapToGrid w:val="0"/>
        </w:rPr>
        <w:tab/>
        <w:t>subject to these regulations, grant the approval — </w:t>
      </w:r>
    </w:p>
    <w:p>
      <w:pPr>
        <w:pStyle w:val="Indenti"/>
        <w:rPr>
          <w:snapToGrid w:val="0"/>
        </w:rPr>
      </w:pPr>
      <w:r>
        <w:rPr>
          <w:snapToGrid w:val="0"/>
        </w:rPr>
        <w:tab/>
        <w:t>(i)</w:t>
      </w:r>
      <w:r>
        <w:rPr>
          <w:snapToGrid w:val="0"/>
        </w:rPr>
        <w:tab/>
        <w:t>in a form approved by the Executive Director, Public Health; and</w:t>
      </w:r>
    </w:p>
    <w:p>
      <w:pPr>
        <w:pStyle w:val="Indenti"/>
        <w:rPr>
          <w:snapToGrid w:val="0"/>
        </w:rPr>
      </w:pPr>
      <w:r>
        <w:rPr>
          <w:snapToGrid w:val="0"/>
        </w:rPr>
        <w:tab/>
        <w:t>(ii)</w:t>
      </w:r>
      <w:r>
        <w:rPr>
          <w:snapToGrid w:val="0"/>
        </w:rPr>
        <w:tab/>
        <w:t xml:space="preserve">subject to such conditions as the Executive Director, Public Health thinks fit;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The Executive Director, Public Health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Where the Executive Director, Public Health refuses to grant an approval under this regulation, the Executive Director, Public Health shall, as soon as practicable, provide to the person applying for the approval a written notice —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 xml:space="preserve">9; amended in Gazette 28 Jun 2004 p. 2394.] </w:t>
      </w:r>
    </w:p>
    <w:p>
      <w:pPr>
        <w:pStyle w:val="Heading5"/>
        <w:rPr>
          <w:snapToGrid w:val="0"/>
        </w:rPr>
      </w:pPr>
      <w:bookmarkStart w:id="89" w:name="_Toc47935271"/>
      <w:bookmarkStart w:id="90" w:name="_Toc113177900"/>
      <w:bookmarkStart w:id="91" w:name="_Toc195069994"/>
      <w:bookmarkStart w:id="92" w:name="_Toc170715695"/>
      <w:r>
        <w:rPr>
          <w:rStyle w:val="CharSectno"/>
        </w:rPr>
        <w:t>5</w:t>
      </w:r>
      <w:r>
        <w:rPr>
          <w:snapToGrid w:val="0"/>
        </w:rPr>
        <w:t>.</w:t>
      </w:r>
      <w:r>
        <w:rPr>
          <w:snapToGrid w:val="0"/>
        </w:rPr>
        <w:tab/>
        <w:t>Documents to accompany an application for approval</w:t>
      </w:r>
      <w:bookmarkEnd w:id="89"/>
      <w:bookmarkEnd w:id="90"/>
      <w:bookmarkEnd w:id="91"/>
      <w:bookmarkEnd w:id="92"/>
      <w:r>
        <w:rPr>
          <w:snapToGrid w:val="0"/>
        </w:rPr>
        <w:t xml:space="preserve"> </w:t>
      </w:r>
    </w:p>
    <w:p>
      <w:pPr>
        <w:pStyle w:val="Subsection"/>
        <w:rPr>
          <w:snapToGrid w:val="0"/>
        </w:rPr>
      </w:pPr>
      <w:r>
        <w:rPr>
          <w:snapToGrid w:val="0"/>
        </w:rPr>
        <w:tab/>
        <w:t>(1)</w:t>
      </w:r>
      <w:r>
        <w:rPr>
          <w:snapToGrid w:val="0"/>
        </w:rPr>
        <w:tab/>
        <w:t>An application under regulation 4 or 4A shall be accompanied by —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w:t>
      </w:r>
    </w:p>
    <w:p>
      <w:pPr>
        <w:pStyle w:val="Indenta"/>
        <w:rPr>
          <w:snapToGrid w:val="0"/>
        </w:rPr>
      </w:pPr>
      <w:r>
        <w:rPr>
          <w:snapToGrid w:val="0"/>
        </w:rPr>
        <w:tab/>
        <w:t>(b)</w:t>
      </w:r>
      <w:r>
        <w:rPr>
          <w:snapToGrid w:val="0"/>
        </w:rPr>
        <w:tab/>
        <w:t>2 copies of a site plan of the premises accurately drawn to a scale not less than 1:100, showing — </w:t>
      </w:r>
    </w:p>
    <w:p>
      <w:pPr>
        <w:pStyle w:val="Indenti"/>
        <w:rPr>
          <w:snapToGrid w:val="0"/>
        </w:rPr>
      </w:pPr>
      <w:r>
        <w:rPr>
          <w:snapToGrid w:val="0"/>
        </w:rPr>
        <w:tab/>
        <w:t>(i)</w:t>
      </w:r>
      <w:r>
        <w:rPr>
          <w:snapToGrid w:val="0"/>
        </w:rPr>
        <w:tab/>
        <w:t>the position of all buildings erected or proposed and the position of the proposed apparatus;</w:t>
      </w:r>
    </w:p>
    <w:p>
      <w:pPr>
        <w:pStyle w:val="Indenti"/>
        <w:rPr>
          <w:snapToGrid w:val="0"/>
        </w:rPr>
      </w:pPr>
      <w:r>
        <w:rPr>
          <w:snapToGrid w:val="0"/>
        </w:rPr>
        <w:tab/>
        <w:t>(ii)</w:t>
      </w:r>
      <w:r>
        <w:rPr>
          <w:snapToGrid w:val="0"/>
        </w:rPr>
        <w:tab/>
        <w:t>the position, type and proposed use of all fixtures intended to discharge into the apparatus;</w:t>
      </w:r>
    </w:p>
    <w:p>
      <w:pPr>
        <w:pStyle w:val="Indenti"/>
        <w:rPr>
          <w:snapToGrid w:val="0"/>
        </w:rPr>
      </w:pPr>
      <w:r>
        <w:rPr>
          <w:snapToGrid w:val="0"/>
        </w:rPr>
        <w:tab/>
        <w:t>(iii)</w:t>
      </w:r>
      <w:r>
        <w:rPr>
          <w:snapToGrid w:val="0"/>
        </w:rPr>
        <w:tab/>
        <w:t>the position of all drains, pipes, inspection openings, vents, traps and junctions in relation to buildings and boundaries;</w:t>
      </w:r>
    </w:p>
    <w:p>
      <w:pPr>
        <w:pStyle w:val="Indenti"/>
        <w:rPr>
          <w:snapToGrid w:val="0"/>
        </w:rPr>
      </w:pPr>
      <w:r>
        <w:rPr>
          <w:snapToGrid w:val="0"/>
        </w:rPr>
        <w:tab/>
        <w:t>(iv)</w:t>
      </w:r>
      <w:r>
        <w:rPr>
          <w:snapToGrid w:val="0"/>
        </w:rPr>
        <w:tab/>
        <w:t>the size of pipes and fittings and the fall of the drains;</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rPr>
          <w:snapToGrid w:val="0"/>
        </w:rPr>
      </w:pPr>
      <w:r>
        <w:rPr>
          <w:snapToGrid w:val="0"/>
        </w:rPr>
        <w:tab/>
      </w:r>
      <w:r>
        <w:rPr>
          <w:snapToGrid w:val="0"/>
        </w:rPr>
        <w:tab/>
        <w:t>and except where the plans refer to a building of Class 1a under the Building Code the plans shall be separate from the application form;</w:t>
      </w:r>
    </w:p>
    <w:p>
      <w:pPr>
        <w:pStyle w:val="Indenta"/>
        <w:rPr>
          <w:snapToGrid w:val="0"/>
        </w:rPr>
      </w:pPr>
      <w:r>
        <w:rPr>
          <w:snapToGrid w:val="0"/>
        </w:rPr>
        <w:tab/>
        <w:t>(c)</w:t>
      </w:r>
      <w:r>
        <w:rPr>
          <w:snapToGrid w:val="0"/>
        </w:rPr>
        <w:tab/>
        <w:t>if so requested by the approving body — </w:t>
      </w:r>
    </w:p>
    <w:p>
      <w:pPr>
        <w:pStyle w:val="Indenti"/>
        <w:rPr>
          <w:snapToGrid w:val="0"/>
        </w:rPr>
      </w:pPr>
      <w:r>
        <w:rPr>
          <w:snapToGrid w:val="0"/>
        </w:rPr>
        <w:tab/>
        <w:t>(i)</w:t>
      </w:r>
      <w:r>
        <w:rPr>
          <w:snapToGrid w:val="0"/>
        </w:rPr>
        <w:tab/>
        <w:t>a detailed architectural drawing of the proposed apparatus;</w:t>
      </w:r>
    </w:p>
    <w:p>
      <w:pPr>
        <w:pStyle w:val="Indenti"/>
        <w:rPr>
          <w:snapToGrid w:val="0"/>
        </w:rPr>
      </w:pPr>
      <w:r>
        <w:rPr>
          <w:snapToGrid w:val="0"/>
        </w:rPr>
        <w:tab/>
        <w:t>(ii)</w:t>
      </w:r>
      <w:r>
        <w:rPr>
          <w:snapToGrid w:val="0"/>
        </w:rPr>
        <w:tab/>
        <w:t>a certificate from an independent technical expert that the apparatus — </w:t>
      </w:r>
    </w:p>
    <w:p>
      <w:pPr>
        <w:pStyle w:val="IndentI0"/>
        <w:rPr>
          <w:snapToGrid w:val="0"/>
        </w:rPr>
      </w:pPr>
      <w:r>
        <w:rPr>
          <w:snapToGrid w:val="0"/>
        </w:rPr>
        <w:tab/>
        <w:t>(I)</w:t>
      </w:r>
      <w:r>
        <w:rPr>
          <w:snapToGrid w:val="0"/>
        </w:rPr>
        <w:tab/>
        <w:t>complies with these regulations or any relevant code or standard;</w:t>
      </w:r>
    </w:p>
    <w:p>
      <w:pPr>
        <w:pStyle w:val="IndentI0"/>
        <w:rPr>
          <w:snapToGrid w:val="0"/>
        </w:rPr>
      </w:pPr>
      <w:r>
        <w:rPr>
          <w:snapToGrid w:val="0"/>
        </w:rPr>
        <w:tab/>
        <w:t>(II)</w:t>
      </w:r>
      <w:r>
        <w:rPr>
          <w:snapToGrid w:val="0"/>
        </w:rPr>
        <w:tab/>
        <w:t>is capable of performing its proposed functions; and</w:t>
      </w:r>
    </w:p>
    <w:p>
      <w:pPr>
        <w:pStyle w:val="IndentI0"/>
        <w:rPr>
          <w:snapToGrid w:val="0"/>
        </w:rPr>
      </w:pPr>
      <w:r>
        <w:rPr>
          <w:snapToGrid w:val="0"/>
        </w:rPr>
        <w:tab/>
        <w:t>(III)</w:t>
      </w:r>
      <w:r>
        <w:rPr>
          <w:snapToGrid w:val="0"/>
        </w:rPr>
        <w:tab/>
        <w:t xml:space="preserve">is reliable and durable; </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 xml:space="preserve">any other information or documents relevant to the application;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rPr>
          <w:snapToGrid w:val="0"/>
        </w:rPr>
      </w:pPr>
      <w:r>
        <w:rPr>
          <w:snapToGrid w:val="0"/>
        </w:rPr>
        <w:tab/>
        <w:t>(2)</w:t>
      </w:r>
      <w:r>
        <w:rPr>
          <w:snapToGrid w:val="0"/>
        </w:rPr>
        <w:tab/>
        <w:t>Where an application for an approval is made, the approving body shall, for the duration of the life of the apparatus, retain a copy of — </w:t>
      </w:r>
    </w:p>
    <w:p>
      <w:pPr>
        <w:pStyle w:val="Indenta"/>
        <w:rPr>
          <w:snapToGrid w:val="0"/>
        </w:rPr>
      </w:pPr>
      <w:r>
        <w:rPr>
          <w:snapToGrid w:val="0"/>
        </w:rPr>
        <w:tab/>
        <w:t>(a)</w:t>
      </w:r>
      <w:r>
        <w:rPr>
          <w:snapToGrid w:val="0"/>
        </w:rPr>
        <w:tab/>
        <w:t>the application;</w:t>
      </w:r>
    </w:p>
    <w:p>
      <w:pPr>
        <w:pStyle w:val="Indenta"/>
        <w:rPr>
          <w:snapToGrid w:val="0"/>
        </w:rPr>
      </w:pPr>
      <w:r>
        <w:rPr>
          <w:snapToGrid w:val="0"/>
        </w:rPr>
        <w:tab/>
        <w:t>(b)</w:t>
      </w:r>
      <w:r>
        <w:rPr>
          <w:snapToGrid w:val="0"/>
        </w:rPr>
        <w:tab/>
        <w:t>every document forwarded with the application; and</w:t>
      </w:r>
    </w:p>
    <w:p>
      <w:pPr>
        <w:pStyle w:val="Indenta"/>
        <w:rPr>
          <w:snapToGrid w:val="0"/>
        </w:rPr>
      </w:pPr>
      <w:r>
        <w:rPr>
          <w:snapToGrid w:val="0"/>
        </w:rPr>
        <w:tab/>
        <w:t>(c)</w:t>
      </w:r>
      <w:r>
        <w:rPr>
          <w:snapToGrid w:val="0"/>
        </w:rPr>
        <w:tab/>
        <w:t>the approval.</w:t>
      </w:r>
    </w:p>
    <w:p>
      <w:pPr>
        <w:pStyle w:val="Subsection"/>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rPr>
          <w:snapToGrid w:val="0"/>
        </w:rPr>
      </w:pPr>
      <w:r>
        <w:rPr>
          <w:snapToGrid w:val="0"/>
        </w:rPr>
        <w:tab/>
        <w:t>(4)</w:t>
      </w:r>
      <w:r>
        <w:rPr>
          <w:snapToGrid w:val="0"/>
        </w:rPr>
        <w:tab/>
        <w:t>A person shall not provide false or misleading information in an application for an approval.</w:t>
      </w:r>
    </w:p>
    <w:p>
      <w:pPr>
        <w:pStyle w:val="Subsection"/>
        <w:keepNext/>
        <w:rPr>
          <w:snapToGrid w:val="0"/>
        </w:rPr>
      </w:pPr>
      <w:r>
        <w:rPr>
          <w:snapToGrid w:val="0"/>
        </w:rPr>
        <w:tab/>
        <w:t>(5)</w:t>
      </w:r>
      <w:r>
        <w:rPr>
          <w:snapToGrid w:val="0"/>
        </w:rPr>
        <w:tab/>
        <w:t>In subregulation (1)(b) — </w:t>
      </w:r>
    </w:p>
    <w:p>
      <w:pPr>
        <w:pStyle w:val="Defstart"/>
      </w:pPr>
      <w:r>
        <w:rPr>
          <w:b/>
        </w:rPr>
        <w:tab/>
        <w:t>“</w:t>
      </w:r>
      <w:r>
        <w:rPr>
          <w:rStyle w:val="CharDefText"/>
        </w:rPr>
        <w:t>Building Code</w:t>
      </w:r>
      <w:r>
        <w:rPr>
          <w:b/>
        </w:rPr>
        <w:t>”</w:t>
      </w:r>
      <w:r>
        <w:t xml:space="preserve"> means the Building Code of Australia 1996, as from time to time amended and for the time being in force, issued by the Australian Building Codes Board.</w:t>
      </w:r>
    </w:p>
    <w:p>
      <w:pPr>
        <w:pStyle w:val="Footnotesection"/>
      </w:pPr>
      <w:r>
        <w:tab/>
        <w:t>[Regulation 5 amended in Gazette 29 Jun 1984 p. 1781; 15 Dec 1989 p. 4548; 4 Sep 1992 p. 4472; 29 Jul 1997 p. 4069</w:t>
      </w:r>
      <w:r>
        <w:noBreakHyphen/>
        <w:t xml:space="preserve">70.] </w:t>
      </w:r>
    </w:p>
    <w:p>
      <w:pPr>
        <w:pStyle w:val="Heading5"/>
        <w:rPr>
          <w:snapToGrid w:val="0"/>
        </w:rPr>
      </w:pPr>
      <w:bookmarkStart w:id="93" w:name="_Toc47935272"/>
      <w:bookmarkStart w:id="94" w:name="_Toc113177901"/>
      <w:bookmarkStart w:id="95" w:name="_Toc195069995"/>
      <w:bookmarkStart w:id="96" w:name="_Toc170715696"/>
      <w:r>
        <w:rPr>
          <w:rStyle w:val="CharSectno"/>
        </w:rPr>
        <w:t>6</w:t>
      </w:r>
      <w:r>
        <w:rPr>
          <w:snapToGrid w:val="0"/>
        </w:rPr>
        <w:t>.</w:t>
      </w:r>
      <w:r>
        <w:rPr>
          <w:snapToGrid w:val="0"/>
        </w:rPr>
        <w:tab/>
        <w:t>Construction or installation under an approval to be completed within a certain time</w:t>
      </w:r>
      <w:bookmarkEnd w:id="93"/>
      <w:bookmarkEnd w:id="94"/>
      <w:bookmarkEnd w:id="95"/>
      <w:bookmarkEnd w:id="96"/>
      <w:r>
        <w:rPr>
          <w:snapToGrid w:val="0"/>
        </w:rPr>
        <w:t xml:space="preserve"> </w:t>
      </w:r>
    </w:p>
    <w:p>
      <w:pPr>
        <w:pStyle w:val="Subsection"/>
        <w:rPr>
          <w:snapToGrid w:val="0"/>
        </w:rPr>
      </w:pPr>
      <w:r>
        <w:rPr>
          <w:snapToGrid w:val="0"/>
        </w:rPr>
        <w:tab/>
        <w:t>(1)</w:t>
      </w:r>
      <w:r>
        <w:rPr>
          <w:snapToGrid w:val="0"/>
        </w:rPr>
        <w:tab/>
        <w:t>An approval shall be subject to a condition that the construction or installation to which the approval relates is completed prior to the expiration of — </w:t>
      </w:r>
    </w:p>
    <w:p>
      <w:pPr>
        <w:pStyle w:val="Indenta"/>
        <w:rPr>
          <w:snapToGrid w:val="0"/>
        </w:rPr>
      </w:pPr>
      <w:r>
        <w:rPr>
          <w:snapToGrid w:val="0"/>
        </w:rPr>
        <w:tab/>
        <w:t>(a)</w:t>
      </w:r>
      <w:r>
        <w:rPr>
          <w:snapToGrid w:val="0"/>
        </w:rPr>
        <w:tab/>
        <w:t>a period of 2 years; or</w:t>
      </w:r>
    </w:p>
    <w:p>
      <w:pPr>
        <w:pStyle w:val="Indenta"/>
        <w:rPr>
          <w:snapToGrid w:val="0"/>
        </w:rPr>
      </w:pPr>
      <w:r>
        <w:rPr>
          <w:snapToGrid w:val="0"/>
        </w:rPr>
        <w:tab/>
        <w:t>(b)</w:t>
      </w:r>
      <w:r>
        <w:rPr>
          <w:snapToGrid w:val="0"/>
        </w:rPr>
        <w:tab/>
        <w:t>any lesser period specified in the approval.</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approval is granted for the construction or installation of an apparatus;</w:t>
      </w:r>
    </w:p>
    <w:p>
      <w:pPr>
        <w:pStyle w:val="Indenta"/>
        <w:rPr>
          <w:snapToGrid w:val="0"/>
        </w:rPr>
      </w:pPr>
      <w:r>
        <w:rPr>
          <w:snapToGrid w:val="0"/>
        </w:rPr>
        <w:tab/>
        <w:t>(b)</w:t>
      </w:r>
      <w:r>
        <w:rPr>
          <w:snapToGrid w:val="0"/>
        </w:rPr>
        <w:tab/>
        <w:t>the construction or installation is commenced but is not completed within the period referred to in subregulation (1); and</w:t>
      </w:r>
    </w:p>
    <w:p>
      <w:pPr>
        <w:pStyle w:val="Indenta"/>
        <w:rPr>
          <w:snapToGrid w:val="0"/>
        </w:rPr>
      </w:pPr>
      <w:r>
        <w:rPr>
          <w:snapToGrid w:val="0"/>
        </w:rPr>
        <w:tab/>
        <w:t>(c)</w:t>
      </w:r>
      <w:r>
        <w:rPr>
          <w:snapToGrid w:val="0"/>
        </w:rPr>
        <w:tab/>
        <w:t>a fresh approval to continue the construction or installation has not been granted,</w:t>
      </w:r>
    </w:p>
    <w:p>
      <w:pPr>
        <w:pStyle w:val="Subsection"/>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 xml:space="preserve">1.] </w:t>
      </w:r>
    </w:p>
    <w:p>
      <w:pPr>
        <w:pStyle w:val="Heading5"/>
      </w:pPr>
      <w:bookmarkStart w:id="97" w:name="_Toc113177902"/>
      <w:bookmarkStart w:id="98" w:name="_Toc195069996"/>
      <w:bookmarkStart w:id="99" w:name="_Toc170715697"/>
      <w:bookmarkStart w:id="100" w:name="_Toc47935274"/>
      <w:r>
        <w:rPr>
          <w:rStyle w:val="CharSectno"/>
        </w:rPr>
        <w:t>6A</w:t>
      </w:r>
      <w:r>
        <w:t>.</w:t>
      </w:r>
      <w:r>
        <w:tab/>
        <w:t>Adoption of codes</w:t>
      </w:r>
      <w:bookmarkEnd w:id="97"/>
      <w:bookmarkEnd w:id="98"/>
      <w:bookmarkEnd w:id="99"/>
    </w:p>
    <w:p>
      <w:pPr>
        <w:pStyle w:val="Subsection"/>
        <w:keepNext/>
      </w:pPr>
      <w:r>
        <w:tab/>
        <w:t>(1)</w:t>
      </w:r>
      <w:r>
        <w:tab/>
        <w:t xml:space="preserve">Under section 344A(1) of the Act, the following codes are adopted — </w:t>
      </w:r>
    </w:p>
    <w:p>
      <w:pPr>
        <w:pStyle w:val="Indenta"/>
      </w:pPr>
      <w:r>
        <w:tab/>
        <w:t>(a)</w:t>
      </w:r>
      <w:r>
        <w:tab/>
        <w:t>“</w:t>
      </w:r>
      <w:r>
        <w:rPr>
          <w:i/>
          <w:iCs/>
        </w:rPr>
        <w:t>Code of Practice for the Design, Manufacture, Installation and Operation of Aerobic Treatment Units (ATUs) Serving Single Dwellings</w:t>
      </w:r>
      <w:r>
        <w:t xml:space="preserve">”, published by the Executive Director, Public Health in August 2001, as amended from time to time; </w:t>
      </w:r>
    </w:p>
    <w:p>
      <w:pPr>
        <w:pStyle w:val="Indenta"/>
      </w:pPr>
      <w:r>
        <w:tab/>
        <w:t>(b)</w:t>
      </w:r>
      <w:r>
        <w:tab/>
        <w:t>“</w:t>
      </w:r>
      <w:r>
        <w:rPr>
          <w:i/>
          <w:iCs/>
        </w:rPr>
        <w:t>Code of Practice for the Reuse of Greywater in Western Australia</w:t>
      </w:r>
      <w:r>
        <w:t>” published by the Executive Director, Public Health in January 2005, as amended from time to time.</w:t>
      </w:r>
    </w:p>
    <w:p>
      <w:pPr>
        <w:pStyle w:val="Subsection"/>
      </w:pPr>
      <w:r>
        <w:tab/>
        <w:t>(2)</w:t>
      </w:r>
      <w:r>
        <w:tab/>
        <w:t xml:space="preserve">For the purposes of section 344A(3) of the Act, the prescribed place is the office of the Environmental Health Directorate of the Department of Health, Grace Vaughan House, 227 Stubbs Terrace, Shenton Park, Western Australia. </w:t>
      </w:r>
    </w:p>
    <w:p>
      <w:pPr>
        <w:pStyle w:val="Footnotesection"/>
      </w:pPr>
      <w:r>
        <w:tab/>
        <w:t>[Regulation 6A inserted in Gazette 7 Jan 2005 p. 65</w:t>
      </w:r>
      <w:r>
        <w:noBreakHyphen/>
        <w:t>6.]</w:t>
      </w:r>
    </w:p>
    <w:p>
      <w:pPr>
        <w:pStyle w:val="Heading5"/>
        <w:rPr>
          <w:snapToGrid w:val="0"/>
        </w:rPr>
      </w:pPr>
      <w:bookmarkStart w:id="101" w:name="_Toc113177903"/>
      <w:bookmarkStart w:id="102" w:name="_Toc195069997"/>
      <w:bookmarkStart w:id="103" w:name="_Toc170715698"/>
      <w:r>
        <w:rPr>
          <w:rStyle w:val="CharSectno"/>
        </w:rPr>
        <w:t>7</w:t>
      </w:r>
      <w:r>
        <w:rPr>
          <w:snapToGrid w:val="0"/>
        </w:rPr>
        <w:t>.</w:t>
      </w:r>
      <w:r>
        <w:rPr>
          <w:snapToGrid w:val="0"/>
        </w:rPr>
        <w:tab/>
        <w:t>Construction and installation of an apparatus generally</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All materials, fixtures and fittings to be used in the construction </w:t>
      </w:r>
      <w:r>
        <w:t>and installation</w:t>
      </w:r>
      <w:r>
        <w:rPr>
          <w:snapToGrid w:val="0"/>
        </w:rPr>
        <w:t xml:space="preserve"> of an apparatus shall be first approved by the Executive Director, Public Health but for the purposes of this regulation, a material, fixture or fitting which has been branded in accordance with the by</w:t>
      </w:r>
      <w:r>
        <w:rPr>
          <w:snapToGrid w:val="0"/>
        </w:rPr>
        <w:noBreakHyphen/>
        <w:t xml:space="preserve">laws made under the </w:t>
      </w:r>
      <w:r>
        <w:rPr>
          <w:i/>
          <w:snapToGrid w:val="0"/>
        </w:rPr>
        <w:t>Metropolitan Water Supply, Sewerage, and Drainage Act 1909</w:t>
      </w:r>
      <w:r>
        <w:rPr>
          <w:snapToGrid w:val="0"/>
        </w:rPr>
        <w:t xml:space="preserve">, or the </w:t>
      </w:r>
      <w:r>
        <w:rPr>
          <w:i/>
          <w:snapToGrid w:val="0"/>
        </w:rPr>
        <w:t>Country Towns Sewerage Act 1948</w:t>
      </w:r>
      <w:r>
        <w:rPr>
          <w:snapToGrid w:val="0"/>
        </w:rPr>
        <w:t>, shall be deemed to have been so approved by the Executive Director, Public Health if the material, fixture or fitting bears a mark indicating that it has been inspected by a person authorised under one of those Acts or these regulations, and passed as fit for use.</w:t>
      </w:r>
    </w:p>
    <w:p>
      <w:pPr>
        <w:pStyle w:val="Subsection"/>
        <w:rPr>
          <w:snapToGrid w:val="0"/>
        </w:rPr>
      </w:pPr>
      <w:r>
        <w:rPr>
          <w:snapToGrid w:val="0"/>
        </w:rPr>
        <w:tab/>
        <w:t>(2)</w:t>
      </w:r>
      <w:r>
        <w:rPr>
          <w:snapToGrid w:val="0"/>
        </w:rPr>
        <w:tab/>
        <w:t xml:space="preserve">All materials, pipes, bends, junctions, traps, vents and apparatus shall be sound and free from defects and the </w:t>
      </w:r>
      <w:r>
        <w:rPr>
          <w:i/>
          <w:snapToGrid w:val="0"/>
        </w:rPr>
        <w:t>Metropolitan Water Supply, Sewerage and Drainage By</w:t>
      </w:r>
      <w:r>
        <w:rPr>
          <w:i/>
          <w:snapToGrid w:val="0"/>
        </w:rPr>
        <w:noBreakHyphen/>
        <w:t>laws 1981</w:t>
      </w:r>
      <w:r>
        <w:rPr>
          <w:snapToGrid w:val="0"/>
        </w:rPr>
        <w:t xml:space="preserve">, and the </w:t>
      </w:r>
      <w:r>
        <w:rPr>
          <w:i/>
          <w:snapToGrid w:val="0"/>
        </w:rPr>
        <w:t>Country Towns Sewerage By</w:t>
      </w:r>
      <w:r>
        <w:rPr>
          <w:i/>
          <w:snapToGrid w:val="0"/>
        </w:rPr>
        <w:noBreakHyphen/>
        <w:t>laws 1952</w:t>
      </w:r>
      <w:r>
        <w:rPr>
          <w:snapToGrid w:val="0"/>
        </w:rPr>
        <w:t xml:space="preserve"> apply to them in addition to these regulations.</w:t>
      </w:r>
    </w:p>
    <w:p>
      <w:pPr>
        <w:pStyle w:val="Subsection"/>
      </w:pPr>
      <w:r>
        <w:tab/>
        <w:t>(3)</w:t>
      </w:r>
      <w:r>
        <w:tab/>
        <w:t>An apparatus of a kind to which an adopted Code applies must be of a design and manufacture that complies with that Code.</w:t>
      </w:r>
    </w:p>
    <w:p>
      <w:pPr>
        <w:pStyle w:val="Subsection"/>
        <w:rPr>
          <w:snapToGrid w:val="0"/>
        </w:rPr>
      </w:pPr>
      <w:r>
        <w:rPr>
          <w:snapToGrid w:val="0"/>
        </w:rPr>
        <w:tab/>
        <w:t>(4)</w:t>
      </w:r>
      <w:r>
        <w:rPr>
          <w:snapToGrid w:val="0"/>
        </w:rPr>
        <w:tab/>
        <w:t>An apparatus shall be constructed and installed to a trade finish.</w:t>
      </w:r>
    </w:p>
    <w:p>
      <w:pPr>
        <w:pStyle w:val="Footnotesection"/>
      </w:pPr>
      <w:r>
        <w:tab/>
        <w:t xml:space="preserve">[Regulation 7 amended in Gazette 29 Jun 1984 p. 1781; 4 Sep 1992 p. 4472; 29 Jul 1997 p. 4071; 6 Nov 2001 p. 5839; 7 Jan 2005 p. 66.] </w:t>
      </w:r>
    </w:p>
    <w:p>
      <w:pPr>
        <w:pStyle w:val="Heading5"/>
      </w:pPr>
      <w:bookmarkStart w:id="104" w:name="_Toc113177904"/>
      <w:bookmarkStart w:id="105" w:name="_Toc195069998"/>
      <w:bookmarkStart w:id="106" w:name="_Toc170715699"/>
      <w:bookmarkStart w:id="107" w:name="_Toc47935276"/>
      <w:r>
        <w:rPr>
          <w:rStyle w:val="CharSectno"/>
        </w:rPr>
        <w:t>7A</w:t>
      </w:r>
      <w:r>
        <w:t>.</w:t>
      </w:r>
      <w:r>
        <w:tab/>
        <w:t>Compliance with adopted Codes</w:t>
      </w:r>
      <w:bookmarkEnd w:id="104"/>
      <w:bookmarkEnd w:id="105"/>
      <w:bookmarkEnd w:id="106"/>
      <w:r>
        <w:t xml:space="preserve"> </w:t>
      </w:r>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108" w:name="_Toc113177905"/>
      <w:bookmarkStart w:id="109" w:name="_Toc195069999"/>
      <w:bookmarkStart w:id="110" w:name="_Toc170715700"/>
      <w:r>
        <w:rPr>
          <w:rStyle w:val="CharSectno"/>
        </w:rPr>
        <w:t>8</w:t>
      </w:r>
      <w:r>
        <w:rPr>
          <w:snapToGrid w:val="0"/>
        </w:rPr>
        <w:t>.</w:t>
      </w:r>
      <w:r>
        <w:rPr>
          <w:snapToGrid w:val="0"/>
        </w:rPr>
        <w:tab/>
        <w:t>Educt and back vents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 xml:space="preserve">[Regulation 8 amended in Gazette 15 Dec 1989 p. 4548; 4 Sep 1992 p. 4473; 29 Jul 1997 p. 4071; 7 Jan 2005 p. 66.] </w:t>
      </w:r>
    </w:p>
    <w:p>
      <w:pPr>
        <w:pStyle w:val="Heading5"/>
        <w:rPr>
          <w:snapToGrid w:val="0"/>
        </w:rPr>
      </w:pPr>
      <w:bookmarkStart w:id="111" w:name="_Toc47935277"/>
      <w:bookmarkStart w:id="112" w:name="_Toc113177906"/>
      <w:bookmarkStart w:id="113" w:name="_Toc195070000"/>
      <w:bookmarkStart w:id="114" w:name="_Toc170715701"/>
      <w:r>
        <w:rPr>
          <w:rStyle w:val="CharSectno"/>
        </w:rPr>
        <w:t>8A</w:t>
      </w:r>
      <w:r>
        <w:rPr>
          <w:snapToGrid w:val="0"/>
        </w:rPr>
        <w:t>.</w:t>
      </w:r>
      <w:r>
        <w:rPr>
          <w:snapToGrid w:val="0"/>
        </w:rPr>
        <w:tab/>
        <w:t>Location of a septic tank</w:t>
      </w:r>
      <w:bookmarkEnd w:id="111"/>
      <w:bookmarkEnd w:id="112"/>
      <w:bookmarkEnd w:id="113"/>
      <w:bookmarkEnd w:id="114"/>
      <w:r>
        <w:rPr>
          <w:snapToGrid w:val="0"/>
        </w:rPr>
        <w:t xml:space="preserve"> </w:t>
      </w:r>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 xml:space="preserve">[Regulation 8A inserted in Gazette 29 Jul 1997 p. 4071.] </w:t>
      </w:r>
    </w:p>
    <w:p>
      <w:pPr>
        <w:pStyle w:val="Heading3"/>
        <w:rPr>
          <w:snapToGrid w:val="0"/>
        </w:rPr>
      </w:pPr>
      <w:bookmarkStart w:id="115" w:name="_Toc92695596"/>
      <w:bookmarkStart w:id="116" w:name="_Toc92968538"/>
      <w:bookmarkStart w:id="117" w:name="_Toc92968630"/>
      <w:bookmarkStart w:id="118" w:name="_Toc94935565"/>
      <w:bookmarkStart w:id="119" w:name="_Toc94935780"/>
      <w:bookmarkStart w:id="120" w:name="_Toc94941347"/>
      <w:bookmarkStart w:id="121" w:name="_Toc105237823"/>
      <w:bookmarkStart w:id="122" w:name="_Toc105470592"/>
      <w:bookmarkStart w:id="123" w:name="_Toc107800439"/>
      <w:bookmarkStart w:id="124" w:name="_Toc110666909"/>
      <w:bookmarkStart w:id="125" w:name="_Toc110842749"/>
      <w:bookmarkStart w:id="126" w:name="_Toc113177907"/>
      <w:bookmarkStart w:id="127" w:name="_Toc113259761"/>
      <w:bookmarkStart w:id="128" w:name="_Toc113262906"/>
      <w:bookmarkStart w:id="129" w:name="_Toc117907370"/>
      <w:bookmarkStart w:id="130" w:name="_Toc134332478"/>
      <w:bookmarkStart w:id="131" w:name="_Toc134337427"/>
      <w:bookmarkStart w:id="132" w:name="_Toc134337717"/>
      <w:bookmarkStart w:id="133" w:name="_Toc139258670"/>
      <w:bookmarkStart w:id="134" w:name="_Toc167179024"/>
      <w:bookmarkStart w:id="135" w:name="_Toc170201172"/>
      <w:bookmarkStart w:id="136" w:name="_Toc170715702"/>
      <w:bookmarkStart w:id="137" w:name="_Toc195006249"/>
      <w:bookmarkStart w:id="138" w:name="_Toc195070001"/>
      <w:r>
        <w:rPr>
          <w:rStyle w:val="CharDivNo"/>
        </w:rPr>
        <w:t>Division 2</w:t>
      </w:r>
      <w:r>
        <w:rPr>
          <w:snapToGrid w:val="0"/>
        </w:rPr>
        <w:t> — </w:t>
      </w:r>
      <w:r>
        <w:rPr>
          <w:rStyle w:val="CharDivText"/>
        </w:rPr>
        <w:t>Use of an apparatus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DivText"/>
        </w:rPr>
        <w:t xml:space="preserve"> </w:t>
      </w:r>
    </w:p>
    <w:p>
      <w:pPr>
        <w:pStyle w:val="Footnoteheading"/>
        <w:keepNext/>
        <w:ind w:left="890"/>
        <w:rPr>
          <w:snapToGrid w:val="0"/>
        </w:rPr>
      </w:pPr>
      <w:r>
        <w:rPr>
          <w:snapToGrid w:val="0"/>
        </w:rPr>
        <w:tab/>
        <w:t xml:space="preserve">[Division heading inserted in Gazette 29 Jul 1997 p. 4072.] </w:t>
      </w:r>
    </w:p>
    <w:p>
      <w:pPr>
        <w:pStyle w:val="Footnoteheading"/>
        <w:keepNext/>
        <w:ind w:left="890"/>
      </w:pPr>
      <w:r>
        <w:rPr>
          <w:snapToGrid w:val="0"/>
        </w:rPr>
        <w:tab/>
        <w:t>[Heading deleted</w:t>
      </w:r>
      <w:r>
        <w:t xml:space="preserve"> in Gazette 5 Sep 1997 p. 5037.]</w:t>
      </w:r>
    </w:p>
    <w:p>
      <w:pPr>
        <w:pStyle w:val="Heading5"/>
      </w:pPr>
      <w:bookmarkStart w:id="139" w:name="_Toc113177908"/>
      <w:bookmarkStart w:id="140" w:name="_Toc195070002"/>
      <w:bookmarkStart w:id="141" w:name="_Toc170715703"/>
      <w:bookmarkStart w:id="142" w:name="_Toc47935279"/>
      <w:r>
        <w:rPr>
          <w:rStyle w:val="CharSectno"/>
        </w:rPr>
        <w:t>9</w:t>
      </w:r>
      <w:r>
        <w:t>.</w:t>
      </w:r>
      <w:r>
        <w:tab/>
        <w:t>Notice of completion</w:t>
      </w:r>
      <w:bookmarkEnd w:id="139"/>
      <w:bookmarkEnd w:id="140"/>
      <w:bookmarkEnd w:id="141"/>
      <w:r>
        <w:t xml:space="preserve"> </w:t>
      </w:r>
    </w:p>
    <w:p>
      <w:pPr>
        <w:pStyle w:val="Subsection"/>
      </w:pPr>
      <w:r>
        <w:tab/>
      </w:r>
      <w:r>
        <w:tab/>
        <w:t xml:space="preserve">A person who constructs or installs an apparatus must forthwith after the construction or installation is completed, give to the local government a notice — </w:t>
      </w:r>
    </w:p>
    <w:p>
      <w:pPr>
        <w:pStyle w:val="Indenta"/>
      </w:pPr>
      <w:r>
        <w:tab/>
        <w:t>(a)</w:t>
      </w:r>
      <w:r>
        <w:tab/>
        <w:t xml:space="preserve">stating that construction or installation of the apparatus has been completed; and </w:t>
      </w:r>
    </w:p>
    <w:p>
      <w:pPr>
        <w:pStyle w:val="Indenta"/>
      </w:pPr>
      <w:r>
        <w:tab/>
        <w:t>(b)</w:t>
      </w:r>
      <w:r>
        <w:tab/>
        <w:t>if the apparatus is of a kind to which an adopted Code applies, certifying that the construction or installation of the apparatus complies with that Code.</w:t>
      </w:r>
    </w:p>
    <w:p>
      <w:pPr>
        <w:pStyle w:val="Footnotesection"/>
      </w:pPr>
      <w:r>
        <w:tab/>
        <w:t>[Regulation 9 inserted in Gazette 7 Jan 2005 p. 66</w:t>
      </w:r>
      <w:r>
        <w:noBreakHyphen/>
        <w:t>7.]</w:t>
      </w:r>
    </w:p>
    <w:bookmarkEnd w:id="142"/>
    <w:p>
      <w:pPr>
        <w:pStyle w:val="Ednotesection"/>
      </w:pPr>
      <w:r>
        <w:t>[</w:t>
      </w:r>
      <w:r>
        <w:rPr>
          <w:b/>
          <w:bCs/>
        </w:rPr>
        <w:t>9A.</w:t>
      </w:r>
      <w:r>
        <w:tab/>
        <w:t>Repealed in Gazette 7 Jan 2005 p. 67.]</w:t>
      </w:r>
    </w:p>
    <w:p>
      <w:pPr>
        <w:pStyle w:val="Heading5"/>
        <w:rPr>
          <w:snapToGrid w:val="0"/>
        </w:rPr>
      </w:pPr>
      <w:bookmarkStart w:id="143" w:name="_Toc47935280"/>
      <w:bookmarkStart w:id="144" w:name="_Toc113177909"/>
      <w:bookmarkStart w:id="145" w:name="_Toc195070003"/>
      <w:bookmarkStart w:id="146" w:name="_Toc170715704"/>
      <w:r>
        <w:rPr>
          <w:rStyle w:val="CharSectno"/>
        </w:rPr>
        <w:t>10</w:t>
      </w:r>
      <w:r>
        <w:rPr>
          <w:snapToGrid w:val="0"/>
        </w:rPr>
        <w:t>.</w:t>
      </w:r>
      <w:r>
        <w:rPr>
          <w:snapToGrid w:val="0"/>
        </w:rPr>
        <w:tab/>
        <w:t>Permit to use an apparatus</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Where a local government receives a notification under regulation 9, the local government shall, as soon as practicable after receiving that notification, arrange for the apparatus to be inspected by an environmental health officer to ensure that the apparatus conforms with —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 </w:t>
      </w:r>
    </w:p>
    <w:p>
      <w:pPr>
        <w:pStyle w:val="Indenta"/>
        <w:rPr>
          <w:snapToGrid w:val="0"/>
        </w:rPr>
      </w:pPr>
      <w:r>
        <w:rPr>
          <w:snapToGrid w:val="0"/>
        </w:rPr>
        <w:tab/>
        <w:t>(a)</w:t>
      </w:r>
      <w:r>
        <w:rPr>
          <w:snapToGrid w:val="0"/>
        </w:rPr>
        <w:tab/>
        <w:t>an environmental health officer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rPr>
          <w:snapToGrid w:val="0"/>
        </w:rPr>
      </w:pPr>
      <w:r>
        <w:rPr>
          <w:snapToGrid w:val="0"/>
        </w:rPr>
        <w:tab/>
      </w:r>
      <w:r>
        <w:rPr>
          <w:snapToGrid w:val="0"/>
        </w:rPr>
        <w:tab/>
        <w:t>the local government shall grant to the owner, in a form approved by the Executive Director, Public Health, a permit to use the apparatus.</w:t>
      </w:r>
    </w:p>
    <w:p>
      <w:pPr>
        <w:pStyle w:val="Subsection"/>
      </w:pPr>
      <w:r>
        <w:tab/>
        <w:t>(2a)</w:t>
      </w:r>
      <w:r>
        <w:tab/>
        <w:t>If the local government has received a certificate of compliance that covers the drainage plumbing work connected to the apparatus, the environmental health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Where an environmental health officer inspects an apparatus under this regulation and is not satisfied that the apparatus conforms with these regulations or the approval, the environmental health officer shall — </w:t>
      </w:r>
    </w:p>
    <w:p>
      <w:pPr>
        <w:pStyle w:val="Indenta"/>
        <w:rPr>
          <w:snapToGrid w:val="0"/>
        </w:rPr>
      </w:pPr>
      <w:r>
        <w:rPr>
          <w:snapToGrid w:val="0"/>
        </w:rPr>
        <w:tab/>
        <w:t>(a)</w:t>
      </w:r>
      <w:r>
        <w:rPr>
          <w:snapToGrid w:val="0"/>
        </w:rPr>
        <w:tab/>
      </w:r>
      <w:r>
        <w:rPr>
          <w:snapToGrid w:val="0"/>
          <w:spacing w:val="-4"/>
        </w:rPr>
        <w:t>advise the owner as to what corrective works are necessary to ensure that the apparatus does so conform; and</w:t>
      </w:r>
    </w:p>
    <w:p>
      <w:pPr>
        <w:pStyle w:val="Indenta"/>
        <w:rPr>
          <w:snapToGrid w:val="0"/>
        </w:rPr>
      </w:pPr>
      <w:r>
        <w:rPr>
          <w:snapToGrid w:val="0"/>
        </w:rPr>
        <w:tab/>
        <w:t>(b)</w:t>
      </w:r>
      <w:r>
        <w:rPr>
          <w:snapToGrid w:val="0"/>
        </w:rPr>
        <w:tab/>
        <w:t>arrange for a further inspection of the apparatus by an environmental health officer within a period that allows the owner to undertake practicably the corrective works.</w:t>
      </w:r>
    </w:p>
    <w:p>
      <w:pPr>
        <w:pStyle w:val="Subsection"/>
        <w:rPr>
          <w:snapToGrid w:val="0"/>
        </w:rPr>
      </w:pPr>
      <w:r>
        <w:rPr>
          <w:snapToGrid w:val="0"/>
        </w:rPr>
        <w:tab/>
        <w:t>(4)</w:t>
      </w:r>
      <w:r>
        <w:rPr>
          <w:snapToGrid w:val="0"/>
        </w:rPr>
        <w:tab/>
        <w:t>Where an environmental health officer inspects an apparatus under subregulation (3)(b) and is not satisfied that the necessary corrective works have been undertaken — </w:t>
      </w:r>
    </w:p>
    <w:p>
      <w:pPr>
        <w:pStyle w:val="Indenta"/>
        <w:rPr>
          <w:snapToGrid w:val="0"/>
        </w:rPr>
      </w:pPr>
      <w:r>
        <w:rPr>
          <w:snapToGrid w:val="0"/>
        </w:rPr>
        <w:tab/>
        <w:t>(a)</w:t>
      </w:r>
      <w:r>
        <w:rPr>
          <w:snapToGrid w:val="0"/>
        </w:rPr>
        <w:tab/>
        <w:t>the environmental health officer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rPr>
          <w:snapToGrid w:val="0"/>
        </w:rPr>
      </w:pPr>
      <w:r>
        <w:rPr>
          <w:snapToGrid w:val="0"/>
        </w:rPr>
        <w:tab/>
        <w:t>(6)</w:t>
      </w:r>
      <w:r>
        <w:rPr>
          <w:snapToGrid w:val="0"/>
        </w:rPr>
        <w:tab/>
        <w:t>In subregulation (5) — </w:t>
      </w:r>
    </w:p>
    <w:p>
      <w:pPr>
        <w:pStyle w:val="Defstart"/>
      </w:pPr>
      <w:r>
        <w:rPr>
          <w:b/>
        </w:rPr>
        <w:tab/>
        <w:t>“</w:t>
      </w:r>
      <w:r>
        <w:rPr>
          <w:rStyle w:val="CharDefText"/>
        </w:rPr>
        <w:t>prescribed time</w:t>
      </w:r>
      <w:r>
        <w:rPr>
          <w:b/>
        </w:rPr>
        <w:t>”</w:t>
      </w:r>
      <w:r>
        <w:t xml:space="preserve"> means — </w:t>
      </w:r>
    </w:p>
    <w:p>
      <w:pPr>
        <w:pStyle w:val="Defpara"/>
      </w:pPr>
      <w:r>
        <w:tab/>
        <w:t>(a)</w:t>
      </w:r>
      <w:r>
        <w:tab/>
        <w:t>in the case where the owner has not, within 14 days of receiving notice of the requirement — </w:t>
      </w:r>
    </w:p>
    <w:p>
      <w:pPr>
        <w:pStyle w:val="Defsubpara"/>
        <w:rPr>
          <w:snapToGrid w:val="0"/>
        </w:rPr>
      </w:pPr>
      <w:r>
        <w:rPr>
          <w:snapToGrid w:val="0"/>
        </w:rPr>
        <w:tab/>
        <w:t>(i)</w:t>
      </w:r>
      <w:r>
        <w:rPr>
          <w:snapToGrid w:val="0"/>
        </w:rPr>
        <w:tab/>
        <w:t>made an application under regulation 22 for a review of the requirement; or</w:t>
      </w:r>
    </w:p>
    <w:p>
      <w:pPr>
        <w:pStyle w:val="Defsubpara"/>
        <w:rPr>
          <w:snapToGrid w:val="0"/>
        </w:rPr>
      </w:pPr>
      <w:r>
        <w:rPr>
          <w:snapToGrid w:val="0"/>
        </w:rPr>
        <w:tab/>
        <w:t>(ii)</w:t>
      </w:r>
      <w:r>
        <w:rPr>
          <w:snapToGrid w:val="0"/>
        </w:rPr>
        <w:tab/>
        <w:t>made an application for a review of the decision under section 36 of the Act,</w:t>
      </w:r>
    </w:p>
    <w:p>
      <w:pPr>
        <w:pStyle w:val="Defpara"/>
      </w:pPr>
      <w:r>
        <w:tab/>
      </w:r>
      <w:r>
        <w:tab/>
        <w:t>as soon as practicable after the owner receives notice of the requirement;</w:t>
      </w:r>
    </w:p>
    <w:p>
      <w:pPr>
        <w:pStyle w:val="Defpara"/>
      </w:pPr>
      <w:r>
        <w:tab/>
        <w:t>(b)</w:t>
      </w:r>
      <w:r>
        <w:tab/>
        <w:t>in the case where the owner has, within 14 days of the requirement, made an application under regulation 22 for a review of the requirement, as soon as practicable after the local government has — </w:t>
      </w:r>
    </w:p>
    <w:p>
      <w:pPr>
        <w:pStyle w:val="Defsubpara"/>
        <w:rPr>
          <w:snapToGrid w:val="0"/>
        </w:rPr>
      </w:pPr>
      <w:r>
        <w:rPr>
          <w:snapToGrid w:val="0"/>
        </w:rPr>
        <w:tab/>
        <w:t>(i)</w:t>
      </w:r>
      <w:r>
        <w:rPr>
          <w:snapToGrid w:val="0"/>
        </w:rPr>
        <w:tab/>
        <w:t>determined that application; and</w:t>
      </w:r>
    </w:p>
    <w:p>
      <w:pPr>
        <w:pStyle w:val="Defsubpara"/>
        <w:rPr>
          <w:snapToGrid w:val="0"/>
        </w:rPr>
      </w:pPr>
      <w:r>
        <w:rPr>
          <w:snapToGrid w:val="0"/>
        </w:rPr>
        <w:tab/>
        <w:t>(ii)</w:t>
      </w:r>
      <w:r>
        <w:rPr>
          <w:snapToGrid w:val="0"/>
        </w:rPr>
        <w:tab/>
        <w:t xml:space="preserve">provided to the owner written notification of that determination; </w:t>
      </w:r>
    </w:p>
    <w:p>
      <w:pPr>
        <w:pStyle w:val="Defpara"/>
      </w:pPr>
      <w:r>
        <w:tab/>
      </w:r>
      <w:r>
        <w:tab/>
        <w:t>or</w:t>
      </w:r>
    </w:p>
    <w:p>
      <w:pPr>
        <w:pStyle w:val="Defpara"/>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pPr>
      <w:r>
        <w:tab/>
        <w:t>[Regulation 10 inserted in Gazette 29 Jul 1997 p. 4072</w:t>
      </w:r>
      <w:r>
        <w:noBreakHyphen/>
        <w:t xml:space="preserve">3; amended in Gazette 25 Jun 2004 p. 2241; 28 Jun 2004 p. 2395; 30 Dec 2004 p. 6937-8.] </w:t>
      </w:r>
    </w:p>
    <w:p>
      <w:pPr>
        <w:pStyle w:val="Heading5"/>
        <w:rPr>
          <w:snapToGrid w:val="0"/>
        </w:rPr>
      </w:pPr>
      <w:bookmarkStart w:id="147" w:name="_Toc47935281"/>
      <w:bookmarkStart w:id="148" w:name="_Toc113177910"/>
      <w:bookmarkStart w:id="149" w:name="_Toc195070004"/>
      <w:bookmarkStart w:id="150" w:name="_Toc170715705"/>
      <w:r>
        <w:rPr>
          <w:rStyle w:val="CharSectno"/>
        </w:rPr>
        <w:t>11</w:t>
      </w:r>
      <w:r>
        <w:rPr>
          <w:snapToGrid w:val="0"/>
        </w:rPr>
        <w:t>.</w:t>
      </w:r>
      <w:r>
        <w:rPr>
          <w:snapToGrid w:val="0"/>
        </w:rPr>
        <w:tab/>
        <w:t>Preparation of an apparatus for inspection</w:t>
      </w:r>
      <w:bookmarkEnd w:id="147"/>
      <w:bookmarkEnd w:id="148"/>
      <w:bookmarkEnd w:id="149"/>
      <w:bookmarkEnd w:id="150"/>
      <w:r>
        <w:rPr>
          <w:snapToGrid w:val="0"/>
        </w:rPr>
        <w:t xml:space="preserve"> </w:t>
      </w:r>
    </w:p>
    <w:p>
      <w:pPr>
        <w:pStyle w:val="Subsection"/>
        <w:rPr>
          <w:snapToGrid w:val="0"/>
        </w:rPr>
      </w:pPr>
      <w:r>
        <w:rPr>
          <w:snapToGrid w:val="0"/>
        </w:rPr>
        <w:tab/>
      </w:r>
      <w:r>
        <w:rPr>
          <w:snapToGrid w:val="0"/>
        </w:rPr>
        <w:tab/>
        <w:t>A person who gives notice to the local government in accordance with regulation 9 shall prepare the apparatus for an inspection under regulation 10 at the time set by the local government or an environmental health officer, and in particular shall — </w:t>
      </w:r>
    </w:p>
    <w:p>
      <w:pPr>
        <w:pStyle w:val="Indenta"/>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pPr>
      <w:r>
        <w:tab/>
        <w:t xml:space="preserve">[Regulation 11 amended in Gazette 29 Jul 1997 p. 4073 and 4082.] </w:t>
      </w:r>
    </w:p>
    <w:p>
      <w:pPr>
        <w:pStyle w:val="Ednotesection"/>
      </w:pPr>
      <w:r>
        <w:tab/>
        <w:t>[Heading deleted in Gazette 29 Jul 1997 p. 4082.]</w:t>
      </w:r>
    </w:p>
    <w:p>
      <w:pPr>
        <w:pStyle w:val="Heading5"/>
        <w:rPr>
          <w:snapToGrid w:val="0"/>
        </w:rPr>
      </w:pPr>
      <w:bookmarkStart w:id="151" w:name="_Toc47935282"/>
      <w:bookmarkStart w:id="152" w:name="_Toc113177911"/>
      <w:bookmarkStart w:id="153" w:name="_Toc195070005"/>
      <w:bookmarkStart w:id="154" w:name="_Toc170715706"/>
      <w:r>
        <w:rPr>
          <w:rStyle w:val="CharSectno"/>
        </w:rPr>
        <w:t>12</w:t>
      </w:r>
      <w:r>
        <w:rPr>
          <w:snapToGrid w:val="0"/>
        </w:rPr>
        <w:t>.</w:t>
      </w:r>
      <w:r>
        <w:rPr>
          <w:snapToGrid w:val="0"/>
        </w:rPr>
        <w:tab/>
        <w:t>Testing an apparatus</w:t>
      </w:r>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Where an environmental health officer inspects an apparatus under subregulation 10, the environmental health officer may submit the apparatus to —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such other tests as the environmental health officer or the local government thinks fit.</w:t>
      </w:r>
    </w:p>
    <w:p>
      <w:pPr>
        <w:pStyle w:val="Footnotesection"/>
      </w:pPr>
      <w:r>
        <w:tab/>
        <w:t xml:space="preserve">[Regulation 12 inserted in Gazette 29 Jul 1997 p. 4074.] </w:t>
      </w:r>
    </w:p>
    <w:p>
      <w:pPr>
        <w:pStyle w:val="Heading5"/>
        <w:rPr>
          <w:snapToGrid w:val="0"/>
        </w:rPr>
      </w:pPr>
      <w:bookmarkStart w:id="155" w:name="_Toc47935283"/>
      <w:bookmarkStart w:id="156" w:name="_Toc113177912"/>
      <w:bookmarkStart w:id="157" w:name="_Toc195070006"/>
      <w:bookmarkStart w:id="158" w:name="_Toc170715707"/>
      <w:r>
        <w:rPr>
          <w:rStyle w:val="CharSectno"/>
        </w:rPr>
        <w:t>13</w:t>
      </w:r>
      <w:r>
        <w:rPr>
          <w:snapToGrid w:val="0"/>
        </w:rPr>
        <w:t>.</w:t>
      </w:r>
      <w:r>
        <w:rPr>
          <w:snapToGrid w:val="0"/>
        </w:rPr>
        <w:tab/>
        <w:t>Equipment, material, power and labour for an inspection</w:t>
      </w:r>
      <w:bookmarkEnd w:id="155"/>
      <w:bookmarkEnd w:id="156"/>
      <w:bookmarkEnd w:id="157"/>
      <w:bookmarkEnd w:id="158"/>
      <w:r>
        <w:rPr>
          <w:snapToGrid w:val="0"/>
        </w:rPr>
        <w:t xml:space="preserve"> </w:t>
      </w:r>
    </w:p>
    <w:p>
      <w:pPr>
        <w:pStyle w:val="Subsection"/>
        <w:rPr>
          <w:snapToGrid w:val="0"/>
        </w:rPr>
      </w:pPr>
      <w:r>
        <w:rPr>
          <w:snapToGrid w:val="0"/>
        </w:rPr>
        <w:tab/>
      </w:r>
      <w:r>
        <w:rPr>
          <w:snapToGrid w:val="0"/>
        </w:rPr>
        <w:tab/>
        <w:t>The equipment, material, power and labour required by an environmental health officer for an inspection under regulation 10 and any tests under regulation 12 shall be furnished by the owner.</w:t>
      </w:r>
    </w:p>
    <w:p>
      <w:pPr>
        <w:pStyle w:val="Footnotesection"/>
      </w:pPr>
      <w:r>
        <w:tab/>
        <w:t xml:space="preserve">[Regulation 13 amended in Gazette 29 Jul 1997 p. 4074.] </w:t>
      </w:r>
    </w:p>
    <w:p>
      <w:pPr>
        <w:pStyle w:val="Ednotesection"/>
      </w:pPr>
      <w:bookmarkStart w:id="159" w:name="_Toc47935285"/>
      <w:r>
        <w:t>[</w:t>
      </w:r>
      <w:r>
        <w:rPr>
          <w:b/>
        </w:rPr>
        <w:t>14.</w:t>
      </w:r>
      <w:r>
        <w:tab/>
        <w:t>Repealed in Gazette 25 Jun 2004 p. 2241.]</w:t>
      </w:r>
    </w:p>
    <w:p>
      <w:pPr>
        <w:pStyle w:val="Footnoteheading"/>
        <w:spacing w:before="220"/>
        <w:ind w:left="890"/>
      </w:pPr>
      <w:r>
        <w:tab/>
        <w:t xml:space="preserve">[Heading deleted </w:t>
      </w:r>
      <w:r>
        <w:rPr>
          <w:snapToGrid w:val="0"/>
        </w:rPr>
        <w:t>in</w:t>
      </w:r>
      <w:r>
        <w:t xml:space="preserve"> Gazette 29 Jul 1997 p. 4082.]</w:t>
      </w:r>
    </w:p>
    <w:p>
      <w:pPr>
        <w:pStyle w:val="Heading5"/>
        <w:spacing w:before="180"/>
        <w:rPr>
          <w:snapToGrid w:val="0"/>
        </w:rPr>
      </w:pPr>
      <w:bookmarkStart w:id="160" w:name="_Toc113177913"/>
      <w:bookmarkStart w:id="161" w:name="_Toc195070007"/>
      <w:bookmarkStart w:id="162" w:name="_Toc170715708"/>
      <w:r>
        <w:rPr>
          <w:rStyle w:val="CharSectno"/>
        </w:rPr>
        <w:t>15</w:t>
      </w:r>
      <w:r>
        <w:rPr>
          <w:snapToGrid w:val="0"/>
        </w:rPr>
        <w:t>.</w:t>
      </w:r>
      <w:r>
        <w:rPr>
          <w:snapToGrid w:val="0"/>
        </w:rPr>
        <w:tab/>
        <w:t>Wastes from business or industry</w:t>
      </w:r>
      <w:bookmarkEnd w:id="159"/>
      <w:bookmarkEnd w:id="160"/>
      <w:bookmarkEnd w:id="161"/>
      <w:bookmarkEnd w:id="162"/>
      <w:r>
        <w:rPr>
          <w:snapToGrid w:val="0"/>
        </w:rPr>
        <w:t xml:space="preserve"> </w:t>
      </w:r>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 xml:space="preserve">[Regulation 15 amended in Gazette 29 Jun 1984 p. 1781; 29 Jul 1997 p. 4075 and 4082; 5 Sep 1997 p. 5037.] </w:t>
      </w:r>
    </w:p>
    <w:p>
      <w:pPr>
        <w:pStyle w:val="Heading5"/>
        <w:rPr>
          <w:snapToGrid w:val="0"/>
        </w:rPr>
      </w:pPr>
      <w:bookmarkStart w:id="163" w:name="_Toc47935286"/>
      <w:bookmarkStart w:id="164" w:name="_Toc113177914"/>
      <w:bookmarkStart w:id="165" w:name="_Toc195070008"/>
      <w:bookmarkStart w:id="166" w:name="_Toc170715709"/>
      <w:r>
        <w:rPr>
          <w:rStyle w:val="CharSectno"/>
        </w:rPr>
        <w:t>16</w:t>
      </w:r>
      <w:r>
        <w:rPr>
          <w:snapToGrid w:val="0"/>
        </w:rPr>
        <w:t>.</w:t>
      </w:r>
      <w:r>
        <w:rPr>
          <w:snapToGrid w:val="0"/>
        </w:rPr>
        <w:tab/>
        <w:t>Matter interfering with the efficient operation of an apparatus</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 xml:space="preserve">[Regulation 16 amended in Gazette 29 Jun 1984 p. 1781; 29 Jul 1997 p. 4075.] </w:t>
      </w:r>
    </w:p>
    <w:p>
      <w:pPr>
        <w:pStyle w:val="Heading5"/>
      </w:pPr>
      <w:bookmarkStart w:id="167" w:name="_Toc113177915"/>
      <w:bookmarkStart w:id="168" w:name="_Toc195070009"/>
      <w:bookmarkStart w:id="169" w:name="_Toc170715710"/>
      <w:bookmarkStart w:id="170" w:name="_Toc47935287"/>
      <w:r>
        <w:rPr>
          <w:rStyle w:val="CharSectno"/>
        </w:rPr>
        <w:t>16A</w:t>
      </w:r>
      <w:r>
        <w:t>.</w:t>
      </w:r>
      <w:r>
        <w:tab/>
        <w:t>Use to comply with adopted Codes</w:t>
      </w:r>
      <w:bookmarkEnd w:id="167"/>
      <w:bookmarkEnd w:id="168"/>
      <w:bookmarkEnd w:id="169"/>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71" w:name="_Toc113177916"/>
      <w:bookmarkStart w:id="172" w:name="_Toc195070010"/>
      <w:bookmarkStart w:id="173" w:name="_Toc170715711"/>
      <w:r>
        <w:rPr>
          <w:rStyle w:val="CharSectno"/>
        </w:rPr>
        <w:t>17</w:t>
      </w:r>
      <w:r>
        <w:rPr>
          <w:snapToGrid w:val="0"/>
        </w:rPr>
        <w:t>.</w:t>
      </w:r>
      <w:r>
        <w:rPr>
          <w:snapToGrid w:val="0"/>
        </w:rPr>
        <w:tab/>
        <w:t>Certain matter not to be discharged into an apparatus</w:t>
      </w:r>
      <w:bookmarkEnd w:id="170"/>
      <w:bookmarkEnd w:id="171"/>
      <w:bookmarkEnd w:id="172"/>
      <w:bookmarkEnd w:id="173"/>
      <w:r>
        <w:rPr>
          <w:snapToGrid w:val="0"/>
        </w:rPr>
        <w:t xml:space="preserve"> </w:t>
      </w:r>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 xml:space="preserve">[Regulation 17 amended in Gazette 29 Jul 1997 p. 4075.] </w:t>
      </w:r>
    </w:p>
    <w:p>
      <w:pPr>
        <w:pStyle w:val="Ednotesection"/>
      </w:pPr>
      <w:r>
        <w:tab/>
        <w:t>[Heading deleted in Gazette 29 Jul 1997 p. 4082.]</w:t>
      </w:r>
    </w:p>
    <w:p>
      <w:pPr>
        <w:pStyle w:val="Heading5"/>
        <w:rPr>
          <w:snapToGrid w:val="0"/>
        </w:rPr>
      </w:pPr>
      <w:bookmarkStart w:id="174" w:name="_Toc47935288"/>
      <w:bookmarkStart w:id="175" w:name="_Toc113177917"/>
      <w:bookmarkStart w:id="176" w:name="_Toc195070011"/>
      <w:bookmarkStart w:id="177" w:name="_Toc170715712"/>
      <w:r>
        <w:rPr>
          <w:rStyle w:val="CharSectno"/>
        </w:rPr>
        <w:t>18</w:t>
      </w:r>
      <w:r>
        <w:rPr>
          <w:snapToGrid w:val="0"/>
        </w:rPr>
        <w:t>.</w:t>
      </w:r>
      <w:r>
        <w:rPr>
          <w:snapToGrid w:val="0"/>
        </w:rPr>
        <w:tab/>
        <w:t>Interfering with an apparatus</w:t>
      </w:r>
      <w:bookmarkEnd w:id="174"/>
      <w:bookmarkEnd w:id="175"/>
      <w:bookmarkEnd w:id="176"/>
      <w:bookmarkEnd w:id="17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t>“</w:t>
      </w:r>
      <w:r>
        <w:rPr>
          <w:rStyle w:val="CharDefText"/>
        </w:rPr>
        <w:t>interfere</w:t>
      </w:r>
      <w:r>
        <w:rPr>
          <w:b/>
        </w:rPr>
        <w:t>”</w:t>
      </w:r>
      <w:r>
        <w:t>, in relation to an apparatus, means — </w:t>
      </w:r>
    </w:p>
    <w:p>
      <w:pPr>
        <w:pStyle w:val="Defpara"/>
      </w:pPr>
      <w:r>
        <w:tab/>
        <w:t>(a)</w:t>
      </w:r>
      <w:r>
        <w:tab/>
        <w:t>to dismantle the apparatus;</w:t>
      </w:r>
    </w:p>
    <w:p>
      <w:pPr>
        <w:pStyle w:val="Defpara"/>
      </w:pPr>
      <w:r>
        <w:tab/>
        <w:t>(b)</w:t>
      </w:r>
      <w:r>
        <w:tab/>
        <w:t>to remove the apparatus wholly or in any part; or</w:t>
      </w:r>
    </w:p>
    <w:p>
      <w:pPr>
        <w:pStyle w:val="Defpara"/>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in the case of an apparatus to which regulation 4A applies, the Executive Director, Public Health.</w:t>
      </w:r>
    </w:p>
    <w:p>
      <w:pPr>
        <w:pStyle w:val="Subsection"/>
        <w:rPr>
          <w:snapToGrid w:val="0"/>
        </w:rPr>
      </w:pPr>
      <w:r>
        <w:rPr>
          <w:snapToGrid w:val="0"/>
        </w:rPr>
        <w:tab/>
        <w:t>(3)</w:t>
      </w:r>
      <w:r>
        <w:rPr>
          <w:snapToGrid w:val="0"/>
        </w:rPr>
        <w:tab/>
        <w:t>Subregulation (2) does not apply to, or in relation to —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 xml:space="preserve">6.] </w:t>
      </w:r>
    </w:p>
    <w:p>
      <w:pPr>
        <w:pStyle w:val="Heading5"/>
        <w:rPr>
          <w:snapToGrid w:val="0"/>
        </w:rPr>
      </w:pPr>
      <w:bookmarkStart w:id="178" w:name="_Toc47935289"/>
      <w:bookmarkStart w:id="179" w:name="_Toc113177918"/>
      <w:bookmarkStart w:id="180" w:name="_Toc195070012"/>
      <w:bookmarkStart w:id="181" w:name="_Toc170715713"/>
      <w:r>
        <w:rPr>
          <w:rStyle w:val="CharSectno"/>
        </w:rPr>
        <w:t>18A</w:t>
      </w:r>
      <w:r>
        <w:rPr>
          <w:snapToGrid w:val="0"/>
        </w:rPr>
        <w:t>.</w:t>
      </w:r>
      <w:r>
        <w:rPr>
          <w:snapToGrid w:val="0"/>
        </w:rPr>
        <w:tab/>
        <w:t>Structures not to be erected above an apparatus</w:t>
      </w:r>
      <w:bookmarkEnd w:id="178"/>
      <w:bookmarkEnd w:id="179"/>
      <w:bookmarkEnd w:id="180"/>
      <w:bookmarkEnd w:id="181"/>
      <w:r>
        <w:rPr>
          <w:snapToGrid w:val="0"/>
        </w:rPr>
        <w:t xml:space="preserve"> </w:t>
      </w:r>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 </w:t>
      </w:r>
    </w:p>
    <w:p>
      <w:pPr>
        <w:pStyle w:val="Indenta"/>
        <w:rPr>
          <w:snapToGrid w:val="0"/>
        </w:rPr>
      </w:pPr>
      <w:r>
        <w:rPr>
          <w:snapToGrid w:val="0"/>
        </w:rPr>
        <w:tab/>
        <w:t>(a)</w:t>
      </w:r>
      <w:r>
        <w:rPr>
          <w:snapToGrid w:val="0"/>
        </w:rPr>
        <w:tab/>
        <w:t>to have any structure erected above it;</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 xml:space="preserve">[Regulation 18A inserted in Gazette 29 Jul 1997 p. 4076; amended in Gazette 7 Jan 2005 p. 67.] </w:t>
      </w:r>
    </w:p>
    <w:p>
      <w:pPr>
        <w:pStyle w:val="Ednotesection"/>
      </w:pPr>
      <w:r>
        <w:tab/>
        <w:t>[Heading deleted in Gazette 29 Jul 1997 p. 4082.]</w:t>
      </w:r>
    </w:p>
    <w:p>
      <w:pPr>
        <w:pStyle w:val="Heading5"/>
        <w:rPr>
          <w:snapToGrid w:val="0"/>
        </w:rPr>
      </w:pPr>
      <w:bookmarkStart w:id="182" w:name="_Toc47935290"/>
      <w:bookmarkStart w:id="183" w:name="_Toc113177919"/>
      <w:bookmarkStart w:id="184" w:name="_Toc195070013"/>
      <w:bookmarkStart w:id="185" w:name="_Toc170715714"/>
      <w:r>
        <w:rPr>
          <w:rStyle w:val="CharSectno"/>
        </w:rPr>
        <w:t>19</w:t>
      </w:r>
      <w:r>
        <w:rPr>
          <w:snapToGrid w:val="0"/>
        </w:rPr>
        <w:t>.</w:t>
      </w:r>
      <w:r>
        <w:rPr>
          <w:snapToGrid w:val="0"/>
        </w:rPr>
        <w:tab/>
        <w:t>Use of a damaged or defective apparatus prohibited</w:t>
      </w:r>
      <w:bookmarkEnd w:id="182"/>
      <w:bookmarkEnd w:id="183"/>
      <w:bookmarkEnd w:id="184"/>
      <w:bookmarkEnd w:id="185"/>
      <w:r>
        <w:rPr>
          <w:snapToGrid w:val="0"/>
        </w:rPr>
        <w:t xml:space="preserve"> </w:t>
      </w:r>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 xml:space="preserve">7.] </w:t>
      </w:r>
    </w:p>
    <w:p>
      <w:pPr>
        <w:pStyle w:val="Ednotesection"/>
      </w:pPr>
      <w:r>
        <w:tab/>
        <w:t>[Heading deleted in Gazette 29 Jul 1997 p. 4082.]</w:t>
      </w:r>
    </w:p>
    <w:p>
      <w:pPr>
        <w:pStyle w:val="Heading3"/>
        <w:rPr>
          <w:snapToGrid w:val="0"/>
        </w:rPr>
      </w:pPr>
      <w:bookmarkStart w:id="186" w:name="_Toc92695609"/>
      <w:bookmarkStart w:id="187" w:name="_Toc92968551"/>
      <w:bookmarkStart w:id="188" w:name="_Toc92968643"/>
      <w:bookmarkStart w:id="189" w:name="_Toc94935580"/>
      <w:bookmarkStart w:id="190" w:name="_Toc94935795"/>
      <w:bookmarkStart w:id="191" w:name="_Toc94941360"/>
      <w:bookmarkStart w:id="192" w:name="_Toc105237836"/>
      <w:bookmarkStart w:id="193" w:name="_Toc105470605"/>
      <w:bookmarkStart w:id="194" w:name="_Toc107800452"/>
      <w:bookmarkStart w:id="195" w:name="_Toc110666922"/>
      <w:bookmarkStart w:id="196" w:name="_Toc110842762"/>
      <w:bookmarkStart w:id="197" w:name="_Toc113177920"/>
      <w:bookmarkStart w:id="198" w:name="_Toc113259774"/>
      <w:bookmarkStart w:id="199" w:name="_Toc113262919"/>
      <w:bookmarkStart w:id="200" w:name="_Toc117907383"/>
      <w:bookmarkStart w:id="201" w:name="_Toc134332491"/>
      <w:bookmarkStart w:id="202" w:name="_Toc134337440"/>
      <w:bookmarkStart w:id="203" w:name="_Toc134337730"/>
      <w:bookmarkStart w:id="204" w:name="_Toc139258683"/>
      <w:bookmarkStart w:id="205" w:name="_Toc167179037"/>
      <w:bookmarkStart w:id="206" w:name="_Toc170201185"/>
      <w:bookmarkStart w:id="207" w:name="_Toc170715715"/>
      <w:bookmarkStart w:id="208" w:name="_Toc195006262"/>
      <w:bookmarkStart w:id="209" w:name="_Toc195070014"/>
      <w:r>
        <w:rPr>
          <w:rStyle w:val="CharDivNo"/>
        </w:rPr>
        <w:t>Division 3</w:t>
      </w:r>
      <w:r>
        <w:rPr>
          <w:snapToGrid w:val="0"/>
        </w:rPr>
        <w:t> — </w:t>
      </w:r>
      <w:r>
        <w:rPr>
          <w:rStyle w:val="CharDivText"/>
        </w:rPr>
        <w:t>Decommissioning of an apparatus</w:t>
      </w:r>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r>
        <w:rPr>
          <w:rStyle w:val="CharDivText"/>
        </w:rPr>
        <w:t xml:space="preserve"> </w:t>
      </w:r>
    </w:p>
    <w:p>
      <w:pPr>
        <w:pStyle w:val="Footnoteheading"/>
        <w:spacing w:before="240"/>
        <w:ind w:left="890"/>
      </w:pPr>
      <w:r>
        <w:tab/>
        <w:t xml:space="preserve">[Heading inserted in Gazette 29 Jul 1997 p. 4077.] </w:t>
      </w:r>
    </w:p>
    <w:p>
      <w:pPr>
        <w:pStyle w:val="Heading5"/>
        <w:rPr>
          <w:snapToGrid w:val="0"/>
        </w:rPr>
      </w:pPr>
      <w:bookmarkStart w:id="210" w:name="_Toc47935291"/>
      <w:bookmarkStart w:id="211" w:name="_Toc113177921"/>
      <w:bookmarkStart w:id="212" w:name="_Toc195070015"/>
      <w:bookmarkStart w:id="213" w:name="_Toc170715716"/>
      <w:r>
        <w:rPr>
          <w:rStyle w:val="CharSectno"/>
        </w:rPr>
        <w:t>20</w:t>
      </w:r>
      <w:r>
        <w:rPr>
          <w:snapToGrid w:val="0"/>
        </w:rPr>
        <w:t>.</w:t>
      </w:r>
      <w:r>
        <w:rPr>
          <w:snapToGrid w:val="0"/>
        </w:rPr>
        <w:tab/>
        <w:t>Application</w:t>
      </w:r>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 xml:space="preserve">[Regulation 20 inserted in Gazette 17 Mar 1998 p. 1417.] </w:t>
      </w:r>
    </w:p>
    <w:p>
      <w:pPr>
        <w:pStyle w:val="Heading5"/>
        <w:rPr>
          <w:snapToGrid w:val="0"/>
        </w:rPr>
      </w:pPr>
      <w:bookmarkStart w:id="214" w:name="_Toc47935292"/>
      <w:bookmarkStart w:id="215" w:name="_Toc113177922"/>
      <w:bookmarkStart w:id="216" w:name="_Toc195070016"/>
      <w:bookmarkStart w:id="217" w:name="_Toc170715717"/>
      <w:r>
        <w:rPr>
          <w:rStyle w:val="CharSectno"/>
        </w:rPr>
        <w:t>20A</w:t>
      </w:r>
      <w:r>
        <w:rPr>
          <w:snapToGrid w:val="0"/>
        </w:rPr>
        <w:t>.</w:t>
      </w:r>
      <w:r>
        <w:rPr>
          <w:snapToGrid w:val="0"/>
        </w:rPr>
        <w:tab/>
        <w:t>Apparatus to be decommissioned in certain circumstances</w:t>
      </w:r>
      <w:bookmarkEnd w:id="214"/>
      <w:bookmarkEnd w:id="215"/>
      <w:bookmarkEnd w:id="216"/>
      <w:bookmarkEnd w:id="217"/>
      <w:r>
        <w:rPr>
          <w:snapToGrid w:val="0"/>
        </w:rPr>
        <w:t xml:space="preserve"> </w:t>
      </w:r>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spacing w:val="-2"/>
        </w:rPr>
      </w:pPr>
      <w:r>
        <w:rPr>
          <w:snapToGrid w:val="0"/>
          <w:spacing w:val="-2"/>
        </w:rPr>
        <w:tab/>
        <w:t>(c)</w:t>
      </w:r>
      <w:r>
        <w:rPr>
          <w:snapToGrid w:val="0"/>
          <w:spacing w:val="-2"/>
        </w:rPr>
        <w:tab/>
        <w:t>if foundations for a building on the premises are to be built closer than 1.2 metres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 xml:space="preserve">Subregulation (1) does not apply in relation to a greywater system if — </w:t>
      </w:r>
    </w:p>
    <w:p>
      <w:pPr>
        <w:pStyle w:val="Indenta"/>
      </w:pPr>
      <w:r>
        <w:tab/>
        <w:t>(a)</w:t>
      </w:r>
      <w:r>
        <w:tab/>
        <w:t>the system is of a kind approved for use on premises connected to a sewer; and</w:t>
      </w:r>
    </w:p>
    <w:p>
      <w:pPr>
        <w:pStyle w:val="Indenta"/>
        <w:rPr>
          <w:snapToGrid w:val="0"/>
          <w:spacing w:val="-2"/>
        </w:rPr>
      </w:pPr>
      <w:r>
        <w:tab/>
        <w:t>(b)</w:t>
      </w:r>
      <w:r>
        <w:tab/>
        <w:t xml:space="preserve">before the sewer is connected, the owner (having obtained permission under regulation 18A) makes any alterations to the system necessary for it to comply with the code adopted by regulation 6A(1)(b) when the sewer is connected. </w:t>
      </w:r>
    </w:p>
    <w:p>
      <w:pPr>
        <w:pStyle w:val="Footnotesection"/>
      </w:pPr>
      <w:r>
        <w:tab/>
        <w:t>[Regulation 20A inserted in Gazette 17 Mar 1998 p. 1417; amended in Gazette 7 Jan 2005 p. 67</w:t>
      </w:r>
      <w:r>
        <w:noBreakHyphen/>
        <w:t xml:space="preserve">8.] </w:t>
      </w:r>
    </w:p>
    <w:p>
      <w:pPr>
        <w:pStyle w:val="Heading5"/>
        <w:rPr>
          <w:snapToGrid w:val="0"/>
        </w:rPr>
      </w:pPr>
      <w:bookmarkStart w:id="218" w:name="_Toc47935293"/>
      <w:bookmarkStart w:id="219" w:name="_Toc113177923"/>
      <w:bookmarkStart w:id="220" w:name="_Toc195070017"/>
      <w:bookmarkStart w:id="221" w:name="_Toc170715718"/>
      <w:r>
        <w:rPr>
          <w:rStyle w:val="CharSectno"/>
        </w:rPr>
        <w:t>21</w:t>
      </w:r>
      <w:r>
        <w:rPr>
          <w:snapToGrid w:val="0"/>
        </w:rPr>
        <w:t>.</w:t>
      </w:r>
      <w:r>
        <w:rPr>
          <w:snapToGrid w:val="0"/>
        </w:rPr>
        <w:tab/>
        <w:t>Decommissioning an apparatus</w:t>
      </w:r>
      <w:bookmarkEnd w:id="218"/>
      <w:bookmarkEnd w:id="219"/>
      <w:bookmarkEnd w:id="220"/>
      <w:bookmarkEnd w:id="221"/>
      <w:r>
        <w:rPr>
          <w:snapToGrid w:val="0"/>
        </w:rPr>
        <w:t xml:space="preserve"> </w:t>
      </w:r>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 </w:t>
      </w:r>
    </w:p>
    <w:p>
      <w:pPr>
        <w:pStyle w:val="Indenta"/>
        <w:rPr>
          <w:snapToGrid w:val="0"/>
        </w:rPr>
      </w:pPr>
      <w:r>
        <w:rPr>
          <w:snapToGrid w:val="0"/>
        </w:rPr>
        <w:tab/>
        <w:t>(a)</w:t>
      </w:r>
      <w:r>
        <w:rPr>
          <w:snapToGrid w:val="0"/>
        </w:rPr>
        <w:tab/>
        <w:t>emptying the apparatus in accordance with —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rFonts w:ascii="Times" w:hAnsi="Times"/>
          <w:iCs/>
          <w:snapToGrid w:val="0"/>
          <w:vertAlign w:val="superscript"/>
        </w:rPr>
        <w:t> 2</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Indenta"/>
      </w:pPr>
      <w:r>
        <w:tab/>
        <w:t>(b)</w:t>
      </w:r>
      <w:r>
        <w:tab/>
        <w:t xml:space="preserve">in the case of a septic tank, aerobic treatment unit or greywater system — removing the apparatus or, if that is not practicable, breaking up its base; </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 xml:space="preserve">[Regulation 21 inserted in Gazette 29 Jul 1997 p. 4077; amended in Gazette 7 Jan 2005 p. 68.] </w:t>
      </w:r>
    </w:p>
    <w:p>
      <w:pPr>
        <w:pStyle w:val="Heading3"/>
        <w:rPr>
          <w:snapToGrid w:val="0"/>
        </w:rPr>
      </w:pPr>
      <w:bookmarkStart w:id="222" w:name="_Toc92695613"/>
      <w:bookmarkStart w:id="223" w:name="_Toc92968555"/>
      <w:bookmarkStart w:id="224" w:name="_Toc92968647"/>
      <w:bookmarkStart w:id="225" w:name="_Toc94935584"/>
      <w:bookmarkStart w:id="226" w:name="_Toc94935799"/>
      <w:bookmarkStart w:id="227" w:name="_Toc94941364"/>
      <w:bookmarkStart w:id="228" w:name="_Toc105237840"/>
      <w:bookmarkStart w:id="229" w:name="_Toc105470609"/>
      <w:bookmarkStart w:id="230" w:name="_Toc107800456"/>
      <w:bookmarkStart w:id="231" w:name="_Toc110666926"/>
      <w:bookmarkStart w:id="232" w:name="_Toc110842766"/>
      <w:bookmarkStart w:id="233" w:name="_Toc113177924"/>
      <w:bookmarkStart w:id="234" w:name="_Toc113259778"/>
      <w:bookmarkStart w:id="235" w:name="_Toc113262923"/>
      <w:bookmarkStart w:id="236" w:name="_Toc117907387"/>
      <w:bookmarkStart w:id="237" w:name="_Toc134332495"/>
      <w:bookmarkStart w:id="238" w:name="_Toc134337444"/>
      <w:bookmarkStart w:id="239" w:name="_Toc134337734"/>
      <w:bookmarkStart w:id="240" w:name="_Toc139258687"/>
      <w:bookmarkStart w:id="241" w:name="_Toc167179041"/>
      <w:bookmarkStart w:id="242" w:name="_Toc170201189"/>
      <w:bookmarkStart w:id="243" w:name="_Toc170715719"/>
      <w:bookmarkStart w:id="244" w:name="_Toc195006266"/>
      <w:bookmarkStart w:id="245" w:name="_Toc195070018"/>
      <w:r>
        <w:rPr>
          <w:rStyle w:val="CharDivNo"/>
        </w:rPr>
        <w:t>Division 4</w:t>
      </w:r>
      <w:r>
        <w:rPr>
          <w:snapToGrid w:val="0"/>
        </w:rPr>
        <w:t> — </w:t>
      </w:r>
      <w:r>
        <w:rPr>
          <w:rStyle w:val="CharDivText"/>
        </w:rPr>
        <w:t>Review</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r>
        <w:rPr>
          <w:rStyle w:val="CharDivText"/>
        </w:rPr>
        <w:t xml:space="preserve"> </w:t>
      </w:r>
    </w:p>
    <w:p>
      <w:pPr>
        <w:pStyle w:val="Footnoteheading"/>
        <w:spacing w:before="100"/>
        <w:ind w:left="890"/>
        <w:rPr>
          <w:snapToGrid w:val="0"/>
        </w:rPr>
      </w:pPr>
      <w:r>
        <w:rPr>
          <w:snapToGrid w:val="0"/>
        </w:rPr>
        <w:tab/>
        <w:t xml:space="preserve">[Heading inserted in Gazette 29 Jul 1997 p. 4077.] </w:t>
      </w:r>
    </w:p>
    <w:p>
      <w:pPr>
        <w:pStyle w:val="Heading5"/>
        <w:rPr>
          <w:snapToGrid w:val="0"/>
        </w:rPr>
      </w:pPr>
      <w:bookmarkStart w:id="246" w:name="_Toc47935294"/>
      <w:bookmarkStart w:id="247" w:name="_Toc113177925"/>
      <w:bookmarkStart w:id="248" w:name="_Toc195070019"/>
      <w:bookmarkStart w:id="249" w:name="_Toc170715720"/>
      <w:r>
        <w:rPr>
          <w:rStyle w:val="CharSectno"/>
        </w:rPr>
        <w:t>22</w:t>
      </w:r>
      <w:r>
        <w:rPr>
          <w:snapToGrid w:val="0"/>
        </w:rPr>
        <w:t>.</w:t>
      </w:r>
      <w:r>
        <w:rPr>
          <w:snapToGrid w:val="0"/>
        </w:rPr>
        <w:tab/>
        <w:t>Review of a decision of a local government</w:t>
      </w:r>
      <w:bookmarkEnd w:id="246"/>
      <w:bookmarkEnd w:id="247"/>
      <w:bookmarkEnd w:id="248"/>
      <w:bookmarkEnd w:id="249"/>
      <w:r>
        <w:rPr>
          <w:snapToGrid w:val="0"/>
        </w:rPr>
        <w:t xml:space="preserve"> </w:t>
      </w:r>
    </w:p>
    <w:p>
      <w:pPr>
        <w:pStyle w:val="Subsection"/>
        <w:spacing w:before="140"/>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 xml:space="preserve">8.] </w:t>
      </w:r>
    </w:p>
    <w:p>
      <w:pPr>
        <w:pStyle w:val="Heading5"/>
        <w:rPr>
          <w:snapToGrid w:val="0"/>
        </w:rPr>
      </w:pPr>
      <w:bookmarkStart w:id="250" w:name="_Toc47935295"/>
      <w:bookmarkStart w:id="251" w:name="_Toc113177926"/>
      <w:bookmarkStart w:id="252" w:name="_Toc195070020"/>
      <w:bookmarkStart w:id="253" w:name="_Toc170715721"/>
      <w:r>
        <w:rPr>
          <w:rStyle w:val="CharSectno"/>
        </w:rPr>
        <w:t>23</w:t>
      </w:r>
      <w:r>
        <w:rPr>
          <w:snapToGrid w:val="0"/>
        </w:rPr>
        <w:t>.</w:t>
      </w:r>
      <w:r>
        <w:rPr>
          <w:snapToGrid w:val="0"/>
        </w:rPr>
        <w:tab/>
        <w:t>Review of a decision of the Executive Director, Public Health</w:t>
      </w:r>
      <w:bookmarkEnd w:id="250"/>
      <w:bookmarkEnd w:id="251"/>
      <w:bookmarkEnd w:id="252"/>
      <w:bookmarkEnd w:id="253"/>
      <w:r>
        <w:rPr>
          <w:snapToGrid w:val="0"/>
        </w:rPr>
        <w:t xml:space="preserve"> </w:t>
      </w:r>
    </w:p>
    <w:p>
      <w:pPr>
        <w:pStyle w:val="Subsection"/>
        <w:spacing w:before="140"/>
        <w:rPr>
          <w:snapToGrid w:val="0"/>
        </w:rPr>
      </w:pPr>
      <w:r>
        <w:rPr>
          <w:snapToGrid w:val="0"/>
        </w:rPr>
        <w:tab/>
        <w:t>(1)</w:t>
      </w:r>
      <w:r>
        <w:rPr>
          <w:snapToGrid w:val="0"/>
        </w:rPr>
        <w:tab/>
        <w:t>A person who is aggrieved by a decision of the Executive Director, Public Health under these regulations may apply in writing to the Executive Director, Public Health for him or her to review the decision.</w:t>
      </w:r>
    </w:p>
    <w:p>
      <w:pPr>
        <w:pStyle w:val="Subsection"/>
        <w:spacing w:before="140"/>
        <w:rPr>
          <w:snapToGrid w:val="0"/>
        </w:rPr>
      </w:pPr>
      <w:r>
        <w:rPr>
          <w:snapToGrid w:val="0"/>
        </w:rPr>
        <w:tab/>
        <w:t>(2)</w:t>
      </w:r>
      <w:r>
        <w:rPr>
          <w:snapToGrid w:val="0"/>
        </w:rPr>
        <w:tab/>
        <w:t>Where the Executive Director, Public Health has received an application under subregulation (1), the Executive Director, Public Health shall, as soon as practicable after receiving the application —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 xml:space="preserve">[Regulation 23 inserted in Gazette 29 Jul 1997 p. 4078.] </w:t>
      </w:r>
    </w:p>
    <w:p>
      <w:pPr>
        <w:pStyle w:val="Heading2"/>
      </w:pPr>
      <w:bookmarkStart w:id="254" w:name="_Toc92695616"/>
      <w:bookmarkStart w:id="255" w:name="_Toc92968558"/>
      <w:bookmarkStart w:id="256" w:name="_Toc92968650"/>
      <w:bookmarkStart w:id="257" w:name="_Toc94935587"/>
      <w:bookmarkStart w:id="258" w:name="_Toc94935802"/>
      <w:bookmarkStart w:id="259" w:name="_Toc94941367"/>
      <w:bookmarkStart w:id="260" w:name="_Toc105237843"/>
      <w:bookmarkStart w:id="261" w:name="_Toc105470612"/>
      <w:bookmarkStart w:id="262" w:name="_Toc107800459"/>
      <w:bookmarkStart w:id="263" w:name="_Toc110666929"/>
      <w:bookmarkStart w:id="264" w:name="_Toc110842769"/>
      <w:bookmarkStart w:id="265" w:name="_Toc113177927"/>
      <w:bookmarkStart w:id="266" w:name="_Toc113259781"/>
      <w:bookmarkStart w:id="267" w:name="_Toc113262926"/>
      <w:bookmarkStart w:id="268" w:name="_Toc117907390"/>
      <w:bookmarkStart w:id="269" w:name="_Toc134332498"/>
      <w:bookmarkStart w:id="270" w:name="_Toc134337447"/>
      <w:bookmarkStart w:id="271" w:name="_Toc134337737"/>
      <w:bookmarkStart w:id="272" w:name="_Toc139258690"/>
      <w:bookmarkStart w:id="273" w:name="_Toc167179044"/>
      <w:bookmarkStart w:id="274" w:name="_Toc170201192"/>
      <w:bookmarkStart w:id="275" w:name="_Toc170715722"/>
      <w:bookmarkStart w:id="276" w:name="_Toc195006269"/>
      <w:bookmarkStart w:id="277" w:name="_Toc195070021"/>
      <w:r>
        <w:rPr>
          <w:rStyle w:val="CharPartNo"/>
        </w:rPr>
        <w:t>Part 3</w:t>
      </w:r>
      <w:r>
        <w:rPr>
          <w:rStyle w:val="CharDivNo"/>
        </w:rPr>
        <w:t> </w:t>
      </w:r>
      <w:r>
        <w:t>—</w:t>
      </w:r>
      <w:r>
        <w:rPr>
          <w:rStyle w:val="CharDivText"/>
        </w:rPr>
        <w:t> </w:t>
      </w:r>
      <w:r>
        <w:rPr>
          <w:rStyle w:val="CharPartText"/>
        </w:rPr>
        <w:t>Construction and sizes of septic tanks and sedimentation tanks</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Footnoteheading"/>
        <w:ind w:left="890"/>
        <w:rPr>
          <w:snapToGrid w:val="0"/>
        </w:rPr>
      </w:pPr>
      <w:r>
        <w:rPr>
          <w:snapToGrid w:val="0"/>
        </w:rPr>
        <w:tab/>
        <w:t>[Heading inserted in Gazette 29 Jul 1997 p. 4078.]</w:t>
      </w:r>
    </w:p>
    <w:p>
      <w:pPr>
        <w:pStyle w:val="Heading5"/>
        <w:rPr>
          <w:snapToGrid w:val="0"/>
        </w:rPr>
      </w:pPr>
      <w:bookmarkStart w:id="278" w:name="_Toc47935296"/>
      <w:bookmarkStart w:id="279" w:name="_Toc113177928"/>
      <w:bookmarkStart w:id="280" w:name="_Toc195070022"/>
      <w:bookmarkStart w:id="281" w:name="_Toc170715723"/>
      <w:r>
        <w:rPr>
          <w:rStyle w:val="CharSectno"/>
        </w:rPr>
        <w:t>24</w:t>
      </w:r>
      <w:r>
        <w:rPr>
          <w:snapToGrid w:val="0"/>
        </w:rPr>
        <w:t>.</w:t>
      </w:r>
      <w:r>
        <w:rPr>
          <w:snapToGrid w:val="0"/>
        </w:rPr>
        <w:tab/>
        <w:t>Minimum water level of a septic tank</w:t>
      </w:r>
      <w:bookmarkEnd w:id="278"/>
      <w:bookmarkEnd w:id="279"/>
      <w:bookmarkEnd w:id="280"/>
      <w:bookmarkEnd w:id="281"/>
      <w:r>
        <w:rPr>
          <w:snapToGrid w:val="0"/>
        </w:rPr>
        <w:t xml:space="preserve"> </w:t>
      </w:r>
    </w:p>
    <w:p>
      <w:pPr>
        <w:pStyle w:val="Subsection"/>
        <w:rPr>
          <w:snapToGrid w:val="0"/>
        </w:rPr>
      </w:pPr>
      <w:r>
        <w:rPr>
          <w:snapToGrid w:val="0"/>
        </w:rPr>
        <w:tab/>
      </w:r>
      <w:r>
        <w:rPr>
          <w:snapToGrid w:val="0"/>
        </w:rPr>
        <w:tab/>
        <w:t>Every septic tank shall have a minimum water level of 1 065 mm except where otherwise approved by the Executive Director, Public Health.</w:t>
      </w:r>
    </w:p>
    <w:p>
      <w:pPr>
        <w:pStyle w:val="Footnotesection"/>
      </w:pPr>
      <w:r>
        <w:tab/>
        <w:t xml:space="preserve">[Regulation 24 amended in Gazette 29 Jun 1984 p. 1781.] </w:t>
      </w:r>
    </w:p>
    <w:p>
      <w:pPr>
        <w:pStyle w:val="Heading5"/>
        <w:rPr>
          <w:snapToGrid w:val="0"/>
        </w:rPr>
      </w:pPr>
      <w:bookmarkStart w:id="282" w:name="_Toc47935297"/>
      <w:bookmarkStart w:id="283" w:name="_Toc113177929"/>
      <w:bookmarkStart w:id="284" w:name="_Toc195070023"/>
      <w:bookmarkStart w:id="285" w:name="_Toc170715724"/>
      <w:r>
        <w:rPr>
          <w:rStyle w:val="CharSectno"/>
        </w:rPr>
        <w:t>25</w:t>
      </w:r>
      <w:r>
        <w:rPr>
          <w:snapToGrid w:val="0"/>
        </w:rPr>
        <w:t>.</w:t>
      </w:r>
      <w:r>
        <w:rPr>
          <w:snapToGrid w:val="0"/>
        </w:rPr>
        <w:tab/>
        <w:t>Partition of a septic tank</w:t>
      </w:r>
      <w:bookmarkEnd w:id="282"/>
      <w:bookmarkEnd w:id="283"/>
      <w:bookmarkEnd w:id="284"/>
      <w:bookmarkEnd w:id="285"/>
      <w:r>
        <w:rPr>
          <w:snapToGrid w:val="0"/>
        </w:rPr>
        <w:t xml:space="preserve"> </w:t>
      </w:r>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86" w:name="_Toc47935298"/>
      <w:bookmarkStart w:id="287" w:name="_Toc113177930"/>
      <w:bookmarkStart w:id="288" w:name="_Toc195070024"/>
      <w:bookmarkStart w:id="289" w:name="_Toc170715725"/>
      <w:r>
        <w:rPr>
          <w:rStyle w:val="CharSectno"/>
        </w:rPr>
        <w:t>26</w:t>
      </w:r>
      <w:r>
        <w:rPr>
          <w:snapToGrid w:val="0"/>
        </w:rPr>
        <w:t>.</w:t>
      </w:r>
      <w:r>
        <w:rPr>
          <w:snapToGrid w:val="0"/>
        </w:rPr>
        <w:tab/>
        <w:t>Septic tank to be impervious</w:t>
      </w:r>
      <w:bookmarkEnd w:id="286"/>
      <w:bookmarkEnd w:id="287"/>
      <w:bookmarkEnd w:id="288"/>
      <w:bookmarkEnd w:id="289"/>
      <w:r>
        <w:rPr>
          <w:snapToGrid w:val="0"/>
        </w:rPr>
        <w:t xml:space="preserve"> </w:t>
      </w:r>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90" w:name="_Toc47935299"/>
      <w:bookmarkStart w:id="291" w:name="_Toc113177931"/>
      <w:bookmarkStart w:id="292" w:name="_Toc195070025"/>
      <w:bookmarkStart w:id="293" w:name="_Toc170715726"/>
      <w:r>
        <w:rPr>
          <w:rStyle w:val="CharSectno"/>
        </w:rPr>
        <w:t>27</w:t>
      </w:r>
      <w:r>
        <w:rPr>
          <w:snapToGrid w:val="0"/>
        </w:rPr>
        <w:t>.</w:t>
      </w:r>
      <w:r>
        <w:rPr>
          <w:snapToGrid w:val="0"/>
        </w:rPr>
        <w:tab/>
        <w:t>Construction of a septic tank generally</w:t>
      </w:r>
      <w:bookmarkEnd w:id="290"/>
      <w:bookmarkEnd w:id="291"/>
      <w:bookmarkEnd w:id="292"/>
      <w:bookmarkEnd w:id="293"/>
      <w:r>
        <w:rPr>
          <w:snapToGrid w:val="0"/>
        </w:rPr>
        <w:t xml:space="preserve"> </w:t>
      </w:r>
    </w:p>
    <w:p>
      <w:pPr>
        <w:pStyle w:val="Subsection"/>
        <w:rPr>
          <w:snapToGrid w:val="0"/>
        </w:rPr>
      </w:pPr>
      <w:r>
        <w:rPr>
          <w:snapToGrid w:val="0"/>
        </w:rPr>
        <w:tab/>
      </w:r>
      <w:r>
        <w:rPr>
          <w:snapToGrid w:val="0"/>
        </w:rPr>
        <w:tab/>
        <w:t>Every septic tank shall be constructed of good quality bricks set in 3 in 1 cement mortar, and covered internally with a 12 mm thick watertight cement render, or spun or vibrated, reinforced concrete, or other material approved by the Executive Director, Public Health.</w:t>
      </w:r>
    </w:p>
    <w:p>
      <w:pPr>
        <w:pStyle w:val="Footnotesection"/>
      </w:pPr>
      <w:r>
        <w:tab/>
        <w:t xml:space="preserve">[Regulation 27 amended in Gazette 29 Jul 1997 p. 4078.] </w:t>
      </w:r>
    </w:p>
    <w:p>
      <w:pPr>
        <w:pStyle w:val="Heading5"/>
        <w:rPr>
          <w:snapToGrid w:val="0"/>
        </w:rPr>
      </w:pPr>
      <w:bookmarkStart w:id="294" w:name="_Toc47935300"/>
      <w:bookmarkStart w:id="295" w:name="_Toc113177932"/>
      <w:bookmarkStart w:id="296" w:name="_Toc195070026"/>
      <w:bookmarkStart w:id="297" w:name="_Toc170715727"/>
      <w:r>
        <w:rPr>
          <w:rStyle w:val="CharSectno"/>
        </w:rPr>
        <w:t>28</w:t>
      </w:r>
      <w:r>
        <w:rPr>
          <w:snapToGrid w:val="0"/>
        </w:rPr>
        <w:t>.</w:t>
      </w:r>
      <w:r>
        <w:rPr>
          <w:snapToGrid w:val="0"/>
        </w:rPr>
        <w:tab/>
        <w:t>Liquid capacity of septic tanks on residential premises</w:t>
      </w:r>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r>
      <w:r>
        <w:rPr>
          <w:snapToGrid w:val="0"/>
          <w:spacing w:val="-4"/>
        </w:rPr>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rPr>
          <w:snapToGrid w:val="0"/>
        </w:rPr>
      </w:pPr>
      <w:r>
        <w:rPr>
          <w:snapToGrid w:val="0"/>
        </w:rPr>
        <w:tab/>
        <w:t>(2)</w:t>
      </w:r>
      <w:r>
        <w:rPr>
          <w:snapToGrid w:val="0"/>
        </w:rPr>
        <w:tab/>
        <w:t>Notwithstanding subregulation (1), if a septic tank serves or is to serve residential premises used by more than 100 people, the liquid capacity of the tank shall be as approved by the Executive Director, Public Health.</w:t>
      </w:r>
    </w:p>
    <w:p>
      <w:pPr>
        <w:pStyle w:val="MiscellaneousHeading"/>
        <w:spacing w:after="80"/>
        <w:rPr>
          <w:b/>
          <w:snapToGrid w:val="0"/>
        </w:rPr>
      </w:pPr>
      <w:r>
        <w:rPr>
          <w:b/>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
              <w:rPr>
                <w:b/>
                <w:sz w:val="20"/>
              </w:rPr>
            </w:pPr>
            <w:r>
              <w:rPr>
                <w:b/>
                <w:sz w:val="20"/>
              </w:rPr>
              <w:t>Type of tank</w:t>
            </w:r>
          </w:p>
        </w:tc>
        <w:tc>
          <w:tcPr>
            <w:tcW w:w="1417" w:type="dxa"/>
          </w:tcPr>
          <w:p>
            <w:pPr>
              <w:pStyle w:val="Table"/>
              <w:jc w:val="center"/>
              <w:rPr>
                <w:b/>
                <w:sz w:val="20"/>
              </w:rPr>
            </w:pPr>
            <w:r>
              <w:rPr>
                <w:b/>
                <w:sz w:val="20"/>
              </w:rPr>
              <w:t>Number of bedrooms</w:t>
            </w:r>
          </w:p>
        </w:tc>
        <w:tc>
          <w:tcPr>
            <w:tcW w:w="3119" w:type="dxa"/>
          </w:tcPr>
          <w:p>
            <w:pPr>
              <w:pStyle w:val="Table"/>
              <w:jc w:val="center"/>
              <w:rPr>
                <w:b/>
                <w:sz w:val="20"/>
              </w:rPr>
            </w:pPr>
            <w:r>
              <w:rPr>
                <w:b/>
                <w:sz w:val="20"/>
              </w:rPr>
              <w:t>Liquid capacity (litres)</w:t>
            </w:r>
          </w:p>
        </w:tc>
      </w:tr>
      <w:tr>
        <w:trPr>
          <w:cantSplit/>
          <w:trHeight w:val="399"/>
        </w:trPr>
        <w:tc>
          <w:tcPr>
            <w:tcW w:w="1843" w:type="dxa"/>
            <w:vMerge w:val="restart"/>
          </w:tcPr>
          <w:p>
            <w:pPr>
              <w:pStyle w:val="Table"/>
              <w:rPr>
                <w:sz w:val="20"/>
              </w:rPr>
            </w:pPr>
            <w:r>
              <w:rPr>
                <w:sz w:val="20"/>
              </w:rPr>
              <w:t>Septic tank serving water closets and urinals only</w:t>
            </w:r>
          </w:p>
        </w:tc>
        <w:tc>
          <w:tcPr>
            <w:tcW w:w="1417" w:type="dxa"/>
          </w:tcPr>
          <w:p>
            <w:pPr>
              <w:pStyle w:val="Table"/>
              <w:jc w:val="center"/>
              <w:rPr>
                <w:sz w:val="20"/>
              </w:rPr>
            </w:pPr>
            <w:r>
              <w:rPr>
                <w:sz w:val="20"/>
              </w:rPr>
              <w:t>5 or less</w:t>
            </w:r>
          </w:p>
        </w:tc>
        <w:tc>
          <w:tcPr>
            <w:tcW w:w="3119" w:type="dxa"/>
          </w:tcPr>
          <w:p>
            <w:pPr>
              <w:pStyle w:val="Table"/>
              <w:jc w:val="center"/>
              <w:rPr>
                <w:sz w:val="20"/>
              </w:rPr>
            </w:pPr>
            <w:r>
              <w:rPr>
                <w:sz w:val="20"/>
              </w:rPr>
              <w:t>1 820</w:t>
            </w:r>
          </w:p>
        </w:tc>
      </w:tr>
      <w:tr>
        <w:trPr>
          <w:cantSplit/>
          <w:trHeight w:val="398"/>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1 360 plus 90 litres per bedroom</w:t>
            </w:r>
          </w:p>
        </w:tc>
      </w:tr>
      <w:tr>
        <w:trPr>
          <w:cantSplit/>
          <w:trHeight w:val="276"/>
        </w:trPr>
        <w:tc>
          <w:tcPr>
            <w:tcW w:w="1843" w:type="dxa"/>
            <w:vMerge w:val="restart"/>
          </w:tcPr>
          <w:p>
            <w:pPr>
              <w:pStyle w:val="Table"/>
              <w:spacing w:before="120"/>
              <w:rPr>
                <w:sz w:val="20"/>
              </w:rPr>
            </w:pPr>
            <w:r>
              <w:rPr>
                <w:sz w:val="20"/>
              </w:rPr>
              <w:t>Septic tank treating all wastes</w:t>
            </w:r>
          </w:p>
        </w:tc>
        <w:tc>
          <w:tcPr>
            <w:tcW w:w="1417" w:type="dxa"/>
          </w:tcPr>
          <w:p>
            <w:pPr>
              <w:pStyle w:val="Table"/>
              <w:spacing w:before="120"/>
              <w:jc w:val="center"/>
              <w:rPr>
                <w:sz w:val="20"/>
              </w:rPr>
            </w:pPr>
            <w:r>
              <w:rPr>
                <w:sz w:val="20"/>
              </w:rPr>
              <w:t>5 or less</w:t>
            </w:r>
          </w:p>
        </w:tc>
        <w:tc>
          <w:tcPr>
            <w:tcW w:w="3119" w:type="dxa"/>
          </w:tcPr>
          <w:p>
            <w:pPr>
              <w:pStyle w:val="Table"/>
              <w:spacing w:before="120"/>
              <w:jc w:val="center"/>
              <w:rPr>
                <w:sz w:val="20"/>
              </w:rPr>
            </w:pPr>
            <w:r>
              <w:rPr>
                <w:sz w:val="20"/>
              </w:rPr>
              <w:t>3 180</w:t>
            </w:r>
          </w:p>
        </w:tc>
      </w:tr>
      <w:tr>
        <w:trPr>
          <w:cantSplit/>
          <w:trHeight w:val="275"/>
        </w:trPr>
        <w:tc>
          <w:tcPr>
            <w:tcW w:w="1843" w:type="dxa"/>
            <w:vMerge/>
          </w:tcPr>
          <w:p>
            <w:pPr>
              <w:pStyle w:val="Table"/>
              <w:rPr>
                <w:sz w:val="20"/>
              </w:rPr>
            </w:pPr>
          </w:p>
        </w:tc>
        <w:tc>
          <w:tcPr>
            <w:tcW w:w="1417" w:type="dxa"/>
          </w:tcPr>
          <w:p>
            <w:pPr>
              <w:pStyle w:val="Table"/>
              <w:jc w:val="center"/>
              <w:rPr>
                <w:sz w:val="20"/>
              </w:rPr>
            </w:pPr>
            <w:r>
              <w:rPr>
                <w:sz w:val="20"/>
              </w:rPr>
              <w:t>more than 5</w:t>
            </w:r>
          </w:p>
        </w:tc>
        <w:tc>
          <w:tcPr>
            <w:tcW w:w="3119" w:type="dxa"/>
          </w:tcPr>
          <w:p>
            <w:pPr>
              <w:pStyle w:val="Table"/>
              <w:jc w:val="center"/>
              <w:rPr>
                <w:sz w:val="20"/>
              </w:rPr>
            </w:pPr>
            <w:r>
              <w:rPr>
                <w:sz w:val="20"/>
              </w:rPr>
              <w:t>1 820 plus 270 litres per bedroom</w:t>
            </w:r>
          </w:p>
        </w:tc>
      </w:tr>
    </w:tbl>
    <w:p>
      <w:pPr>
        <w:pStyle w:val="Footnotesection"/>
      </w:pPr>
      <w:r>
        <w:tab/>
        <w:t xml:space="preserve">[Regulation 28 inserted in Gazette 15 Dec 1989 p. 4549; amended in Gazette 29 Jul 1997 p. 4078; 7 Jan 2005 p. 68.] </w:t>
      </w:r>
    </w:p>
    <w:p>
      <w:pPr>
        <w:pStyle w:val="Heading5"/>
        <w:rPr>
          <w:snapToGrid w:val="0"/>
        </w:rPr>
      </w:pPr>
      <w:bookmarkStart w:id="298" w:name="_Toc47935301"/>
      <w:bookmarkStart w:id="299" w:name="_Toc113177933"/>
      <w:bookmarkStart w:id="300" w:name="_Toc195070027"/>
      <w:bookmarkStart w:id="301" w:name="_Toc170715728"/>
      <w:r>
        <w:rPr>
          <w:rStyle w:val="CharSectno"/>
        </w:rPr>
        <w:t>29</w:t>
      </w:r>
      <w:r>
        <w:rPr>
          <w:snapToGrid w:val="0"/>
        </w:rPr>
        <w:t>.</w:t>
      </w:r>
      <w:r>
        <w:rPr>
          <w:snapToGrid w:val="0"/>
        </w:rPr>
        <w:tab/>
        <w:t>Size of a septic tank</w:t>
      </w:r>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p>
      <w:pPr>
        <w:pStyle w:val="MiscellaneousHeading"/>
        <w:rPr>
          <w:b/>
          <w:bCs/>
          <w:snapToGrid w:val="0"/>
        </w:rPr>
      </w:pPr>
    </w:p>
    <w:tbl>
      <w:tblPr>
        <w:tblW w:w="0" w:type="auto"/>
        <w:tblInd w:w="880" w:type="dxa"/>
        <w:tblLayout w:type="fixed"/>
        <w:tblCellMar>
          <w:left w:w="29" w:type="dxa"/>
          <w:right w:w="29" w:type="dxa"/>
        </w:tblCellMar>
        <w:tblLook w:val="0000" w:firstRow="0" w:lastRow="0" w:firstColumn="0" w:lastColumn="0" w:noHBand="0" w:noVBand="0"/>
      </w:tblPr>
      <w:tblGrid>
        <w:gridCol w:w="3685"/>
        <w:gridCol w:w="1134"/>
        <w:gridCol w:w="1418"/>
      </w:tblGrid>
      <w:tr>
        <w:trPr>
          <w:tblHeader/>
        </w:trPr>
        <w:tc>
          <w:tcPr>
            <w:tcW w:w="3685" w:type="dxa"/>
          </w:tcPr>
          <w:p>
            <w:pPr>
              <w:pStyle w:val="Table"/>
              <w:keepNext/>
              <w:keepLines/>
              <w:spacing w:before="160"/>
              <w:jc w:val="center"/>
              <w:rPr>
                <w:b/>
                <w:sz w:val="20"/>
              </w:rPr>
            </w:pPr>
            <w:r>
              <w:rPr>
                <w:b/>
                <w:sz w:val="20"/>
              </w:rPr>
              <w:t>Type of premises</w:t>
            </w:r>
          </w:p>
        </w:tc>
        <w:tc>
          <w:tcPr>
            <w:tcW w:w="1134" w:type="dxa"/>
          </w:tcPr>
          <w:p>
            <w:pPr>
              <w:pStyle w:val="Table"/>
              <w:keepNext/>
              <w:keepLines/>
              <w:jc w:val="center"/>
              <w:rPr>
                <w:b/>
                <w:sz w:val="20"/>
              </w:rPr>
            </w:pPr>
            <w:r>
              <w:rPr>
                <w:b/>
                <w:sz w:val="20"/>
              </w:rPr>
              <w:t>Blackwater system litres</w:t>
            </w:r>
          </w:p>
        </w:tc>
        <w:tc>
          <w:tcPr>
            <w:tcW w:w="1418" w:type="dxa"/>
          </w:tcPr>
          <w:p>
            <w:pPr>
              <w:pStyle w:val="Table"/>
              <w:keepNext/>
              <w:keepLines/>
              <w:jc w:val="center"/>
              <w:rPr>
                <w:b/>
                <w:sz w:val="20"/>
              </w:rPr>
            </w:pPr>
            <w:r>
              <w:rPr>
                <w:b/>
                <w:sz w:val="20"/>
              </w:rPr>
              <w:t>Combined system litres</w:t>
            </w:r>
          </w:p>
        </w:tc>
      </w:tr>
      <w:tr>
        <w:tc>
          <w:tcPr>
            <w:tcW w:w="3685" w:type="dxa"/>
          </w:tcPr>
          <w:p>
            <w:pPr>
              <w:pStyle w:val="Table"/>
              <w:rPr>
                <w:sz w:val="20"/>
              </w:rPr>
            </w:pPr>
            <w:r>
              <w:rPr>
                <w:sz w:val="20"/>
              </w:rPr>
              <w:t>Hotel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180</w:t>
            </w:r>
          </w:p>
        </w:tc>
      </w:tr>
      <w:tr>
        <w:tc>
          <w:tcPr>
            <w:tcW w:w="3685" w:type="dxa"/>
          </w:tcPr>
          <w:p>
            <w:pPr>
              <w:pStyle w:val="Table"/>
              <w:rPr>
                <w:sz w:val="20"/>
              </w:rPr>
            </w:pPr>
            <w:r>
              <w:rPr>
                <w:sz w:val="20"/>
              </w:rPr>
              <w:t>Motel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(boarding) ..........................................</w:t>
            </w:r>
          </w:p>
        </w:tc>
        <w:tc>
          <w:tcPr>
            <w:tcW w:w="1134" w:type="dxa"/>
          </w:tcPr>
          <w:p>
            <w:pPr>
              <w:pStyle w:val="Table"/>
              <w:jc w:val="center"/>
              <w:rPr>
                <w:sz w:val="20"/>
              </w:rPr>
            </w:pPr>
            <w:r>
              <w:rPr>
                <w:sz w:val="20"/>
              </w:rPr>
              <w:t>70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School (day) ..................................................</w:t>
            </w:r>
          </w:p>
        </w:tc>
        <w:tc>
          <w:tcPr>
            <w:tcW w:w="1134" w:type="dxa"/>
          </w:tcPr>
          <w:p>
            <w:pPr>
              <w:pStyle w:val="Table"/>
              <w:jc w:val="center"/>
              <w:rPr>
                <w:sz w:val="20"/>
              </w:rPr>
            </w:pPr>
            <w:r>
              <w:rPr>
                <w:sz w:val="20"/>
              </w:rPr>
              <w:t>30</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Public building (frequent use) .......................</w:t>
            </w:r>
          </w:p>
        </w:tc>
        <w:tc>
          <w:tcPr>
            <w:tcW w:w="1134" w:type="dxa"/>
          </w:tcPr>
          <w:p>
            <w:pPr>
              <w:pStyle w:val="Table"/>
              <w:jc w:val="center"/>
              <w:rPr>
                <w:sz w:val="20"/>
              </w:rPr>
            </w:pPr>
            <w:r>
              <w:rPr>
                <w:sz w:val="20"/>
              </w:rPr>
              <w:t>15</w:t>
            </w:r>
          </w:p>
        </w:tc>
        <w:tc>
          <w:tcPr>
            <w:tcW w:w="1418" w:type="dxa"/>
          </w:tcPr>
          <w:p>
            <w:pPr>
              <w:pStyle w:val="Table"/>
              <w:jc w:val="center"/>
              <w:rPr>
                <w:sz w:val="20"/>
              </w:rPr>
            </w:pPr>
            <w:r>
              <w:rPr>
                <w:sz w:val="20"/>
              </w:rPr>
              <w:t>30</w:t>
            </w:r>
          </w:p>
        </w:tc>
      </w:tr>
      <w:tr>
        <w:tc>
          <w:tcPr>
            <w:tcW w:w="3685" w:type="dxa"/>
          </w:tcPr>
          <w:p>
            <w:pPr>
              <w:pStyle w:val="Table"/>
              <w:rPr>
                <w:sz w:val="20"/>
              </w:rPr>
            </w:pPr>
            <w:r>
              <w:rPr>
                <w:sz w:val="20"/>
              </w:rPr>
              <w:t>Public building (infrequent use) ....................</w:t>
            </w:r>
          </w:p>
        </w:tc>
        <w:tc>
          <w:tcPr>
            <w:tcW w:w="1134" w:type="dxa"/>
          </w:tcPr>
          <w:p>
            <w:pPr>
              <w:pStyle w:val="Table"/>
              <w:jc w:val="center"/>
              <w:rPr>
                <w:sz w:val="20"/>
              </w:rPr>
            </w:pPr>
            <w:r>
              <w:rPr>
                <w:sz w:val="20"/>
              </w:rPr>
              <w:t>5</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Caravan park .................................................</w:t>
            </w:r>
          </w:p>
        </w:tc>
        <w:tc>
          <w:tcPr>
            <w:tcW w:w="1134" w:type="dxa"/>
          </w:tcPr>
          <w:p>
            <w:pPr>
              <w:pStyle w:val="Table"/>
              <w:jc w:val="center"/>
              <w:rPr>
                <w:sz w:val="20"/>
              </w:rPr>
            </w:pPr>
            <w:r>
              <w:rPr>
                <w:sz w:val="20"/>
              </w:rPr>
              <w:t>90</w:t>
            </w:r>
          </w:p>
        </w:tc>
        <w:tc>
          <w:tcPr>
            <w:tcW w:w="1418" w:type="dxa"/>
          </w:tcPr>
          <w:p>
            <w:pPr>
              <w:pStyle w:val="Table"/>
              <w:jc w:val="center"/>
              <w:rPr>
                <w:sz w:val="20"/>
              </w:rPr>
            </w:pPr>
            <w:r>
              <w:rPr>
                <w:sz w:val="20"/>
              </w:rPr>
              <w:t>140</w:t>
            </w:r>
          </w:p>
        </w:tc>
      </w:tr>
      <w:tr>
        <w:tc>
          <w:tcPr>
            <w:tcW w:w="3685" w:type="dxa"/>
          </w:tcPr>
          <w:p>
            <w:pPr>
              <w:pStyle w:val="Table"/>
              <w:rPr>
                <w:sz w:val="20"/>
              </w:rPr>
            </w:pPr>
            <w:r>
              <w:rPr>
                <w:sz w:val="20"/>
              </w:rPr>
              <w:t>Swimming pool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Drive</w:t>
            </w:r>
            <w:r>
              <w:rPr>
                <w:sz w:val="20"/>
              </w:rPr>
              <w:noBreakHyphen/>
              <w:t>in theatres (2 persons per car)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10</w:t>
            </w:r>
          </w:p>
        </w:tc>
      </w:tr>
      <w:tr>
        <w:tc>
          <w:tcPr>
            <w:tcW w:w="3685" w:type="dxa"/>
          </w:tcPr>
          <w:p>
            <w:pPr>
              <w:pStyle w:val="Table"/>
              <w:rPr>
                <w:sz w:val="20"/>
              </w:rPr>
            </w:pPr>
            <w:r>
              <w:rPr>
                <w:sz w:val="20"/>
              </w:rPr>
              <w:t>Factories and shops (based on the number of persons therein on any 8 hour shift) ..............</w:t>
            </w:r>
          </w:p>
        </w:tc>
        <w:tc>
          <w:tcPr>
            <w:tcW w:w="1134" w:type="dxa"/>
          </w:tcPr>
          <w:p>
            <w:pPr>
              <w:pStyle w:val="Table"/>
              <w:jc w:val="center"/>
              <w:rPr>
                <w:sz w:val="20"/>
              </w:rPr>
            </w:pPr>
            <w:r>
              <w:rPr>
                <w:sz w:val="20"/>
              </w:rPr>
              <w:br/>
              <w:t>45</w:t>
            </w:r>
          </w:p>
        </w:tc>
        <w:tc>
          <w:tcPr>
            <w:tcW w:w="1418" w:type="dxa"/>
          </w:tcPr>
          <w:p>
            <w:pPr>
              <w:pStyle w:val="Table"/>
              <w:jc w:val="center"/>
              <w:rPr>
                <w:sz w:val="20"/>
              </w:rPr>
            </w:pPr>
            <w:r>
              <w:rPr>
                <w:sz w:val="20"/>
              </w:rPr>
              <w:br/>
              <w:t>70</w:t>
            </w:r>
          </w:p>
        </w:tc>
      </w:tr>
      <w:tr>
        <w:tc>
          <w:tcPr>
            <w:tcW w:w="3685" w:type="dxa"/>
          </w:tcPr>
          <w:p>
            <w:pPr>
              <w:pStyle w:val="Table"/>
              <w:rPr>
                <w:sz w:val="20"/>
              </w:rPr>
            </w:pPr>
            <w:r>
              <w:rPr>
                <w:sz w:val="20"/>
              </w:rPr>
              <w:t>Construction camps (temporary)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45</w:t>
            </w:r>
          </w:p>
        </w:tc>
      </w:tr>
      <w:tr>
        <w:tc>
          <w:tcPr>
            <w:tcW w:w="3685" w:type="dxa"/>
          </w:tcPr>
          <w:p>
            <w:pPr>
              <w:pStyle w:val="Table"/>
              <w:rPr>
                <w:sz w:val="20"/>
              </w:rPr>
            </w:pPr>
            <w:r>
              <w:rPr>
                <w:sz w:val="20"/>
              </w:rPr>
              <w:t>Clubs .............................................................</w:t>
            </w:r>
          </w:p>
        </w:tc>
        <w:tc>
          <w:tcPr>
            <w:tcW w:w="1134" w:type="dxa"/>
          </w:tcPr>
          <w:p>
            <w:pPr>
              <w:pStyle w:val="Table"/>
              <w:jc w:val="center"/>
              <w:rPr>
                <w:sz w:val="20"/>
              </w:rPr>
            </w:pPr>
            <w:r>
              <w:rPr>
                <w:sz w:val="20"/>
              </w:rPr>
              <w:t>10</w:t>
            </w:r>
          </w:p>
        </w:tc>
        <w:tc>
          <w:tcPr>
            <w:tcW w:w="1418" w:type="dxa"/>
          </w:tcPr>
          <w:p>
            <w:pPr>
              <w:pStyle w:val="Table"/>
              <w:jc w:val="center"/>
              <w:rPr>
                <w:sz w:val="20"/>
              </w:rPr>
            </w:pPr>
            <w:r>
              <w:rPr>
                <w:sz w:val="20"/>
              </w:rPr>
              <w:t>15</w:t>
            </w:r>
          </w:p>
        </w:tc>
      </w:tr>
      <w:tr>
        <w:tc>
          <w:tcPr>
            <w:tcW w:w="3685" w:type="dxa"/>
          </w:tcPr>
          <w:p>
            <w:pPr>
              <w:pStyle w:val="Table"/>
              <w:rPr>
                <w:sz w:val="20"/>
              </w:rPr>
            </w:pPr>
            <w:r>
              <w:rPr>
                <w:sz w:val="20"/>
              </w:rPr>
              <w:t>Clubs (licensed) ............................................</w:t>
            </w:r>
          </w:p>
        </w:tc>
        <w:tc>
          <w:tcPr>
            <w:tcW w:w="1134" w:type="dxa"/>
          </w:tcPr>
          <w:p>
            <w:pPr>
              <w:pStyle w:val="Table"/>
              <w:jc w:val="center"/>
              <w:rPr>
                <w:sz w:val="20"/>
              </w:rPr>
            </w:pPr>
            <w:r>
              <w:rPr>
                <w:sz w:val="20"/>
              </w:rPr>
              <w:t>25</w:t>
            </w:r>
          </w:p>
        </w:tc>
        <w:tc>
          <w:tcPr>
            <w:tcW w:w="1418" w:type="dxa"/>
          </w:tcPr>
          <w:p>
            <w:pPr>
              <w:pStyle w:val="Table"/>
              <w:jc w:val="center"/>
              <w:rPr>
                <w:sz w:val="20"/>
              </w:rPr>
            </w:pPr>
            <w:r>
              <w:rPr>
                <w:sz w:val="20"/>
              </w:rP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3</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 xml:space="preserve">[Regulation 29 amended in Gazette 29 Jun 1984 p. 1781; 15 Dec 1989 p. 4549; 7 Jan 2005 p. 68.] </w:t>
      </w:r>
    </w:p>
    <w:p>
      <w:pPr>
        <w:pStyle w:val="Heading5"/>
        <w:rPr>
          <w:snapToGrid w:val="0"/>
        </w:rPr>
      </w:pPr>
      <w:bookmarkStart w:id="302" w:name="_Toc47935302"/>
      <w:bookmarkStart w:id="303" w:name="_Toc113177934"/>
      <w:bookmarkStart w:id="304" w:name="_Toc195070028"/>
      <w:bookmarkStart w:id="305" w:name="_Toc170715729"/>
      <w:r>
        <w:rPr>
          <w:rStyle w:val="CharSectno"/>
        </w:rPr>
        <w:t>30</w:t>
      </w:r>
      <w:r>
        <w:rPr>
          <w:snapToGrid w:val="0"/>
        </w:rPr>
        <w:t>.</w:t>
      </w:r>
      <w:r>
        <w:rPr>
          <w:snapToGrid w:val="0"/>
        </w:rPr>
        <w:tab/>
        <w:t>Minimum air space in a septic tank</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306" w:name="_Toc47935303"/>
      <w:bookmarkStart w:id="307" w:name="_Toc113177935"/>
      <w:bookmarkStart w:id="308" w:name="_Toc195070029"/>
      <w:bookmarkStart w:id="309" w:name="_Toc170715730"/>
      <w:r>
        <w:rPr>
          <w:rStyle w:val="CharSectno"/>
        </w:rPr>
        <w:t>31</w:t>
      </w:r>
      <w:r>
        <w:rPr>
          <w:snapToGrid w:val="0"/>
        </w:rPr>
        <w:t>.</w:t>
      </w:r>
      <w:r>
        <w:rPr>
          <w:snapToGrid w:val="0"/>
        </w:rPr>
        <w:tab/>
        <w:t>Dimensions of a septic tank</w:t>
      </w:r>
      <w:bookmarkEnd w:id="306"/>
      <w:bookmarkEnd w:id="307"/>
      <w:bookmarkEnd w:id="308"/>
      <w:bookmarkEnd w:id="309"/>
      <w:r>
        <w:rPr>
          <w:snapToGrid w:val="0"/>
        </w:rPr>
        <w:t xml:space="preserve"> </w:t>
      </w:r>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ind w:left="890"/>
      </w:pPr>
      <w:r>
        <w:tab/>
        <w:t>[Heading deleted in Gazette 29 Jul 1997 p. 4082.]</w:t>
      </w:r>
    </w:p>
    <w:p>
      <w:pPr>
        <w:pStyle w:val="Heading5"/>
        <w:rPr>
          <w:snapToGrid w:val="0"/>
        </w:rPr>
      </w:pPr>
      <w:bookmarkStart w:id="310" w:name="_Toc47935304"/>
      <w:bookmarkStart w:id="311" w:name="_Toc113177936"/>
      <w:bookmarkStart w:id="312" w:name="_Toc195070030"/>
      <w:bookmarkStart w:id="313" w:name="_Toc170715731"/>
      <w:r>
        <w:rPr>
          <w:rStyle w:val="CharSectno"/>
        </w:rPr>
        <w:t>32</w:t>
      </w:r>
      <w:r>
        <w:rPr>
          <w:snapToGrid w:val="0"/>
        </w:rPr>
        <w:t>.</w:t>
      </w:r>
      <w:r>
        <w:rPr>
          <w:snapToGrid w:val="0"/>
        </w:rPr>
        <w:tab/>
        <w:t>Construction of a precast concrete septic tank</w:t>
      </w:r>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p>
      <w:pPr>
        <w:pStyle w:val="MiscellaneousHeading"/>
        <w:rPr>
          <w:b/>
          <w:bCs/>
          <w:snapToGrid w:val="0"/>
        </w:rPr>
      </w:pP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
              <w:rPr>
                <w:b/>
                <w:snapToGrid w:val="0"/>
                <w:sz w:val="20"/>
              </w:rPr>
            </w:pPr>
            <w:r>
              <w:rPr>
                <w:b/>
                <w:snapToGrid w:val="0"/>
                <w:sz w:val="20"/>
              </w:rPr>
              <w:t>Internal pipe diameter</w:t>
            </w:r>
          </w:p>
        </w:tc>
        <w:tc>
          <w:tcPr>
            <w:tcW w:w="2520" w:type="dxa"/>
          </w:tcPr>
          <w:p>
            <w:pPr>
              <w:pStyle w:val="Table"/>
              <w:jc w:val="center"/>
              <w:rPr>
                <w:b/>
                <w:snapToGrid w:val="0"/>
                <w:sz w:val="20"/>
              </w:rPr>
            </w:pPr>
            <w:r>
              <w:rPr>
                <w:b/>
                <w:snapToGrid w:val="0"/>
                <w:sz w:val="20"/>
              </w:rPr>
              <w:t>Reinforcement mesh No.</w:t>
            </w:r>
          </w:p>
        </w:tc>
      </w:tr>
      <w:tr>
        <w:tc>
          <w:tcPr>
            <w:tcW w:w="2400" w:type="dxa"/>
          </w:tcPr>
          <w:p>
            <w:pPr>
              <w:pStyle w:val="Table"/>
              <w:rPr>
                <w:snapToGrid w:val="0"/>
                <w:sz w:val="20"/>
              </w:rPr>
            </w:pPr>
            <w:r>
              <w:rPr>
                <w:snapToGrid w:val="0"/>
                <w:sz w:val="20"/>
              </w:rPr>
              <w:t>1 220 mm</w:t>
            </w:r>
          </w:p>
        </w:tc>
        <w:tc>
          <w:tcPr>
            <w:tcW w:w="2520" w:type="dxa"/>
          </w:tcPr>
          <w:p>
            <w:pPr>
              <w:pStyle w:val="Table"/>
              <w:jc w:val="center"/>
              <w:rPr>
                <w:snapToGrid w:val="0"/>
                <w:sz w:val="20"/>
              </w:rPr>
            </w:pPr>
            <w:r>
              <w:rPr>
                <w:snapToGrid w:val="0"/>
                <w:sz w:val="20"/>
              </w:rPr>
              <w:t>F. — 41</w:t>
            </w:r>
          </w:p>
        </w:tc>
      </w:tr>
      <w:tr>
        <w:tc>
          <w:tcPr>
            <w:tcW w:w="2400" w:type="dxa"/>
          </w:tcPr>
          <w:p>
            <w:pPr>
              <w:pStyle w:val="Table"/>
              <w:rPr>
                <w:snapToGrid w:val="0"/>
                <w:sz w:val="20"/>
              </w:rPr>
            </w:pPr>
            <w:r>
              <w:rPr>
                <w:snapToGrid w:val="0"/>
                <w:sz w:val="20"/>
              </w:rPr>
              <w:t>1 520 mm</w:t>
            </w:r>
          </w:p>
        </w:tc>
        <w:tc>
          <w:tcPr>
            <w:tcW w:w="2520" w:type="dxa"/>
          </w:tcPr>
          <w:p>
            <w:pPr>
              <w:pStyle w:val="Table"/>
              <w:jc w:val="center"/>
              <w:rPr>
                <w:snapToGrid w:val="0"/>
                <w:sz w:val="20"/>
              </w:rPr>
            </w:pPr>
            <w:r>
              <w:rPr>
                <w:snapToGrid w:val="0"/>
                <w:sz w:val="2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1/24th of the maximum internal diameter.</w:t>
      </w:r>
    </w:p>
    <w:p>
      <w:pPr>
        <w:pStyle w:val="Indenta"/>
        <w:rPr>
          <w:snapToGrid w:val="0"/>
        </w:rPr>
      </w:pPr>
      <w:r>
        <w:rPr>
          <w:snapToGrid w:val="0"/>
        </w:rPr>
        <w:tab/>
        <w:t>(h)</w:t>
      </w:r>
      <w:r>
        <w:rPr>
          <w:snapToGrid w:val="0"/>
        </w:rPr>
        <w:tab/>
        <w:t>Each septic tank shall —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Heavy duty covers that are to be subjected to wheeled traffic shall be to individual specifications, approved by the Executive Director, Public Health.</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The covers to inspection openings shall be of cast iron or other material approved by the Executive Director, Public Health and when in place after installation, the inspection opening covers shall fit neatly to prevent the ingress of water or egress of mosquitoes.</w:t>
      </w:r>
    </w:p>
    <w:p>
      <w:pPr>
        <w:pStyle w:val="Footnotesection"/>
      </w:pPr>
      <w:r>
        <w:tab/>
        <w:t xml:space="preserve">[Regulation 32 amended in Gazette 29 Jun 1984 p. 1781; 4 Sep 1992 p. 4473; 29 Jul 1997 p. 4082.] </w:t>
      </w:r>
    </w:p>
    <w:p>
      <w:pPr>
        <w:pStyle w:val="Heading5"/>
        <w:rPr>
          <w:snapToGrid w:val="0"/>
        </w:rPr>
      </w:pPr>
      <w:bookmarkStart w:id="314" w:name="_Toc47935305"/>
      <w:bookmarkStart w:id="315" w:name="_Toc113177937"/>
      <w:bookmarkStart w:id="316" w:name="_Toc195070031"/>
      <w:bookmarkStart w:id="317" w:name="_Toc170715732"/>
      <w:r>
        <w:rPr>
          <w:rStyle w:val="CharSectno"/>
        </w:rPr>
        <w:t>33</w:t>
      </w:r>
      <w:r>
        <w:rPr>
          <w:snapToGrid w:val="0"/>
        </w:rPr>
        <w:t>.</w:t>
      </w:r>
      <w:r>
        <w:rPr>
          <w:snapToGrid w:val="0"/>
        </w:rPr>
        <w:tab/>
        <w:t>Testing a precast concrete septic tank</w:t>
      </w:r>
      <w:bookmarkEnd w:id="314"/>
      <w:bookmarkEnd w:id="315"/>
      <w:bookmarkEnd w:id="316"/>
      <w:bookmarkEnd w:id="317"/>
      <w:r>
        <w:rPr>
          <w:snapToGrid w:val="0"/>
        </w:rPr>
        <w:t xml:space="preserve"> </w:t>
      </w:r>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Each pipe or block selected by the environmental health officer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 </w:t>
      </w:r>
    </w:p>
    <w:p>
      <w:pPr>
        <w:pStyle w:val="Indenta"/>
        <w:rPr>
          <w:snapToGrid w:val="0"/>
        </w:rPr>
      </w:pPr>
      <w:r>
        <w:rPr>
          <w:snapToGrid w:val="0"/>
        </w:rPr>
        <w:tab/>
        <w:t>(a)</w:t>
      </w:r>
      <w:r>
        <w:rPr>
          <w:snapToGrid w:val="0"/>
        </w:rPr>
        <w:tab/>
        <w:t>in an approved laboratory; or</w:t>
      </w:r>
    </w:p>
    <w:p>
      <w:pPr>
        <w:pStyle w:val="Indenta"/>
        <w:rPr>
          <w:snapToGrid w:val="0"/>
        </w:rPr>
      </w:pPr>
      <w:r>
        <w:rPr>
          <w:snapToGrid w:val="0"/>
        </w:rPr>
        <w:tab/>
        <w:t>(b)</w:t>
      </w:r>
      <w:r>
        <w:rPr>
          <w:snapToGrid w:val="0"/>
        </w:rPr>
        <w:tab/>
        <w:t>on the premises of a manufacturer where testing equipment is provided.</w:t>
      </w:r>
    </w:p>
    <w:p>
      <w:pPr>
        <w:pStyle w:val="Subsection"/>
        <w:rPr>
          <w:snapToGrid w:val="0"/>
        </w:rPr>
      </w:pPr>
      <w:r>
        <w:rPr>
          <w:snapToGrid w:val="0"/>
        </w:rPr>
        <w:tab/>
        <w:t>(4)</w:t>
      </w:r>
      <w:r>
        <w:rPr>
          <w:snapToGrid w:val="0"/>
        </w:rPr>
        <w:tab/>
        <w:t>Where tests are carried out on the premises of a manufacturer, those tests shall be carried out in the presence of an environmental health officer or an inspector appointed under the Act, who shall select the items to be tested by random sampling.</w:t>
      </w:r>
    </w:p>
    <w:p>
      <w:pPr>
        <w:pStyle w:val="Subsection"/>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rPr>
          <w:snapToGrid w:val="0"/>
        </w:rPr>
      </w:pPr>
      <w:r>
        <w:rPr>
          <w:snapToGrid w:val="0"/>
        </w:rPr>
        <w:tab/>
        <w:t>(6)</w:t>
      </w:r>
      <w:r>
        <w:rPr>
          <w:snapToGrid w:val="0"/>
        </w:rPr>
        <w:tab/>
        <w:t>One tank in every 50 with the same nominal diameter shall be subjected to a load test.</w:t>
      </w:r>
    </w:p>
    <w:p>
      <w:pPr>
        <w:pStyle w:val="Subsection"/>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3</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 xml:space="preserve">4; 29 Jul 1997 p. 4082 and 4083; 5 Sep 1997 p. 5037.] </w:t>
      </w:r>
    </w:p>
    <w:p>
      <w:pPr>
        <w:pStyle w:val="Ednotesection"/>
      </w:pPr>
      <w:r>
        <w:tab/>
        <w:t>[Heading deleted in Gazette 29 Jul 1997 p. 4082.]</w:t>
      </w:r>
    </w:p>
    <w:p>
      <w:pPr>
        <w:pStyle w:val="Heading5"/>
        <w:rPr>
          <w:snapToGrid w:val="0"/>
        </w:rPr>
      </w:pPr>
      <w:bookmarkStart w:id="318" w:name="_Toc47935306"/>
      <w:bookmarkStart w:id="319" w:name="_Toc113177938"/>
      <w:bookmarkStart w:id="320" w:name="_Toc195070032"/>
      <w:bookmarkStart w:id="321" w:name="_Toc170715733"/>
      <w:r>
        <w:rPr>
          <w:rStyle w:val="CharSectno"/>
        </w:rPr>
        <w:t>34</w:t>
      </w:r>
      <w:r>
        <w:rPr>
          <w:snapToGrid w:val="0"/>
        </w:rPr>
        <w:t>.</w:t>
      </w:r>
      <w:r>
        <w:rPr>
          <w:snapToGrid w:val="0"/>
        </w:rPr>
        <w:tab/>
        <w:t>Construction of an in situ concrete septic tank</w:t>
      </w:r>
      <w:bookmarkEnd w:id="318"/>
      <w:bookmarkEnd w:id="319"/>
      <w:bookmarkEnd w:id="320"/>
      <w:bookmarkEnd w:id="321"/>
      <w:r>
        <w:rPr>
          <w:snapToGrid w:val="0"/>
        </w:rPr>
        <w:t xml:space="preserve"> </w:t>
      </w:r>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rPr>
          <w:snapToGrid w:val="0"/>
        </w:rPr>
      </w:pPr>
      <w:r>
        <w:rPr>
          <w:snapToGrid w:val="0"/>
        </w:rPr>
        <w:tab/>
        <w:t>(2)</w:t>
      </w:r>
      <w:r>
        <w:rPr>
          <w:snapToGrid w:val="0"/>
        </w:rPr>
        <w:tab/>
        <w:t>All concrete shall be poured in continuous shallow layers not exceeding 300 mm in depth.</w:t>
      </w:r>
    </w:p>
    <w:p>
      <w:pPr>
        <w:pStyle w:val="Subsection"/>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rPr>
          <w:snapToGrid w:val="0"/>
        </w:rPr>
      </w:pPr>
      <w:r>
        <w:rPr>
          <w:snapToGrid w:val="0"/>
        </w:rPr>
        <w:tab/>
        <w:t>(6)</w:t>
      </w:r>
      <w:r>
        <w:rPr>
          <w:snapToGrid w:val="0"/>
        </w:rPr>
        <w:tab/>
        <w:t>All steel meshes shall comply with AS 1304</w:t>
      </w:r>
      <w:r>
        <w:rPr>
          <w:snapToGrid w:val="0"/>
        </w:rPr>
        <w:noBreakHyphen/>
        <w:t>1991.</w:t>
      </w:r>
    </w:p>
    <w:p>
      <w:pPr>
        <w:pStyle w:val="Subsection"/>
        <w:rPr>
          <w:snapToGrid w:val="0"/>
        </w:rPr>
      </w:pPr>
      <w:r>
        <w:rPr>
          <w:snapToGrid w:val="0"/>
        </w:rPr>
        <w:tab/>
        <w:t>(7)</w:t>
      </w:r>
      <w:r>
        <w:rPr>
          <w:snapToGrid w:val="0"/>
        </w:rPr>
        <w:tab/>
        <w:t>The tank shall be filled with water immediately the forms are removed.</w:t>
      </w:r>
    </w:p>
    <w:p>
      <w:pPr>
        <w:pStyle w:val="Subsection"/>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rPr>
          <w:snapToGrid w:val="0"/>
        </w:rPr>
      </w:pPr>
      <w:r>
        <w:rPr>
          <w:snapToGrid w:val="0"/>
        </w:rPr>
        <w:tab/>
        <w:t>(9)</w:t>
      </w:r>
      <w:r>
        <w:rPr>
          <w:snapToGrid w:val="0"/>
        </w:rPr>
        <w:tab/>
        <w:t>Every partition shall be of concrete 50 mm thick reinforced with F.41 steel mesh.</w:t>
      </w:r>
    </w:p>
    <w:p>
      <w:pPr>
        <w:pStyle w:val="Footnotesection"/>
      </w:pPr>
      <w:r>
        <w:tab/>
        <w:t xml:space="preserve">[Regulation 34 amended in Gazette 15 Dec 1989 p. 4549; 4 Sep 1992 p. 4474.] </w:t>
      </w:r>
    </w:p>
    <w:p>
      <w:pPr>
        <w:pStyle w:val="Ednotesection"/>
      </w:pPr>
      <w:r>
        <w:tab/>
        <w:t>[Heading deleted in Gazette 29 Jul 1997 p. 4082.]</w:t>
      </w:r>
    </w:p>
    <w:p>
      <w:pPr>
        <w:pStyle w:val="Heading5"/>
        <w:rPr>
          <w:snapToGrid w:val="0"/>
        </w:rPr>
      </w:pPr>
      <w:bookmarkStart w:id="322" w:name="_Toc47935307"/>
      <w:bookmarkStart w:id="323" w:name="_Toc113177939"/>
      <w:bookmarkStart w:id="324" w:name="_Toc195070033"/>
      <w:bookmarkStart w:id="325" w:name="_Toc170715734"/>
      <w:r>
        <w:rPr>
          <w:rStyle w:val="CharSectno"/>
        </w:rPr>
        <w:t>35</w:t>
      </w:r>
      <w:r>
        <w:rPr>
          <w:snapToGrid w:val="0"/>
        </w:rPr>
        <w:t>.</w:t>
      </w:r>
      <w:r>
        <w:rPr>
          <w:snapToGrid w:val="0"/>
        </w:rPr>
        <w:tab/>
        <w:t>Construction of a brick septic tank</w:t>
      </w:r>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 xml:space="preserve">[Regulation 35 amended in Gazette 15 Dec 1989 p. 4549.] </w:t>
      </w:r>
    </w:p>
    <w:p>
      <w:pPr>
        <w:pStyle w:val="Heading5"/>
        <w:rPr>
          <w:snapToGrid w:val="0"/>
        </w:rPr>
      </w:pPr>
      <w:bookmarkStart w:id="326" w:name="_Toc47935308"/>
      <w:bookmarkStart w:id="327" w:name="_Toc113177940"/>
      <w:bookmarkStart w:id="328" w:name="_Toc195070034"/>
      <w:bookmarkStart w:id="329" w:name="_Toc170715735"/>
      <w:r>
        <w:rPr>
          <w:rStyle w:val="CharSectno"/>
        </w:rPr>
        <w:t>36</w:t>
      </w:r>
      <w:r>
        <w:rPr>
          <w:snapToGrid w:val="0"/>
        </w:rPr>
        <w:t>.</w:t>
      </w:r>
      <w:r>
        <w:rPr>
          <w:snapToGrid w:val="0"/>
        </w:rPr>
        <w:tab/>
        <w:t>Manufacturer of a fibreglass septic tank</w:t>
      </w:r>
      <w:bookmarkEnd w:id="326"/>
      <w:bookmarkEnd w:id="327"/>
      <w:bookmarkEnd w:id="328"/>
      <w:bookmarkEnd w:id="329"/>
      <w:r>
        <w:rPr>
          <w:snapToGrid w:val="0"/>
        </w:rPr>
        <w:t xml:space="preserve"> </w:t>
      </w:r>
    </w:p>
    <w:p>
      <w:pPr>
        <w:pStyle w:val="Subsection"/>
        <w:rPr>
          <w:snapToGrid w:val="0"/>
        </w:rPr>
      </w:pPr>
      <w:r>
        <w:rPr>
          <w:snapToGrid w:val="0"/>
        </w:rPr>
        <w:tab/>
        <w:t>(1)</w:t>
      </w:r>
      <w:r>
        <w:rPr>
          <w:snapToGrid w:val="0"/>
        </w:rPr>
        <w:tab/>
        <w:t>A manufacturer shall not produce fibreglass septic tanks unless the design of each model has been approved by the Executive Director, Public Health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spacing w:before="120"/>
        <w:rPr>
          <w:snapToGrid w:val="0"/>
        </w:rPr>
      </w:pPr>
      <w:r>
        <w:rPr>
          <w:snapToGrid w:val="0"/>
        </w:rPr>
        <w:tab/>
        <w:t>(e)</w:t>
      </w:r>
      <w:r>
        <w:rPr>
          <w:snapToGrid w:val="0"/>
        </w:rPr>
        <w:tab/>
        <w:t>a tank cover shall be a minimum of 5 mm thick maintaining the 30% glass content ratio and reinforced to withstand a minimum load of 0.5 tonnes and a cover shall — </w:t>
      </w:r>
    </w:p>
    <w:p>
      <w:pPr>
        <w:pStyle w:val="Indenti"/>
        <w:rPr>
          <w:snapToGrid w:val="0"/>
        </w:rPr>
      </w:pPr>
      <w:r>
        <w:rPr>
          <w:snapToGrid w:val="0"/>
        </w:rPr>
        <w:tab/>
        <w:t>(i)</w:t>
      </w:r>
      <w:r>
        <w:rPr>
          <w:snapToGrid w:val="0"/>
        </w:rPr>
        <w:tab/>
        <w:t>be supplied with 3 openings;</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spacing w:before="120"/>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before="120"/>
        <w:rPr>
          <w:snapToGrid w:val="0"/>
        </w:rPr>
      </w:pPr>
      <w:r>
        <w:rPr>
          <w:snapToGrid w:val="0"/>
        </w:rPr>
        <w:tab/>
        <w:t>(g)</w:t>
      </w:r>
      <w:r>
        <w:rPr>
          <w:snapToGrid w:val="0"/>
        </w:rPr>
        <w:tab/>
        <w:t>all cured laminate used in the manufacture of fibreglass tanks shall have the following properties — </w:t>
      </w:r>
    </w:p>
    <w:p>
      <w:pPr>
        <w:pStyle w:val="MiscellaneousHeading"/>
        <w:rPr>
          <w:b/>
          <w:bCs/>
          <w:snapToGrid w:val="0"/>
        </w:rPr>
      </w:pP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
              <w:spacing w:before="160"/>
            </w:pPr>
            <w:r>
              <w:t>Specific Gravity .....................</w:t>
            </w:r>
          </w:p>
        </w:tc>
        <w:tc>
          <w:tcPr>
            <w:tcW w:w="2552" w:type="dxa"/>
          </w:tcPr>
          <w:p>
            <w:pPr>
              <w:pStyle w:val="Table"/>
              <w:spacing w:before="160"/>
            </w:pPr>
            <w:r>
              <w:t>1.5 min.</w:t>
            </w:r>
          </w:p>
        </w:tc>
      </w:tr>
      <w:tr>
        <w:tc>
          <w:tcPr>
            <w:tcW w:w="2835" w:type="dxa"/>
          </w:tcPr>
          <w:p>
            <w:pPr>
              <w:pStyle w:val="Table"/>
              <w:spacing w:before="0"/>
            </w:pPr>
            <w:r>
              <w:t>Flexural Strength ....................</w:t>
            </w:r>
          </w:p>
        </w:tc>
        <w:tc>
          <w:tcPr>
            <w:tcW w:w="2552" w:type="dxa"/>
          </w:tcPr>
          <w:p>
            <w:pPr>
              <w:pStyle w:val="Table"/>
              <w:spacing w:before="0"/>
            </w:pPr>
            <w:r>
              <w:t>10 x 10</w:t>
            </w:r>
            <w:r>
              <w:rPr>
                <w:vertAlign w:val="superscript"/>
              </w:rPr>
              <w:t>4</w:t>
            </w:r>
            <w:r>
              <w:t>kPa min.</w:t>
            </w:r>
          </w:p>
        </w:tc>
      </w:tr>
      <w:tr>
        <w:tc>
          <w:tcPr>
            <w:tcW w:w="2835" w:type="dxa"/>
          </w:tcPr>
          <w:p>
            <w:pPr>
              <w:pStyle w:val="Table"/>
              <w:spacing w:before="0"/>
            </w:pPr>
            <w:r>
              <w:t>Flexural Modulus ...................</w:t>
            </w:r>
          </w:p>
        </w:tc>
        <w:tc>
          <w:tcPr>
            <w:tcW w:w="2552" w:type="dxa"/>
          </w:tcPr>
          <w:p>
            <w:pPr>
              <w:pStyle w:val="Table"/>
              <w:spacing w:before="0"/>
            </w:pPr>
            <w:r>
              <w:t>8 x 10</w:t>
            </w:r>
            <w:r>
              <w:rPr>
                <w:vertAlign w:val="superscript"/>
              </w:rPr>
              <w:t>6</w:t>
            </w:r>
            <w:r>
              <w:t>kPa min.</w:t>
            </w:r>
          </w:p>
        </w:tc>
      </w:tr>
      <w:tr>
        <w:tc>
          <w:tcPr>
            <w:tcW w:w="2835" w:type="dxa"/>
          </w:tcPr>
          <w:p>
            <w:pPr>
              <w:pStyle w:val="Table"/>
              <w:spacing w:before="0"/>
            </w:pPr>
            <w:r>
              <w:t>Impact Strength ......................</w:t>
            </w:r>
          </w:p>
        </w:tc>
        <w:tc>
          <w:tcPr>
            <w:tcW w:w="2552" w:type="dxa"/>
          </w:tcPr>
          <w:p>
            <w:pPr>
              <w:pStyle w:val="Table"/>
              <w:spacing w:before="0"/>
            </w:pPr>
            <w:r>
              <w:t>533 Joules/Metre</w:t>
            </w:r>
          </w:p>
        </w:tc>
      </w:tr>
      <w:tr>
        <w:tc>
          <w:tcPr>
            <w:tcW w:w="2835" w:type="dxa"/>
          </w:tcPr>
          <w:p>
            <w:pPr>
              <w:pStyle w:val="Table"/>
              <w:spacing w:before="0"/>
            </w:pPr>
            <w:r>
              <w:t>Hardness (Barcol) Ref,</w:t>
            </w:r>
          </w:p>
          <w:p>
            <w:pPr>
              <w:pStyle w:val="Table"/>
              <w:tabs>
                <w:tab w:val="left" w:pos="227"/>
              </w:tabs>
              <w:spacing w:before="0"/>
              <w:ind w:right="-57"/>
            </w:pPr>
            <w:r>
              <w:tab/>
              <w:t>AS 1799.4</w:t>
            </w:r>
            <w:r>
              <w:noBreakHyphen/>
              <w:t>1985 .................</w:t>
            </w:r>
          </w:p>
        </w:tc>
        <w:tc>
          <w:tcPr>
            <w:tcW w:w="2552" w:type="dxa"/>
          </w:tcPr>
          <w:p>
            <w:pPr>
              <w:pStyle w:val="Table"/>
              <w:spacing w:before="0"/>
            </w:pPr>
          </w:p>
          <w:p>
            <w:pPr>
              <w:pStyle w:val="Table"/>
              <w:spacing w:before="0"/>
            </w:pPr>
            <w:r>
              <w:t>50 min. (after 48 hours)</w:t>
            </w:r>
          </w:p>
        </w:tc>
      </w:tr>
      <w:tr>
        <w:tc>
          <w:tcPr>
            <w:tcW w:w="2835" w:type="dxa"/>
          </w:tcPr>
          <w:p>
            <w:pPr>
              <w:pStyle w:val="Table"/>
              <w:spacing w:before="0"/>
            </w:pPr>
            <w:r>
              <w:t>Moisture pick up .....................</w:t>
            </w:r>
          </w:p>
        </w:tc>
        <w:tc>
          <w:tcPr>
            <w:tcW w:w="2552" w:type="dxa"/>
          </w:tcPr>
          <w:p>
            <w:pPr>
              <w:pStyle w:val="Table"/>
              <w:spacing w:before="0"/>
            </w:pPr>
            <w:r>
              <w:t>0.5% max. 24 hours</w:t>
            </w:r>
          </w:p>
        </w:tc>
      </w:tr>
      <w:tr>
        <w:tc>
          <w:tcPr>
            <w:tcW w:w="2835" w:type="dxa"/>
          </w:tcPr>
          <w:p>
            <w:pPr>
              <w:pStyle w:val="Table"/>
              <w:spacing w:before="0"/>
            </w:pPr>
            <w:r>
              <w:t>Glass content ..........................</w:t>
            </w:r>
          </w:p>
        </w:tc>
        <w:tc>
          <w:tcPr>
            <w:tcW w:w="2552" w:type="dxa"/>
          </w:tcPr>
          <w:p>
            <w:pPr>
              <w:pStyle w:val="Table"/>
              <w:spacing w:before="0"/>
            </w:pPr>
            <w:r>
              <w:t>30% min.</w:t>
            </w:r>
          </w:p>
        </w:tc>
      </w:tr>
      <w:tr>
        <w:tc>
          <w:tcPr>
            <w:tcW w:w="2835" w:type="dxa"/>
          </w:tcPr>
          <w:p>
            <w:pPr>
              <w:pStyle w:val="Table"/>
              <w:spacing w:before="0"/>
            </w:pPr>
            <w:r>
              <w:t>Thickness ................................</w:t>
            </w:r>
          </w:p>
        </w:tc>
        <w:tc>
          <w:tcPr>
            <w:tcW w:w="2552" w:type="dxa"/>
          </w:tcPr>
          <w:p>
            <w:pPr>
              <w:pStyle w:val="Table"/>
              <w:spacing w:before="0"/>
            </w:pPr>
            <w:r>
              <w:t>4 mm for body per min.</w:t>
            </w:r>
          </w:p>
          <w:p>
            <w:pPr>
              <w:pStyle w:val="Table"/>
              <w:spacing w:before="0"/>
            </w:pPr>
            <w:r>
              <w:t>5 mm for lid per min.</w:t>
            </w:r>
          </w:p>
        </w:tc>
      </w:tr>
      <w:tr>
        <w:tc>
          <w:tcPr>
            <w:tcW w:w="2835" w:type="dxa"/>
          </w:tcPr>
          <w:p>
            <w:pPr>
              <w:pStyle w:val="Table"/>
              <w:spacing w:before="0"/>
            </w:pPr>
            <w:r>
              <w:t>Specific Tolerance on length ..</w:t>
            </w:r>
          </w:p>
        </w:tc>
        <w:tc>
          <w:tcPr>
            <w:tcW w:w="2552" w:type="dxa"/>
          </w:tcPr>
          <w:p>
            <w:pPr>
              <w:pStyle w:val="Table"/>
              <w:spacing w:before="0"/>
            </w:pPr>
            <w:r>
              <w:t>Plus or minus 12.7 mm</w:t>
            </w:r>
          </w:p>
        </w:tc>
      </w:tr>
      <w:tr>
        <w:tc>
          <w:tcPr>
            <w:tcW w:w="2835" w:type="dxa"/>
          </w:tcPr>
          <w:p>
            <w:pPr>
              <w:pStyle w:val="Table"/>
              <w:tabs>
                <w:tab w:val="left" w:pos="227"/>
              </w:tabs>
              <w:spacing w:before="0"/>
              <w:ind w:right="-57"/>
            </w:pPr>
            <w:r>
              <w:t xml:space="preserve">Diameter including out of </w:t>
            </w:r>
            <w:r>
              <w:tab/>
              <w:t>round ...................................</w:t>
            </w:r>
          </w:p>
        </w:tc>
        <w:tc>
          <w:tcPr>
            <w:tcW w:w="2552" w:type="dxa"/>
          </w:tcPr>
          <w:p>
            <w:pPr>
              <w:pStyle w:val="Table"/>
              <w:spacing w:before="0"/>
            </w:pPr>
            <w:r>
              <w:br/>
              <w:t>Plus or minus 6.5 mm</w:t>
            </w:r>
          </w:p>
        </w:tc>
      </w:tr>
      <w:tr>
        <w:tc>
          <w:tcPr>
            <w:tcW w:w="2835" w:type="dxa"/>
          </w:tcPr>
          <w:p>
            <w:pPr>
              <w:pStyle w:val="Table"/>
              <w:tabs>
                <w:tab w:val="left" w:pos="227"/>
              </w:tabs>
              <w:spacing w:before="0"/>
            </w:pPr>
            <w:r>
              <w:t xml:space="preserve">Entrapped air Max. No. of </w:t>
            </w:r>
            <w:r>
              <w:tab/>
              <w:t>Bubbles ...............................</w:t>
            </w:r>
          </w:p>
        </w:tc>
        <w:tc>
          <w:tcPr>
            <w:tcW w:w="2552" w:type="dxa"/>
          </w:tcPr>
          <w:p>
            <w:pPr>
              <w:pStyle w:val="Table"/>
              <w:spacing w:before="0"/>
              <w:rPr>
                <w:vertAlign w:val="superscript"/>
              </w:rPr>
            </w:pPr>
            <w:r>
              <w:br/>
              <w:t>15 per 1 000 mm</w:t>
            </w:r>
            <w:r>
              <w:rPr>
                <w:vertAlign w:val="superscript"/>
              </w:rPr>
              <w:t>2</w:t>
            </w:r>
          </w:p>
        </w:tc>
      </w:tr>
      <w:tr>
        <w:tc>
          <w:tcPr>
            <w:tcW w:w="2835" w:type="dxa"/>
          </w:tcPr>
          <w:p>
            <w:pPr>
              <w:pStyle w:val="Table"/>
              <w:spacing w:before="0"/>
            </w:pPr>
            <w:r>
              <w:t>Max. Size ................................</w:t>
            </w:r>
          </w:p>
        </w:tc>
        <w:tc>
          <w:tcPr>
            <w:tcW w:w="2552" w:type="dxa"/>
          </w:tcPr>
          <w:p>
            <w:pPr>
              <w:pStyle w:val="Table"/>
              <w:spacing w:before="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An environmental health officer or inspector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 xml:space="preserve">20; amended in Gazette 29 Jun 1984 p. 1781; 4 Sep 1992 p. 4474; 29 Jul 1997 p. 4083; 5 Sep 1997 p. 5037.] </w:t>
      </w:r>
    </w:p>
    <w:p>
      <w:pPr>
        <w:pStyle w:val="Heading2"/>
      </w:pPr>
      <w:bookmarkStart w:id="330" w:name="_Toc92695630"/>
      <w:bookmarkStart w:id="331" w:name="_Toc92968572"/>
      <w:bookmarkStart w:id="332" w:name="_Toc92968664"/>
      <w:bookmarkStart w:id="333" w:name="_Toc94935601"/>
      <w:bookmarkStart w:id="334" w:name="_Toc94935816"/>
      <w:bookmarkStart w:id="335" w:name="_Toc94941381"/>
      <w:bookmarkStart w:id="336" w:name="_Toc105237857"/>
      <w:bookmarkStart w:id="337" w:name="_Toc105470626"/>
      <w:bookmarkStart w:id="338" w:name="_Toc107800473"/>
      <w:bookmarkStart w:id="339" w:name="_Toc110666943"/>
      <w:bookmarkStart w:id="340" w:name="_Toc110842783"/>
      <w:bookmarkStart w:id="341" w:name="_Toc113177941"/>
      <w:bookmarkStart w:id="342" w:name="_Toc113259795"/>
      <w:bookmarkStart w:id="343" w:name="_Toc113262940"/>
      <w:bookmarkStart w:id="344" w:name="_Toc117907404"/>
      <w:bookmarkStart w:id="345" w:name="_Toc134332512"/>
      <w:bookmarkStart w:id="346" w:name="_Toc134337461"/>
      <w:bookmarkStart w:id="347" w:name="_Toc134337751"/>
      <w:bookmarkStart w:id="348" w:name="_Toc139258704"/>
      <w:bookmarkStart w:id="349" w:name="_Toc167179058"/>
      <w:bookmarkStart w:id="350" w:name="_Toc170201206"/>
      <w:bookmarkStart w:id="351" w:name="_Toc170715736"/>
      <w:bookmarkStart w:id="352" w:name="_Toc195006283"/>
      <w:bookmarkStart w:id="353" w:name="_Toc195070035"/>
      <w:r>
        <w:rPr>
          <w:rStyle w:val="CharPartNo"/>
        </w:rPr>
        <w:t>Part 4</w:t>
      </w:r>
      <w:r>
        <w:rPr>
          <w:rStyle w:val="CharDivNo"/>
        </w:rPr>
        <w:t> </w:t>
      </w:r>
      <w:r>
        <w:t>—</w:t>
      </w:r>
      <w:r>
        <w:rPr>
          <w:rStyle w:val="CharDivText"/>
        </w:rPr>
        <w:t> </w:t>
      </w:r>
      <w:r>
        <w:rPr>
          <w:rStyle w:val="CharPartText"/>
        </w:rPr>
        <w:t>Restricted flush fixtures</w:t>
      </w:r>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r>
        <w:rPr>
          <w:rStyle w:val="CharPartText"/>
        </w:rPr>
        <w:t xml:space="preserve"> </w:t>
      </w:r>
    </w:p>
    <w:p>
      <w:pPr>
        <w:pStyle w:val="Footnoteheading"/>
        <w:ind w:left="890"/>
        <w:rPr>
          <w:snapToGrid w:val="0"/>
        </w:rPr>
      </w:pPr>
      <w:r>
        <w:rPr>
          <w:snapToGrid w:val="0"/>
        </w:rPr>
        <w:tab/>
        <w:t>[Heading inserted in Gazette 29 Jul 1997 p. 4078.]</w:t>
      </w:r>
    </w:p>
    <w:p>
      <w:pPr>
        <w:pStyle w:val="Ednotesection"/>
      </w:pPr>
      <w:r>
        <w:t>[</w:t>
      </w:r>
      <w:r>
        <w:rPr>
          <w:b/>
        </w:rPr>
        <w:t>37.</w:t>
      </w:r>
      <w:r>
        <w:tab/>
        <w:t>Repealed in Gazette 28 Jun 2004 p. 2395.]</w:t>
      </w:r>
    </w:p>
    <w:p>
      <w:pPr>
        <w:pStyle w:val="Footnoteheading"/>
        <w:ind w:left="890"/>
      </w:pPr>
      <w:r>
        <w:tab/>
        <w:t xml:space="preserve">[Heading deleted </w:t>
      </w:r>
      <w:r>
        <w:rPr>
          <w:snapToGrid w:val="0"/>
        </w:rPr>
        <w:t>in</w:t>
      </w:r>
      <w:r>
        <w:t xml:space="preserve"> Gazette 29 Jul 1997 p. 4082.]</w:t>
      </w:r>
    </w:p>
    <w:p>
      <w:pPr>
        <w:pStyle w:val="Heading5"/>
        <w:rPr>
          <w:snapToGrid w:val="0"/>
        </w:rPr>
      </w:pPr>
      <w:bookmarkStart w:id="354" w:name="_Toc47935310"/>
      <w:bookmarkStart w:id="355" w:name="_Toc113177942"/>
      <w:bookmarkStart w:id="356" w:name="_Toc195070036"/>
      <w:bookmarkStart w:id="357" w:name="_Toc170715737"/>
      <w:r>
        <w:rPr>
          <w:rStyle w:val="CharSectno"/>
        </w:rPr>
        <w:t>38</w:t>
      </w:r>
      <w:r>
        <w:rPr>
          <w:snapToGrid w:val="0"/>
        </w:rPr>
        <w:t>.</w:t>
      </w:r>
      <w:r>
        <w:rPr>
          <w:snapToGrid w:val="0"/>
        </w:rPr>
        <w:tab/>
        <w:t>Minimum flush fixtures and fittings generally</w:t>
      </w:r>
      <w:bookmarkEnd w:id="354"/>
      <w:bookmarkEnd w:id="355"/>
      <w:bookmarkEnd w:id="356"/>
      <w:bookmarkEnd w:id="357"/>
      <w:r>
        <w:rPr>
          <w:snapToGrid w:val="0"/>
        </w:rPr>
        <w:t xml:space="preserve"> </w:t>
      </w:r>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Executive Director, Public Health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b/>
          <w:snapToGrid w:val="0"/>
        </w:rPr>
        <w:t>“</w:t>
      </w:r>
      <w:r>
        <w:rPr>
          <w:rStyle w:val="CharDefText"/>
        </w:rPr>
        <w:t>minimum flush fixtures and fittings</w:t>
      </w:r>
      <w:r>
        <w:rPr>
          <w:b/>
          <w:snapToGrid w:val="0"/>
        </w:rPr>
        <w:t>”</w:t>
      </w:r>
      <w:r>
        <w:rPr>
          <w:snapToGrid w:val="0"/>
        </w:rPr>
        <w:t>) of a design approved by the Executive Director, Public Health, in which event the modifications set out in regulations 38 and 39 may be made.</w:t>
      </w:r>
    </w:p>
    <w:p>
      <w:pPr>
        <w:pStyle w:val="Subsection"/>
        <w:rPr>
          <w:snapToGrid w:val="0"/>
        </w:rPr>
      </w:pPr>
      <w:r>
        <w:rPr>
          <w:snapToGrid w:val="0"/>
        </w:rPr>
        <w:tab/>
        <w:t>(2)</w:t>
      </w:r>
      <w:r>
        <w:rPr>
          <w:snapToGrid w:val="0"/>
        </w:rPr>
        <w:tab/>
        <w:t>The Executive Director, Public Health shall not approve a type of minimum flush fixtures and fittings unless —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 xml:space="preserve">[Regulation 38 amended in Gazette 29 Jun 1984 p. 1781; 29 Jul 1997 p. 4083; 28 Jun 2004 p. 2395.] </w:t>
      </w:r>
    </w:p>
    <w:p>
      <w:pPr>
        <w:pStyle w:val="Heading5"/>
        <w:rPr>
          <w:snapToGrid w:val="0"/>
        </w:rPr>
      </w:pPr>
      <w:bookmarkStart w:id="358" w:name="_Toc47935311"/>
      <w:bookmarkStart w:id="359" w:name="_Toc113177943"/>
      <w:bookmarkStart w:id="360" w:name="_Toc195070037"/>
      <w:bookmarkStart w:id="361" w:name="_Toc170715738"/>
      <w:r>
        <w:rPr>
          <w:rStyle w:val="CharSectno"/>
        </w:rPr>
        <w:t>39</w:t>
      </w:r>
      <w:r>
        <w:rPr>
          <w:snapToGrid w:val="0"/>
        </w:rPr>
        <w:t>.</w:t>
      </w:r>
      <w:r>
        <w:rPr>
          <w:snapToGrid w:val="0"/>
        </w:rPr>
        <w:tab/>
        <w:t>Minimum flush fixtures and fittings on any land</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Executive Director, Public Health shall not approve the use of minimum flush fixtures and fittings on any land unless — </w:t>
      </w:r>
    </w:p>
    <w:p>
      <w:pPr>
        <w:pStyle w:val="Indenta"/>
        <w:rPr>
          <w:snapToGrid w:val="0"/>
        </w:rPr>
      </w:pPr>
      <w:r>
        <w:rPr>
          <w:snapToGrid w:val="0"/>
        </w:rPr>
        <w:tab/>
        <w:t>(a)</w:t>
      </w:r>
      <w:r>
        <w:rPr>
          <w:snapToGrid w:val="0"/>
        </w:rPr>
        <w:tab/>
        <w:t>the pan is mounted within 2.4 m of the septic tank;</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rPr>
          <w:snapToGrid w:val="0"/>
        </w:rPr>
      </w:pPr>
      <w:r>
        <w:rPr>
          <w:snapToGrid w:val="0"/>
        </w:rPr>
        <w:tab/>
        <w:t>(d)</w:t>
      </w:r>
      <w:r>
        <w:rPr>
          <w:snapToGrid w:val="0"/>
        </w:rPr>
        <w:tab/>
      </w:r>
      <w:r>
        <w:rPr>
          <w:snapToGrid w:val="0"/>
          <w:spacing w:val="-4"/>
        </w:rPr>
        <w:t>a water supply of not less than 9 kl is available to the land.</w:t>
      </w:r>
    </w:p>
    <w:p>
      <w:pPr>
        <w:pStyle w:val="Subsection"/>
        <w:spacing w:before="100"/>
        <w:rPr>
          <w:snapToGrid w:val="0"/>
        </w:rPr>
      </w:pPr>
      <w:r>
        <w:rPr>
          <w:snapToGrid w:val="0"/>
        </w:rPr>
        <w:tab/>
        <w:t>(2)</w:t>
      </w:r>
      <w:r>
        <w:rPr>
          <w:snapToGrid w:val="0"/>
        </w:rPr>
        <w:tab/>
        <w:t>Fixtures and fittings approved by the Executive Director, Public Health under this regulation shall not be connected to septic tanks to serve residential premises containing more than 5 bedrooms or to tanks treating all household wastes.</w:t>
      </w:r>
    </w:p>
    <w:p>
      <w:pPr>
        <w:pStyle w:val="Subsection"/>
        <w:spacing w:before="100"/>
        <w:rPr>
          <w:snapToGrid w:val="0"/>
        </w:rPr>
      </w:pPr>
      <w:r>
        <w:rPr>
          <w:snapToGrid w:val="0"/>
        </w:rPr>
        <w:tab/>
        <w:t>(3)</w:t>
      </w:r>
      <w:r>
        <w:rPr>
          <w:snapToGrid w:val="0"/>
        </w:rPr>
        <w:tab/>
        <w:t>Notwithstanding Part 3, a septic tank connected to the fixtures and fittings referred to in this Part shall — </w:t>
      </w:r>
    </w:p>
    <w:p>
      <w:pPr>
        <w:pStyle w:val="Indenta"/>
        <w:rPr>
          <w:snapToGrid w:val="0"/>
        </w:rPr>
      </w:pPr>
      <w:r>
        <w:rPr>
          <w:snapToGrid w:val="0"/>
        </w:rPr>
        <w:tab/>
        <w:t>(a)</w:t>
      </w:r>
      <w:r>
        <w:rPr>
          <w:snapToGrid w:val="0"/>
        </w:rPr>
        <w:tab/>
        <w:t>have a liquid capacity of at least 1 820 litres;</w:t>
      </w:r>
    </w:p>
    <w:p>
      <w:pPr>
        <w:pStyle w:val="Indenta"/>
        <w:rPr>
          <w:snapToGrid w:val="0"/>
        </w:rPr>
      </w:pPr>
      <w:r>
        <w:rPr>
          <w:snapToGrid w:val="0"/>
        </w:rPr>
        <w:tab/>
        <w:t>(b)</w:t>
      </w:r>
      <w:r>
        <w:rPr>
          <w:snapToGrid w:val="0"/>
        </w:rPr>
        <w:tab/>
        <w:t>where the tank is cylindrical, have a cylindrical diameter of at least 1 520 mm; and</w:t>
      </w:r>
    </w:p>
    <w:p>
      <w:pPr>
        <w:pStyle w:val="Indenta"/>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00"/>
        <w:rPr>
          <w:snapToGrid w:val="0"/>
        </w:rPr>
      </w:pPr>
      <w:r>
        <w:rPr>
          <w:snapToGrid w:val="0"/>
        </w:rPr>
        <w:tab/>
        <w:t>(4)</w:t>
      </w:r>
      <w:r>
        <w:rPr>
          <w:snapToGrid w:val="0"/>
        </w:rPr>
        <w:tab/>
        <w:t>Notwithstanding the provisions of regulation 38(2) — </w:t>
      </w:r>
    </w:p>
    <w:p>
      <w:pPr>
        <w:pStyle w:val="Indenta"/>
        <w:rPr>
          <w:snapToGrid w:val="0"/>
        </w:rPr>
      </w:pPr>
      <w:r>
        <w:rPr>
          <w:snapToGrid w:val="0"/>
        </w:rPr>
        <w:tab/>
        <w:t>(a)</w:t>
      </w:r>
      <w:r>
        <w:rPr>
          <w:snapToGrid w:val="0"/>
        </w:rPr>
        <w:tab/>
        <w:t>where a water seal is used, the depth approved by the Executive Director, Public Health of the seal shall be maintained after flushing;</w:t>
      </w:r>
    </w:p>
    <w:p>
      <w:pPr>
        <w:pStyle w:val="Indenta"/>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pPr>
      <w:r>
        <w:tab/>
        <w:t xml:space="preserve">[Regulation 39 amended in Gazette 29 Jun 1984 p. 1781; 15 Dec 1989 p. 4549; 29 Jul 1997 p. 4079 and 4083.] </w:t>
      </w:r>
    </w:p>
    <w:p>
      <w:pPr>
        <w:pStyle w:val="Heading5"/>
        <w:rPr>
          <w:snapToGrid w:val="0"/>
        </w:rPr>
      </w:pPr>
      <w:bookmarkStart w:id="362" w:name="_Toc47935312"/>
      <w:bookmarkStart w:id="363" w:name="_Toc113177944"/>
      <w:bookmarkStart w:id="364" w:name="_Toc195070038"/>
      <w:bookmarkStart w:id="365" w:name="_Toc170715739"/>
      <w:r>
        <w:rPr>
          <w:rStyle w:val="CharSectno"/>
        </w:rPr>
        <w:t>40</w:t>
      </w:r>
      <w:r>
        <w:rPr>
          <w:snapToGrid w:val="0"/>
        </w:rPr>
        <w:t>.</w:t>
      </w:r>
      <w:r>
        <w:rPr>
          <w:snapToGrid w:val="0"/>
        </w:rPr>
        <w:tab/>
        <w:t>Certificate of approval of fixtures and fittings</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manufacture of, or agent for fixtures or fittings referred to in this Part, may apply to the Executive Director, Public Health for a certificate of approval of any type of fixture or fitting and each application shall be accompanied by —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The Executive Director, Public Health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Upon receipt of an application the Executive Director, Public Health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 xml:space="preserve">[Regulation 40 amended in Gazette 29 Jun 1984 p. 1781; 15 Dec 1989 p. 4549; 29 Jul 1997 p. 4083.] </w:t>
      </w:r>
    </w:p>
    <w:p>
      <w:pPr>
        <w:pStyle w:val="Heading5"/>
        <w:rPr>
          <w:snapToGrid w:val="0"/>
        </w:rPr>
      </w:pPr>
      <w:bookmarkStart w:id="366" w:name="_Toc47935313"/>
      <w:bookmarkStart w:id="367" w:name="_Toc113177945"/>
      <w:bookmarkStart w:id="368" w:name="_Toc195070039"/>
      <w:bookmarkStart w:id="369" w:name="_Toc170715740"/>
      <w:r>
        <w:rPr>
          <w:rStyle w:val="CharSectno"/>
        </w:rPr>
        <w:t>41</w:t>
      </w:r>
      <w:r>
        <w:rPr>
          <w:snapToGrid w:val="0"/>
        </w:rPr>
        <w:t>.</w:t>
      </w:r>
      <w:r>
        <w:rPr>
          <w:snapToGrid w:val="0"/>
        </w:rPr>
        <w:tab/>
        <w:t>Testing a closet pan or flushing cistern</w:t>
      </w:r>
      <w:bookmarkEnd w:id="366"/>
      <w:bookmarkEnd w:id="367"/>
      <w:bookmarkEnd w:id="368"/>
      <w:bookmarkEnd w:id="369"/>
      <w:r>
        <w:rPr>
          <w:snapToGrid w:val="0"/>
        </w:rPr>
        <w:t xml:space="preserve"> </w:t>
      </w:r>
    </w:p>
    <w:p>
      <w:pPr>
        <w:pStyle w:val="Subsection"/>
        <w:rPr>
          <w:snapToGrid w:val="0"/>
        </w:rPr>
      </w:pPr>
      <w:r>
        <w:rPr>
          <w:snapToGrid w:val="0"/>
        </w:rPr>
        <w:tab/>
        <w:t>(1)</w:t>
      </w:r>
      <w:r>
        <w:rPr>
          <w:snapToGrid w:val="0"/>
        </w:rPr>
        <w:tab/>
        <w:t>Upon receipt of an application in the form of Form No. 1 in Schedule 5 by a person who wishes to have a closet pan or flushing cistern tested, the Executive Director, Public Health shall cause the pan or cistern to be tested by an inspector who is qualified to test such apparatus.</w:t>
      </w:r>
    </w:p>
    <w:p>
      <w:pPr>
        <w:pStyle w:val="Subsection"/>
        <w:rPr>
          <w:snapToGrid w:val="0"/>
        </w:rPr>
      </w:pPr>
      <w:r>
        <w:rPr>
          <w:snapToGrid w:val="0"/>
        </w:rPr>
        <w:tab/>
        <w:t>(2)</w:t>
      </w:r>
      <w:r>
        <w:rPr>
          <w:snapToGrid w:val="0"/>
        </w:rPr>
        <w:tab/>
        <w:t>If the closet pan or flushing cistern is found fit for use, the inspector shall affix a brand thereto consisting of the letters HD ↑ which shall be 12 mm in height.</w:t>
      </w:r>
    </w:p>
    <w:p>
      <w:pPr>
        <w:pStyle w:val="Subsection"/>
        <w:rPr>
          <w:snapToGrid w:val="0"/>
        </w:rPr>
      </w:pPr>
      <w:r>
        <w:rPr>
          <w:snapToGrid w:val="0"/>
        </w:rPr>
        <w:tab/>
        <w:t>(3)</w:t>
      </w:r>
      <w:r>
        <w:rPr>
          <w:snapToGrid w:val="0"/>
        </w:rPr>
        <w:tab/>
        <w:t>Before a brand is affixed to any closet pan or flushing cistern, the applicant shall upon demand pay to the Executive Director, Public Health a charge for the registration of the application calculated as follows — </w:t>
      </w:r>
    </w:p>
    <w:p>
      <w:pPr>
        <w:pStyle w:val="MiscellaneousHeading"/>
        <w:rPr>
          <w:b/>
          <w:bCs/>
          <w:snapToGrid w:val="0"/>
        </w:rPr>
      </w:pP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
              <w:rPr>
                <w:b/>
                <w:snapToGrid w:val="0"/>
                <w:sz w:val="20"/>
                <w:lang w:val="en-US"/>
              </w:rPr>
            </w:pPr>
          </w:p>
        </w:tc>
        <w:tc>
          <w:tcPr>
            <w:tcW w:w="1242" w:type="dxa"/>
          </w:tcPr>
          <w:p>
            <w:pPr>
              <w:pStyle w:val="Table"/>
              <w:jc w:val="center"/>
              <w:rPr>
                <w:b/>
                <w:snapToGrid w:val="0"/>
                <w:sz w:val="20"/>
              </w:rPr>
            </w:pPr>
            <w:r>
              <w:rPr>
                <w:b/>
                <w:snapToGrid w:val="0"/>
                <w:sz w:val="20"/>
              </w:rPr>
              <w:t>$</w:t>
            </w:r>
          </w:p>
        </w:tc>
      </w:tr>
      <w:tr>
        <w:tc>
          <w:tcPr>
            <w:tcW w:w="5103" w:type="dxa"/>
          </w:tcPr>
          <w:p>
            <w:pPr>
              <w:pStyle w:val="Table"/>
              <w:rPr>
                <w:snapToGrid w:val="0"/>
              </w:rPr>
            </w:pPr>
            <w:r>
              <w:rPr>
                <w:snapToGrid w:val="0"/>
              </w:rPr>
              <w:t xml:space="preserve">For each closet pan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For each flushing cistern tested </w:t>
            </w:r>
            <w:r>
              <w:rPr>
                <w:sz w:val="20"/>
              </w:rPr>
              <w:t>.........................................</w:t>
            </w:r>
          </w:p>
        </w:tc>
        <w:tc>
          <w:tcPr>
            <w:tcW w:w="1242" w:type="dxa"/>
          </w:tcPr>
          <w:p>
            <w:pPr>
              <w:pStyle w:val="Table"/>
              <w:jc w:val="center"/>
              <w:rPr>
                <w:snapToGrid w:val="0"/>
              </w:rPr>
            </w:pPr>
            <w:r>
              <w:rPr>
                <w:snapToGrid w:val="0"/>
              </w:rPr>
              <w:t>0.20</w:t>
            </w:r>
          </w:p>
        </w:tc>
      </w:tr>
      <w:tr>
        <w:tc>
          <w:tcPr>
            <w:tcW w:w="5103" w:type="dxa"/>
          </w:tcPr>
          <w:p>
            <w:pPr>
              <w:pStyle w:val="Table"/>
              <w:rPr>
                <w:snapToGrid w:val="0"/>
              </w:rPr>
            </w:pPr>
            <w:r>
              <w:rPr>
                <w:snapToGrid w:val="0"/>
              </w:rPr>
              <w:t xml:space="preserve">And for each application </w:t>
            </w:r>
            <w:r>
              <w:rPr>
                <w:sz w:val="20"/>
              </w:rPr>
              <w:t>.....................................................</w:t>
            </w:r>
          </w:p>
        </w:tc>
        <w:tc>
          <w:tcPr>
            <w:tcW w:w="1242" w:type="dxa"/>
          </w:tcPr>
          <w:p>
            <w:pPr>
              <w:pStyle w:val="Table"/>
              <w:jc w:val="center"/>
              <w:rPr>
                <w:snapToGrid w:val="0"/>
              </w:rPr>
            </w:pPr>
            <w:r>
              <w:rPr>
                <w:snapToGrid w:val="0"/>
              </w:rPr>
              <w:t>1.00</w:t>
            </w:r>
          </w:p>
        </w:tc>
      </w:tr>
    </w:tbl>
    <w:p>
      <w:pPr>
        <w:pStyle w:val="Subsection"/>
        <w:keepNext/>
        <w:keepLines/>
        <w:rPr>
          <w:snapToGrid w:val="0"/>
        </w:rPr>
      </w:pPr>
      <w:r>
        <w:rPr>
          <w:snapToGrid w:val="0"/>
        </w:rPr>
        <w:tab/>
        <w:t>(4)</w:t>
      </w:r>
      <w:r>
        <w:rPr>
          <w:snapToGrid w:val="0"/>
        </w:rPr>
        <w:tab/>
        <w:t>No person other than an inspector referred to in subregulation (1) shall affix a brand of such description as is referred to in that subregulation or any mark resembling that brand to a closet pan or flushing cistern.</w:t>
      </w:r>
    </w:p>
    <w:p>
      <w:pPr>
        <w:pStyle w:val="Footnotesection"/>
      </w:pPr>
      <w:r>
        <w:tab/>
        <w:t xml:space="preserve">[Regulation 41 amended in Gazette 29 Jun 1984 p. 1781; 15 Dec 1989 p. 4549.] </w:t>
      </w:r>
    </w:p>
    <w:p>
      <w:pPr>
        <w:pStyle w:val="Heading5"/>
        <w:rPr>
          <w:snapToGrid w:val="0"/>
        </w:rPr>
      </w:pPr>
      <w:bookmarkStart w:id="370" w:name="_Toc47935314"/>
      <w:bookmarkStart w:id="371" w:name="_Toc113177946"/>
      <w:bookmarkStart w:id="372" w:name="_Toc195070040"/>
      <w:bookmarkStart w:id="373" w:name="_Toc170715741"/>
      <w:r>
        <w:rPr>
          <w:rStyle w:val="CharSectno"/>
        </w:rPr>
        <w:t>42</w:t>
      </w:r>
      <w:r>
        <w:rPr>
          <w:snapToGrid w:val="0"/>
        </w:rPr>
        <w:t>.</w:t>
      </w:r>
      <w:r>
        <w:rPr>
          <w:snapToGrid w:val="0"/>
        </w:rPr>
        <w:tab/>
        <w:t>Restriction on variations</w:t>
      </w:r>
      <w:bookmarkEnd w:id="370"/>
      <w:bookmarkEnd w:id="371"/>
      <w:bookmarkEnd w:id="372"/>
      <w:bookmarkEnd w:id="373"/>
      <w:r>
        <w:rPr>
          <w:snapToGrid w:val="0"/>
        </w:rPr>
        <w:t xml:space="preserve"> </w:t>
      </w:r>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 xml:space="preserve">[Regulation 42 amended in Gazette 29 Jul 1997 p. 4079 and 4083; 28 Jun 2004 p. 2396.] </w:t>
      </w:r>
    </w:p>
    <w:p>
      <w:pPr>
        <w:pStyle w:val="Heading2"/>
      </w:pPr>
      <w:bookmarkStart w:id="374" w:name="_Toc92695636"/>
      <w:bookmarkStart w:id="375" w:name="_Toc92968578"/>
      <w:bookmarkStart w:id="376" w:name="_Toc92968670"/>
      <w:bookmarkStart w:id="377" w:name="_Toc94935607"/>
      <w:bookmarkStart w:id="378" w:name="_Toc94935822"/>
      <w:bookmarkStart w:id="379" w:name="_Toc94941387"/>
      <w:bookmarkStart w:id="380" w:name="_Toc105237863"/>
      <w:bookmarkStart w:id="381" w:name="_Toc105470632"/>
      <w:bookmarkStart w:id="382" w:name="_Toc107800479"/>
      <w:bookmarkStart w:id="383" w:name="_Toc110666949"/>
      <w:bookmarkStart w:id="384" w:name="_Toc110842789"/>
      <w:bookmarkStart w:id="385" w:name="_Toc113177947"/>
      <w:bookmarkStart w:id="386" w:name="_Toc113259801"/>
      <w:bookmarkStart w:id="387" w:name="_Toc113262946"/>
      <w:bookmarkStart w:id="388" w:name="_Toc117907410"/>
      <w:bookmarkStart w:id="389" w:name="_Toc134332518"/>
      <w:bookmarkStart w:id="390" w:name="_Toc134337467"/>
      <w:bookmarkStart w:id="391" w:name="_Toc134337757"/>
      <w:bookmarkStart w:id="392" w:name="_Toc139258710"/>
      <w:bookmarkStart w:id="393" w:name="_Toc167179064"/>
      <w:bookmarkStart w:id="394" w:name="_Toc170201212"/>
      <w:bookmarkStart w:id="395" w:name="_Toc170715742"/>
      <w:bookmarkStart w:id="396" w:name="_Toc195006289"/>
      <w:bookmarkStart w:id="397" w:name="_Toc195070041"/>
      <w:r>
        <w:rPr>
          <w:rStyle w:val="CharPartNo"/>
        </w:rPr>
        <w:t>Part 4A</w:t>
      </w:r>
      <w:r>
        <w:rPr>
          <w:rStyle w:val="CharDivNo"/>
        </w:rPr>
        <w:t> </w:t>
      </w:r>
      <w:r>
        <w:t>—</w:t>
      </w:r>
      <w:r>
        <w:rPr>
          <w:rStyle w:val="CharDivText"/>
        </w:rPr>
        <w:t> </w:t>
      </w:r>
      <w:r>
        <w:rPr>
          <w:rStyle w:val="CharPartText"/>
        </w:rPr>
        <w:t>Maintenance of aerobic treatment units</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398" w:name="_Toc47935315"/>
      <w:bookmarkStart w:id="399" w:name="_Toc113177948"/>
      <w:bookmarkStart w:id="400" w:name="_Toc195070042"/>
      <w:bookmarkStart w:id="401" w:name="_Toc170715743"/>
      <w:r>
        <w:rPr>
          <w:rStyle w:val="CharSectno"/>
        </w:rPr>
        <w:t>42A</w:t>
      </w:r>
      <w:r>
        <w:rPr>
          <w:snapToGrid w:val="0"/>
        </w:rPr>
        <w:t>.</w:t>
      </w:r>
      <w:r>
        <w:rPr>
          <w:snapToGrid w:val="0"/>
        </w:rPr>
        <w:tab/>
        <w:t>Owner to ensure arrangements in place for maintenance of unit</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 xml:space="preserve">[Regulation 42A inserted in Gazette 4 Sep 1992 p. 4474.] </w:t>
      </w:r>
    </w:p>
    <w:p>
      <w:pPr>
        <w:pStyle w:val="Heading5"/>
        <w:rPr>
          <w:snapToGrid w:val="0"/>
        </w:rPr>
      </w:pPr>
      <w:bookmarkStart w:id="402" w:name="_Toc47935316"/>
      <w:bookmarkStart w:id="403" w:name="_Toc113177949"/>
      <w:bookmarkStart w:id="404" w:name="_Toc195070043"/>
      <w:bookmarkStart w:id="405" w:name="_Toc170715744"/>
      <w:r>
        <w:rPr>
          <w:rStyle w:val="CharSectno"/>
        </w:rPr>
        <w:t>42B</w:t>
      </w:r>
      <w:r>
        <w:rPr>
          <w:snapToGrid w:val="0"/>
        </w:rPr>
        <w:t>.</w:t>
      </w:r>
      <w:r>
        <w:rPr>
          <w:snapToGrid w:val="0"/>
        </w:rPr>
        <w:tab/>
        <w:t>Units to be maintained in accordance with standard</w:t>
      </w:r>
      <w:bookmarkEnd w:id="402"/>
      <w:bookmarkEnd w:id="403"/>
      <w:bookmarkEnd w:id="404"/>
      <w:bookmarkEnd w:id="405"/>
      <w:r>
        <w:rPr>
          <w:snapToGrid w:val="0"/>
        </w:rPr>
        <w:t xml:space="preserve"> </w:t>
      </w:r>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 xml:space="preserve">[Regulation 42B inserted in Gazette 4 Sep 1992 p. 4474; amended in Gazette 6 Nov 2001 p. 5839; 7 Jan 2005 p. 68.] </w:t>
      </w:r>
    </w:p>
    <w:p>
      <w:pPr>
        <w:pStyle w:val="Heading5"/>
        <w:rPr>
          <w:snapToGrid w:val="0"/>
        </w:rPr>
      </w:pPr>
      <w:bookmarkStart w:id="406" w:name="_Toc47935317"/>
      <w:bookmarkStart w:id="407" w:name="_Toc113177950"/>
      <w:bookmarkStart w:id="408" w:name="_Toc195070044"/>
      <w:bookmarkStart w:id="409" w:name="_Toc170715745"/>
      <w:r>
        <w:rPr>
          <w:rStyle w:val="CharSectno"/>
        </w:rPr>
        <w:t>42C</w:t>
      </w:r>
      <w:r>
        <w:rPr>
          <w:snapToGrid w:val="0"/>
        </w:rPr>
        <w:t>.</w:t>
      </w:r>
      <w:r>
        <w:rPr>
          <w:snapToGrid w:val="0"/>
        </w:rPr>
        <w:tab/>
        <w:t>Maintenance of units to be carried out by authorised persons</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person shall not carry out maintenance work on an aerobic treatment unit, and the owner of any premises on which an aerobic treatment unit is installed shall not arrange for a person to carry out maintenance work on the unit, unless the person is authorised by the Executive Director, Public Health under this regulation to carry out maintenance work on that type of aerobic treatment unit.</w:t>
      </w:r>
    </w:p>
    <w:p>
      <w:pPr>
        <w:pStyle w:val="Subsection"/>
        <w:rPr>
          <w:snapToGrid w:val="0"/>
        </w:rPr>
      </w:pPr>
      <w:r>
        <w:rPr>
          <w:snapToGrid w:val="0"/>
        </w:rPr>
        <w:tab/>
        <w:t>(2)</w:t>
      </w:r>
      <w:r>
        <w:rPr>
          <w:snapToGrid w:val="0"/>
        </w:rPr>
        <w:tab/>
        <w:t>A person may apply in writing to the Executive Director, Public Health for authorisation to carry out maintenance work on aerobic treatment units.</w:t>
      </w:r>
    </w:p>
    <w:p>
      <w:pPr>
        <w:pStyle w:val="Subsection"/>
        <w:rPr>
          <w:snapToGrid w:val="0"/>
        </w:rPr>
      </w:pPr>
      <w:r>
        <w:rPr>
          <w:snapToGrid w:val="0"/>
        </w:rPr>
        <w:tab/>
        <w:t>(3)</w:t>
      </w:r>
      <w:r>
        <w:rPr>
          <w:snapToGrid w:val="0"/>
        </w:rPr>
        <w:tab/>
        <w:t>Upon application under subregulation (2), the Executive Director, Public Health may authorise the applicant to carry out maintenance work on aerobic treatment units and the Executive Director shall specify in the authorisation the type or types of unit which the applicant is authorised to maintain.</w:t>
      </w:r>
    </w:p>
    <w:p>
      <w:pPr>
        <w:pStyle w:val="Subsection"/>
        <w:rPr>
          <w:snapToGrid w:val="0"/>
        </w:rPr>
      </w:pPr>
      <w:r>
        <w:rPr>
          <w:snapToGrid w:val="0"/>
        </w:rPr>
        <w:tab/>
        <w:t>(4)</w:t>
      </w:r>
      <w:r>
        <w:rPr>
          <w:snapToGrid w:val="0"/>
        </w:rPr>
        <w:tab/>
        <w:t>The Executive Director, Public Health shall not authorise a person to carry out maintenance work on any type of aerobic treatment unit unless the Executive Director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subject to such conditions or restrictions as the Executive Director, Public Health thinks fit.</w:t>
      </w:r>
    </w:p>
    <w:p>
      <w:pPr>
        <w:pStyle w:val="Subsection"/>
        <w:rPr>
          <w:snapToGrid w:val="0"/>
        </w:rPr>
      </w:pPr>
      <w:r>
        <w:rPr>
          <w:snapToGrid w:val="0"/>
        </w:rPr>
        <w:tab/>
        <w:t>(6)</w:t>
      </w:r>
      <w:r>
        <w:rPr>
          <w:snapToGrid w:val="0"/>
        </w:rPr>
        <w:tab/>
        <w:t>Authorisation may at any time be amended or revoked by the Executive Director, Public Health if the Executive Director is satisfied that a person —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A person who is aggrieved by a decision of the Executive Director, Public Health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An appeal under subregulation (7) shall be lodged within 28 days of the decision of the Executive Director, Public Health and shall set out the grounds for the appeal.</w:t>
      </w:r>
    </w:p>
    <w:p>
      <w:pPr>
        <w:pStyle w:val="Subsection"/>
        <w:rPr>
          <w:snapToGrid w:val="0"/>
        </w:rPr>
      </w:pPr>
      <w:r>
        <w:rPr>
          <w:snapToGrid w:val="0"/>
        </w:rPr>
        <w:tab/>
        <w:t>(9)</w:t>
      </w:r>
      <w:r>
        <w:rPr>
          <w:snapToGrid w:val="0"/>
        </w:rPr>
        <w:tab/>
        <w:t>The Minister shall determine the appeal on the material that was before the Executive Director, Public Health and on such other materials as the Minister thinks fit to consider.</w:t>
      </w:r>
    </w:p>
    <w:p>
      <w:pPr>
        <w:pStyle w:val="Footnotesection"/>
      </w:pPr>
      <w:r>
        <w:tab/>
        <w:t>[Regulation 42C inserted in Gazette 4 Sep 1992 p. 4474</w:t>
      </w:r>
      <w:r>
        <w:noBreakHyphen/>
        <w:t xml:space="preserve">5.] </w:t>
      </w:r>
    </w:p>
    <w:p>
      <w:pPr>
        <w:pStyle w:val="Heading5"/>
        <w:rPr>
          <w:snapToGrid w:val="0"/>
        </w:rPr>
      </w:pPr>
      <w:bookmarkStart w:id="410" w:name="_Toc47935318"/>
      <w:bookmarkStart w:id="411" w:name="_Toc113177951"/>
      <w:bookmarkStart w:id="412" w:name="_Toc195070045"/>
      <w:bookmarkStart w:id="413" w:name="_Toc170715746"/>
      <w:r>
        <w:rPr>
          <w:rStyle w:val="CharSectno"/>
        </w:rPr>
        <w:t>42D</w:t>
      </w:r>
      <w:r>
        <w:rPr>
          <w:snapToGrid w:val="0"/>
        </w:rPr>
        <w:t>.</w:t>
      </w:r>
      <w:r>
        <w:rPr>
          <w:snapToGrid w:val="0"/>
        </w:rPr>
        <w:tab/>
        <w:t>Authorised person to notify new owner of maintenance requirements for unit</w:t>
      </w:r>
      <w:bookmarkEnd w:id="410"/>
      <w:bookmarkEnd w:id="411"/>
      <w:bookmarkEnd w:id="412"/>
      <w:bookmarkEnd w:id="413"/>
      <w:r>
        <w:rPr>
          <w:snapToGrid w:val="0"/>
        </w:rPr>
        <w:t xml:space="preserve"> </w:t>
      </w:r>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 </w:t>
      </w:r>
    </w:p>
    <w:p>
      <w:pPr>
        <w:pStyle w:val="Indenta"/>
        <w:rPr>
          <w:snapToGrid w:val="0"/>
        </w:rPr>
      </w:pPr>
      <w:r>
        <w:rPr>
          <w:snapToGrid w:val="0"/>
        </w:rPr>
        <w:tab/>
        <w:t>(a)</w:t>
      </w:r>
      <w:r>
        <w:rPr>
          <w:snapToGrid w:val="0"/>
        </w:rPr>
        <w:tab/>
        <w:t>the general requirements for the maintenance of the unit;</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 xml:space="preserve">[Regulation 42D inserted in Gazette 4 Sep 1992 p. 4475.] </w:t>
      </w:r>
    </w:p>
    <w:p>
      <w:pPr>
        <w:pStyle w:val="Heading2"/>
      </w:pPr>
      <w:bookmarkStart w:id="414" w:name="_Toc92695641"/>
      <w:bookmarkStart w:id="415" w:name="_Toc92968583"/>
      <w:bookmarkStart w:id="416" w:name="_Toc92968675"/>
      <w:bookmarkStart w:id="417" w:name="_Toc94935612"/>
      <w:bookmarkStart w:id="418" w:name="_Toc94935827"/>
      <w:bookmarkStart w:id="419" w:name="_Toc94941392"/>
      <w:bookmarkStart w:id="420" w:name="_Toc105237868"/>
      <w:bookmarkStart w:id="421" w:name="_Toc105470637"/>
      <w:bookmarkStart w:id="422" w:name="_Toc107800484"/>
      <w:bookmarkStart w:id="423" w:name="_Toc110666954"/>
      <w:bookmarkStart w:id="424" w:name="_Toc110842794"/>
      <w:bookmarkStart w:id="425" w:name="_Toc113177952"/>
      <w:bookmarkStart w:id="426" w:name="_Toc113259806"/>
      <w:bookmarkStart w:id="427" w:name="_Toc113262951"/>
      <w:bookmarkStart w:id="428" w:name="_Toc117907415"/>
      <w:bookmarkStart w:id="429" w:name="_Toc134332523"/>
      <w:bookmarkStart w:id="430" w:name="_Toc134337472"/>
      <w:bookmarkStart w:id="431" w:name="_Toc134337762"/>
      <w:bookmarkStart w:id="432" w:name="_Toc139258715"/>
      <w:bookmarkStart w:id="433" w:name="_Toc167179069"/>
      <w:bookmarkStart w:id="434" w:name="_Toc170201217"/>
      <w:bookmarkStart w:id="435" w:name="_Toc170715747"/>
      <w:bookmarkStart w:id="436" w:name="_Toc195006294"/>
      <w:bookmarkStart w:id="437" w:name="_Toc195070046"/>
      <w:r>
        <w:rPr>
          <w:rStyle w:val="CharPartNo"/>
        </w:rPr>
        <w:t>Part 5</w:t>
      </w:r>
      <w:r>
        <w:rPr>
          <w:rStyle w:val="CharDivNo"/>
        </w:rPr>
        <w:t> </w:t>
      </w:r>
      <w:r>
        <w:t>—</w:t>
      </w:r>
      <w:r>
        <w:rPr>
          <w:rStyle w:val="CharDivText"/>
        </w:rPr>
        <w:t> </w:t>
      </w:r>
      <w:r>
        <w:rPr>
          <w:rStyle w:val="CharPartText"/>
        </w:rPr>
        <w:t>Dry type septic tank</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r>
        <w:rPr>
          <w:rStyle w:val="CharPartText"/>
        </w:rPr>
        <w:t xml:space="preserve"> </w:t>
      </w:r>
    </w:p>
    <w:p>
      <w:pPr>
        <w:pStyle w:val="Footnoteheading"/>
        <w:ind w:left="890"/>
        <w:rPr>
          <w:snapToGrid w:val="0"/>
        </w:rPr>
      </w:pPr>
      <w:r>
        <w:rPr>
          <w:snapToGrid w:val="0"/>
        </w:rPr>
        <w:tab/>
        <w:t>[Heading inserted in Gazette 29 Jul 1997 p. 4079.]</w:t>
      </w:r>
    </w:p>
    <w:p>
      <w:pPr>
        <w:pStyle w:val="Heading5"/>
        <w:rPr>
          <w:snapToGrid w:val="0"/>
        </w:rPr>
      </w:pPr>
      <w:bookmarkStart w:id="438" w:name="_Toc47935319"/>
      <w:bookmarkStart w:id="439" w:name="_Toc113177953"/>
      <w:bookmarkStart w:id="440" w:name="_Toc195070047"/>
      <w:bookmarkStart w:id="441" w:name="_Toc170715748"/>
      <w:r>
        <w:rPr>
          <w:rStyle w:val="CharSectno"/>
        </w:rPr>
        <w:t>43</w:t>
      </w:r>
      <w:r>
        <w:rPr>
          <w:snapToGrid w:val="0"/>
        </w:rPr>
        <w:t>.</w:t>
      </w:r>
      <w:r>
        <w:rPr>
          <w:snapToGrid w:val="0"/>
        </w:rPr>
        <w:tab/>
        <w:t>Dry type septic tank</w:t>
      </w:r>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Executive Director, Public Health may approve the installation of a “Dry Type” Septic Tank, which shall comply with the following conditions: </w:t>
      </w:r>
    </w:p>
    <w:p>
      <w:pPr>
        <w:pStyle w:val="Indenta"/>
        <w:rPr>
          <w:snapToGrid w:val="0"/>
        </w:rPr>
      </w:pPr>
      <w:r>
        <w:rPr>
          <w:snapToGrid w:val="0"/>
        </w:rPr>
        <w:tab/>
        <w:t>(a)</w:t>
      </w:r>
      <w:r>
        <w:rPr>
          <w:snapToGrid w:val="0"/>
        </w:rPr>
        <w:tab/>
        <w:t>the tank shall only be installed with the written approval of the Executive Director, Public Health and in a position approved by an environmental health officer;</w:t>
      </w:r>
    </w:p>
    <w:p>
      <w:pPr>
        <w:pStyle w:val="Indenta"/>
        <w:rPr>
          <w:snapToGrid w:val="0"/>
        </w:rPr>
      </w:pPr>
      <w:r>
        <w:rPr>
          <w:snapToGrid w:val="0"/>
        </w:rPr>
        <w:tab/>
        <w:t>(b)</w:t>
      </w:r>
      <w:r>
        <w:rPr>
          <w:snapToGrid w:val="0"/>
        </w:rPr>
        <w:tab/>
        <w:t>the tank shall be constructed as set out in Schedule 6, unless otherwise specified by the Executive Director, Public Health;</w:t>
      </w:r>
    </w:p>
    <w:p>
      <w:pPr>
        <w:pStyle w:val="Indenta"/>
        <w:rPr>
          <w:snapToGrid w:val="0"/>
        </w:rPr>
      </w:pPr>
      <w:r>
        <w:rPr>
          <w:snapToGrid w:val="0"/>
        </w:rPr>
        <w:tab/>
        <w:t>(c)</w:t>
      </w:r>
      <w:r>
        <w:rPr>
          <w:snapToGrid w:val="0"/>
        </w:rPr>
        <w:tab/>
        <w:t>the tank shall not be within 6 m of any house, or 1.8 m of any boundary or 30 m of any well, creek or underground source of water;</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w:t>
      </w:r>
    </w:p>
    <w:p>
      <w:pPr>
        <w:pStyle w:val="Indenta"/>
        <w:rPr>
          <w:snapToGrid w:val="0"/>
        </w:rPr>
      </w:pPr>
      <w:r>
        <w:rPr>
          <w:snapToGrid w:val="0"/>
        </w:rPr>
        <w:tab/>
        <w:t>(g)</w:t>
      </w:r>
      <w:r>
        <w:rPr>
          <w:snapToGrid w:val="0"/>
        </w:rPr>
        <w:tab/>
        <w:t>the liquid capacity of the tank shall be at least 1 820 litres;</w:t>
      </w:r>
    </w:p>
    <w:p>
      <w:pPr>
        <w:pStyle w:val="Indenta"/>
        <w:rPr>
          <w:snapToGrid w:val="0"/>
        </w:rPr>
      </w:pPr>
      <w:r>
        <w:rPr>
          <w:snapToGrid w:val="0"/>
        </w:rPr>
        <w:tab/>
        <w:t>(ga)</w:t>
      </w:r>
      <w:r>
        <w:rPr>
          <w:snapToGrid w:val="0"/>
        </w:rPr>
        <w:tab/>
        <w:t>the tank shall serve only residential premises with not more than 5 bedrooms;</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the educt vent shall be fitted with a mosquito proof cowl approved by the Executive Director, Public Health.</w:t>
      </w:r>
    </w:p>
    <w:p>
      <w:pPr>
        <w:pStyle w:val="Footnotesection"/>
      </w:pPr>
      <w:r>
        <w:tab/>
        <w:t xml:space="preserve">[Regulation 43 amended in Gazette 29 Jun 1984 p. 1781; 15 Dec 1989 p. 4550; 29 Jul 1997 p. 4079 and 4083; 5 Sep 1997 p. 5037.] </w:t>
      </w:r>
    </w:p>
    <w:p>
      <w:pPr>
        <w:pStyle w:val="Footnoteheading"/>
        <w:ind w:left="890"/>
      </w:pPr>
      <w:r>
        <w:tab/>
        <w:t xml:space="preserve">[Heading </w:t>
      </w:r>
      <w:r>
        <w:rPr>
          <w:snapToGrid w:val="0"/>
        </w:rPr>
        <w:t>deleted</w:t>
      </w:r>
      <w:r>
        <w:t xml:space="preserve"> in Gazette 29 Jul 1997 p. 4082.]</w:t>
      </w:r>
    </w:p>
    <w:p>
      <w:pPr>
        <w:pStyle w:val="Heading5"/>
        <w:rPr>
          <w:snapToGrid w:val="0"/>
        </w:rPr>
      </w:pPr>
      <w:bookmarkStart w:id="442" w:name="_Toc47935320"/>
      <w:bookmarkStart w:id="443" w:name="_Toc113177954"/>
      <w:bookmarkStart w:id="444" w:name="_Toc195070048"/>
      <w:bookmarkStart w:id="445" w:name="_Toc170715749"/>
      <w:r>
        <w:rPr>
          <w:rStyle w:val="CharSectno"/>
        </w:rPr>
        <w:t>44</w:t>
      </w:r>
      <w:r>
        <w:rPr>
          <w:snapToGrid w:val="0"/>
        </w:rPr>
        <w:t>.</w:t>
      </w:r>
      <w:r>
        <w:rPr>
          <w:snapToGrid w:val="0"/>
        </w:rPr>
        <w:tab/>
        <w:t>Area prescribed under section 110</w:t>
      </w:r>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 xml:space="preserve">[Regulation 44 amended in Gazette 29 Jun 1984 p. 1781; 1 Jul 1997 p. 3255; 29 Jul 1997 p. 4082; 7 Jan 2005 p. 68.] </w:t>
      </w:r>
    </w:p>
    <w:p>
      <w:pPr>
        <w:pStyle w:val="Footnoteheading"/>
        <w:ind w:left="890"/>
      </w:pPr>
      <w:r>
        <w:tab/>
        <w:t xml:space="preserve">[Heading deleted in </w:t>
      </w:r>
      <w:r>
        <w:rPr>
          <w:snapToGrid w:val="0"/>
        </w:rPr>
        <w:t>Gazette</w:t>
      </w:r>
      <w:r>
        <w:t xml:space="preserve"> 29 Jul 1997 p. 4082.]</w:t>
      </w:r>
    </w:p>
    <w:p>
      <w:pPr>
        <w:pStyle w:val="Heading5"/>
        <w:rPr>
          <w:snapToGrid w:val="0"/>
        </w:rPr>
      </w:pPr>
      <w:bookmarkStart w:id="446" w:name="_Toc47935321"/>
      <w:bookmarkStart w:id="447" w:name="_Toc113177955"/>
      <w:bookmarkStart w:id="448" w:name="_Toc195070049"/>
      <w:bookmarkStart w:id="449" w:name="_Toc170715750"/>
      <w:r>
        <w:rPr>
          <w:rStyle w:val="CharSectno"/>
        </w:rPr>
        <w:t>45</w:t>
      </w:r>
      <w:r>
        <w:rPr>
          <w:snapToGrid w:val="0"/>
        </w:rPr>
        <w:t>.</w:t>
      </w:r>
      <w:r>
        <w:rPr>
          <w:snapToGrid w:val="0"/>
        </w:rPr>
        <w:tab/>
        <w:t>Chemical closet pan</w:t>
      </w:r>
      <w:bookmarkEnd w:id="446"/>
      <w:bookmarkEnd w:id="447"/>
      <w:bookmarkEnd w:id="448"/>
      <w:bookmarkEnd w:id="449"/>
      <w:r>
        <w:rPr>
          <w:snapToGrid w:val="0"/>
        </w:rPr>
        <w:t xml:space="preserve"> </w:t>
      </w:r>
    </w:p>
    <w:p>
      <w:pPr>
        <w:pStyle w:val="Subsection"/>
        <w:rPr>
          <w:snapToGrid w:val="0"/>
        </w:rPr>
      </w:pPr>
      <w:r>
        <w:rPr>
          <w:snapToGrid w:val="0"/>
        </w:rPr>
        <w:tab/>
      </w:r>
      <w:r>
        <w:rPr>
          <w:snapToGrid w:val="0"/>
        </w:rPr>
        <w:tab/>
        <w:t>Chemical closet pans and the sanitary powders or sanitary fluids associated therewith shall not be installed or used without the approval of the Executive Director, Public Health.</w:t>
      </w:r>
    </w:p>
    <w:p>
      <w:pPr>
        <w:pStyle w:val="Footnotesection"/>
      </w:pPr>
      <w:r>
        <w:tab/>
        <w:t xml:space="preserve">[Regulation 45 amended in Gazette 29 Jun 1984 p. 1781.] </w:t>
      </w:r>
    </w:p>
    <w:p>
      <w:pPr>
        <w:pStyle w:val="Heading2"/>
      </w:pPr>
      <w:bookmarkStart w:id="450" w:name="_Toc92695645"/>
      <w:bookmarkStart w:id="451" w:name="_Toc92968587"/>
      <w:bookmarkStart w:id="452" w:name="_Toc92968679"/>
      <w:bookmarkStart w:id="453" w:name="_Toc94935616"/>
      <w:bookmarkStart w:id="454" w:name="_Toc94935831"/>
      <w:bookmarkStart w:id="455" w:name="_Toc94941396"/>
      <w:bookmarkStart w:id="456" w:name="_Toc105237872"/>
      <w:bookmarkStart w:id="457" w:name="_Toc105470641"/>
      <w:bookmarkStart w:id="458" w:name="_Toc107800488"/>
      <w:bookmarkStart w:id="459" w:name="_Toc110666958"/>
      <w:bookmarkStart w:id="460" w:name="_Toc110842798"/>
      <w:bookmarkStart w:id="461" w:name="_Toc113177956"/>
      <w:bookmarkStart w:id="462" w:name="_Toc113259810"/>
      <w:bookmarkStart w:id="463" w:name="_Toc113262955"/>
      <w:bookmarkStart w:id="464" w:name="_Toc117907419"/>
      <w:bookmarkStart w:id="465" w:name="_Toc134332527"/>
      <w:bookmarkStart w:id="466" w:name="_Toc134337476"/>
      <w:bookmarkStart w:id="467" w:name="_Toc134337766"/>
      <w:bookmarkStart w:id="468" w:name="_Toc139258719"/>
      <w:bookmarkStart w:id="469" w:name="_Toc167179073"/>
      <w:bookmarkStart w:id="470" w:name="_Toc170201221"/>
      <w:bookmarkStart w:id="471" w:name="_Toc170715751"/>
      <w:bookmarkStart w:id="472" w:name="_Toc195006298"/>
      <w:bookmarkStart w:id="473" w:name="_Toc195070050"/>
      <w:r>
        <w:rPr>
          <w:rStyle w:val="CharPartNo"/>
        </w:rPr>
        <w:t>Part 6</w:t>
      </w:r>
      <w:r>
        <w:rPr>
          <w:rStyle w:val="CharDivNo"/>
        </w:rPr>
        <w:t> </w:t>
      </w:r>
      <w:r>
        <w:t>—</w:t>
      </w:r>
      <w:r>
        <w:rPr>
          <w:rStyle w:val="CharDivText"/>
        </w:rPr>
        <w:t> </w:t>
      </w:r>
      <w:r>
        <w:rPr>
          <w:rStyle w:val="CharPartText"/>
        </w:rPr>
        <w:t xml:space="preserve">Emptying </w:t>
      </w:r>
      <w:bookmarkEnd w:id="450"/>
      <w:bookmarkEnd w:id="451"/>
      <w:bookmarkEnd w:id="452"/>
      <w:r>
        <w:rPr>
          <w:rStyle w:val="CharPartText"/>
        </w:rPr>
        <w:t>apparatus</w:t>
      </w:r>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ind w:left="890"/>
        <w:rPr>
          <w:snapToGrid w:val="0"/>
        </w:rPr>
      </w:pPr>
      <w:r>
        <w:rPr>
          <w:snapToGrid w:val="0"/>
        </w:rPr>
        <w:tab/>
        <w:t>[Heading inserted in Gazette 29 Jul 1997 p. 4080; amended in Gazette 7 Jan </w:t>
      </w:r>
      <w:r>
        <w:t>2005 p. 68</w:t>
      </w:r>
      <w:r>
        <w:rPr>
          <w:snapToGrid w:val="0"/>
        </w:rPr>
        <w:t>.]</w:t>
      </w:r>
    </w:p>
    <w:p>
      <w:pPr>
        <w:pStyle w:val="Heading5"/>
        <w:rPr>
          <w:snapToGrid w:val="0"/>
        </w:rPr>
      </w:pPr>
      <w:bookmarkStart w:id="474" w:name="_Toc47935322"/>
      <w:bookmarkStart w:id="475" w:name="_Toc113177957"/>
      <w:bookmarkStart w:id="476" w:name="_Toc195070051"/>
      <w:bookmarkStart w:id="477" w:name="_Toc170715752"/>
      <w:r>
        <w:rPr>
          <w:rStyle w:val="CharSectno"/>
        </w:rPr>
        <w:t>46</w:t>
      </w:r>
      <w:r>
        <w:rPr>
          <w:snapToGrid w:val="0"/>
        </w:rPr>
        <w:t>.</w:t>
      </w:r>
      <w:r>
        <w:rPr>
          <w:snapToGrid w:val="0"/>
        </w:rPr>
        <w:tab/>
        <w:t xml:space="preserve">Emptying a </w:t>
      </w:r>
      <w:bookmarkEnd w:id="474"/>
      <w:r>
        <w:t>tank or other waste storage component of an apparatus</w:t>
      </w:r>
      <w:bookmarkEnd w:id="475"/>
      <w:bookmarkEnd w:id="476"/>
      <w:bookmarkEnd w:id="477"/>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rFonts w:ascii="Times" w:hAnsi="Times"/>
          <w:iCs/>
          <w:snapToGrid w:val="0"/>
          <w:vertAlign w:val="superscript"/>
        </w:rPr>
        <w:t> 2</w:t>
      </w:r>
      <w:r>
        <w:rPr>
          <w:snapToGrid w:val="0"/>
        </w:rPr>
        <w:t xml:space="preserve"> do not apply, a </w:t>
      </w:r>
      <w:r>
        <w:t>tank or other waste storage component of an apparatus</w:t>
      </w:r>
      <w:r>
        <w:rPr>
          <w:snapToGrid w:val="0"/>
        </w:rPr>
        <w:t xml:space="preserve"> shall be emptied —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 xml:space="preserve">[Regulation 46 inserted in Gazette 29 Jul 1997 p. 4080; amended in Gazette 7 Jan 2005 p. 69.] </w:t>
      </w:r>
    </w:p>
    <w:p>
      <w:pPr>
        <w:pStyle w:val="Heading2"/>
      </w:pPr>
      <w:bookmarkStart w:id="478" w:name="_Toc92695647"/>
      <w:bookmarkStart w:id="479" w:name="_Toc92968589"/>
      <w:bookmarkStart w:id="480" w:name="_Toc92968681"/>
      <w:bookmarkStart w:id="481" w:name="_Toc94935618"/>
      <w:bookmarkStart w:id="482" w:name="_Toc94935833"/>
      <w:bookmarkStart w:id="483" w:name="_Toc94941398"/>
      <w:bookmarkStart w:id="484" w:name="_Toc105237874"/>
      <w:bookmarkStart w:id="485" w:name="_Toc105470643"/>
      <w:bookmarkStart w:id="486" w:name="_Toc107800490"/>
      <w:bookmarkStart w:id="487" w:name="_Toc110666960"/>
      <w:bookmarkStart w:id="488" w:name="_Toc110842800"/>
      <w:bookmarkStart w:id="489" w:name="_Toc113177958"/>
      <w:bookmarkStart w:id="490" w:name="_Toc113259812"/>
      <w:bookmarkStart w:id="491" w:name="_Toc113262957"/>
      <w:bookmarkStart w:id="492" w:name="_Toc117907421"/>
      <w:bookmarkStart w:id="493" w:name="_Toc134332529"/>
      <w:bookmarkStart w:id="494" w:name="_Toc134337478"/>
      <w:bookmarkStart w:id="495" w:name="_Toc134337768"/>
      <w:bookmarkStart w:id="496" w:name="_Toc139258721"/>
      <w:bookmarkStart w:id="497" w:name="_Toc167179075"/>
      <w:bookmarkStart w:id="498" w:name="_Toc170201223"/>
      <w:bookmarkStart w:id="499" w:name="_Toc170715753"/>
      <w:bookmarkStart w:id="500" w:name="_Toc195006300"/>
      <w:bookmarkStart w:id="501" w:name="_Toc195070052"/>
      <w:r>
        <w:rPr>
          <w:rStyle w:val="CharPartNo"/>
        </w:rPr>
        <w:t>Part 7</w:t>
      </w:r>
      <w:r>
        <w:rPr>
          <w:rStyle w:val="CharDivNo"/>
        </w:rPr>
        <w:t> </w:t>
      </w:r>
      <w:r>
        <w:t>—</w:t>
      </w:r>
      <w:r>
        <w:rPr>
          <w:rStyle w:val="CharDivText"/>
        </w:rPr>
        <w:t> </w:t>
      </w:r>
      <w:r>
        <w:rPr>
          <w:rStyle w:val="CharPartText"/>
        </w:rPr>
        <w:t>Disposal of effluent and liquid wastes</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r>
        <w:rPr>
          <w:rStyle w:val="CharPartText"/>
        </w:rPr>
        <w:t xml:space="preserve"> </w:t>
      </w:r>
    </w:p>
    <w:p>
      <w:pPr>
        <w:pStyle w:val="Footnoteheading"/>
        <w:ind w:left="890"/>
        <w:rPr>
          <w:snapToGrid w:val="0"/>
        </w:rPr>
      </w:pPr>
      <w:r>
        <w:rPr>
          <w:snapToGrid w:val="0"/>
        </w:rPr>
        <w:tab/>
        <w:t xml:space="preserve">[Heading inserted in Gazette 29 Jul 1997 p. 4080.] </w:t>
      </w:r>
    </w:p>
    <w:p>
      <w:pPr>
        <w:pStyle w:val="Heading5"/>
        <w:rPr>
          <w:snapToGrid w:val="0"/>
        </w:rPr>
      </w:pPr>
      <w:bookmarkStart w:id="502" w:name="_Toc47935323"/>
      <w:bookmarkStart w:id="503" w:name="_Toc113177959"/>
      <w:bookmarkStart w:id="504" w:name="_Toc195070053"/>
      <w:bookmarkStart w:id="505" w:name="_Toc170715754"/>
      <w:r>
        <w:rPr>
          <w:rStyle w:val="CharSectno"/>
        </w:rPr>
        <w:t>47</w:t>
      </w:r>
      <w:r>
        <w:rPr>
          <w:snapToGrid w:val="0"/>
        </w:rPr>
        <w:t>.</w:t>
      </w:r>
      <w:r>
        <w:rPr>
          <w:snapToGrid w:val="0"/>
        </w:rPr>
        <w:tab/>
        <w:t>Receptacles for drainage</w:t>
      </w:r>
      <w:bookmarkEnd w:id="502"/>
      <w:bookmarkEnd w:id="503"/>
      <w:bookmarkEnd w:id="504"/>
      <w:bookmarkEnd w:id="505"/>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repealed]</w:t>
      </w:r>
    </w:p>
    <w:p>
      <w:pPr>
        <w:pStyle w:val="Footnotesection"/>
      </w:pPr>
      <w:r>
        <w:tab/>
        <w:t xml:space="preserve">[Regulation 47 inserted in Gazette 15 Dec 1989 p. 4550; amended in Gazette 7 Jan 2005 p. 69.] </w:t>
      </w:r>
    </w:p>
    <w:p>
      <w:pPr>
        <w:pStyle w:val="Heading5"/>
        <w:rPr>
          <w:snapToGrid w:val="0"/>
        </w:rPr>
      </w:pPr>
      <w:bookmarkStart w:id="506" w:name="_Toc47935324"/>
      <w:bookmarkStart w:id="507" w:name="_Toc113177960"/>
      <w:bookmarkStart w:id="508" w:name="_Toc195070054"/>
      <w:bookmarkStart w:id="509" w:name="_Toc170715755"/>
      <w:r>
        <w:rPr>
          <w:rStyle w:val="CharSectno"/>
        </w:rPr>
        <w:t>48</w:t>
      </w:r>
      <w:r>
        <w:rPr>
          <w:snapToGrid w:val="0"/>
        </w:rPr>
        <w:t>.</w:t>
      </w:r>
      <w:r>
        <w:rPr>
          <w:snapToGrid w:val="0"/>
        </w:rPr>
        <w:tab/>
        <w:t>Receptacles for drainage — blackwater disposal</w:t>
      </w:r>
      <w:bookmarkEnd w:id="506"/>
      <w:bookmarkEnd w:id="507"/>
      <w:bookmarkEnd w:id="508"/>
      <w:bookmarkEnd w:id="509"/>
      <w:r>
        <w:rPr>
          <w:snapToGrid w:val="0"/>
        </w:rPr>
        <w:t xml:space="preserve"> </w:t>
      </w:r>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Executive Director, Public Health.</w:t>
      </w:r>
    </w:p>
    <w:p>
      <w:pPr>
        <w:pStyle w:val="Footnotesection"/>
      </w:pPr>
      <w:r>
        <w:tab/>
        <w:t xml:space="preserve">[Regulation 48 amended in Gazette 29 Jul 1997 p. 4080; 7 Jan 2005 p. 69.] </w:t>
      </w:r>
    </w:p>
    <w:p>
      <w:pPr>
        <w:pStyle w:val="Heading5"/>
        <w:rPr>
          <w:snapToGrid w:val="0"/>
        </w:rPr>
      </w:pPr>
      <w:bookmarkStart w:id="510" w:name="_Toc47935325"/>
      <w:bookmarkStart w:id="511" w:name="_Toc113177961"/>
      <w:bookmarkStart w:id="512" w:name="_Toc195070055"/>
      <w:bookmarkStart w:id="513" w:name="_Toc170715756"/>
      <w:r>
        <w:rPr>
          <w:rStyle w:val="CharSectno"/>
        </w:rPr>
        <w:t>49</w:t>
      </w:r>
      <w:r>
        <w:rPr>
          <w:snapToGrid w:val="0"/>
        </w:rPr>
        <w:t>.</w:t>
      </w:r>
      <w:r>
        <w:rPr>
          <w:snapToGrid w:val="0"/>
        </w:rPr>
        <w:tab/>
        <w:t>Requirements for receptacles for drainage</w:t>
      </w:r>
      <w:bookmarkEnd w:id="510"/>
      <w:bookmarkEnd w:id="511"/>
      <w:bookmarkEnd w:id="512"/>
      <w:bookmarkEnd w:id="513"/>
      <w:r>
        <w:rPr>
          <w:snapToGrid w:val="0"/>
        </w:rPr>
        <w:t xml:space="preserve"> </w:t>
      </w:r>
    </w:p>
    <w:p>
      <w:pPr>
        <w:pStyle w:val="Subsection"/>
        <w:rPr>
          <w:snapToGrid w:val="0"/>
        </w:rPr>
      </w:pPr>
      <w:r>
        <w:rPr>
          <w:snapToGrid w:val="0"/>
        </w:rPr>
        <w:tab/>
        <w:t>(1)</w:t>
      </w:r>
      <w:r>
        <w:rPr>
          <w:snapToGrid w:val="0"/>
        </w:rPr>
        <w:tab/>
        <w:t>The receptacles for drainage referred to in regulations 47 and 48 shall — </w:t>
      </w:r>
    </w:p>
    <w:p>
      <w:pPr>
        <w:pStyle w:val="Indenta"/>
      </w:pPr>
      <w:r>
        <w:tab/>
        <w:t>(a)</w:t>
      </w:r>
      <w:r>
        <w:tab/>
        <w:t xml:space="preserve">be constructed in the manner and using the materials — </w:t>
      </w:r>
    </w:p>
    <w:p>
      <w:pPr>
        <w:pStyle w:val="Indenti"/>
      </w:pPr>
      <w:r>
        <w:tab/>
        <w:t>(i)</w:t>
      </w:r>
      <w:r>
        <w:tab/>
        <w:t>set out in Schedule 7; or</w:t>
      </w:r>
    </w:p>
    <w:p>
      <w:pPr>
        <w:pStyle w:val="Indenti"/>
      </w:pPr>
      <w:r>
        <w:tab/>
        <w:t>(ii)</w:t>
      </w:r>
      <w:r>
        <w:tab/>
        <w:t>approved by the Executive Director, Public Health;</w:t>
      </w:r>
    </w:p>
    <w:p>
      <w:pPr>
        <w:pStyle w:val="Indenta"/>
      </w:pPr>
      <w:r>
        <w:tab/>
        <w:t>(aa)</w:t>
      </w:r>
      <w:r>
        <w:tab/>
        <w:t>if they are part of an apparatus of a kind to which an adopted Code applies, be constructed in compliance with that Code;</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w:t>
      </w:r>
    </w:p>
    <w:p>
      <w:pPr>
        <w:pStyle w:val="Indenta"/>
        <w:rPr>
          <w:snapToGrid w:val="0"/>
        </w:rPr>
      </w:pPr>
      <w:r>
        <w:rPr>
          <w:snapToGrid w:val="0"/>
        </w:rPr>
        <w:tab/>
        <w:t>(c)</w:t>
      </w:r>
      <w:r>
        <w:rPr>
          <w:snapToGrid w:val="0"/>
        </w:rPr>
        <w:tab/>
        <w:t>not be constructed within 6 m of any subsoil drainage system or open drainage channel;</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pt;height:28.5pt" fillcolor="window">
            <v:imagedata r:id="rId14" o:title=""/>
          </v:shape>
        </w:pict>
      </w:r>
    </w:p>
    <w:p>
      <w:pPr>
        <w:pStyle w:val="Subsection"/>
        <w:rPr>
          <w:snapToGrid w:val="0"/>
        </w:rPr>
      </w:pPr>
      <w:r>
        <w:rPr>
          <w:snapToGrid w:val="0"/>
        </w:rPr>
        <w:tab/>
      </w:r>
      <w:r>
        <w:rPr>
          <w:snapToGrid w:val="0"/>
        </w:rPr>
        <w:tab/>
        <w:t>where — </w:t>
      </w:r>
    </w:p>
    <w:p>
      <w:pPr>
        <w:pStyle w:val="Indenta"/>
        <w:rPr>
          <w:snapToGrid w:val="0"/>
        </w:rPr>
      </w:pPr>
      <w:r>
        <w:rPr>
          <w:snapToGrid w:val="0"/>
        </w:rPr>
        <w:tab/>
        <w:t>A</w:t>
      </w:r>
      <w:r>
        <w:rPr>
          <w:snapToGrid w:val="0"/>
        </w:rPr>
        <w:tab/>
        <w:t>= minimum infiltrative area (m</w:t>
      </w:r>
      <w:r>
        <w:rPr>
          <w:snapToGrid w:val="0"/>
          <w:vertAlign w:val="superscript"/>
        </w:rPr>
        <w:t>2</w:t>
      </w:r>
      <w:r>
        <w:rPr>
          <w:snapToGrid w:val="0"/>
        </w:rPr>
        <w:t>)</w:t>
      </w:r>
    </w:p>
    <w:p>
      <w:pPr>
        <w:pStyle w:val="Indenta"/>
        <w:rPr>
          <w:snapToGrid w:val="0"/>
        </w:rPr>
      </w:pPr>
      <w:r>
        <w:rPr>
          <w:snapToGrid w:val="0"/>
        </w:rPr>
        <w:tab/>
        <w:t>V</w:t>
      </w:r>
      <w:r>
        <w:rPr>
          <w:snapToGrid w:val="0"/>
        </w:rPr>
        <w:tab/>
        <w:t>= volume of wastewater (litres), calculated under Schedule 9</w:t>
      </w:r>
    </w:p>
    <w:p>
      <w:pPr>
        <w:pStyle w:val="Indenta"/>
        <w:rPr>
          <w:snapToGrid w:val="0"/>
        </w:rPr>
      </w:pPr>
      <w:r>
        <w:rPr>
          <w:snapToGrid w:val="0"/>
        </w:rPr>
        <w:tab/>
        <w:t>L.I.R.</w:t>
      </w:r>
      <w:r>
        <w:rPr>
          <w:snapToGrid w:val="0"/>
        </w:rPr>
        <w:tab/>
        <w:t>=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spacing w:before="100"/>
        <w:rPr>
          <w:snapToGrid w:val="0"/>
        </w:rPr>
      </w:pPr>
      <w:r>
        <w:rPr>
          <w:snapToGrid w:val="0"/>
        </w:rPr>
        <w:tab/>
        <w:t>(5)</w:t>
      </w:r>
      <w:r>
        <w:rPr>
          <w:snapToGrid w:val="0"/>
        </w:rPr>
        <w:tab/>
        <w:t>An approving body may approve the construction of a receptacle for drainage, at a distance less than 30 metres from a well, stream or underground source of water referred to in subregulation (1)(b) where the Executive Director, Public Health is satisfied that such construction would not cause any risk to public health.</w:t>
      </w:r>
    </w:p>
    <w:p>
      <w:pPr>
        <w:pStyle w:val="MiscellaneousHeading"/>
        <w:rPr>
          <w:b/>
          <w:snapToGrid w:val="0"/>
        </w:rPr>
      </w:pPr>
      <w:r>
        <w:rPr>
          <w:b/>
          <w:snapToGrid w:val="0"/>
        </w:rPr>
        <w:t>Table</w:t>
      </w:r>
      <w:r>
        <w:rPr>
          <w:b/>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34"/>
        <w:gridCol w:w="1560"/>
        <w:gridCol w:w="708"/>
        <w:gridCol w:w="1134"/>
        <w:gridCol w:w="1560"/>
      </w:tblGrid>
      <w:tr>
        <w:trPr>
          <w:cantSplit/>
        </w:trPr>
        <w:tc>
          <w:tcPr>
            <w:tcW w:w="1134" w:type="dxa"/>
            <w:vMerge w:val="restart"/>
          </w:tcPr>
          <w:p>
            <w:pPr>
              <w:pStyle w:val="Table"/>
              <w:jc w:val="center"/>
              <w:rPr>
                <w:b/>
                <w:bCs/>
                <w:sz w:val="18"/>
              </w:rPr>
            </w:pPr>
          </w:p>
          <w:p>
            <w:pPr>
              <w:pStyle w:val="Table"/>
              <w:jc w:val="center"/>
              <w:rPr>
                <w:b/>
                <w:bCs/>
                <w:sz w:val="18"/>
              </w:rPr>
            </w:pPr>
          </w:p>
          <w:p>
            <w:pPr>
              <w:pStyle w:val="Table"/>
              <w:jc w:val="center"/>
              <w:rPr>
                <w:b/>
                <w:bCs/>
                <w:sz w:val="18"/>
              </w:rPr>
            </w:pPr>
            <w:r>
              <w:rPr>
                <w:b/>
                <w:bCs/>
                <w:sz w:val="18"/>
              </w:rPr>
              <w:t>Number of bedrooms</w:t>
            </w:r>
          </w:p>
        </w:tc>
        <w:tc>
          <w:tcPr>
            <w:tcW w:w="6096" w:type="dxa"/>
            <w:gridSpan w:val="5"/>
          </w:tcPr>
          <w:p>
            <w:pPr>
              <w:pStyle w:val="Table"/>
              <w:jc w:val="center"/>
              <w:rPr>
                <w:b/>
                <w:bCs/>
                <w:sz w:val="18"/>
              </w:rPr>
            </w:pPr>
            <w:r>
              <w:rPr>
                <w:b/>
                <w:bCs/>
                <w:sz w:val="18"/>
              </w:rPr>
              <w:t>Soil classification</w:t>
            </w:r>
          </w:p>
        </w:tc>
      </w:tr>
      <w:tr>
        <w:trPr>
          <w:cantSplit/>
        </w:trPr>
        <w:tc>
          <w:tcPr>
            <w:tcW w:w="1134" w:type="dxa"/>
            <w:vMerge/>
          </w:tcPr>
          <w:p>
            <w:pPr>
              <w:pStyle w:val="Table"/>
              <w:jc w:val="center"/>
              <w:rPr>
                <w:b/>
                <w:bCs/>
                <w:sz w:val="18"/>
              </w:rPr>
            </w:pPr>
          </w:p>
        </w:tc>
        <w:tc>
          <w:tcPr>
            <w:tcW w:w="3402" w:type="dxa"/>
            <w:gridSpan w:val="3"/>
          </w:tcPr>
          <w:p>
            <w:pPr>
              <w:pStyle w:val="Table"/>
              <w:jc w:val="center"/>
              <w:rPr>
                <w:b/>
                <w:bCs/>
                <w:sz w:val="18"/>
              </w:rPr>
            </w:pPr>
            <w:r>
              <w:rPr>
                <w:b/>
                <w:bCs/>
                <w:sz w:val="18"/>
              </w:rPr>
              <w:t>Sand</w:t>
            </w:r>
          </w:p>
        </w:tc>
        <w:tc>
          <w:tcPr>
            <w:tcW w:w="2694" w:type="dxa"/>
            <w:gridSpan w:val="2"/>
          </w:tcPr>
          <w:p>
            <w:pPr>
              <w:pStyle w:val="Table"/>
              <w:jc w:val="center"/>
              <w:rPr>
                <w:b/>
                <w:bCs/>
                <w:sz w:val="18"/>
              </w:rPr>
            </w:pPr>
            <w:r>
              <w:rPr>
                <w:b/>
                <w:bCs/>
                <w:sz w:val="18"/>
              </w:rPr>
              <w:t>Loams or gravels</w:t>
            </w:r>
          </w:p>
        </w:tc>
      </w:tr>
      <w:tr>
        <w:trPr>
          <w:cantSplit/>
        </w:trPr>
        <w:tc>
          <w:tcPr>
            <w:tcW w:w="1134" w:type="dxa"/>
            <w:vMerge/>
          </w:tcPr>
          <w:p>
            <w:pPr>
              <w:pStyle w:val="Table"/>
              <w:jc w:val="center"/>
              <w:rPr>
                <w:b/>
                <w:bCs/>
                <w:sz w:val="18"/>
              </w:rPr>
            </w:pP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c>
          <w:tcPr>
            <w:tcW w:w="708" w:type="dxa"/>
          </w:tcPr>
          <w:p>
            <w:pPr>
              <w:pStyle w:val="Table"/>
              <w:jc w:val="center"/>
              <w:rPr>
                <w:b/>
                <w:bCs/>
                <w:sz w:val="18"/>
              </w:rPr>
            </w:pPr>
            <w:r>
              <w:rPr>
                <w:b/>
                <w:bCs/>
                <w:sz w:val="18"/>
              </w:rPr>
              <w:t>Soak wells</w:t>
            </w:r>
          </w:p>
        </w:tc>
        <w:tc>
          <w:tcPr>
            <w:tcW w:w="1134" w:type="dxa"/>
          </w:tcPr>
          <w:p>
            <w:pPr>
              <w:pStyle w:val="Table"/>
              <w:jc w:val="center"/>
              <w:rPr>
                <w:b/>
                <w:bCs/>
                <w:sz w:val="18"/>
              </w:rPr>
            </w:pPr>
            <w:r>
              <w:rPr>
                <w:b/>
                <w:bCs/>
                <w:sz w:val="18"/>
              </w:rPr>
              <w:t>Minimum infiltrative area (m</w:t>
            </w:r>
            <w:r>
              <w:rPr>
                <w:b/>
                <w:bCs/>
                <w:sz w:val="18"/>
                <w:vertAlign w:val="superscript"/>
              </w:rPr>
              <w:t>2</w:t>
            </w:r>
            <w:r>
              <w:rPr>
                <w:b/>
                <w:bCs/>
                <w:sz w:val="18"/>
              </w:rPr>
              <w:t>)</w:t>
            </w:r>
          </w:p>
        </w:tc>
        <w:tc>
          <w:tcPr>
            <w:tcW w:w="1560" w:type="dxa"/>
          </w:tcPr>
          <w:p>
            <w:pPr>
              <w:pStyle w:val="Table"/>
              <w:jc w:val="center"/>
              <w:rPr>
                <w:b/>
                <w:bCs/>
                <w:sz w:val="18"/>
              </w:rPr>
            </w:pPr>
            <w:r>
              <w:rPr>
                <w:b/>
                <w:bCs/>
                <w:sz w:val="18"/>
              </w:rPr>
              <w:t>French, leach or evaporation drain (number x length)</w:t>
            </w:r>
          </w:p>
        </w:tc>
      </w:tr>
      <w:tr>
        <w:tc>
          <w:tcPr>
            <w:tcW w:w="1134" w:type="dxa"/>
            <w:tcBorders>
              <w:bottom w:val="single" w:sz="2" w:space="0" w:color="auto"/>
            </w:tcBorders>
          </w:tcPr>
          <w:p>
            <w:pPr>
              <w:pStyle w:val="Table"/>
              <w:spacing w:before="0"/>
              <w:rPr>
                <w:sz w:val="18"/>
              </w:rPr>
            </w:pPr>
            <w:r>
              <w:rPr>
                <w:sz w:val="18"/>
              </w:rPr>
              <w:t>2 or less</w:t>
            </w:r>
          </w:p>
          <w:p>
            <w:pPr>
              <w:pStyle w:val="Table"/>
              <w:spacing w:before="0"/>
              <w:rPr>
                <w:sz w:val="18"/>
              </w:rPr>
            </w:pPr>
          </w:p>
          <w:p>
            <w:pPr>
              <w:pStyle w:val="Table"/>
              <w:spacing w:before="0"/>
              <w:rPr>
                <w:sz w:val="18"/>
              </w:rPr>
            </w:pPr>
            <w:r>
              <w:rPr>
                <w:sz w:val="18"/>
              </w:rPr>
              <w:t>3</w:t>
            </w:r>
          </w:p>
          <w:p>
            <w:pPr>
              <w:pStyle w:val="Table"/>
              <w:spacing w:before="0"/>
              <w:rPr>
                <w:sz w:val="18"/>
              </w:rPr>
            </w:pPr>
          </w:p>
          <w:p>
            <w:pPr>
              <w:pStyle w:val="Table"/>
              <w:spacing w:before="0"/>
              <w:rPr>
                <w:sz w:val="18"/>
              </w:rPr>
            </w:pPr>
            <w:r>
              <w:rPr>
                <w:sz w:val="18"/>
              </w:rPr>
              <w:t>4 or more</w:t>
            </w:r>
          </w:p>
        </w:tc>
        <w:tc>
          <w:tcPr>
            <w:tcW w:w="1134" w:type="dxa"/>
            <w:tcBorders>
              <w:bottom w:val="single" w:sz="2" w:space="0" w:color="auto"/>
            </w:tcBorders>
          </w:tcPr>
          <w:p>
            <w:pPr>
              <w:pStyle w:val="Table"/>
              <w:spacing w:before="0"/>
              <w:rPr>
                <w:sz w:val="18"/>
              </w:rPr>
            </w:pPr>
            <w:r>
              <w:rPr>
                <w:sz w:val="18"/>
              </w:rPr>
              <w:t>18.8</w:t>
            </w:r>
          </w:p>
          <w:p>
            <w:pPr>
              <w:pStyle w:val="Table"/>
              <w:spacing w:before="0"/>
              <w:rPr>
                <w:sz w:val="18"/>
              </w:rPr>
            </w:pPr>
          </w:p>
          <w:p>
            <w:pPr>
              <w:pStyle w:val="Table"/>
              <w:spacing w:before="0"/>
              <w:rPr>
                <w:sz w:val="18"/>
              </w:rPr>
            </w:pPr>
            <w:r>
              <w:rPr>
                <w:sz w:val="18"/>
              </w:rPr>
              <w:t>25.4</w:t>
            </w:r>
          </w:p>
          <w:p>
            <w:pPr>
              <w:pStyle w:val="Table"/>
              <w:spacing w:before="0"/>
              <w:rPr>
                <w:sz w:val="18"/>
              </w:rPr>
            </w:pPr>
          </w:p>
          <w:p>
            <w:pPr>
              <w:pStyle w:val="Table"/>
              <w:spacing w:before="0"/>
              <w:rPr>
                <w:sz w:val="18"/>
              </w:rPr>
            </w:pPr>
            <w:r>
              <w:rPr>
                <w:sz w:val="18"/>
              </w:rPr>
              <w:t>27.6</w:t>
            </w:r>
          </w:p>
        </w:tc>
        <w:tc>
          <w:tcPr>
            <w:tcW w:w="1560" w:type="dxa"/>
            <w:tcBorders>
              <w:bottom w:val="single" w:sz="2" w:space="0" w:color="auto"/>
            </w:tcBorders>
          </w:tcPr>
          <w:p>
            <w:pPr>
              <w:pStyle w:val="Table"/>
              <w:spacing w:before="0"/>
              <w:rPr>
                <w:sz w:val="18"/>
              </w:rPr>
            </w:pPr>
            <w:r>
              <w:rPr>
                <w:sz w:val="18"/>
              </w:rPr>
              <w:t>2 x 6m</w:t>
            </w:r>
          </w:p>
          <w:p>
            <w:pPr>
              <w:pStyle w:val="Table"/>
              <w:spacing w:before="0"/>
              <w:rPr>
                <w:sz w:val="18"/>
              </w:rPr>
            </w:pPr>
          </w:p>
          <w:p>
            <w:pPr>
              <w:pStyle w:val="Table"/>
              <w:spacing w:before="0"/>
              <w:rPr>
                <w:sz w:val="18"/>
              </w:rPr>
            </w:pPr>
            <w:r>
              <w:rPr>
                <w:sz w:val="18"/>
              </w:rPr>
              <w:t>2 x 8m</w:t>
            </w:r>
          </w:p>
          <w:p>
            <w:pPr>
              <w:pStyle w:val="Table"/>
              <w:spacing w:before="0"/>
              <w:rPr>
                <w:sz w:val="18"/>
              </w:rPr>
            </w:pPr>
          </w:p>
          <w:p>
            <w:pPr>
              <w:pStyle w:val="Table"/>
              <w:spacing w:before="0"/>
              <w:rPr>
                <w:sz w:val="18"/>
              </w:rPr>
            </w:pPr>
            <w:r>
              <w:rPr>
                <w:sz w:val="18"/>
              </w:rPr>
              <w:t>2 x 9m</w:t>
            </w:r>
          </w:p>
        </w:tc>
        <w:tc>
          <w:tcPr>
            <w:tcW w:w="708" w:type="dxa"/>
            <w:tcBorders>
              <w:bottom w:val="single" w:sz="2" w:space="0" w:color="auto"/>
            </w:tcBorders>
          </w:tcPr>
          <w:p>
            <w:pPr>
              <w:pStyle w:val="Table"/>
              <w:spacing w:before="0"/>
              <w:rPr>
                <w:sz w:val="18"/>
              </w:rPr>
            </w:pPr>
            <w:r>
              <w:rPr>
                <w:sz w:val="18"/>
              </w:rPr>
              <w:t>3</w:t>
            </w:r>
          </w:p>
          <w:p>
            <w:pPr>
              <w:pStyle w:val="Table"/>
              <w:spacing w:before="0"/>
              <w:rPr>
                <w:sz w:val="18"/>
              </w:rPr>
            </w:pPr>
          </w:p>
          <w:p>
            <w:pPr>
              <w:pStyle w:val="Table"/>
              <w:spacing w:before="0"/>
              <w:rPr>
                <w:sz w:val="18"/>
              </w:rPr>
            </w:pPr>
            <w:r>
              <w:rPr>
                <w:sz w:val="18"/>
              </w:rPr>
              <w:t>4</w:t>
            </w:r>
          </w:p>
          <w:p>
            <w:pPr>
              <w:pStyle w:val="Table"/>
              <w:spacing w:before="0"/>
              <w:rPr>
                <w:sz w:val="18"/>
              </w:rPr>
            </w:pPr>
          </w:p>
          <w:p>
            <w:pPr>
              <w:pStyle w:val="Table"/>
              <w:spacing w:before="0"/>
              <w:rPr>
                <w:sz w:val="18"/>
              </w:rPr>
            </w:pPr>
            <w:r>
              <w:rPr>
                <w:sz w:val="18"/>
              </w:rPr>
              <w:t>4</w:t>
            </w:r>
          </w:p>
        </w:tc>
        <w:tc>
          <w:tcPr>
            <w:tcW w:w="1134" w:type="dxa"/>
            <w:tcBorders>
              <w:bottom w:val="single" w:sz="2" w:space="0" w:color="auto"/>
            </w:tcBorders>
          </w:tcPr>
          <w:p>
            <w:pPr>
              <w:pStyle w:val="Table"/>
              <w:spacing w:before="0"/>
              <w:rPr>
                <w:sz w:val="18"/>
              </w:rPr>
            </w:pPr>
            <w:r>
              <w:rPr>
                <w:sz w:val="18"/>
              </w:rPr>
              <w:t>28.2</w:t>
            </w:r>
          </w:p>
          <w:p>
            <w:pPr>
              <w:pStyle w:val="Table"/>
              <w:spacing w:before="0"/>
              <w:rPr>
                <w:sz w:val="18"/>
              </w:rPr>
            </w:pPr>
          </w:p>
          <w:p>
            <w:pPr>
              <w:pStyle w:val="Table"/>
              <w:spacing w:before="0"/>
              <w:rPr>
                <w:sz w:val="18"/>
              </w:rPr>
            </w:pPr>
            <w:r>
              <w:rPr>
                <w:sz w:val="18"/>
              </w:rPr>
              <w:t>38.1</w:t>
            </w:r>
          </w:p>
          <w:p>
            <w:pPr>
              <w:pStyle w:val="Table"/>
              <w:spacing w:before="0"/>
              <w:rPr>
                <w:sz w:val="18"/>
              </w:rPr>
            </w:pPr>
          </w:p>
          <w:p>
            <w:pPr>
              <w:pStyle w:val="Table"/>
              <w:spacing w:before="0"/>
              <w:rPr>
                <w:sz w:val="18"/>
              </w:rPr>
            </w:pPr>
            <w:r>
              <w:rPr>
                <w:sz w:val="18"/>
              </w:rPr>
              <w:t>41.5</w:t>
            </w:r>
          </w:p>
        </w:tc>
        <w:tc>
          <w:tcPr>
            <w:tcW w:w="1560" w:type="dxa"/>
            <w:tcBorders>
              <w:bottom w:val="single" w:sz="2" w:space="0" w:color="auto"/>
            </w:tcBorders>
          </w:tcPr>
          <w:p>
            <w:pPr>
              <w:pStyle w:val="Table"/>
              <w:spacing w:before="0"/>
              <w:rPr>
                <w:sz w:val="18"/>
              </w:rPr>
            </w:pPr>
            <w:r>
              <w:rPr>
                <w:sz w:val="18"/>
              </w:rPr>
              <w:t>2 x 9m</w:t>
            </w:r>
          </w:p>
          <w:p>
            <w:pPr>
              <w:pStyle w:val="Table"/>
              <w:spacing w:before="0"/>
              <w:rPr>
                <w:sz w:val="18"/>
              </w:rPr>
            </w:pPr>
          </w:p>
          <w:p>
            <w:pPr>
              <w:pStyle w:val="Table"/>
              <w:spacing w:before="0"/>
              <w:rPr>
                <w:sz w:val="18"/>
              </w:rPr>
            </w:pPr>
            <w:r>
              <w:rPr>
                <w:sz w:val="18"/>
              </w:rPr>
              <w:t>2 x 12m</w:t>
            </w:r>
          </w:p>
          <w:p>
            <w:pPr>
              <w:pStyle w:val="Table"/>
              <w:spacing w:before="0"/>
              <w:rPr>
                <w:sz w:val="18"/>
              </w:rPr>
            </w:pPr>
          </w:p>
          <w:p>
            <w:pPr>
              <w:pStyle w:val="Table"/>
              <w:spacing w:before="0"/>
              <w:rPr>
                <w:sz w:val="18"/>
              </w:rPr>
            </w:pPr>
            <w:r>
              <w:rPr>
                <w:sz w:val="18"/>
              </w:rPr>
              <w:t>2 x 13m</w:t>
            </w:r>
          </w:p>
        </w:tc>
      </w:tr>
      <w:tr>
        <w:trPr>
          <w:cantSplit/>
        </w:trPr>
        <w:tc>
          <w:tcPr>
            <w:tcW w:w="7230" w:type="dxa"/>
            <w:gridSpan w:val="6"/>
            <w:tcBorders>
              <w:left w:val="nil"/>
              <w:bottom w:val="nil"/>
              <w:right w:val="nil"/>
            </w:tcBorders>
          </w:tcPr>
          <w:p>
            <w:pPr>
              <w:pStyle w:val="Table"/>
              <w:jc w:val="center"/>
              <w:rPr>
                <w:snapToGrid w:val="0"/>
                <w:sz w:val="18"/>
              </w:rPr>
            </w:pPr>
            <w:r>
              <w:rPr>
                <w:snapToGrid w:val="0"/>
                <w:sz w:val="18"/>
              </w:rPr>
              <w:t>NOTES</w:t>
            </w:r>
          </w:p>
          <w:p>
            <w:pPr>
              <w:pStyle w:val="Table"/>
              <w:tabs>
                <w:tab w:val="left" w:pos="600"/>
              </w:tabs>
              <w:ind w:left="600" w:hanging="60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
              <w:tabs>
                <w:tab w:val="left" w:pos="600"/>
              </w:tabs>
              <w:ind w:left="600" w:hanging="60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
              <w:tabs>
                <w:tab w:val="left" w:pos="600"/>
              </w:tabs>
              <w:ind w:left="600" w:hanging="600"/>
              <w:rPr>
                <w:sz w:val="18"/>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 xml:space="preserve">1; 7 Jan 2005 p. 69.] </w:t>
      </w:r>
    </w:p>
    <w:p>
      <w:pPr>
        <w:pStyle w:val="Heading5"/>
        <w:rPr>
          <w:snapToGrid w:val="0"/>
        </w:rPr>
      </w:pPr>
      <w:bookmarkStart w:id="514" w:name="_Toc47935326"/>
      <w:bookmarkStart w:id="515" w:name="_Toc113177962"/>
      <w:bookmarkStart w:id="516" w:name="_Toc195070056"/>
      <w:bookmarkStart w:id="517" w:name="_Toc170715757"/>
      <w:r>
        <w:rPr>
          <w:rStyle w:val="CharSectno"/>
        </w:rPr>
        <w:t>50</w:t>
      </w:r>
      <w:r>
        <w:rPr>
          <w:snapToGrid w:val="0"/>
        </w:rPr>
        <w:t>.</w:t>
      </w:r>
      <w:r>
        <w:rPr>
          <w:snapToGrid w:val="0"/>
        </w:rPr>
        <w:tab/>
        <w:t>Drainage of effluent and liquid wastes</w:t>
      </w:r>
      <w:bookmarkEnd w:id="514"/>
      <w:bookmarkEnd w:id="515"/>
      <w:bookmarkEnd w:id="516"/>
      <w:bookmarkEnd w:id="517"/>
      <w:r>
        <w:rPr>
          <w:snapToGrid w:val="0"/>
        </w:rPr>
        <w:t xml:space="preserve"> </w:t>
      </w:r>
    </w:p>
    <w:p>
      <w:pPr>
        <w:pStyle w:val="Subsection"/>
        <w:keepNext/>
        <w:keepLines/>
        <w:rPr>
          <w:snapToGrid w:val="0"/>
        </w:rPr>
      </w:pPr>
      <w:r>
        <w:rPr>
          <w:snapToGrid w:val="0"/>
        </w:rPr>
        <w:tab/>
        <w:t>(1)</w:t>
      </w:r>
      <w:r>
        <w:rPr>
          <w:snapToGrid w:val="0"/>
        </w:rPr>
        <w:tab/>
        <w:t>Unless otherwise specified in regulation 49, all effluent and liquid wastes from premises shall be conducted by means of an earthenware drain, or a drain of other material approved by the Executive Director, Public Health and installed in accordance with the</w:t>
      </w:r>
      <w:r>
        <w:t xml:space="preserve"> plumbing standards</w:t>
      </w:r>
      <w:r>
        <w:rPr>
          <w:i/>
          <w:snapToGrid w:val="0"/>
        </w:rPr>
        <w:t> </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w:t>
      </w:r>
    </w:p>
    <w:p>
      <w:pPr>
        <w:pStyle w:val="Indenti"/>
        <w:rPr>
          <w:snapToGrid w:val="0"/>
        </w:rPr>
      </w:pPr>
      <w:r>
        <w:rPr>
          <w:snapToGrid w:val="0"/>
        </w:rPr>
        <w:tab/>
        <w:t>(ii)</w:t>
      </w:r>
      <w:r>
        <w:rPr>
          <w:snapToGrid w:val="0"/>
        </w:rPr>
        <w:tab/>
        <w:t>the soak well shall be at least 1.2 m in diameter and 1.5 m effective depth, unless otherwise approved in writing;</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t>(b)</w:t>
      </w:r>
      <w:r>
        <w:rPr>
          <w:snapToGrid w:val="0"/>
        </w:rPr>
        <w:tab/>
        <w:t>into a ventilated, impervious receptacle fitted with a gas</w:t>
      </w:r>
      <w:r>
        <w:rPr>
          <w:snapToGrid w:val="0"/>
        </w:rPr>
        <w:noBreakHyphen/>
        <w:t>tight cover that is approved by the Executive Director, Public Health and which complies with the following conditions:</w:t>
      </w:r>
    </w:p>
    <w:p>
      <w:pPr>
        <w:pStyle w:val="Indenti"/>
        <w:rPr>
          <w:snapToGrid w:val="0"/>
        </w:rPr>
      </w:pPr>
      <w:r>
        <w:rPr>
          <w:snapToGrid w:val="0"/>
        </w:rPr>
        <w:tab/>
        <w:t>(i)</w:t>
      </w:r>
      <w:r>
        <w:rPr>
          <w:snapToGrid w:val="0"/>
        </w:rPr>
        <w:tab/>
        <w:t>the contents of the receptacle shall be removed at such times and with such frequency and in such manner as are directed by an environmental health officer;</w:t>
      </w:r>
    </w:p>
    <w:p>
      <w:pPr>
        <w:pStyle w:val="Indenti"/>
        <w:rPr>
          <w:snapToGrid w:val="0"/>
        </w:rPr>
      </w:pPr>
      <w:r>
        <w:rPr>
          <w:snapToGrid w:val="0"/>
        </w:rPr>
        <w:tab/>
        <w:t>(ii)</w:t>
      </w:r>
      <w:r>
        <w:rPr>
          <w:snapToGrid w:val="0"/>
        </w:rPr>
        <w:tab/>
        <w:t>the occupier shall not permit the receptacle to overflow or become offensive;</w:t>
      </w:r>
    </w:p>
    <w:p>
      <w:pPr>
        <w:pStyle w:val="Indenti"/>
        <w:rPr>
          <w:snapToGrid w:val="0"/>
        </w:rPr>
      </w:pPr>
      <w:r>
        <w:rPr>
          <w:snapToGrid w:val="0"/>
        </w:rPr>
        <w:tab/>
        <w:t>(iii)</w:t>
      </w:r>
      <w:r>
        <w:rPr>
          <w:snapToGrid w:val="0"/>
        </w:rPr>
        <w:tab/>
        <w:t>the receptacle shall be situated where directed by an environmental health officer;</w:t>
      </w:r>
    </w:p>
    <w:p>
      <w:pPr>
        <w:pStyle w:val="Indenti"/>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w:t>
      </w:r>
    </w:p>
    <w:p>
      <w:pPr>
        <w:pStyle w:val="Indenti"/>
        <w:rPr>
          <w:snapToGrid w:val="0"/>
        </w:rPr>
      </w:pPr>
      <w:r>
        <w:rPr>
          <w:snapToGrid w:val="0"/>
        </w:rPr>
        <w:tab/>
        <w:t>(v)</w:t>
      </w:r>
      <w:r>
        <w:rPr>
          <w:snapToGrid w:val="0"/>
        </w:rPr>
        <w:tab/>
        <w:t>where the contents of the receptacle are to be disposed of by tanker, then the capacity of the receptacle shall be as approved;</w:t>
      </w:r>
    </w:p>
    <w:p>
      <w:pPr>
        <w:pStyle w:val="Indenti"/>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rPr>
          <w:snapToGrid w:val="0"/>
        </w:rPr>
      </w:pPr>
      <w:r>
        <w:rPr>
          <w:snapToGrid w:val="0"/>
        </w:rPr>
        <w:tab/>
        <w:t>(c)</w:t>
      </w:r>
      <w:r>
        <w:rPr>
          <w:snapToGrid w:val="0"/>
        </w:rPr>
        <w:tab/>
        <w:t>into a French drain, which complies with the following conditions:</w:t>
      </w:r>
    </w:p>
    <w:p>
      <w:pPr>
        <w:pStyle w:val="Indenti"/>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w:t>
      </w:r>
    </w:p>
    <w:p>
      <w:pPr>
        <w:pStyle w:val="Indenti"/>
        <w:rPr>
          <w:snapToGrid w:val="0"/>
        </w:rPr>
      </w:pPr>
      <w:r>
        <w:rPr>
          <w:snapToGrid w:val="0"/>
        </w:rPr>
        <w:tab/>
        <w:t>(ii)</w:t>
      </w:r>
      <w:r>
        <w:rPr>
          <w:snapToGrid w:val="0"/>
        </w:rPr>
        <w:tab/>
        <w:t>the drain shall have a 610 mm overall width;</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w:t>
      </w:r>
    </w:p>
    <w:p>
      <w:pPr>
        <w:pStyle w:val="Indenti"/>
        <w:rPr>
          <w:snapToGrid w:val="0"/>
        </w:rPr>
      </w:pPr>
      <w:r>
        <w:rPr>
          <w:snapToGrid w:val="0"/>
        </w:rPr>
        <w:tab/>
        <w:t>(v)</w:t>
      </w:r>
      <w:r>
        <w:rPr>
          <w:snapToGrid w:val="0"/>
        </w:rPr>
        <w:tab/>
        <w:t>the bed of the drain shall have a fall of 1 in 200 away from the inlet pipe;</w:t>
      </w:r>
    </w:p>
    <w:p>
      <w:pPr>
        <w:pStyle w:val="Indenti"/>
        <w:rPr>
          <w:snapToGrid w:val="0"/>
        </w:rPr>
      </w:pPr>
      <w:r>
        <w:rPr>
          <w:snapToGrid w:val="0"/>
        </w:rPr>
        <w:tab/>
        <w:t>(vi)</w:t>
      </w:r>
      <w:r>
        <w:rPr>
          <w:snapToGrid w:val="0"/>
          <w:spacing w:val="-4"/>
        </w:rPr>
        <w:tab/>
        <w:t>a concrete slab shall be fitted into the bed beneath the inlet pipe to prevent scouring of the beds;</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w:t>
      </w:r>
    </w:p>
    <w:p>
      <w:pPr>
        <w:pStyle w:val="Indenti"/>
        <w:rPr>
          <w:snapToGrid w:val="0"/>
        </w:rPr>
      </w:pPr>
      <w:r>
        <w:rPr>
          <w:snapToGrid w:val="0"/>
        </w:rPr>
        <w:tab/>
        <w:t>(viii)</w:t>
      </w:r>
      <w:r>
        <w:rPr>
          <w:snapToGrid w:val="0"/>
        </w:rPr>
        <w:tab/>
        <w:t>if the walls of the drain are constructed of bricks, the bridging pieces shall extend to the top of the drain;</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r>
      <w:r>
        <w:rPr>
          <w:snapToGrid w:val="0"/>
          <w:spacing w:val="-4"/>
        </w:rPr>
        <w:t>the leach drain, and all fittings connected thereto shall at all times be maintained in good order and condition, and when required by an environmental health officer any leach drain shall be emptied, cleaned and rebuilt in such manner and within such time as may be specified in the requisition;</w:t>
      </w:r>
    </w:p>
    <w:p>
      <w:pPr>
        <w:pStyle w:val="Indenta"/>
        <w:rPr>
          <w:snapToGrid w:val="0"/>
        </w:rPr>
      </w:pPr>
      <w:r>
        <w:rPr>
          <w:snapToGrid w:val="0"/>
        </w:rPr>
        <w:tab/>
        <w:t>(e)</w:t>
      </w:r>
      <w:r>
        <w:rPr>
          <w:snapToGrid w:val="0"/>
        </w:rPr>
        <w:tab/>
        <w:t>into an evaporation drain which complies with the following conditions:</w:t>
      </w:r>
    </w:p>
    <w:p>
      <w:pPr>
        <w:pStyle w:val="Indenti"/>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proof;</w:t>
      </w:r>
    </w:p>
    <w:p>
      <w:pPr>
        <w:pStyle w:val="Indenti"/>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rPr>
          <w:snapToGrid w:val="0"/>
        </w:rPr>
      </w:pPr>
      <w:r>
        <w:rPr>
          <w:snapToGrid w:val="0"/>
        </w:rPr>
        <w:tab/>
        <w:t>(v)</w:t>
      </w:r>
      <w:r>
        <w:rPr>
          <w:snapToGrid w:val="0"/>
        </w:rPr>
        <w:tab/>
        <w:t>the minimum property requirements of fibreglass sheeting shall comply with regulation 36(g); and</w:t>
      </w:r>
    </w:p>
    <w:p>
      <w:pPr>
        <w:pStyle w:val="Indenti"/>
        <w:rPr>
          <w:snapToGrid w:val="0"/>
        </w:rPr>
      </w:pPr>
      <w:r>
        <w:rPr>
          <w:snapToGrid w:val="0"/>
        </w:rPr>
        <w:tab/>
        <w:t>(vi)</w:t>
      </w:r>
      <w:r>
        <w:rPr>
          <w:snapToGrid w:val="0"/>
          <w:spacing w:val="-4"/>
        </w:rPr>
        <w:tab/>
        <w:t>plastic manufacture shall be in accordance with the approval of the Executive Director, Public Health;</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into a waste stabilization pond constructed in accordance with plans, specifications and dimensions approved by the Executive Director, Public Health and complying with the following conditions:</w:t>
      </w:r>
    </w:p>
    <w:p>
      <w:pPr>
        <w:pStyle w:val="Indenti"/>
        <w:rPr>
          <w:snapToGrid w:val="0"/>
        </w:rPr>
      </w:pPr>
      <w:r>
        <w:rPr>
          <w:snapToGrid w:val="0"/>
        </w:rPr>
        <w:tab/>
        <w:t>(i)</w:t>
      </w:r>
      <w:r>
        <w:rPr>
          <w:snapToGrid w:val="0"/>
        </w:rPr>
        <w:tab/>
        <w:t>the pond shall have an effective depth of 1.07 m unless otherwise approved by the Executive Director, Public Health;</w:t>
      </w:r>
    </w:p>
    <w:p>
      <w:pPr>
        <w:pStyle w:val="Indenti"/>
        <w:rPr>
          <w:snapToGrid w:val="0"/>
        </w:rPr>
      </w:pPr>
      <w:r>
        <w:rPr>
          <w:snapToGrid w:val="0"/>
        </w:rPr>
        <w:tab/>
        <w:t>(ii)</w:t>
      </w:r>
      <w:r>
        <w:rPr>
          <w:snapToGrid w:val="0"/>
        </w:rPr>
        <w:tab/>
        <w:t>the sides shall have a slope of 3 : 1;</w:t>
      </w:r>
    </w:p>
    <w:p>
      <w:pPr>
        <w:pStyle w:val="Indenti"/>
        <w:rPr>
          <w:snapToGrid w:val="0"/>
        </w:rPr>
      </w:pPr>
      <w:r>
        <w:rPr>
          <w:snapToGrid w:val="0"/>
        </w:rPr>
        <w:tab/>
        <w:t>(iii)</w:t>
      </w:r>
      <w:r>
        <w:rPr>
          <w:snapToGrid w:val="0"/>
        </w:rPr>
        <w:tab/>
        <w:t>the bank shall have a minimum width of 2.4 m, and shall be raised at least 228 mm above natural ground level;</w:t>
      </w:r>
    </w:p>
    <w:p>
      <w:pPr>
        <w:pStyle w:val="Indenti"/>
        <w:rPr>
          <w:snapToGrid w:val="0"/>
        </w:rPr>
      </w:pPr>
      <w:r>
        <w:rPr>
          <w:snapToGrid w:val="0"/>
        </w:rPr>
        <w:tab/>
        <w:t>(iv)</w:t>
      </w:r>
      <w:r>
        <w:rPr>
          <w:snapToGrid w:val="0"/>
        </w:rPr>
        <w:tab/>
        <w:t>the inner banks shall be kept clear of weed growth at all times;</w:t>
      </w:r>
    </w:p>
    <w:p>
      <w:pPr>
        <w:pStyle w:val="Indenti"/>
        <w:rPr>
          <w:snapToGrid w:val="0"/>
        </w:rPr>
      </w:pPr>
      <w:r>
        <w:rPr>
          <w:snapToGrid w:val="0"/>
        </w:rPr>
        <w:tab/>
        <w:t>(v)</w:t>
      </w:r>
      <w:r>
        <w:rPr>
          <w:snapToGrid w:val="0"/>
        </w:rPr>
        <w:tab/>
        <w:t>all overflow channels and drainage areas shall be kept free of weed growth; and</w:t>
      </w:r>
    </w:p>
    <w:p>
      <w:pPr>
        <w:pStyle w:val="Indenti"/>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Where a grease intercepting trap, soap trap, junction box, distribution pit, or any other fitting approved by the Executive Director, Public Health, is considered necessary by an environmental health officer for the efficient functioning of the receptacle for drainage, it shall be installed at the premises and situated where directed by the environmental health officer.</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 xml:space="preserve">[Regulation 50 amended in Gazette 29 Jun 1984 p. 1781; 15 Dec 1989 p. 4551; 4 Sep 1992 p. 4475; 29 Jul 1997 p. 4081 and 4083; 5 Sep 1997 p. 5037; 28 Jun 2004 p. 2396.] </w:t>
      </w:r>
    </w:p>
    <w:p>
      <w:pPr>
        <w:pStyle w:val="Heading2"/>
      </w:pPr>
      <w:bookmarkStart w:id="518" w:name="_Toc92695652"/>
      <w:bookmarkStart w:id="519" w:name="_Toc92968594"/>
      <w:bookmarkStart w:id="520" w:name="_Toc92968686"/>
      <w:bookmarkStart w:id="521" w:name="_Toc94935623"/>
      <w:bookmarkStart w:id="522" w:name="_Toc94935838"/>
      <w:bookmarkStart w:id="523" w:name="_Toc94941403"/>
      <w:bookmarkStart w:id="524" w:name="_Toc105237879"/>
      <w:bookmarkStart w:id="525" w:name="_Toc105470648"/>
      <w:bookmarkStart w:id="526" w:name="_Toc107800495"/>
      <w:bookmarkStart w:id="527" w:name="_Toc110666965"/>
      <w:bookmarkStart w:id="528" w:name="_Toc110842805"/>
      <w:bookmarkStart w:id="529" w:name="_Toc113177963"/>
      <w:bookmarkStart w:id="530" w:name="_Toc113259817"/>
      <w:bookmarkStart w:id="531" w:name="_Toc113262962"/>
      <w:bookmarkStart w:id="532" w:name="_Toc117907426"/>
      <w:bookmarkStart w:id="533" w:name="_Toc134332534"/>
      <w:bookmarkStart w:id="534" w:name="_Toc134337483"/>
      <w:bookmarkStart w:id="535" w:name="_Toc134337773"/>
      <w:bookmarkStart w:id="536" w:name="_Toc139258726"/>
      <w:bookmarkStart w:id="537" w:name="_Toc167179080"/>
      <w:bookmarkStart w:id="538" w:name="_Toc170201228"/>
      <w:bookmarkStart w:id="539" w:name="_Toc170715758"/>
      <w:bookmarkStart w:id="540" w:name="_Toc195006305"/>
      <w:bookmarkStart w:id="541" w:name="_Toc195070057"/>
      <w:r>
        <w:rPr>
          <w:rStyle w:val="CharPartNo"/>
        </w:rPr>
        <w:t>Part 8</w:t>
      </w:r>
      <w:r>
        <w:rPr>
          <w:rStyle w:val="CharDivNo"/>
        </w:rPr>
        <w:t> </w:t>
      </w:r>
      <w:r>
        <w:t>—</w:t>
      </w:r>
      <w:r>
        <w:rPr>
          <w:rStyle w:val="CharDivText"/>
        </w:rPr>
        <w:t> </w:t>
      </w:r>
      <w:r>
        <w:rPr>
          <w:rStyle w:val="CharPartText"/>
        </w:rPr>
        <w:t>Manufacturing</w:t>
      </w:r>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r>
        <w:rPr>
          <w:rStyle w:val="CharPartText"/>
        </w:rPr>
        <w:t xml:space="preserve"> </w:t>
      </w:r>
    </w:p>
    <w:p>
      <w:pPr>
        <w:pStyle w:val="Footnoteheading"/>
        <w:ind w:left="890"/>
        <w:rPr>
          <w:snapToGrid w:val="0"/>
        </w:rPr>
      </w:pPr>
      <w:r>
        <w:rPr>
          <w:snapToGrid w:val="0"/>
        </w:rPr>
        <w:tab/>
        <w:t xml:space="preserve">[Heading inserted in Gazette 29 Jul 1997 p. 4081.] </w:t>
      </w:r>
    </w:p>
    <w:p>
      <w:pPr>
        <w:pStyle w:val="Heading5"/>
        <w:rPr>
          <w:snapToGrid w:val="0"/>
        </w:rPr>
      </w:pPr>
      <w:bookmarkStart w:id="542" w:name="_Toc47935327"/>
      <w:bookmarkStart w:id="543" w:name="_Toc113177964"/>
      <w:bookmarkStart w:id="544" w:name="_Toc195070058"/>
      <w:bookmarkStart w:id="545" w:name="_Toc170715759"/>
      <w:r>
        <w:rPr>
          <w:rStyle w:val="CharSectno"/>
        </w:rPr>
        <w:t>51</w:t>
      </w:r>
      <w:r>
        <w:rPr>
          <w:snapToGrid w:val="0"/>
        </w:rPr>
        <w:t>.</w:t>
      </w:r>
      <w:r>
        <w:rPr>
          <w:snapToGrid w:val="0"/>
        </w:rPr>
        <w:tab/>
        <w:t>Marks and brands</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r>
      <w:r>
        <w:rPr>
          <w:snapToGrid w:val="0"/>
          <w:spacing w:val="-2"/>
        </w:rPr>
        <w:t>Any person who manufactures for sale any article intended for use in the installation of an apparatus for the treatment of sewage, or receptacle for drainage, shall apply to the Executive Director, Public Health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 xml:space="preserve">[Regulation 51 amended in Gazette 29 Jun 1984 p. 1781; 4 Sep 1992 p. 4475.] </w:t>
      </w:r>
    </w:p>
    <w:p>
      <w:pPr>
        <w:pStyle w:val="Heading5"/>
        <w:rPr>
          <w:snapToGrid w:val="0"/>
        </w:rPr>
      </w:pPr>
      <w:bookmarkStart w:id="546" w:name="_Toc47935328"/>
      <w:bookmarkStart w:id="547" w:name="_Toc113177965"/>
      <w:bookmarkStart w:id="548" w:name="_Toc195070059"/>
      <w:bookmarkStart w:id="549" w:name="_Toc170715760"/>
      <w:r>
        <w:rPr>
          <w:rStyle w:val="CharSectno"/>
        </w:rPr>
        <w:t>52</w:t>
      </w:r>
      <w:r>
        <w:rPr>
          <w:snapToGrid w:val="0"/>
        </w:rPr>
        <w:t>.</w:t>
      </w:r>
      <w:r>
        <w:rPr>
          <w:snapToGrid w:val="0"/>
        </w:rPr>
        <w:tab/>
        <w:t>Wet or steam curing</w:t>
      </w:r>
      <w:bookmarkEnd w:id="546"/>
      <w:bookmarkEnd w:id="547"/>
      <w:bookmarkEnd w:id="548"/>
      <w:bookmarkEnd w:id="549"/>
      <w:r>
        <w:rPr>
          <w:snapToGrid w:val="0"/>
        </w:rPr>
        <w:t xml:space="preserve"> </w:t>
      </w:r>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550" w:name="_Toc47935329"/>
      <w:bookmarkStart w:id="551" w:name="_Toc113177966"/>
      <w:bookmarkStart w:id="552" w:name="_Toc195070060"/>
      <w:bookmarkStart w:id="553" w:name="_Toc170715761"/>
      <w:r>
        <w:rPr>
          <w:rStyle w:val="CharSectno"/>
        </w:rPr>
        <w:t>53</w:t>
      </w:r>
      <w:r>
        <w:rPr>
          <w:snapToGrid w:val="0"/>
        </w:rPr>
        <w:t>.</w:t>
      </w:r>
      <w:r>
        <w:rPr>
          <w:snapToGrid w:val="0"/>
        </w:rPr>
        <w:tab/>
        <w:t>Refusal to sell</w:t>
      </w:r>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A manufacturer of any article intended for use in the installation of any apparatus for the treatment of sewage or receptacle for drainage who refuses to sell to a person, authorised in that behalf by the Executive Director, Public Health, any such article or sample or portion thereof commits an offence.</w:t>
      </w:r>
    </w:p>
    <w:p>
      <w:pPr>
        <w:pStyle w:val="Footnotesection"/>
      </w:pPr>
      <w:r>
        <w:tab/>
        <w:t xml:space="preserve">[Regulation 53 amended in Gazette 29 Jun 1984 p. 1781; 4 Sep 1992 p. 4475.] </w:t>
      </w:r>
    </w:p>
    <w:p>
      <w:pPr>
        <w:pStyle w:val="Heading2"/>
      </w:pPr>
      <w:bookmarkStart w:id="554" w:name="_Toc92695656"/>
      <w:bookmarkStart w:id="555" w:name="_Toc92968598"/>
      <w:bookmarkStart w:id="556" w:name="_Toc92968690"/>
      <w:bookmarkStart w:id="557" w:name="_Toc94935627"/>
      <w:bookmarkStart w:id="558" w:name="_Toc94935842"/>
      <w:bookmarkStart w:id="559" w:name="_Toc94941407"/>
      <w:bookmarkStart w:id="560" w:name="_Toc105237883"/>
      <w:bookmarkStart w:id="561" w:name="_Toc105470652"/>
      <w:bookmarkStart w:id="562" w:name="_Toc107800499"/>
      <w:bookmarkStart w:id="563" w:name="_Toc110666969"/>
      <w:bookmarkStart w:id="564" w:name="_Toc110842809"/>
      <w:bookmarkStart w:id="565" w:name="_Toc113177967"/>
      <w:bookmarkStart w:id="566" w:name="_Toc113259821"/>
      <w:bookmarkStart w:id="567" w:name="_Toc113262966"/>
      <w:bookmarkStart w:id="568" w:name="_Toc117907430"/>
      <w:bookmarkStart w:id="569" w:name="_Toc134332538"/>
      <w:bookmarkStart w:id="570" w:name="_Toc134337487"/>
      <w:bookmarkStart w:id="571" w:name="_Toc134337777"/>
      <w:bookmarkStart w:id="572" w:name="_Toc139258730"/>
      <w:bookmarkStart w:id="573" w:name="_Toc167179084"/>
      <w:bookmarkStart w:id="574" w:name="_Toc170201232"/>
      <w:bookmarkStart w:id="575" w:name="_Toc170715762"/>
      <w:bookmarkStart w:id="576" w:name="_Toc195006309"/>
      <w:bookmarkStart w:id="577" w:name="_Toc195070061"/>
      <w:r>
        <w:rPr>
          <w:rStyle w:val="CharPartNo"/>
        </w:rPr>
        <w:t>Part 9</w:t>
      </w:r>
      <w:r>
        <w:rPr>
          <w:rStyle w:val="CharDivNo"/>
        </w:rPr>
        <w:t> </w:t>
      </w:r>
      <w:r>
        <w:t>—</w:t>
      </w:r>
      <w:r>
        <w:rPr>
          <w:rStyle w:val="CharDivText"/>
        </w:rPr>
        <w:t> </w:t>
      </w:r>
      <w:r>
        <w:rPr>
          <w:rStyle w:val="CharPartText"/>
        </w:rPr>
        <w:t>Offences and penalties</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r>
        <w:rPr>
          <w:rStyle w:val="CharPartText"/>
        </w:rPr>
        <w:t xml:space="preserve"> </w:t>
      </w:r>
    </w:p>
    <w:p>
      <w:pPr>
        <w:pStyle w:val="Footnoteheading"/>
        <w:ind w:left="890"/>
        <w:rPr>
          <w:snapToGrid w:val="0"/>
        </w:rPr>
      </w:pPr>
      <w:r>
        <w:rPr>
          <w:snapToGrid w:val="0"/>
        </w:rPr>
        <w:tab/>
        <w:t>[Heading inserted in Gazette 29 Jul 1997 p. 4081.]</w:t>
      </w:r>
    </w:p>
    <w:p>
      <w:pPr>
        <w:pStyle w:val="Heading5"/>
      </w:pPr>
      <w:bookmarkStart w:id="578" w:name="_Toc113177968"/>
      <w:bookmarkStart w:id="579" w:name="_Toc195070062"/>
      <w:bookmarkStart w:id="580" w:name="_Toc170715763"/>
      <w:r>
        <w:rPr>
          <w:rStyle w:val="CharSectno"/>
        </w:rPr>
        <w:t>54</w:t>
      </w:r>
      <w:r>
        <w:t>.</w:t>
      </w:r>
      <w:r>
        <w:tab/>
        <w:t>Offence</w:t>
      </w:r>
      <w:bookmarkEnd w:id="578"/>
      <w:bookmarkEnd w:id="579"/>
      <w:bookmarkEnd w:id="580"/>
      <w:r>
        <w:t xml:space="preserve"> </w:t>
      </w:r>
    </w:p>
    <w:p>
      <w:pPr>
        <w:pStyle w:val="Subsection"/>
      </w:pPr>
      <w:r>
        <w:tab/>
      </w:r>
      <w:r>
        <w:tab/>
        <w:t>A person who contravenes these regulations commits an offence.</w:t>
      </w:r>
    </w:p>
    <w:p>
      <w:pPr>
        <w:pStyle w:val="Penstart"/>
      </w:pPr>
      <w:r>
        <w:tab/>
        <w:t>Maximum penalty: $1 000.</w:t>
      </w:r>
    </w:p>
    <w:p>
      <w:pPr>
        <w:pStyle w:val="Penstart"/>
      </w:pPr>
      <w:r>
        <w:tab/>
        <w:t xml:space="preserve">Minimum penalty: for — </w:t>
      </w:r>
    </w:p>
    <w:p>
      <w:pPr>
        <w:pStyle w:val="Penpara"/>
      </w:pPr>
      <w:r>
        <w:tab/>
        <w:t>(a)</w:t>
      </w:r>
      <w:r>
        <w:tab/>
        <w:t>a first offence, $100;</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581" w:name="_Toc170201236"/>
      <w:bookmarkStart w:id="582" w:name="_Toc170715764"/>
      <w:bookmarkStart w:id="583" w:name="_Toc195006311"/>
      <w:bookmarkStart w:id="584" w:name="_Toc195070063"/>
      <w:r>
        <w:rPr>
          <w:rStyle w:val="CharSchNo"/>
        </w:rPr>
        <w:t>Schedule 1</w:t>
      </w:r>
      <w:r>
        <w:t> — </w:t>
      </w:r>
      <w:r>
        <w:rPr>
          <w:rStyle w:val="CharSchText"/>
        </w:rPr>
        <w:t>Fees</w:t>
      </w:r>
      <w:bookmarkEnd w:id="581"/>
      <w:bookmarkEnd w:id="582"/>
      <w:bookmarkEnd w:id="583"/>
      <w:bookmarkEnd w:id="584"/>
    </w:p>
    <w:p>
      <w:pPr>
        <w:pStyle w:val="yShoulderClause"/>
      </w:pPr>
      <w:r>
        <w:t>[r. 4, 4A, 10]</w:t>
      </w:r>
    </w:p>
    <w:p>
      <w:pPr>
        <w:pStyle w:val="yFootnoteheading"/>
        <w:spacing w:after="120"/>
      </w:pPr>
      <w:r>
        <w:tab/>
        <w:t>[Heading inserted in Gazette 18 May 2007 p. 2253.]</w:t>
      </w:r>
    </w:p>
    <w:tbl>
      <w:tblPr>
        <w:tblW w:w="0" w:type="auto"/>
        <w:tblInd w:w="993" w:type="dxa"/>
        <w:tblLayout w:type="fixed"/>
        <w:tblCellMar>
          <w:left w:w="142" w:type="dxa"/>
          <w:right w:w="142" w:type="dxa"/>
        </w:tblCellMar>
        <w:tblLook w:val="0000" w:firstRow="0" w:lastRow="0" w:firstColumn="0" w:lastColumn="0" w:noHBand="0" w:noVBand="0"/>
      </w:tblPr>
      <w:tblGrid>
        <w:gridCol w:w="4961"/>
        <w:gridCol w:w="1134"/>
      </w:tblGrid>
      <w:tr>
        <w:tc>
          <w:tcPr>
            <w:tcW w:w="4961" w:type="dxa"/>
            <w:tcBorders>
              <w:top w:val="single" w:sz="4" w:space="0" w:color="auto"/>
              <w:bottom w:val="single" w:sz="4" w:space="0" w:color="auto"/>
            </w:tcBorders>
          </w:tcPr>
          <w:p>
            <w:pPr>
              <w:pStyle w:val="yTable"/>
              <w:tabs>
                <w:tab w:val="left" w:pos="567"/>
              </w:tabs>
              <w:spacing w:before="0"/>
              <w:ind w:right="150"/>
              <w:rPr>
                <w:b/>
              </w:rPr>
            </w:pPr>
            <w:r>
              <w:rPr>
                <w:b/>
              </w:rPr>
              <w:t>Item</w:t>
            </w:r>
            <w:r>
              <w:rPr>
                <w:b/>
              </w:rPr>
              <w:tab/>
              <w:t>Description</w:t>
            </w:r>
          </w:p>
        </w:tc>
        <w:tc>
          <w:tcPr>
            <w:tcW w:w="1134" w:type="dxa"/>
            <w:tcBorders>
              <w:top w:val="single" w:sz="4" w:space="0" w:color="auto"/>
              <w:bottom w:val="single" w:sz="4" w:space="0" w:color="auto"/>
            </w:tcBorders>
          </w:tcPr>
          <w:p>
            <w:pPr>
              <w:pStyle w:val="yTable"/>
              <w:tabs>
                <w:tab w:val="decimal" w:pos="273"/>
              </w:tabs>
              <w:spacing w:before="0"/>
              <w:jc w:val="center"/>
              <w:rPr>
                <w:b/>
              </w:rPr>
            </w:pPr>
            <w:r>
              <w:rPr>
                <w:b/>
              </w:rPr>
              <w:t>Fee</w:t>
            </w:r>
          </w:p>
        </w:tc>
      </w:tr>
      <w:tr>
        <w:tc>
          <w:tcPr>
            <w:tcW w:w="4961" w:type="dxa"/>
            <w:tcBorders>
              <w:top w:val="single" w:sz="4" w:space="0" w:color="auto"/>
            </w:tcBorders>
          </w:tcPr>
          <w:p>
            <w:pPr>
              <w:pStyle w:val="yTable"/>
              <w:spacing w:before="0"/>
              <w:ind w:right="150"/>
            </w:pPr>
          </w:p>
        </w:tc>
        <w:tc>
          <w:tcPr>
            <w:tcW w:w="1134" w:type="dxa"/>
            <w:tcBorders>
              <w:top w:val="single" w:sz="4" w:space="0" w:color="auto"/>
            </w:tcBorders>
          </w:tcPr>
          <w:p>
            <w:pPr>
              <w:pStyle w:val="yTable"/>
              <w:spacing w:before="0"/>
              <w:jc w:val="center"/>
              <w:rPr>
                <w:b/>
                <w:bCs/>
              </w:rPr>
            </w:pPr>
            <w:r>
              <w:rPr>
                <w:b/>
                <w:bCs/>
              </w:rPr>
              <w:t>$</w:t>
            </w:r>
          </w:p>
        </w:tc>
      </w:tr>
      <w:tr>
        <w:tc>
          <w:tcPr>
            <w:tcW w:w="4961" w:type="dxa"/>
          </w:tcPr>
          <w:p>
            <w:pPr>
              <w:pStyle w:val="yTable"/>
              <w:tabs>
                <w:tab w:val="left" w:pos="567"/>
              </w:tabs>
              <w:spacing w:before="0"/>
              <w:ind w:left="567" w:right="150" w:hanging="567"/>
            </w:pPr>
            <w:r>
              <w:t>1.</w:t>
            </w:r>
            <w:r>
              <w:tab/>
              <w:t>Application for the approval of an apparatus by local government under regulation 4 .......</w:t>
            </w:r>
          </w:p>
        </w:tc>
        <w:tc>
          <w:tcPr>
            <w:tcW w:w="1134" w:type="dxa"/>
          </w:tcPr>
          <w:p>
            <w:pPr>
              <w:pStyle w:val="yTable"/>
              <w:tabs>
                <w:tab w:val="right" w:pos="567"/>
                <w:tab w:val="right" w:pos="6521"/>
              </w:tabs>
              <w:spacing w:before="0"/>
              <w:jc w:val="right"/>
            </w:pPr>
          </w:p>
          <w:p>
            <w:pPr>
              <w:pStyle w:val="yTable"/>
              <w:tabs>
                <w:tab w:val="right" w:pos="567"/>
              </w:tabs>
              <w:spacing w:before="0"/>
              <w:ind w:right="141"/>
              <w:jc w:val="right"/>
            </w:pPr>
            <w:r>
              <w:t>101.00</w:t>
            </w:r>
          </w:p>
        </w:tc>
      </w:tr>
      <w:tr>
        <w:tc>
          <w:tcPr>
            <w:tcW w:w="4961" w:type="dxa"/>
          </w:tcPr>
          <w:p>
            <w:pPr>
              <w:pStyle w:val="yTable"/>
              <w:tabs>
                <w:tab w:val="left" w:pos="567"/>
              </w:tabs>
              <w:spacing w:before="0"/>
              <w:ind w:left="567" w:right="150" w:hanging="567"/>
            </w:pPr>
            <w:r>
              <w:t>2.</w:t>
            </w:r>
            <w:r>
              <w:tab/>
              <w:t>Application for the approval of an apparatus by the Executive Director, Public Health under regulation 4A — </w:t>
            </w:r>
          </w:p>
          <w:p>
            <w:pPr>
              <w:pStyle w:val="yTable"/>
              <w:tabs>
                <w:tab w:val="left" w:pos="840"/>
                <w:tab w:val="left" w:pos="1276"/>
              </w:tabs>
              <w:spacing w:before="0"/>
              <w:ind w:left="1265" w:right="150" w:hanging="992"/>
            </w:pPr>
            <w:r>
              <w:tab/>
              <w:t>(a)</w:t>
            </w:r>
            <w:r>
              <w:tab/>
              <w:t>with a local government report ........</w:t>
            </w:r>
          </w:p>
          <w:p>
            <w:pPr>
              <w:pStyle w:val="yTable"/>
              <w:tabs>
                <w:tab w:val="left" w:pos="840"/>
                <w:tab w:val="left" w:pos="1276"/>
              </w:tabs>
              <w:spacing w:before="0"/>
              <w:ind w:left="1265" w:right="150" w:hanging="992"/>
            </w:pPr>
            <w:r>
              <w:tab/>
              <w:t>(b)</w:t>
            </w:r>
            <w:r>
              <w:tab/>
              <w:t>without a local government report under regulation 4A(4) .....................</w:t>
            </w:r>
          </w:p>
        </w:tc>
        <w:tc>
          <w:tcPr>
            <w:tcW w:w="1134" w:type="dxa"/>
          </w:tcPr>
          <w:p>
            <w:pPr>
              <w:pStyle w:val="yTable"/>
              <w:tabs>
                <w:tab w:val="right" w:pos="567"/>
              </w:tabs>
              <w:spacing w:before="0"/>
              <w:ind w:right="141"/>
              <w:jc w:val="right"/>
            </w:pPr>
            <w:r>
              <w:br/>
            </w:r>
            <w:r>
              <w:br/>
            </w:r>
          </w:p>
          <w:p>
            <w:pPr>
              <w:pStyle w:val="yTable"/>
              <w:tabs>
                <w:tab w:val="right" w:pos="567"/>
              </w:tabs>
              <w:spacing w:before="0"/>
              <w:ind w:right="141"/>
              <w:jc w:val="right"/>
            </w:pPr>
            <w:r>
              <w:t>35.00</w:t>
            </w:r>
          </w:p>
          <w:p>
            <w:pPr>
              <w:pStyle w:val="yTable"/>
              <w:tabs>
                <w:tab w:val="right" w:pos="567"/>
              </w:tabs>
              <w:spacing w:before="0"/>
              <w:ind w:right="141"/>
              <w:jc w:val="right"/>
            </w:pPr>
            <w:r>
              <w:br/>
              <w:t>110.00</w:t>
            </w:r>
          </w:p>
        </w:tc>
      </w:tr>
      <w:tr>
        <w:tc>
          <w:tcPr>
            <w:tcW w:w="4961" w:type="dxa"/>
            <w:tcBorders>
              <w:bottom w:val="single" w:sz="4" w:space="0" w:color="auto"/>
            </w:tcBorders>
          </w:tcPr>
          <w:p>
            <w:pPr>
              <w:pStyle w:val="yTable"/>
              <w:tabs>
                <w:tab w:val="left" w:pos="567"/>
              </w:tabs>
              <w:spacing w:before="0"/>
              <w:ind w:left="567" w:right="150" w:hanging="567"/>
            </w:pPr>
            <w:r>
              <w:t>3.</w:t>
            </w:r>
            <w:r>
              <w:tab/>
              <w:t>Fee for the grant of a permit to use an apparatus under regulation 10(2) ..................</w:t>
            </w:r>
          </w:p>
        </w:tc>
        <w:tc>
          <w:tcPr>
            <w:tcW w:w="1134" w:type="dxa"/>
            <w:tcBorders>
              <w:bottom w:val="single" w:sz="4" w:space="0" w:color="auto"/>
            </w:tcBorders>
          </w:tcPr>
          <w:p>
            <w:pPr>
              <w:pStyle w:val="yTable"/>
              <w:tabs>
                <w:tab w:val="right" w:pos="567"/>
              </w:tabs>
              <w:spacing w:before="0"/>
              <w:ind w:right="141"/>
              <w:jc w:val="right"/>
            </w:pPr>
            <w:r>
              <w:br/>
              <w:t>101.00</w:t>
            </w:r>
          </w:p>
        </w:tc>
      </w:tr>
    </w:tbl>
    <w:p>
      <w:pPr>
        <w:pStyle w:val="yFootnotesection"/>
      </w:pPr>
      <w:r>
        <w:tab/>
        <w:t>[Schedule 1 inserted in Gazette 18 May 2007 p. 2253.]</w:t>
      </w:r>
    </w:p>
    <w:p>
      <w:pPr>
        <w:pStyle w:val="yEdnoteschedule"/>
      </w:pPr>
      <w:r>
        <w:t>[Schedule 2 repealed in Gazette 29 Jul 1997 p. 4084.]</w:t>
      </w:r>
    </w:p>
    <w:p>
      <w:pPr>
        <w:pStyle w:val="yScheduleHeading"/>
      </w:pPr>
      <w:bookmarkStart w:id="585" w:name="_Toc48022122"/>
      <w:bookmarkStart w:id="586" w:name="_Toc48108981"/>
      <w:bookmarkStart w:id="587" w:name="_Toc49935005"/>
      <w:bookmarkStart w:id="588" w:name="_Toc113177971"/>
      <w:bookmarkStart w:id="589" w:name="_Toc113259825"/>
      <w:bookmarkStart w:id="590" w:name="_Toc113262970"/>
      <w:bookmarkStart w:id="591" w:name="_Toc117907434"/>
      <w:bookmarkStart w:id="592" w:name="_Toc134332542"/>
      <w:bookmarkStart w:id="593" w:name="_Toc134337491"/>
      <w:bookmarkStart w:id="594" w:name="_Toc134337781"/>
      <w:bookmarkStart w:id="595" w:name="_Toc139258733"/>
      <w:bookmarkStart w:id="596" w:name="_Toc167179087"/>
      <w:bookmarkStart w:id="597" w:name="_Toc170201237"/>
      <w:bookmarkStart w:id="598" w:name="_Toc170715765"/>
      <w:bookmarkStart w:id="599" w:name="_Toc195006312"/>
      <w:bookmarkStart w:id="600" w:name="_Toc195070064"/>
      <w:r>
        <w:rPr>
          <w:rStyle w:val="CharSchNo"/>
        </w:rPr>
        <w:t>Schedule 3</w:t>
      </w:r>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p>
    <w:p>
      <w:pPr>
        <w:pStyle w:val="yShoulderClause"/>
        <w:spacing w:before="40"/>
        <w:rPr>
          <w:snapToGrid w:val="0"/>
        </w:rPr>
      </w:pPr>
      <w:r>
        <w:rPr>
          <w:snapToGrid w:val="0"/>
        </w:rPr>
        <w:t>[Reg. 34]</w:t>
      </w:r>
    </w:p>
    <w:p>
      <w:pPr>
        <w:pStyle w:val="yFootnoteheading"/>
      </w:pPr>
      <w:r>
        <w:tab/>
        <w:t>[Heading inserted in Gazette 15 Dec 1989 p. 4552.]</w:t>
      </w:r>
    </w:p>
    <w:p>
      <w:pPr>
        <w:pStyle w:val="yHeading2"/>
        <w:spacing w:before="120"/>
      </w:pPr>
      <w:bookmarkStart w:id="601" w:name="_Toc113177972"/>
      <w:bookmarkStart w:id="602" w:name="_Toc113259826"/>
      <w:bookmarkStart w:id="603" w:name="_Toc113262971"/>
      <w:bookmarkStart w:id="604" w:name="_Toc117907435"/>
      <w:bookmarkStart w:id="605" w:name="_Toc134332543"/>
      <w:bookmarkStart w:id="606" w:name="_Toc134337492"/>
      <w:bookmarkStart w:id="607" w:name="_Toc134337782"/>
      <w:bookmarkStart w:id="608" w:name="_Toc139258734"/>
      <w:bookmarkStart w:id="609" w:name="_Toc167179088"/>
      <w:bookmarkStart w:id="610" w:name="_Toc170201238"/>
      <w:bookmarkStart w:id="611" w:name="_Toc170715766"/>
      <w:bookmarkStart w:id="612" w:name="_Toc195006313"/>
      <w:bookmarkStart w:id="613" w:name="_Toc195070065"/>
      <w:r>
        <w:rPr>
          <w:rStyle w:val="CharSchText"/>
        </w:rPr>
        <w:t>Concrete covers for in situ septic tanks</w:t>
      </w:r>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yFootnoteheading"/>
        <w:spacing w:after="120"/>
      </w:pPr>
      <w:r>
        <w:tab/>
        <w:t>[Heading inserted in Gazette 15 Dec 1989 p. 4552.]</w:t>
      </w:r>
    </w:p>
    <w:p>
      <w:pPr>
        <w:jc w:val="center"/>
        <w:rPr>
          <w:del w:id="614" w:author="Master Repository Process" w:date="2021-08-28T14:30:00Z"/>
          <w:snapToGrid w:val="0"/>
        </w:rPr>
      </w:pPr>
      <w:del w:id="615" w:author="Master Repository Process" w:date="2021-08-28T14:30:00Z">
        <w:r>
          <w:rPr>
            <w:noProof/>
            <w:lang w:eastAsia="en-AU"/>
          </w:rPr>
          <w:drawing>
            <wp:inline distT="0" distB="0" distL="0" distR="0">
              <wp:extent cx="3745230" cy="5382895"/>
              <wp:effectExtent l="0" t="0" r="7620" b="8255"/>
              <wp:docPr id="1" name="Picture 1"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5230" cy="5382895"/>
                      </a:xfrm>
                      <a:prstGeom prst="rect">
                        <a:avLst/>
                      </a:prstGeom>
                      <a:noFill/>
                      <a:ln>
                        <a:noFill/>
                      </a:ln>
                    </pic:spPr>
                  </pic:pic>
                </a:graphicData>
              </a:graphic>
            </wp:inline>
          </w:drawing>
        </w:r>
      </w:del>
    </w:p>
    <w:p>
      <w:pPr>
        <w:pageBreakBefore/>
        <w:jc w:val="center"/>
        <w:rPr>
          <w:del w:id="616" w:author="Master Repository Process" w:date="2021-08-28T14:30:00Z"/>
          <w:snapToGrid w:val="0"/>
        </w:rPr>
      </w:pPr>
      <w:del w:id="617" w:author="Master Repository Process" w:date="2021-08-28T14:30:00Z">
        <w:r>
          <w:rPr>
            <w:noProof/>
            <w:lang w:eastAsia="en-AU"/>
          </w:rPr>
          <w:drawing>
            <wp:inline distT="0" distB="0" distL="0" distR="0">
              <wp:extent cx="3935730" cy="6090920"/>
              <wp:effectExtent l="0" t="0" r="7620" b="5080"/>
              <wp:docPr id="6" name="Picture 6"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5730" cy="6090920"/>
                      </a:xfrm>
                      <a:prstGeom prst="rect">
                        <a:avLst/>
                      </a:prstGeom>
                      <a:noFill/>
                      <a:ln>
                        <a:noFill/>
                      </a:ln>
                    </pic:spPr>
                  </pic:pic>
                </a:graphicData>
              </a:graphic>
            </wp:inline>
          </w:drawing>
        </w:r>
      </w:del>
    </w:p>
    <w:p>
      <w:pPr>
        <w:jc w:val="center"/>
        <w:rPr>
          <w:ins w:id="618" w:author="Master Repository Process" w:date="2021-08-28T14:30:00Z"/>
          <w:snapToGrid w:val="0"/>
        </w:rPr>
      </w:pPr>
      <w:ins w:id="619" w:author="Master Repository Process" w:date="2021-08-28T14:30:00Z">
        <w:r>
          <w:rPr>
            <w:noProof/>
            <w:lang w:eastAsia="en-AU"/>
          </w:rPr>
          <w:drawing>
            <wp:inline distT="0" distB="0" distL="0" distR="0">
              <wp:extent cx="3743325" cy="5381625"/>
              <wp:effectExtent l="0" t="0" r="9525" b="9525"/>
              <wp:docPr id="2" name="Picture 2" descr="P:\Scanning\health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Scanning\health1.gif"/>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43325" cy="5381625"/>
                      </a:xfrm>
                      <a:prstGeom prst="rect">
                        <a:avLst/>
                      </a:prstGeom>
                      <a:noFill/>
                      <a:ln>
                        <a:noFill/>
                      </a:ln>
                    </pic:spPr>
                  </pic:pic>
                </a:graphicData>
              </a:graphic>
            </wp:inline>
          </w:drawing>
        </w:r>
      </w:ins>
    </w:p>
    <w:p>
      <w:pPr>
        <w:pageBreakBefore/>
        <w:jc w:val="center"/>
        <w:rPr>
          <w:ins w:id="620" w:author="Master Repository Process" w:date="2021-08-28T14:30:00Z"/>
          <w:snapToGrid w:val="0"/>
        </w:rPr>
      </w:pPr>
      <w:ins w:id="621" w:author="Master Repository Process" w:date="2021-08-28T14:30:00Z">
        <w:r>
          <w:rPr>
            <w:noProof/>
            <w:lang w:eastAsia="en-AU"/>
          </w:rPr>
          <w:drawing>
            <wp:inline distT="0" distB="0" distL="0" distR="0">
              <wp:extent cx="3933825" cy="6086475"/>
              <wp:effectExtent l="0" t="0" r="9525" b="9525"/>
              <wp:docPr id="3" name="Picture 3" descr="\\Pcosrv\public$\Scanning\health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cosrv\public$\Scanning\health2.gif"/>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33825" cy="6086475"/>
                      </a:xfrm>
                      <a:prstGeom prst="rect">
                        <a:avLst/>
                      </a:prstGeom>
                      <a:noFill/>
                      <a:ln>
                        <a:noFill/>
                      </a:ln>
                    </pic:spPr>
                  </pic:pic>
                </a:graphicData>
              </a:graphic>
            </wp:inline>
          </w:drawing>
        </w:r>
      </w:ins>
    </w:p>
    <w:p>
      <w:pPr>
        <w:pStyle w:val="MiscellaneousHeading"/>
        <w:pageBreakBefore/>
        <w:rPr>
          <w:snapToGrid w:val="0"/>
        </w:rPr>
      </w:pPr>
      <w:r>
        <w:rPr>
          <w:snapToGrid w:val="0"/>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
              <w:spacing w:before="0"/>
              <w:jc w:val="center"/>
              <w:rPr>
                <w:sz w:val="14"/>
              </w:rPr>
            </w:pPr>
          </w:p>
          <w:p>
            <w:pPr>
              <w:pStyle w:val="yTable"/>
              <w:spacing w:before="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
              <w:spacing w:before="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
              <w:spacing w:before="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
              <w:spacing w:before="0"/>
              <w:rPr>
                <w:sz w:val="14"/>
              </w:rPr>
            </w:pPr>
            <w:r>
              <w:rPr>
                <w:sz w:val="14"/>
              </w:rPr>
              <w:t>F81</w:t>
            </w:r>
          </w:p>
        </w:tc>
      </w:tr>
    </w:tbl>
    <w:p>
      <w:pPr>
        <w:pStyle w:val="yTable"/>
        <w:rPr>
          <w:snapToGrid w:val="0"/>
          <w:sz w:val="18"/>
          <w:u w:val="single"/>
        </w:rPr>
      </w:pPr>
      <w:r>
        <w:rPr>
          <w:snapToGrid w:val="0"/>
          <w:sz w:val="18"/>
          <w:u w:val="single"/>
        </w:rPr>
        <w:t>STRUCTURAL NOTES</w:t>
      </w:r>
    </w:p>
    <w:p>
      <w:pPr>
        <w:pStyle w:val="yTable"/>
        <w:tabs>
          <w:tab w:val="left" w:pos="567"/>
        </w:tabs>
        <w:ind w:left="567" w:hanging="567"/>
        <w:rPr>
          <w:snapToGrid w:val="0"/>
          <w:sz w:val="18"/>
        </w:rPr>
      </w:pPr>
      <w:r>
        <w:rPr>
          <w:snapToGrid w:val="0"/>
          <w:sz w:val="18"/>
        </w:rPr>
        <w:t>1</w:t>
      </w:r>
      <w:r>
        <w:rPr>
          <w:snapToGrid w:val="0"/>
          <w:sz w:val="18"/>
        </w:rPr>
        <w:tab/>
        <w:t>ALL DIMENSIONS ARE IN MILLIMETRES.</w:t>
      </w:r>
    </w:p>
    <w:p>
      <w:pPr>
        <w:pStyle w:val="yTable"/>
        <w:tabs>
          <w:tab w:val="left" w:pos="567"/>
        </w:tabs>
        <w:ind w:left="567" w:hanging="567"/>
        <w:rPr>
          <w:snapToGrid w:val="0"/>
          <w:sz w:val="18"/>
        </w:rPr>
      </w:pPr>
      <w:r>
        <w:rPr>
          <w:snapToGrid w:val="0"/>
          <w:sz w:val="18"/>
        </w:rPr>
        <w:t>2</w:t>
      </w:r>
      <w:r>
        <w:rPr>
          <w:snapToGrid w:val="0"/>
          <w:sz w:val="18"/>
        </w:rPr>
        <w:tab/>
        <w:t>CONCRETE TO BE GRADE 25.</w:t>
      </w:r>
    </w:p>
    <w:p>
      <w:pPr>
        <w:pStyle w:val="yTable"/>
        <w:tabs>
          <w:tab w:val="left" w:pos="567"/>
          <w:tab w:val="left" w:pos="2268"/>
          <w:tab w:val="left" w:pos="2835"/>
        </w:tabs>
        <w:ind w:left="567" w:hanging="567"/>
        <w:rPr>
          <w:snapToGrid w:val="0"/>
          <w:sz w:val="18"/>
        </w:rPr>
      </w:pPr>
      <w:r>
        <w:rPr>
          <w:snapToGrid w:val="0"/>
          <w:sz w:val="18"/>
        </w:rPr>
        <w:t>3</w:t>
      </w:r>
      <w:r>
        <w:rPr>
          <w:snapToGrid w:val="0"/>
          <w:sz w:val="18"/>
        </w:rPr>
        <w:tab/>
        <w:t>MAX. SLUMP</w:t>
      </w:r>
      <w:r>
        <w:rPr>
          <w:snapToGrid w:val="0"/>
          <w:sz w:val="18"/>
        </w:rPr>
        <w:tab/>
        <w:t>(A)</w:t>
      </w:r>
      <w:r>
        <w:rPr>
          <w:snapToGrid w:val="0"/>
          <w:sz w:val="18"/>
        </w:rPr>
        <w:tab/>
        <w:t>IN WALLS TO BE 100mm.</w:t>
      </w:r>
    </w:p>
    <w:p>
      <w:pPr>
        <w:pStyle w:val="yTable"/>
        <w:tabs>
          <w:tab w:val="left" w:pos="567"/>
          <w:tab w:val="left" w:pos="2268"/>
          <w:tab w:val="left" w:pos="2835"/>
        </w:tabs>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Table"/>
        <w:tabs>
          <w:tab w:val="left" w:pos="567"/>
        </w:tabs>
        <w:ind w:left="567" w:hanging="567"/>
        <w:rPr>
          <w:snapToGrid w:val="0"/>
          <w:sz w:val="18"/>
        </w:rPr>
      </w:pPr>
      <w:r>
        <w:rPr>
          <w:snapToGrid w:val="0"/>
          <w:sz w:val="18"/>
        </w:rPr>
        <w:t>4</w:t>
      </w:r>
      <w:r>
        <w:rPr>
          <w:snapToGrid w:val="0"/>
          <w:sz w:val="18"/>
        </w:rPr>
        <w:tab/>
        <w:t>CONCRETE WORK TO BE CARRIED OUT IN ACCORDANCE WITH S.A.A. CODE AS 1480.</w:t>
      </w:r>
    </w:p>
    <w:p>
      <w:pPr>
        <w:pStyle w:val="yTable"/>
        <w:tabs>
          <w:tab w:val="left" w:pos="567"/>
        </w:tabs>
        <w:ind w:left="567" w:hanging="567"/>
        <w:rPr>
          <w:snapToGrid w:val="0"/>
          <w:sz w:val="18"/>
        </w:rPr>
      </w:pPr>
      <w:r>
        <w:rPr>
          <w:snapToGrid w:val="0"/>
          <w:sz w:val="18"/>
        </w:rPr>
        <w:t>5</w:t>
      </w:r>
      <w:r>
        <w:rPr>
          <w:snapToGrid w:val="0"/>
          <w:sz w:val="18"/>
        </w:rPr>
        <w:tab/>
        <w:t>ALL FABRIC IS TO COMPLY WITH A.S. No. 1304.</w:t>
      </w:r>
    </w:p>
    <w:p>
      <w:pPr>
        <w:pStyle w:val="yTable"/>
        <w:tabs>
          <w:tab w:val="left" w:pos="567"/>
        </w:tabs>
        <w:ind w:left="567" w:hanging="567"/>
        <w:rPr>
          <w:snapToGrid w:val="0"/>
          <w:sz w:val="18"/>
        </w:rPr>
      </w:pPr>
      <w:r>
        <w:rPr>
          <w:snapToGrid w:val="0"/>
          <w:sz w:val="18"/>
        </w:rPr>
        <w:t>6</w:t>
      </w:r>
      <w:r>
        <w:rPr>
          <w:snapToGrid w:val="0"/>
          <w:sz w:val="18"/>
        </w:rPr>
        <w:tab/>
        <w:t>CONCRETE TO BE PLACED USING VIBRATORS.</w:t>
      </w:r>
    </w:p>
    <w:p>
      <w:pPr>
        <w:pStyle w:val="yTable"/>
        <w:tabs>
          <w:tab w:val="left" w:pos="567"/>
        </w:tabs>
        <w:ind w:left="567" w:hanging="567"/>
        <w:rPr>
          <w:snapToGrid w:val="0"/>
          <w:sz w:val="18"/>
        </w:rPr>
      </w:pPr>
      <w:r>
        <w:rPr>
          <w:snapToGrid w:val="0"/>
          <w:sz w:val="18"/>
        </w:rPr>
        <w:t>7</w:t>
      </w:r>
      <w:r>
        <w:rPr>
          <w:snapToGrid w:val="0"/>
          <w:sz w:val="18"/>
        </w:rPr>
        <w:tab/>
        <w:t>REINF. TO BE HELD IN PLACE USING PLASTIC TIPPED WIRE CHAIRS.</w:t>
      </w:r>
    </w:p>
    <w:p>
      <w:pPr>
        <w:pStyle w:val="yTable"/>
        <w:tabs>
          <w:tab w:val="left" w:pos="567"/>
        </w:tabs>
        <w:ind w:left="567" w:hanging="567"/>
        <w:rPr>
          <w:snapToGrid w:val="0"/>
          <w:sz w:val="18"/>
        </w:rPr>
      </w:pPr>
      <w:r>
        <w:rPr>
          <w:snapToGrid w:val="0"/>
          <w:sz w:val="18"/>
        </w:rPr>
        <w:t>8</w:t>
      </w:r>
      <w:r>
        <w:rPr>
          <w:snapToGrid w:val="0"/>
          <w:sz w:val="18"/>
        </w:rPr>
        <w:tab/>
        <w:t>UNREINFORCED CONCRETE SUB SLAB 50 mm. THICK MAY BE USED UNDER STRUCTURAL BASE SLAB IF REQUIRED BY UNFAVOURABLE SOIL CONDITIONS.</w:t>
      </w:r>
    </w:p>
    <w:p>
      <w:pPr>
        <w:pStyle w:val="yTable"/>
        <w:tabs>
          <w:tab w:val="left" w:pos="567"/>
        </w:tabs>
        <w:ind w:left="567" w:hanging="567"/>
        <w:rPr>
          <w:snapToGrid w:val="0"/>
          <w:sz w:val="18"/>
        </w:rPr>
      </w:pPr>
      <w:r>
        <w:rPr>
          <w:snapToGrid w:val="0"/>
          <w:sz w:val="18"/>
        </w:rPr>
        <w:t>9</w:t>
      </w:r>
      <w:r>
        <w:rPr>
          <w:snapToGrid w:val="0"/>
          <w:sz w:val="18"/>
        </w:rPr>
        <w:tab/>
        <w:t>THIS DRG. TO BE READ IN CONJUNCTION WITH PLAN AND SPEC. ON APPLICATION FORM</w:t>
      </w:r>
    </w:p>
    <w:p>
      <w:pPr>
        <w:pStyle w:val="yTable"/>
        <w:tabs>
          <w:tab w:val="left" w:pos="567"/>
        </w:tabs>
        <w:ind w:left="567" w:hanging="567"/>
        <w:rPr>
          <w:snapToGrid w:val="0"/>
          <w:sz w:val="18"/>
        </w:rPr>
      </w:pPr>
      <w:r>
        <w:rPr>
          <w:snapToGrid w:val="0"/>
          <w:sz w:val="18"/>
        </w:rPr>
        <w:t>10</w:t>
      </w:r>
      <w:r>
        <w:rPr>
          <w:snapToGrid w:val="0"/>
          <w:sz w:val="18"/>
        </w:rPr>
        <w:tab/>
        <w:t>ALL CODES MUST BE LATEST EDITION WITH ALL AMENDMENTS ATTACHED.</w:t>
      </w:r>
    </w:p>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pacing w:val="-1"/>
                <w:sz w:val="14"/>
              </w:rPr>
            </w:pPr>
            <w:r>
              <w:rPr>
                <w:spacing w:val="-1"/>
                <w:sz w:val="14"/>
              </w:rPr>
              <w:t>3 000 x 1 500</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60"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400 E.W.</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300 E.W.</w:t>
            </w:r>
          </w:p>
        </w:tc>
      </w:tr>
      <w:tr>
        <w:tc>
          <w:tcPr>
            <w:tcW w:w="1200" w:type="dxa"/>
          </w:tcPr>
          <w:p>
            <w:pPr>
              <w:pStyle w:val="yTable"/>
              <w:spacing w:before="0"/>
              <w:rPr>
                <w:spacing w:val="-1"/>
                <w:sz w:val="14"/>
              </w:rPr>
            </w:pPr>
            <w:r>
              <w:rPr>
                <w:spacing w:val="-1"/>
                <w:sz w:val="14"/>
              </w:rPr>
              <w:t>3 600 x 1 900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4 200 x 2 200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AS ABOVE</w:t>
            </w:r>
          </w:p>
        </w:tc>
      </w:tr>
      <w:tr>
        <w:tc>
          <w:tcPr>
            <w:tcW w:w="1200" w:type="dxa"/>
          </w:tcPr>
          <w:p>
            <w:pPr>
              <w:pStyle w:val="yTable"/>
              <w:spacing w:before="0"/>
              <w:rPr>
                <w:spacing w:val="-1"/>
                <w:sz w:val="14"/>
              </w:rPr>
            </w:pPr>
            <w:r>
              <w:rPr>
                <w:spacing w:val="-1"/>
                <w:sz w:val="14"/>
              </w:rPr>
              <w:t>4 800 x 2 500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250 E.W.</w:t>
            </w:r>
          </w:p>
        </w:tc>
      </w:tr>
      <w:tr>
        <w:tc>
          <w:tcPr>
            <w:tcW w:w="1200" w:type="dxa"/>
          </w:tcPr>
          <w:p>
            <w:pPr>
              <w:pStyle w:val="yTable"/>
              <w:spacing w:before="0"/>
              <w:rPr>
                <w:spacing w:val="-1"/>
                <w:sz w:val="14"/>
              </w:rPr>
            </w:pPr>
            <w:r>
              <w:rPr>
                <w:spacing w:val="-1"/>
                <w:sz w:val="14"/>
              </w:rPr>
              <w:t>5 500 x 2 800</w:t>
            </w:r>
          </w:p>
        </w:tc>
        <w:tc>
          <w:tcPr>
            <w:tcW w:w="912" w:type="dxa"/>
          </w:tcPr>
          <w:p>
            <w:pPr>
              <w:pStyle w:val="yTable"/>
              <w:spacing w:before="0"/>
              <w:rPr>
                <w:spacing w:val="-1"/>
                <w:sz w:val="14"/>
              </w:rPr>
            </w:pPr>
            <w:r>
              <w:rPr>
                <w:spacing w:val="-1"/>
                <w:sz w:val="14"/>
              </w:rPr>
              <w:t>AS ABOVE</w:t>
            </w:r>
          </w:p>
        </w:tc>
        <w:tc>
          <w:tcPr>
            <w:tcW w:w="960"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AS ABOVE</w:t>
            </w:r>
          </w:p>
        </w:tc>
        <w:tc>
          <w:tcPr>
            <w:tcW w:w="912"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c>
          <w:tcPr>
            <w:tcW w:w="912" w:type="dxa"/>
          </w:tcPr>
          <w:p>
            <w:pPr>
              <w:pStyle w:val="yTable"/>
              <w:spacing w:before="0"/>
              <w:rPr>
                <w:spacing w:val="-1"/>
                <w:sz w:val="14"/>
              </w:rPr>
            </w:pPr>
            <w:r>
              <w:rPr>
                <w:spacing w:val="-1"/>
                <w:sz w:val="14"/>
              </w:rPr>
              <w:t>AS ABOVE</w:t>
            </w:r>
          </w:p>
        </w:tc>
        <w:tc>
          <w:tcPr>
            <w:tcW w:w="996" w:type="dxa"/>
          </w:tcPr>
          <w:p>
            <w:pPr>
              <w:pStyle w:val="yTable"/>
              <w:spacing w:before="0"/>
              <w:rPr>
                <w:spacing w:val="-1"/>
                <w:sz w:val="14"/>
              </w:rPr>
            </w:pPr>
            <w:r>
              <w:rPr>
                <w:spacing w:val="-1"/>
                <w:sz w:val="14"/>
              </w:rPr>
              <w:t>C12   AT</w:t>
            </w:r>
          </w:p>
          <w:p>
            <w:pPr>
              <w:pStyle w:val="yTable"/>
              <w:spacing w:before="0"/>
              <w:rPr>
                <w:spacing w:val="-1"/>
                <w:sz w:val="14"/>
              </w:rPr>
            </w:pPr>
            <w:r>
              <w:rPr>
                <w:spacing w:val="-1"/>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1002.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622" w:author="Master Repository Process" w:date="2021-08-28T14:30:00Z"/>
          <w:snapToGrid w:val="0"/>
        </w:rPr>
      </w:pPr>
      <w:del w:id="623" w:author="Master Repository Process" w:date="2021-08-28T14:30:00Z">
        <w:r>
          <w:rPr>
            <w:noProof/>
            <w:lang w:eastAsia="en-AU"/>
          </w:rPr>
          <w:drawing>
            <wp:inline distT="0" distB="0" distL="0" distR="0">
              <wp:extent cx="4118610" cy="6209665"/>
              <wp:effectExtent l="0" t="0" r="0" b="635"/>
              <wp:docPr id="7" name="Picture 7"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8610" cy="6209665"/>
                      </a:xfrm>
                      <a:prstGeom prst="rect">
                        <a:avLst/>
                      </a:prstGeom>
                      <a:noFill/>
                      <a:ln>
                        <a:noFill/>
                      </a:ln>
                    </pic:spPr>
                  </pic:pic>
                </a:graphicData>
              </a:graphic>
            </wp:inline>
          </w:drawing>
        </w:r>
      </w:del>
    </w:p>
    <w:p>
      <w:pPr>
        <w:pStyle w:val="yTable"/>
        <w:pageBreakBefore/>
        <w:jc w:val="center"/>
        <w:rPr>
          <w:ins w:id="624" w:author="Master Repository Process" w:date="2021-08-28T14:30:00Z"/>
          <w:snapToGrid w:val="0"/>
        </w:rPr>
      </w:pPr>
      <w:ins w:id="625" w:author="Master Repository Process" w:date="2021-08-28T14:30:00Z">
        <w:r>
          <w:rPr>
            <w:noProof/>
            <w:lang w:eastAsia="en-AU"/>
          </w:rPr>
          <w:drawing>
            <wp:inline distT="0" distB="0" distL="0" distR="0">
              <wp:extent cx="4114800" cy="6210300"/>
              <wp:effectExtent l="0" t="0" r="0" b="0"/>
              <wp:docPr id="4" name="Picture 4" descr="\\Pcosrv\public$\Scanning\health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cosrv\public$\Scanning\health3.gif"/>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114800" cy="6210300"/>
                      </a:xfrm>
                      <a:prstGeom prst="rect">
                        <a:avLst/>
                      </a:prstGeom>
                      <a:noFill/>
                      <a:ln>
                        <a:noFill/>
                      </a:ln>
                    </pic:spPr>
                  </pic:pic>
                </a:graphicData>
              </a:graphic>
            </wp:inline>
          </w:drawing>
        </w:r>
      </w:ins>
    </w:p>
    <w:p>
      <w:pPr>
        <w:pStyle w:val="MiscellaneousHeading"/>
        <w:pageBreakBefore/>
        <w:rPr>
          <w:snapToGrid w:val="0"/>
        </w:rPr>
      </w:pPr>
      <w:r>
        <w:rPr>
          <w:snapToGrid w:val="0"/>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2 500 DEEP TANK</w:t>
            </w:r>
          </w:p>
        </w:tc>
      </w:tr>
      <w:tr>
        <w:trPr>
          <w:cantSplit/>
        </w:trPr>
        <w:tc>
          <w:tcPr>
            <w:tcW w:w="1309" w:type="dxa"/>
            <w:vMerge/>
          </w:tcPr>
          <w:p>
            <w:pPr>
              <w:pStyle w:val="yTable"/>
              <w:rPr>
                <w:sz w:val="14"/>
              </w:rPr>
            </w:pPr>
          </w:p>
        </w:tc>
        <w:tc>
          <w:tcPr>
            <w:tcW w:w="924" w:type="dxa"/>
          </w:tcPr>
          <w:p>
            <w:pPr>
              <w:pStyle w:val="yTable"/>
              <w:jc w:val="center"/>
              <w:rPr>
                <w:sz w:val="14"/>
              </w:rPr>
            </w:pPr>
            <w:r>
              <w:rPr>
                <w:sz w:val="14"/>
              </w:rPr>
              <w:t>R1</w:t>
            </w:r>
          </w:p>
        </w:tc>
        <w:tc>
          <w:tcPr>
            <w:tcW w:w="972" w:type="dxa"/>
          </w:tcPr>
          <w:p>
            <w:pPr>
              <w:pStyle w:val="yTable"/>
              <w:jc w:val="center"/>
              <w:rPr>
                <w:sz w:val="14"/>
              </w:rPr>
            </w:pPr>
            <w:r>
              <w:rPr>
                <w:sz w:val="14"/>
              </w:rPr>
              <w:t>R2</w:t>
            </w:r>
          </w:p>
        </w:tc>
        <w:tc>
          <w:tcPr>
            <w:tcW w:w="924" w:type="dxa"/>
          </w:tcPr>
          <w:p>
            <w:pPr>
              <w:pStyle w:val="yTable"/>
              <w:jc w:val="center"/>
              <w:rPr>
                <w:sz w:val="14"/>
              </w:rPr>
            </w:pPr>
            <w:r>
              <w:rPr>
                <w:sz w:val="14"/>
              </w:rPr>
              <w:t>R3</w:t>
            </w:r>
          </w:p>
        </w:tc>
        <w:tc>
          <w:tcPr>
            <w:tcW w:w="924" w:type="dxa"/>
          </w:tcPr>
          <w:p>
            <w:pPr>
              <w:pStyle w:val="yTable"/>
              <w:jc w:val="center"/>
              <w:rPr>
                <w:sz w:val="14"/>
              </w:rPr>
            </w:pPr>
            <w:r>
              <w:rPr>
                <w:sz w:val="14"/>
              </w:rPr>
              <w:t>R4</w:t>
            </w:r>
          </w:p>
        </w:tc>
        <w:tc>
          <w:tcPr>
            <w:tcW w:w="826" w:type="dxa"/>
          </w:tcPr>
          <w:p>
            <w:pPr>
              <w:pStyle w:val="yTable"/>
              <w:jc w:val="center"/>
              <w:rPr>
                <w:sz w:val="14"/>
              </w:rPr>
            </w:pPr>
            <w:r>
              <w:rPr>
                <w:sz w:val="14"/>
              </w:rPr>
              <w:t>R5</w:t>
            </w:r>
          </w:p>
        </w:tc>
        <w:tc>
          <w:tcPr>
            <w:tcW w:w="924" w:type="dxa"/>
          </w:tcPr>
          <w:p>
            <w:pPr>
              <w:pStyle w:val="yTable"/>
              <w:jc w:val="center"/>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F92</w:t>
            </w:r>
          </w:p>
        </w:tc>
      </w:tr>
      <w:tr>
        <w:tc>
          <w:tcPr>
            <w:tcW w:w="1309" w:type="dxa"/>
          </w:tcPr>
          <w:p>
            <w:pPr>
              <w:pStyle w:val="yTable"/>
              <w:rPr>
                <w:sz w:val="14"/>
              </w:rPr>
            </w:pPr>
            <w:r>
              <w:rPr>
                <w:sz w:val="14"/>
              </w:rPr>
              <w:t>4 800 x 2 500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F102</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jc w:val="center"/>
              <w:rPr>
                <w:sz w:val="14"/>
              </w:rPr>
            </w:pPr>
            <w:r>
              <w:rPr>
                <w:sz w:val="14"/>
              </w:rPr>
              <w:t>F92</w:t>
            </w:r>
          </w:p>
        </w:tc>
        <w:tc>
          <w:tcPr>
            <w:tcW w:w="972" w:type="dxa"/>
          </w:tcPr>
          <w:p>
            <w:pPr>
              <w:pStyle w:val="yTable"/>
              <w:jc w:val="center"/>
              <w:rPr>
                <w:sz w:val="14"/>
              </w:rPr>
            </w:pPr>
            <w:r>
              <w:rPr>
                <w:sz w:val="14"/>
              </w:rPr>
              <w:t>F92</w:t>
            </w:r>
          </w:p>
        </w:tc>
        <w:tc>
          <w:tcPr>
            <w:tcW w:w="924" w:type="dxa"/>
          </w:tcPr>
          <w:p>
            <w:pPr>
              <w:pStyle w:val="yTable"/>
              <w:jc w:val="center"/>
              <w:rPr>
                <w:sz w:val="14"/>
              </w:rPr>
            </w:pPr>
            <w:r>
              <w:rPr>
                <w:sz w:val="14"/>
              </w:rPr>
              <w:t>F92</w:t>
            </w:r>
          </w:p>
        </w:tc>
        <w:tc>
          <w:tcPr>
            <w:tcW w:w="924" w:type="dxa"/>
          </w:tcPr>
          <w:p>
            <w:pPr>
              <w:pStyle w:val="yTable"/>
              <w:jc w:val="center"/>
              <w:rPr>
                <w:sz w:val="14"/>
              </w:rPr>
            </w:pPr>
            <w:r>
              <w:rPr>
                <w:sz w:val="14"/>
              </w:rPr>
              <w:t>F81</w:t>
            </w:r>
          </w:p>
        </w:tc>
        <w:tc>
          <w:tcPr>
            <w:tcW w:w="826" w:type="dxa"/>
          </w:tcPr>
          <w:p>
            <w:pPr>
              <w:pStyle w:val="yTable"/>
              <w:jc w:val="center"/>
              <w:rPr>
                <w:sz w:val="14"/>
              </w:rPr>
            </w:pPr>
            <w:r>
              <w:rPr>
                <w:sz w:val="14"/>
              </w:rPr>
              <w:t>F92</w:t>
            </w:r>
          </w:p>
        </w:tc>
        <w:tc>
          <w:tcPr>
            <w:tcW w:w="924" w:type="dxa"/>
          </w:tcPr>
          <w:p>
            <w:pPr>
              <w:pStyle w:val="yTable"/>
              <w:jc w:val="center"/>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2 500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Table"/>
        <w:pageBreakBefore/>
        <w:jc w:val="center"/>
        <w:rPr>
          <w:del w:id="626" w:author="Master Repository Process" w:date="2021-08-28T14:30:00Z"/>
          <w:snapToGrid w:val="0"/>
        </w:rPr>
      </w:pPr>
      <w:del w:id="627" w:author="Master Repository Process" w:date="2021-08-28T14:30:00Z">
        <w:r>
          <w:rPr>
            <w:noProof/>
            <w:lang w:eastAsia="en-AU"/>
          </w:rPr>
          <w:drawing>
            <wp:inline distT="0" distB="0" distL="0" distR="0">
              <wp:extent cx="4007485" cy="6059170"/>
              <wp:effectExtent l="0" t="0" r="0" b="0"/>
              <wp:docPr id="14" name="Picture 14"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07485" cy="6059170"/>
                      </a:xfrm>
                      <a:prstGeom prst="rect">
                        <a:avLst/>
                      </a:prstGeom>
                      <a:noFill/>
                      <a:ln>
                        <a:noFill/>
                      </a:ln>
                    </pic:spPr>
                  </pic:pic>
                </a:graphicData>
              </a:graphic>
            </wp:inline>
          </w:drawing>
        </w:r>
      </w:del>
    </w:p>
    <w:p>
      <w:pPr>
        <w:pStyle w:val="yTable"/>
        <w:pageBreakBefore/>
        <w:jc w:val="center"/>
        <w:rPr>
          <w:ins w:id="628" w:author="Master Repository Process" w:date="2021-08-28T14:30:00Z"/>
          <w:snapToGrid w:val="0"/>
        </w:rPr>
      </w:pPr>
      <w:ins w:id="629" w:author="Master Repository Process" w:date="2021-08-28T14:30:00Z">
        <w:r>
          <w:rPr>
            <w:noProof/>
            <w:lang w:eastAsia="en-AU"/>
          </w:rPr>
          <w:drawing>
            <wp:inline distT="0" distB="0" distL="0" distR="0">
              <wp:extent cx="4010025" cy="6057900"/>
              <wp:effectExtent l="0" t="0" r="9525" b="0"/>
              <wp:docPr id="5" name="Picture 5" descr="\\PCOSRV\PUBLIC$\Scanning\treat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PUBLIC$\Scanning\treat4.gif"/>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10025" cy="6057900"/>
                      </a:xfrm>
                      <a:prstGeom prst="rect">
                        <a:avLst/>
                      </a:prstGeom>
                      <a:noFill/>
                      <a:ln>
                        <a:noFill/>
                      </a:ln>
                    </pic:spPr>
                  </pic:pic>
                </a:graphicData>
              </a:graphic>
            </wp:inline>
          </w:drawing>
        </w:r>
      </w:ins>
    </w:p>
    <w:p>
      <w:pPr>
        <w:pStyle w:val="MiscellaneousHeading"/>
        <w:pageBreakBefore/>
        <w:rPr>
          <w:snapToGrid w:val="0"/>
        </w:rPr>
      </w:pPr>
      <w:r>
        <w:rPr>
          <w:snapToGrid w:val="0"/>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
              <w:jc w:val="center"/>
              <w:rPr>
                <w:sz w:val="14"/>
              </w:rPr>
            </w:pPr>
          </w:p>
          <w:p>
            <w:pPr>
              <w:pStyle w:val="yTable"/>
              <w:jc w:val="center"/>
              <w:rPr>
                <w:sz w:val="14"/>
              </w:rPr>
            </w:pPr>
            <w:r>
              <w:rPr>
                <w:sz w:val="14"/>
              </w:rPr>
              <w:t>L x B</w:t>
            </w:r>
          </w:p>
        </w:tc>
        <w:tc>
          <w:tcPr>
            <w:tcW w:w="5494" w:type="dxa"/>
            <w:gridSpan w:val="6"/>
          </w:tcPr>
          <w:p>
            <w:pPr>
              <w:pStyle w:val="yTable"/>
              <w:jc w:val="center"/>
              <w:rPr>
                <w:sz w:val="14"/>
              </w:rPr>
            </w:pPr>
            <w:r>
              <w:rPr>
                <w:sz w:val="14"/>
              </w:rPr>
              <w:t>FABRIC REINFORCEMENT FOR 3 000 DEEP TANK</w:t>
            </w:r>
          </w:p>
        </w:tc>
      </w:tr>
      <w:tr>
        <w:trPr>
          <w:cantSplit/>
        </w:trPr>
        <w:tc>
          <w:tcPr>
            <w:tcW w:w="1309" w:type="dxa"/>
            <w:vMerge/>
          </w:tcPr>
          <w:p>
            <w:pPr>
              <w:pStyle w:val="yTable"/>
              <w:rPr>
                <w:sz w:val="14"/>
              </w:rPr>
            </w:pPr>
          </w:p>
        </w:tc>
        <w:tc>
          <w:tcPr>
            <w:tcW w:w="924" w:type="dxa"/>
          </w:tcPr>
          <w:p>
            <w:pPr>
              <w:pStyle w:val="yTable"/>
              <w:rPr>
                <w:sz w:val="14"/>
              </w:rPr>
            </w:pPr>
            <w:r>
              <w:rPr>
                <w:sz w:val="14"/>
              </w:rPr>
              <w:t>R1</w:t>
            </w:r>
          </w:p>
        </w:tc>
        <w:tc>
          <w:tcPr>
            <w:tcW w:w="972" w:type="dxa"/>
          </w:tcPr>
          <w:p>
            <w:pPr>
              <w:pStyle w:val="yTable"/>
              <w:rPr>
                <w:sz w:val="14"/>
              </w:rPr>
            </w:pPr>
            <w:r>
              <w:rPr>
                <w:sz w:val="14"/>
              </w:rPr>
              <w:t>R2</w:t>
            </w:r>
          </w:p>
        </w:tc>
        <w:tc>
          <w:tcPr>
            <w:tcW w:w="924" w:type="dxa"/>
          </w:tcPr>
          <w:p>
            <w:pPr>
              <w:pStyle w:val="yTable"/>
              <w:rPr>
                <w:sz w:val="14"/>
              </w:rPr>
            </w:pPr>
            <w:r>
              <w:rPr>
                <w:sz w:val="14"/>
              </w:rPr>
              <w:t>R3</w:t>
            </w:r>
          </w:p>
        </w:tc>
        <w:tc>
          <w:tcPr>
            <w:tcW w:w="924" w:type="dxa"/>
          </w:tcPr>
          <w:p>
            <w:pPr>
              <w:pStyle w:val="yTable"/>
              <w:rPr>
                <w:sz w:val="14"/>
              </w:rPr>
            </w:pPr>
            <w:r>
              <w:rPr>
                <w:sz w:val="14"/>
              </w:rPr>
              <w:t>R4</w:t>
            </w:r>
          </w:p>
        </w:tc>
        <w:tc>
          <w:tcPr>
            <w:tcW w:w="826" w:type="dxa"/>
          </w:tcPr>
          <w:p>
            <w:pPr>
              <w:pStyle w:val="yTable"/>
              <w:rPr>
                <w:sz w:val="14"/>
              </w:rPr>
            </w:pPr>
            <w:r>
              <w:rPr>
                <w:sz w:val="14"/>
              </w:rPr>
              <w:t>R5</w:t>
            </w:r>
          </w:p>
        </w:tc>
        <w:tc>
          <w:tcPr>
            <w:tcW w:w="924" w:type="dxa"/>
          </w:tcPr>
          <w:p>
            <w:pPr>
              <w:pStyle w:val="yTable"/>
              <w:rPr>
                <w:sz w:val="14"/>
              </w:rPr>
            </w:pPr>
            <w:r>
              <w:rPr>
                <w:sz w:val="14"/>
              </w:rPr>
              <w:t>R6</w:t>
            </w:r>
          </w:p>
        </w:tc>
      </w:tr>
      <w:tr>
        <w:tc>
          <w:tcPr>
            <w:tcW w:w="1309" w:type="dxa"/>
          </w:tcPr>
          <w:p>
            <w:pPr>
              <w:pStyle w:val="yTable"/>
              <w:rPr>
                <w:sz w:val="14"/>
              </w:rPr>
            </w:pPr>
            <w:r>
              <w:rPr>
                <w:sz w:val="14"/>
              </w:rPr>
              <w:t>3 000 x 1 500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3 600 x 1 900</w:t>
            </w:r>
          </w:p>
        </w:tc>
        <w:tc>
          <w:tcPr>
            <w:tcW w:w="924" w:type="dxa"/>
          </w:tcPr>
          <w:p>
            <w:pPr>
              <w:pStyle w:val="yTable"/>
              <w:rPr>
                <w:sz w:val="14"/>
              </w:rPr>
            </w:pPr>
            <w:r>
              <w:rPr>
                <w:sz w:val="14"/>
              </w:rPr>
              <w:t>F92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F92</w:t>
            </w:r>
          </w:p>
        </w:tc>
        <w:tc>
          <w:tcPr>
            <w:tcW w:w="826" w:type="dxa"/>
          </w:tcPr>
          <w:p>
            <w:pPr>
              <w:pStyle w:val="yTable"/>
              <w:rPr>
                <w:sz w:val="14"/>
              </w:rPr>
            </w:pPr>
            <w:r>
              <w:rPr>
                <w:sz w:val="14"/>
              </w:rPr>
              <w:t>F92</w:t>
            </w:r>
          </w:p>
        </w:tc>
        <w:tc>
          <w:tcPr>
            <w:tcW w:w="924" w:type="dxa"/>
          </w:tcPr>
          <w:p>
            <w:pPr>
              <w:pStyle w:val="yTable"/>
              <w:rPr>
                <w:sz w:val="14"/>
              </w:rPr>
            </w:pPr>
            <w:r>
              <w:rPr>
                <w:sz w:val="14"/>
              </w:rPr>
              <w:t>F92</w:t>
            </w:r>
          </w:p>
        </w:tc>
      </w:tr>
      <w:tr>
        <w:tc>
          <w:tcPr>
            <w:tcW w:w="1309" w:type="dxa"/>
          </w:tcPr>
          <w:p>
            <w:pPr>
              <w:pStyle w:val="yTable"/>
              <w:rPr>
                <w:sz w:val="14"/>
              </w:rPr>
            </w:pPr>
            <w:r>
              <w:rPr>
                <w:sz w:val="14"/>
              </w:rPr>
              <w:t>4 200 x 2 200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4 800 x 2 500</w:t>
            </w:r>
          </w:p>
        </w:tc>
        <w:tc>
          <w:tcPr>
            <w:tcW w:w="924" w:type="dxa"/>
          </w:tcPr>
          <w:p>
            <w:pPr>
              <w:pStyle w:val="yTable"/>
              <w:rPr>
                <w:sz w:val="14"/>
              </w:rPr>
            </w:pPr>
            <w:r>
              <w:rPr>
                <w:sz w:val="14"/>
              </w:rPr>
              <w:t>F102</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F102</w:t>
            </w:r>
          </w:p>
        </w:tc>
        <w:tc>
          <w:tcPr>
            <w:tcW w:w="826" w:type="dxa"/>
          </w:tcPr>
          <w:p>
            <w:pPr>
              <w:pStyle w:val="yTable"/>
              <w:rPr>
                <w:sz w:val="14"/>
              </w:rPr>
            </w:pPr>
            <w:r>
              <w:rPr>
                <w:sz w:val="14"/>
              </w:rPr>
              <w:t>F92</w:t>
            </w:r>
          </w:p>
        </w:tc>
        <w:tc>
          <w:tcPr>
            <w:tcW w:w="924" w:type="dxa"/>
          </w:tcPr>
          <w:p>
            <w:pPr>
              <w:pStyle w:val="yTable"/>
              <w:rPr>
                <w:sz w:val="14"/>
              </w:rPr>
            </w:pPr>
            <w:r>
              <w:rPr>
                <w:sz w:val="14"/>
              </w:rPr>
              <w:t>F102</w:t>
            </w:r>
          </w:p>
        </w:tc>
      </w:tr>
      <w:tr>
        <w:tc>
          <w:tcPr>
            <w:tcW w:w="1309" w:type="dxa"/>
          </w:tcPr>
          <w:p>
            <w:pPr>
              <w:pStyle w:val="yTable"/>
              <w:rPr>
                <w:sz w:val="14"/>
              </w:rPr>
            </w:pPr>
            <w:r>
              <w:rPr>
                <w:sz w:val="14"/>
              </w:rPr>
              <w:t>5 500 x 2 800</w:t>
            </w:r>
          </w:p>
        </w:tc>
        <w:tc>
          <w:tcPr>
            <w:tcW w:w="924" w:type="dxa"/>
          </w:tcPr>
          <w:p>
            <w:pPr>
              <w:pStyle w:val="yTable"/>
              <w:rPr>
                <w:sz w:val="14"/>
              </w:rPr>
            </w:pPr>
            <w:r>
              <w:rPr>
                <w:sz w:val="14"/>
              </w:rPr>
              <w:t>F81</w:t>
            </w:r>
          </w:p>
        </w:tc>
        <w:tc>
          <w:tcPr>
            <w:tcW w:w="972" w:type="dxa"/>
          </w:tcPr>
          <w:p>
            <w:pPr>
              <w:pStyle w:val="yTable"/>
              <w:rPr>
                <w:sz w:val="14"/>
              </w:rPr>
            </w:pPr>
            <w:r>
              <w:rPr>
                <w:sz w:val="14"/>
              </w:rPr>
              <w:t>F92</w:t>
            </w:r>
          </w:p>
        </w:tc>
        <w:tc>
          <w:tcPr>
            <w:tcW w:w="924" w:type="dxa"/>
          </w:tcPr>
          <w:p>
            <w:pPr>
              <w:pStyle w:val="yTable"/>
              <w:rPr>
                <w:sz w:val="14"/>
              </w:rPr>
            </w:pPr>
            <w:r>
              <w:rPr>
                <w:sz w:val="14"/>
              </w:rPr>
              <w:t>F92</w:t>
            </w:r>
          </w:p>
        </w:tc>
        <w:tc>
          <w:tcPr>
            <w:tcW w:w="924" w:type="dxa"/>
          </w:tcPr>
          <w:p>
            <w:pPr>
              <w:pStyle w:val="yTable"/>
              <w:rPr>
                <w:sz w:val="14"/>
              </w:rPr>
            </w:pPr>
            <w:r>
              <w:rPr>
                <w:sz w:val="14"/>
              </w:rPr>
              <w:t>F81</w:t>
            </w:r>
          </w:p>
        </w:tc>
        <w:tc>
          <w:tcPr>
            <w:tcW w:w="826" w:type="dxa"/>
          </w:tcPr>
          <w:p>
            <w:pPr>
              <w:pStyle w:val="yTable"/>
              <w:rPr>
                <w:sz w:val="14"/>
              </w:rPr>
            </w:pPr>
            <w:r>
              <w:rPr>
                <w:sz w:val="14"/>
              </w:rPr>
              <w:t>F92</w:t>
            </w:r>
          </w:p>
        </w:tc>
        <w:tc>
          <w:tcPr>
            <w:tcW w:w="924" w:type="dxa"/>
          </w:tcPr>
          <w:p>
            <w:pPr>
              <w:pStyle w:val="yTable"/>
              <w:rPr>
                <w:sz w:val="14"/>
              </w:rPr>
            </w:pPr>
            <w:r>
              <w:rPr>
                <w:sz w:val="14"/>
              </w:rPr>
              <w:t>F81</w:t>
            </w:r>
          </w:p>
        </w:tc>
      </w:tr>
    </w:tbl>
    <w:p>
      <w:pPr>
        <w:pStyle w:val="MiscellaneousHeading"/>
        <w:rPr>
          <w:snapToGrid w:val="0"/>
        </w:rPr>
      </w:pPr>
      <w:r>
        <w:rPr>
          <w:snapToGrid w:val="0"/>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
              <w:spacing w:before="0"/>
              <w:jc w:val="center"/>
              <w:rPr>
                <w:sz w:val="14"/>
                <w:lang w:val="en-US"/>
              </w:rPr>
            </w:pPr>
          </w:p>
          <w:p>
            <w:pPr>
              <w:pStyle w:val="yTable"/>
              <w:spacing w:before="0"/>
              <w:jc w:val="center"/>
              <w:rPr>
                <w:sz w:val="14"/>
              </w:rPr>
            </w:pPr>
            <w:r>
              <w:rPr>
                <w:sz w:val="14"/>
              </w:rPr>
              <w:t>L x B</w:t>
            </w:r>
          </w:p>
        </w:tc>
        <w:tc>
          <w:tcPr>
            <w:tcW w:w="5604" w:type="dxa"/>
            <w:gridSpan w:val="6"/>
          </w:tcPr>
          <w:p>
            <w:pPr>
              <w:pStyle w:val="yTable"/>
              <w:spacing w:before="0"/>
              <w:jc w:val="center"/>
              <w:rPr>
                <w:sz w:val="14"/>
              </w:rPr>
            </w:pPr>
            <w:r>
              <w:rPr>
                <w:sz w:val="14"/>
              </w:rPr>
              <w:t>BAR REINFORCEMENT FOR 3 000 DEEP TANK</w:t>
            </w:r>
          </w:p>
        </w:tc>
      </w:tr>
      <w:tr>
        <w:trPr>
          <w:cantSplit/>
        </w:trPr>
        <w:tc>
          <w:tcPr>
            <w:tcW w:w="1200" w:type="dxa"/>
            <w:vMerge/>
          </w:tcPr>
          <w:p>
            <w:pPr>
              <w:pStyle w:val="yTable"/>
              <w:spacing w:before="0"/>
              <w:rPr>
                <w:sz w:val="14"/>
              </w:rPr>
            </w:pPr>
          </w:p>
        </w:tc>
        <w:tc>
          <w:tcPr>
            <w:tcW w:w="912" w:type="dxa"/>
          </w:tcPr>
          <w:p>
            <w:pPr>
              <w:pStyle w:val="yTable"/>
              <w:spacing w:before="0"/>
              <w:jc w:val="center"/>
              <w:rPr>
                <w:sz w:val="14"/>
              </w:rPr>
            </w:pPr>
            <w:r>
              <w:rPr>
                <w:sz w:val="14"/>
              </w:rPr>
              <w:t>R1</w:t>
            </w:r>
          </w:p>
        </w:tc>
        <w:tc>
          <w:tcPr>
            <w:tcW w:w="960" w:type="dxa"/>
          </w:tcPr>
          <w:p>
            <w:pPr>
              <w:pStyle w:val="yTable"/>
              <w:spacing w:before="0"/>
              <w:jc w:val="center"/>
              <w:rPr>
                <w:sz w:val="14"/>
              </w:rPr>
            </w:pPr>
            <w:r>
              <w:rPr>
                <w:sz w:val="14"/>
              </w:rPr>
              <w:t>R2</w:t>
            </w:r>
          </w:p>
        </w:tc>
        <w:tc>
          <w:tcPr>
            <w:tcW w:w="912" w:type="dxa"/>
          </w:tcPr>
          <w:p>
            <w:pPr>
              <w:pStyle w:val="yTable"/>
              <w:spacing w:before="0"/>
              <w:jc w:val="center"/>
              <w:rPr>
                <w:sz w:val="14"/>
              </w:rPr>
            </w:pPr>
            <w:r>
              <w:rPr>
                <w:sz w:val="14"/>
              </w:rPr>
              <w:t>R3</w:t>
            </w:r>
          </w:p>
        </w:tc>
        <w:tc>
          <w:tcPr>
            <w:tcW w:w="912" w:type="dxa"/>
          </w:tcPr>
          <w:p>
            <w:pPr>
              <w:pStyle w:val="yTable"/>
              <w:spacing w:before="0"/>
              <w:jc w:val="center"/>
              <w:rPr>
                <w:sz w:val="14"/>
              </w:rPr>
            </w:pPr>
            <w:r>
              <w:rPr>
                <w:sz w:val="14"/>
              </w:rPr>
              <w:t>R4</w:t>
            </w:r>
          </w:p>
        </w:tc>
        <w:tc>
          <w:tcPr>
            <w:tcW w:w="912" w:type="dxa"/>
          </w:tcPr>
          <w:p>
            <w:pPr>
              <w:pStyle w:val="yTable"/>
              <w:spacing w:before="0"/>
              <w:jc w:val="center"/>
              <w:rPr>
                <w:sz w:val="14"/>
              </w:rPr>
            </w:pPr>
            <w:r>
              <w:rPr>
                <w:sz w:val="14"/>
              </w:rPr>
              <w:t>R5</w:t>
            </w:r>
          </w:p>
        </w:tc>
        <w:tc>
          <w:tcPr>
            <w:tcW w:w="996" w:type="dxa"/>
          </w:tcPr>
          <w:p>
            <w:pPr>
              <w:pStyle w:val="yTable"/>
              <w:spacing w:before="0"/>
              <w:jc w:val="center"/>
              <w:rPr>
                <w:sz w:val="14"/>
              </w:rPr>
            </w:pPr>
            <w:r>
              <w:rPr>
                <w:sz w:val="14"/>
              </w:rPr>
              <w:t>R6</w:t>
            </w:r>
          </w:p>
        </w:tc>
      </w:tr>
      <w:tr>
        <w:tc>
          <w:tcPr>
            <w:tcW w:w="1200" w:type="dxa"/>
          </w:tcPr>
          <w:p>
            <w:pPr>
              <w:pStyle w:val="yTable"/>
              <w:spacing w:before="0"/>
              <w:rPr>
                <w:sz w:val="14"/>
              </w:rPr>
            </w:pPr>
            <w:r>
              <w:rPr>
                <w:sz w:val="14"/>
              </w:rPr>
              <w:t>3 000 x 1 500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60"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300 E.W.</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300 E.W.</w:t>
            </w:r>
          </w:p>
        </w:tc>
      </w:tr>
      <w:tr>
        <w:tc>
          <w:tcPr>
            <w:tcW w:w="1200" w:type="dxa"/>
          </w:tcPr>
          <w:p>
            <w:pPr>
              <w:pStyle w:val="yTable"/>
              <w:spacing w:before="0"/>
              <w:rPr>
                <w:sz w:val="14"/>
              </w:rPr>
            </w:pPr>
            <w:r>
              <w:rPr>
                <w:sz w:val="14"/>
              </w:rPr>
              <w:t>3 600 x 1 900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4 200 x 2 200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250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250 E.W.</w:t>
            </w:r>
          </w:p>
        </w:tc>
      </w:tr>
      <w:tr>
        <w:tc>
          <w:tcPr>
            <w:tcW w:w="1200" w:type="dxa"/>
          </w:tcPr>
          <w:p>
            <w:pPr>
              <w:pStyle w:val="yTable"/>
              <w:spacing w:before="0"/>
              <w:rPr>
                <w:sz w:val="14"/>
              </w:rPr>
            </w:pPr>
            <w:r>
              <w:rPr>
                <w:sz w:val="14"/>
              </w:rPr>
              <w:t>4 800 x 2 500</w:t>
            </w:r>
          </w:p>
        </w:tc>
        <w:tc>
          <w:tcPr>
            <w:tcW w:w="912" w:type="dxa"/>
          </w:tcPr>
          <w:p>
            <w:pPr>
              <w:pStyle w:val="yTable"/>
              <w:spacing w:before="0"/>
              <w:jc w:val="center"/>
              <w:rPr>
                <w:sz w:val="14"/>
              </w:rPr>
            </w:pPr>
            <w:r>
              <w:rPr>
                <w:sz w:val="14"/>
              </w:rPr>
              <w:t>AS ABOVE</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AS ABOVE</w:t>
            </w:r>
          </w:p>
        </w:tc>
      </w:tr>
      <w:tr>
        <w:tc>
          <w:tcPr>
            <w:tcW w:w="1200" w:type="dxa"/>
          </w:tcPr>
          <w:p>
            <w:pPr>
              <w:pStyle w:val="yTable"/>
              <w:spacing w:before="0"/>
              <w:rPr>
                <w:sz w:val="14"/>
              </w:rPr>
            </w:pPr>
            <w:r>
              <w:rPr>
                <w:sz w:val="14"/>
              </w:rPr>
              <w:t>5 500 x 2 800</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60"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AS ABOVE</w:t>
            </w:r>
          </w:p>
        </w:tc>
        <w:tc>
          <w:tcPr>
            <w:tcW w:w="912" w:type="dxa"/>
          </w:tcPr>
          <w:p>
            <w:pPr>
              <w:pStyle w:val="yTable"/>
              <w:spacing w:before="0"/>
              <w:jc w:val="center"/>
              <w:rPr>
                <w:sz w:val="14"/>
              </w:rPr>
            </w:pPr>
            <w:r>
              <w:rPr>
                <w:sz w:val="14"/>
              </w:rPr>
              <w:t>C12   AT</w:t>
            </w:r>
          </w:p>
          <w:p>
            <w:pPr>
              <w:pStyle w:val="yTable"/>
              <w:spacing w:before="0"/>
              <w:jc w:val="center"/>
              <w:rPr>
                <w:sz w:val="14"/>
              </w:rPr>
            </w:pPr>
            <w:r>
              <w:rPr>
                <w:sz w:val="14"/>
              </w:rPr>
              <w:t>200 E.W.</w:t>
            </w:r>
          </w:p>
        </w:tc>
        <w:tc>
          <w:tcPr>
            <w:tcW w:w="912" w:type="dxa"/>
          </w:tcPr>
          <w:p>
            <w:pPr>
              <w:pStyle w:val="yTable"/>
              <w:spacing w:before="0"/>
              <w:jc w:val="center"/>
              <w:rPr>
                <w:sz w:val="14"/>
              </w:rPr>
            </w:pPr>
            <w:r>
              <w:rPr>
                <w:sz w:val="14"/>
              </w:rPr>
              <w:t>AS ABOVE</w:t>
            </w:r>
          </w:p>
        </w:tc>
        <w:tc>
          <w:tcPr>
            <w:tcW w:w="996" w:type="dxa"/>
          </w:tcPr>
          <w:p>
            <w:pPr>
              <w:pStyle w:val="yTable"/>
              <w:spacing w:before="0"/>
              <w:jc w:val="center"/>
              <w:rPr>
                <w:sz w:val="14"/>
              </w:rPr>
            </w:pPr>
            <w:r>
              <w:rPr>
                <w:sz w:val="14"/>
              </w:rPr>
              <w:t>C12   AT</w:t>
            </w:r>
          </w:p>
          <w:p>
            <w:pPr>
              <w:pStyle w:val="yTable"/>
              <w:spacing w:before="0"/>
              <w:jc w:val="center"/>
              <w:rPr>
                <w:sz w:val="14"/>
              </w:rPr>
            </w:pPr>
            <w:r>
              <w:rPr>
                <w:sz w:val="14"/>
              </w:rPr>
              <w:t>200 E.W.</w:t>
            </w:r>
          </w:p>
        </w:tc>
      </w:tr>
    </w:tbl>
    <w:p>
      <w:pPr>
        <w:pStyle w:val="yTable"/>
        <w:rPr>
          <w:snapToGrid w:val="0"/>
          <w:sz w:val="16"/>
          <w:u w:val="single"/>
        </w:rPr>
      </w:pPr>
      <w:r>
        <w:rPr>
          <w:snapToGrid w:val="0"/>
          <w:sz w:val="16"/>
          <w:u w:val="single"/>
        </w:rPr>
        <w:t>LEGEND</w:t>
      </w:r>
    </w:p>
    <w:p>
      <w:pPr>
        <w:pStyle w:val="yTable"/>
        <w:tabs>
          <w:tab w:val="left" w:pos="567"/>
        </w:tabs>
        <w:ind w:left="567" w:hanging="567"/>
        <w:rPr>
          <w:snapToGrid w:val="0"/>
          <w:sz w:val="16"/>
        </w:rPr>
      </w:pPr>
      <w:r>
        <w:rPr>
          <w:snapToGrid w:val="0"/>
          <w:sz w:val="16"/>
        </w:rPr>
        <w:t>C</w:t>
      </w:r>
      <w:r>
        <w:rPr>
          <w:snapToGrid w:val="0"/>
          <w:sz w:val="16"/>
        </w:rPr>
        <w:tab/>
        <w:t>COLD TWISTED DEFORMED BARS IN ACCORDANCE WITH AS 1302.</w:t>
      </w:r>
    </w:p>
    <w:p>
      <w:pPr>
        <w:pStyle w:val="yTable"/>
        <w:tabs>
          <w:tab w:val="left" w:pos="567"/>
        </w:tabs>
        <w:rPr>
          <w:snapToGrid w:val="0"/>
          <w:sz w:val="16"/>
        </w:rPr>
      </w:pPr>
      <w:r>
        <w:rPr>
          <w:snapToGrid w:val="0"/>
          <w:sz w:val="16"/>
        </w:rPr>
        <w:t>E.W.</w:t>
      </w:r>
      <w:r>
        <w:rPr>
          <w:snapToGrid w:val="0"/>
          <w:sz w:val="16"/>
        </w:rPr>
        <w:tab/>
        <w:t>EACH WAY.</w:t>
      </w:r>
    </w:p>
    <w:p>
      <w:pPr>
        <w:pStyle w:val="yScheduleHeading"/>
      </w:pPr>
      <w:bookmarkStart w:id="630" w:name="_Toc48022124"/>
      <w:bookmarkStart w:id="631" w:name="_Toc48108983"/>
      <w:bookmarkStart w:id="632" w:name="_Toc49935007"/>
      <w:bookmarkStart w:id="633" w:name="_Toc113177973"/>
      <w:bookmarkStart w:id="634" w:name="_Toc113259827"/>
      <w:bookmarkStart w:id="635" w:name="_Toc113262972"/>
      <w:bookmarkStart w:id="636" w:name="_Toc117907436"/>
      <w:bookmarkStart w:id="637" w:name="_Toc134332544"/>
      <w:bookmarkStart w:id="638" w:name="_Toc134337493"/>
      <w:bookmarkStart w:id="639" w:name="_Toc134337783"/>
      <w:bookmarkStart w:id="640" w:name="_Toc139258735"/>
      <w:bookmarkStart w:id="641" w:name="_Toc167179089"/>
      <w:bookmarkStart w:id="642" w:name="_Toc170201239"/>
      <w:bookmarkStart w:id="643" w:name="_Toc170715767"/>
      <w:bookmarkStart w:id="644" w:name="_Toc195006314"/>
      <w:bookmarkStart w:id="645" w:name="_Toc195070066"/>
      <w:r>
        <w:rPr>
          <w:rStyle w:val="CharSchNo"/>
        </w:rPr>
        <w:t>Schedule 4</w:t>
      </w:r>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p>
    <w:p>
      <w:pPr>
        <w:pStyle w:val="yShoulderClause"/>
        <w:rPr>
          <w:snapToGrid w:val="0"/>
        </w:rPr>
      </w:pPr>
      <w:r>
        <w:rPr>
          <w:snapToGrid w:val="0"/>
        </w:rPr>
        <w:t>[Reg. 35]</w:t>
      </w:r>
    </w:p>
    <w:p>
      <w:pPr>
        <w:pStyle w:val="yFootnoteheading"/>
      </w:pPr>
      <w:r>
        <w:tab/>
        <w:t>[Heading inserted in Gazette 15 Dec 1989 p. 4552.]</w:t>
      </w:r>
    </w:p>
    <w:p>
      <w:pPr>
        <w:pStyle w:val="yHeading2"/>
      </w:pPr>
      <w:bookmarkStart w:id="646" w:name="_Toc113177974"/>
      <w:bookmarkStart w:id="647" w:name="_Toc113259828"/>
      <w:bookmarkStart w:id="648" w:name="_Toc113262973"/>
      <w:bookmarkStart w:id="649" w:name="_Toc117907437"/>
      <w:bookmarkStart w:id="650" w:name="_Toc134332545"/>
      <w:bookmarkStart w:id="651" w:name="_Toc134337494"/>
      <w:bookmarkStart w:id="652" w:name="_Toc134337784"/>
      <w:bookmarkStart w:id="653" w:name="_Toc139258736"/>
      <w:bookmarkStart w:id="654" w:name="_Toc167179090"/>
      <w:bookmarkStart w:id="655" w:name="_Toc170201240"/>
      <w:bookmarkStart w:id="656" w:name="_Toc170715768"/>
      <w:bookmarkStart w:id="657" w:name="_Toc195006315"/>
      <w:bookmarkStart w:id="658" w:name="_Toc195070067"/>
      <w:r>
        <w:rPr>
          <w:rStyle w:val="CharSchText"/>
          <w:spacing w:val="-4"/>
        </w:rPr>
        <w:t>Structural details of brick septic tank (sand conditions only)</w:t>
      </w:r>
      <w:bookmarkEnd w:id="646"/>
      <w:bookmarkEnd w:id="647"/>
      <w:bookmarkEnd w:id="648"/>
      <w:bookmarkEnd w:id="649"/>
      <w:bookmarkEnd w:id="650"/>
      <w:bookmarkEnd w:id="651"/>
      <w:bookmarkEnd w:id="652"/>
      <w:bookmarkEnd w:id="653"/>
      <w:bookmarkEnd w:id="654"/>
      <w:bookmarkEnd w:id="655"/>
      <w:bookmarkEnd w:id="656"/>
      <w:bookmarkEnd w:id="657"/>
      <w:bookmarkEnd w:id="658"/>
    </w:p>
    <w:p>
      <w:pPr>
        <w:pStyle w:val="yTable"/>
        <w:jc w:val="center"/>
        <w:rPr>
          <w:snapToGrid w:val="0"/>
        </w:rPr>
      </w:pPr>
      <w:bookmarkStart w:id="659" w:name="_MON_1208079541"/>
      <w:bookmarkStart w:id="660" w:name="_MON_1121761800"/>
      <w:bookmarkEnd w:id="659"/>
      <w:bookmarkEnd w:id="660"/>
      <w:r>
        <w:rPr>
          <w:snapToGrid w:val="0"/>
        </w:rPr>
        <w:pict>
          <v:shape id="_x0000_i1026" type="#_x0000_t75" style="width:261pt;height:399pt" fillcolor="window">
            <v:imagedata r:id="rId25" o:title=""/>
          </v:shape>
        </w:pict>
      </w:r>
    </w:p>
    <w:p>
      <w:pPr>
        <w:pStyle w:val="yScheduleHeading"/>
      </w:pPr>
      <w:bookmarkStart w:id="661" w:name="_Toc113177975"/>
      <w:bookmarkStart w:id="662" w:name="_Toc113259829"/>
      <w:bookmarkStart w:id="663" w:name="_Toc113262974"/>
      <w:bookmarkStart w:id="664" w:name="_Toc117907438"/>
      <w:bookmarkStart w:id="665" w:name="_Toc134332546"/>
      <w:bookmarkStart w:id="666" w:name="_Toc134337495"/>
      <w:bookmarkStart w:id="667" w:name="_Toc134337785"/>
      <w:bookmarkStart w:id="668" w:name="_Toc139258737"/>
      <w:bookmarkStart w:id="669" w:name="_Toc167179091"/>
      <w:bookmarkStart w:id="670" w:name="_Toc170201241"/>
      <w:bookmarkStart w:id="671" w:name="_Toc170715769"/>
      <w:bookmarkStart w:id="672" w:name="_Toc195006316"/>
      <w:bookmarkStart w:id="673" w:name="_Toc195070068"/>
      <w:r>
        <w:rPr>
          <w:rStyle w:val="CharSchNo"/>
        </w:rPr>
        <w:t>Schedule 5</w:t>
      </w:r>
      <w:bookmarkEnd w:id="661"/>
      <w:bookmarkEnd w:id="662"/>
      <w:bookmarkEnd w:id="663"/>
      <w:bookmarkEnd w:id="664"/>
      <w:bookmarkEnd w:id="665"/>
      <w:bookmarkEnd w:id="666"/>
      <w:bookmarkEnd w:id="667"/>
      <w:bookmarkEnd w:id="668"/>
      <w:bookmarkEnd w:id="669"/>
      <w:bookmarkEnd w:id="670"/>
      <w:bookmarkEnd w:id="671"/>
      <w:bookmarkEnd w:id="672"/>
      <w:bookmarkEnd w:id="673"/>
      <w:r>
        <w:rPr>
          <w:rStyle w:val="CharSchText"/>
        </w:rPr>
        <w:t> </w:t>
      </w:r>
    </w:p>
    <w:p>
      <w:pPr>
        <w:pStyle w:val="yShoulderClause"/>
        <w:rPr>
          <w:snapToGrid w:val="0"/>
        </w:rPr>
      </w:pPr>
      <w:r>
        <w:rPr>
          <w:snapToGrid w:val="0"/>
        </w:rPr>
        <w:t>[Reg. 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To the Executive Director, Public Health and Scientific Support Services:</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Act 1911</w:t>
      </w:r>
      <w:r>
        <w:rPr>
          <w:snapToGrid w:val="0"/>
        </w:rPr>
        <w:t>.</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ACT 1911</w:t>
      </w:r>
    </w:p>
    <w:p>
      <w:pPr>
        <w:pStyle w:val="yMiscellaneousHeading"/>
        <w:rPr>
          <w:rFonts w:ascii="Times" w:hAnsi="Times"/>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snapToGrid w:val="0"/>
        </w:rPr>
      </w:pPr>
      <w:r>
        <w:rPr>
          <w:snapToGrid w:val="0"/>
        </w:rPr>
        <w:t xml:space="preserve">This Certificate of Approval is granted in respect of the type of article described hereunder in accordance with the </w:t>
      </w:r>
      <w:r>
        <w:rPr>
          <w:i/>
          <w:snapToGrid w:val="0"/>
        </w:rPr>
        <w:t>Health Act 1911</w:t>
      </w: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Issued at Perth,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EXECUTIVE DIRECTOR,</w:t>
      </w:r>
    </w:p>
    <w:p>
      <w:pPr>
        <w:pStyle w:val="yMiscellaneousBody"/>
        <w:spacing w:before="0"/>
        <w:jc w:val="right"/>
        <w:rPr>
          <w:snapToGrid w:val="0"/>
        </w:rPr>
      </w:pPr>
      <w:r>
        <w:rPr>
          <w:snapToGrid w:val="0"/>
        </w:rPr>
        <w:t xml:space="preserve">PUBLIC HEALTH AND </w:t>
      </w:r>
    </w:p>
    <w:p>
      <w:pPr>
        <w:pStyle w:val="yMiscellaneousBody"/>
        <w:spacing w:before="0"/>
        <w:jc w:val="right"/>
        <w:rPr>
          <w:snapToGrid w:val="0"/>
        </w:rPr>
      </w:pPr>
      <w:r>
        <w:rPr>
          <w:snapToGrid w:val="0"/>
        </w:rPr>
        <w:t xml:space="preserve">SCIENTIFIC SUPPORT </w:t>
      </w:r>
    </w:p>
    <w:p>
      <w:pPr>
        <w:pStyle w:val="yMiscellaneousBody"/>
        <w:spacing w:before="0"/>
        <w:jc w:val="right"/>
        <w:rPr>
          <w:snapToGrid w:val="0"/>
        </w:rPr>
      </w:pPr>
      <w:r>
        <w:rPr>
          <w:snapToGrid w:val="0"/>
        </w:rPr>
        <w:t xml:space="preserve">SERVICES </w:t>
      </w:r>
    </w:p>
    <w:p>
      <w:pPr>
        <w:pStyle w:val="yFootnotesection"/>
      </w:pPr>
      <w:r>
        <w:tab/>
        <w:t>[Form 2 amended in Gazette 29 Jun 1984 p. 1781.]</w:t>
      </w:r>
    </w:p>
    <w:p>
      <w:pPr>
        <w:pStyle w:val="yScheduleHeading"/>
      </w:pPr>
      <w:bookmarkStart w:id="674" w:name="_Toc48022127"/>
      <w:bookmarkStart w:id="675" w:name="_Toc48108986"/>
      <w:bookmarkStart w:id="676" w:name="_Toc49935010"/>
      <w:bookmarkStart w:id="677" w:name="_Toc113177976"/>
      <w:bookmarkStart w:id="678" w:name="_Toc113259830"/>
      <w:bookmarkStart w:id="679" w:name="_Toc113262975"/>
      <w:bookmarkStart w:id="680" w:name="_Toc117907439"/>
      <w:bookmarkStart w:id="681" w:name="_Toc134332547"/>
      <w:bookmarkStart w:id="682" w:name="_Toc134337496"/>
      <w:bookmarkStart w:id="683" w:name="_Toc134337786"/>
      <w:bookmarkStart w:id="684" w:name="_Toc139258738"/>
      <w:bookmarkStart w:id="685" w:name="_Toc167179092"/>
      <w:bookmarkStart w:id="686" w:name="_Toc170201242"/>
      <w:bookmarkStart w:id="687" w:name="_Toc170715770"/>
      <w:bookmarkStart w:id="688" w:name="_Toc195006317"/>
      <w:bookmarkStart w:id="689" w:name="_Toc195070069"/>
      <w:r>
        <w:rPr>
          <w:rStyle w:val="CharSchNo"/>
        </w:rPr>
        <w:t>Schedule 6</w:t>
      </w:r>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ShoulderClause"/>
        <w:rPr>
          <w:snapToGrid w:val="0"/>
        </w:rPr>
      </w:pPr>
      <w:r>
        <w:rPr>
          <w:snapToGrid w:val="0"/>
        </w:rPr>
        <w:t>[Reg. 43]</w:t>
      </w:r>
    </w:p>
    <w:p>
      <w:pPr>
        <w:pStyle w:val="yFootnoteheading"/>
      </w:pPr>
      <w:r>
        <w:tab/>
        <w:t>[Heading inserted in Gazette 15 Dec 1989 p. 4552.]</w:t>
      </w:r>
    </w:p>
    <w:p>
      <w:pPr>
        <w:pStyle w:val="yHeading2"/>
      </w:pPr>
      <w:bookmarkStart w:id="690" w:name="_Toc113177977"/>
      <w:bookmarkStart w:id="691" w:name="_Toc113259831"/>
      <w:bookmarkStart w:id="692" w:name="_Toc113262976"/>
      <w:bookmarkStart w:id="693" w:name="_Toc117907440"/>
      <w:bookmarkStart w:id="694" w:name="_Toc134332548"/>
      <w:bookmarkStart w:id="695" w:name="_Toc134337497"/>
      <w:bookmarkStart w:id="696" w:name="_Toc134337787"/>
      <w:bookmarkStart w:id="697" w:name="_Toc139258739"/>
      <w:bookmarkStart w:id="698" w:name="_Toc167179093"/>
      <w:bookmarkStart w:id="699" w:name="_Toc170201243"/>
      <w:bookmarkStart w:id="700" w:name="_Toc170715771"/>
      <w:bookmarkStart w:id="701" w:name="_Toc195006318"/>
      <w:bookmarkStart w:id="702" w:name="_Toc195070070"/>
      <w:r>
        <w:rPr>
          <w:rStyle w:val="CharSchText"/>
        </w:rPr>
        <w:t>Dry type septic tank</w:t>
      </w:r>
      <w:bookmarkEnd w:id="690"/>
      <w:bookmarkEnd w:id="691"/>
      <w:bookmarkEnd w:id="692"/>
      <w:bookmarkEnd w:id="693"/>
      <w:bookmarkEnd w:id="694"/>
      <w:bookmarkEnd w:id="695"/>
      <w:bookmarkEnd w:id="696"/>
      <w:bookmarkEnd w:id="697"/>
      <w:bookmarkEnd w:id="698"/>
      <w:bookmarkEnd w:id="699"/>
      <w:bookmarkEnd w:id="700"/>
      <w:bookmarkEnd w:id="701"/>
      <w:bookmarkEnd w:id="702"/>
    </w:p>
    <w:p>
      <w:pPr>
        <w:pStyle w:val="yTable"/>
        <w:jc w:val="center"/>
        <w:rPr>
          <w:snapToGrid w:val="0"/>
        </w:rPr>
      </w:pPr>
      <w:bookmarkStart w:id="703" w:name="_MON_1121763001"/>
      <w:bookmarkEnd w:id="703"/>
      <w:r>
        <w:rPr>
          <w:snapToGrid w:val="0"/>
        </w:rPr>
        <w:pict>
          <v:shape id="_x0000_i1027" type="#_x0000_t75" style="width:258pt;height:399pt" fillcolor="window">
            <v:imagedata r:id="rId26" o:title=""/>
          </v:shape>
        </w:pict>
      </w:r>
    </w:p>
    <w:p>
      <w:pPr>
        <w:pStyle w:val="yTable"/>
        <w:rPr>
          <w:snapToGrid w:val="0"/>
          <w:sz w:val="14"/>
        </w:rPr>
      </w:pPr>
      <w:r>
        <w:rPr>
          <w:snapToGrid w:val="0"/>
          <w:sz w:val="14"/>
        </w:rPr>
        <w:t>PLAN.</w:t>
      </w:r>
    </w:p>
    <w:p>
      <w:pPr>
        <w:pStyle w:val="yScheduleHeading"/>
      </w:pPr>
      <w:bookmarkStart w:id="704" w:name="_Toc113177978"/>
      <w:bookmarkStart w:id="705" w:name="_Toc113259832"/>
      <w:bookmarkStart w:id="706" w:name="_Toc113262977"/>
      <w:bookmarkStart w:id="707" w:name="_Toc117907441"/>
      <w:bookmarkStart w:id="708" w:name="_Toc134332549"/>
      <w:bookmarkStart w:id="709" w:name="_Toc134337498"/>
      <w:bookmarkStart w:id="710" w:name="_Toc134337788"/>
      <w:bookmarkStart w:id="711" w:name="_Toc139258740"/>
      <w:bookmarkStart w:id="712" w:name="_Toc167179094"/>
      <w:bookmarkStart w:id="713" w:name="_Toc170201244"/>
      <w:bookmarkStart w:id="714" w:name="_Toc170715772"/>
      <w:bookmarkStart w:id="715" w:name="_Toc195006319"/>
      <w:bookmarkStart w:id="716" w:name="_Toc195070071"/>
      <w:r>
        <w:rPr>
          <w:rStyle w:val="CharSchNo"/>
        </w:rPr>
        <w:t>Schedule 7</w:t>
      </w:r>
      <w:bookmarkEnd w:id="704"/>
      <w:bookmarkEnd w:id="705"/>
      <w:bookmarkEnd w:id="706"/>
      <w:bookmarkEnd w:id="707"/>
      <w:bookmarkEnd w:id="708"/>
      <w:bookmarkEnd w:id="709"/>
      <w:bookmarkEnd w:id="710"/>
      <w:bookmarkEnd w:id="711"/>
      <w:bookmarkEnd w:id="712"/>
      <w:bookmarkEnd w:id="713"/>
      <w:bookmarkEnd w:id="714"/>
      <w:bookmarkEnd w:id="715"/>
      <w:bookmarkEnd w:id="716"/>
      <w:r>
        <w:rPr>
          <w:rStyle w:val="CharSchText"/>
        </w:rPr>
        <w:t> </w:t>
      </w:r>
    </w:p>
    <w:p>
      <w:pPr>
        <w:pStyle w:val="yShoulderClause"/>
        <w:rPr>
          <w:snapToGrid w:val="0"/>
        </w:rPr>
      </w:pPr>
      <w:r>
        <w:rPr>
          <w:snapToGrid w:val="0"/>
        </w:rPr>
        <w:t>[Reg. 49(1)]</w:t>
      </w:r>
    </w:p>
    <w:p>
      <w:pPr>
        <w:pStyle w:val="yFootnoteheading"/>
      </w:pPr>
      <w:r>
        <w:tab/>
        <w:t>[Heading inserted in Gazette 15 Dec 1989 p. 4552.]</w:t>
      </w:r>
    </w:p>
    <w:p>
      <w:pPr>
        <w:pStyle w:val="yMiscellaneousHeading"/>
        <w:rPr>
          <w:snapToGrid w:val="0"/>
        </w:rPr>
      </w:pPr>
      <w:r>
        <w:rPr>
          <w:snapToGrid w:val="0"/>
        </w:rPr>
        <w:t>Form No. 1</w:t>
      </w:r>
    </w:p>
    <w:p>
      <w:pPr>
        <w:pStyle w:val="yTable"/>
        <w:rPr>
          <w:del w:id="717" w:author="Master Repository Process" w:date="2021-08-28T14:30:00Z"/>
          <w:snapToGrid w:val="0"/>
        </w:rPr>
      </w:pPr>
      <w:del w:id="718" w:author="Master Repository Process" w:date="2021-08-28T14:30:00Z">
        <w:r>
          <w:rPr>
            <w:noProof/>
            <w:lang w:eastAsia="en-AU"/>
          </w:rPr>
          <w:drawing>
            <wp:inline distT="0" distB="0" distL="0" distR="0">
              <wp:extent cx="4492625" cy="1438910"/>
              <wp:effectExtent l="0" t="0" r="3175" b="8890"/>
              <wp:docPr id="15" name="Picture 15"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2625" cy="1438910"/>
                      </a:xfrm>
                      <a:prstGeom prst="rect">
                        <a:avLst/>
                      </a:prstGeom>
                      <a:noFill/>
                      <a:ln>
                        <a:noFill/>
                      </a:ln>
                    </pic:spPr>
                  </pic:pic>
                </a:graphicData>
              </a:graphic>
            </wp:inline>
          </w:drawing>
        </w:r>
      </w:del>
    </w:p>
    <w:p>
      <w:pPr>
        <w:pStyle w:val="yTable"/>
        <w:rPr>
          <w:ins w:id="719" w:author="Master Repository Process" w:date="2021-08-28T14:30:00Z"/>
          <w:snapToGrid w:val="0"/>
        </w:rPr>
      </w:pPr>
      <w:ins w:id="720" w:author="Master Repository Process" w:date="2021-08-28T14:30:00Z">
        <w:r>
          <w:rPr>
            <w:noProof/>
            <w:lang w:eastAsia="en-AU"/>
          </w:rPr>
          <w:drawing>
            <wp:inline distT="0" distB="0" distL="0" distR="0">
              <wp:extent cx="4495800" cy="1438275"/>
              <wp:effectExtent l="0" t="0" r="0" b="9525"/>
              <wp:docPr id="8" name="Picture 8" descr="\\Pcosrv\public$\Scanning\health7.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Pcosrv\public$\Scanning\health7.gif"/>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95800" cy="1438275"/>
                      </a:xfrm>
                      <a:prstGeom prst="rect">
                        <a:avLst/>
                      </a:prstGeom>
                      <a:noFill/>
                      <a:ln>
                        <a:noFill/>
                      </a:ln>
                    </pic:spPr>
                  </pic:pic>
                </a:graphicData>
              </a:graphic>
            </wp:inline>
          </w:drawing>
        </w:r>
      </w:ins>
    </w:p>
    <w:p>
      <w:pPr>
        <w:pStyle w:val="yTable"/>
        <w:rPr>
          <w:snapToGrid w:val="0"/>
          <w:sz w:val="12"/>
        </w:rPr>
      </w:pPr>
      <w:r>
        <w:rPr>
          <w:snapToGrid w:val="0"/>
          <w:sz w:val="12"/>
        </w:rPr>
        <w:t>‘D’ &amp; ‘C’ TO BE AT COURSE HEIGHT BUT NOT LESS</w:t>
      </w:r>
    </w:p>
    <w:p>
      <w:pPr>
        <w:pStyle w:val="yTable"/>
        <w:spacing w:before="0"/>
        <w:rPr>
          <w:snapToGrid w:val="0"/>
        </w:rPr>
      </w:pPr>
      <w:r>
        <w:rPr>
          <w:snapToGrid w:val="0"/>
          <w:sz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 xml:space="preserve">The covers shall withstand a flexural test of 2 MPa and a load bearing of 7 kPa. </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Table"/>
        <w:jc w:val="center"/>
        <w:rPr>
          <w:del w:id="721" w:author="Master Repository Process" w:date="2021-08-28T14:30:00Z"/>
          <w:snapToGrid w:val="0"/>
        </w:rPr>
      </w:pPr>
      <w:del w:id="722" w:author="Master Repository Process" w:date="2021-08-28T14:30:00Z">
        <w:r>
          <w:rPr>
            <w:noProof/>
            <w:lang w:eastAsia="en-AU"/>
          </w:rPr>
          <w:drawing>
            <wp:inline distT="0" distB="0" distL="0" distR="0">
              <wp:extent cx="4500245" cy="2456815"/>
              <wp:effectExtent l="0" t="0" r="0" b="635"/>
              <wp:docPr id="16" name="Picture 16"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0245" cy="2456815"/>
                      </a:xfrm>
                      <a:prstGeom prst="rect">
                        <a:avLst/>
                      </a:prstGeom>
                      <a:noFill/>
                      <a:ln>
                        <a:noFill/>
                      </a:ln>
                    </pic:spPr>
                  </pic:pic>
                </a:graphicData>
              </a:graphic>
            </wp:inline>
          </w:drawing>
        </w:r>
      </w:del>
    </w:p>
    <w:p>
      <w:pPr>
        <w:pStyle w:val="yTable"/>
        <w:jc w:val="center"/>
        <w:rPr>
          <w:ins w:id="723" w:author="Master Repository Process" w:date="2021-08-28T14:30:00Z"/>
          <w:snapToGrid w:val="0"/>
        </w:rPr>
      </w:pPr>
      <w:ins w:id="724" w:author="Master Repository Process" w:date="2021-08-28T14:30:00Z">
        <w:r>
          <w:rPr>
            <w:noProof/>
            <w:lang w:eastAsia="en-AU"/>
          </w:rPr>
          <w:drawing>
            <wp:inline distT="0" distB="0" distL="0" distR="0">
              <wp:extent cx="4505325" cy="2457450"/>
              <wp:effectExtent l="0" t="0" r="9525" b="0"/>
              <wp:docPr id="9" name="Picture 9" descr="P:\Healthc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Healthcd.jpg"/>
                      <pic:cNvPicPr>
                        <a:picLocks noChangeAspect="1" noChangeArrowheads="1"/>
                      </pic:cNvPicPr>
                    </pic:nvPicPr>
                    <pic:blipFill>
                      <a:blip r:embed="rId28" cstate="print">
                        <a:extLst>
                          <a:ext uri="{28A0092B-C50C-407E-A947-70E740481C1C}">
                            <a14:useLocalDpi xmlns:a14="http://schemas.microsoft.com/office/drawing/2010/main" val="0"/>
                          </a:ext>
                        </a:extLst>
                      </a:blip>
                      <a:srcRect t="7613"/>
                      <a:stretch>
                        <a:fillRect/>
                      </a:stretch>
                    </pic:blipFill>
                    <pic:spPr bwMode="auto">
                      <a:xfrm>
                        <a:off x="0" y="0"/>
                        <a:ext cx="4505325" cy="2457450"/>
                      </a:xfrm>
                      <a:prstGeom prst="rect">
                        <a:avLst/>
                      </a:prstGeom>
                      <a:noFill/>
                      <a:ln>
                        <a:noFill/>
                      </a:ln>
                    </pic:spPr>
                  </pic:pic>
                </a:graphicData>
              </a:graphic>
            </wp:inline>
          </w:drawing>
        </w:r>
      </w:ins>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Table"/>
        <w:jc w:val="center"/>
        <w:rPr>
          <w:del w:id="725" w:author="Master Repository Process" w:date="2021-08-28T14:30:00Z"/>
          <w:snapToGrid w:val="0"/>
        </w:rPr>
      </w:pPr>
      <w:del w:id="726" w:author="Master Repository Process" w:date="2021-08-28T14:30:00Z">
        <w:r>
          <w:rPr>
            <w:noProof/>
            <w:lang w:eastAsia="en-AU"/>
          </w:rPr>
          <w:drawing>
            <wp:inline distT="0" distB="0" distL="0" distR="0">
              <wp:extent cx="4309745" cy="5565775"/>
              <wp:effectExtent l="0" t="0" r="0" b="0"/>
              <wp:docPr id="17" name="Picture 17"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9745" cy="5565775"/>
                      </a:xfrm>
                      <a:prstGeom prst="rect">
                        <a:avLst/>
                      </a:prstGeom>
                      <a:noFill/>
                      <a:ln>
                        <a:noFill/>
                      </a:ln>
                    </pic:spPr>
                  </pic:pic>
                </a:graphicData>
              </a:graphic>
            </wp:inline>
          </w:drawing>
        </w:r>
      </w:del>
    </w:p>
    <w:p>
      <w:pPr>
        <w:pStyle w:val="yTable"/>
        <w:jc w:val="center"/>
        <w:rPr>
          <w:ins w:id="727" w:author="Master Repository Process" w:date="2021-08-28T14:30:00Z"/>
          <w:snapToGrid w:val="0"/>
        </w:rPr>
      </w:pPr>
      <w:ins w:id="728" w:author="Master Repository Process" w:date="2021-08-28T14:30:00Z">
        <w:r>
          <w:rPr>
            <w:noProof/>
            <w:lang w:eastAsia="en-AU"/>
          </w:rPr>
          <w:drawing>
            <wp:inline distT="0" distB="0" distL="0" distR="0">
              <wp:extent cx="4305300" cy="5562600"/>
              <wp:effectExtent l="0" t="0" r="0" b="0"/>
              <wp:docPr id="10" name="Picture 10" descr="\\Pcosrv\public$\Scanning\health8.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cosrv\public$\Scanning\health8.gif"/>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4305300" cy="5562600"/>
                      </a:xfrm>
                      <a:prstGeom prst="rect">
                        <a:avLst/>
                      </a:prstGeom>
                      <a:noFill/>
                      <a:ln>
                        <a:noFill/>
                      </a:ln>
                    </pic:spPr>
                  </pic:pic>
                </a:graphicData>
              </a:graphic>
            </wp:inline>
          </w:drawing>
        </w:r>
      </w:ins>
    </w:p>
    <w:p>
      <w:pPr>
        <w:pStyle w:val="yMiscellaneousHeading"/>
        <w:pageBreakBefore/>
        <w:rPr>
          <w:snapToGrid w:val="0"/>
        </w:rPr>
      </w:pPr>
      <w:r>
        <w:rPr>
          <w:snapToGrid w:val="0"/>
        </w:rPr>
        <w:t>SEMI INVERTED TYPE LEACH DRAIN.</w:t>
      </w:r>
    </w:p>
    <w:p>
      <w:pPr>
        <w:pStyle w:val="yTable"/>
        <w:jc w:val="center"/>
        <w:rPr>
          <w:del w:id="729" w:author="Master Repository Process" w:date="2021-08-28T14:30:00Z"/>
          <w:snapToGrid w:val="0"/>
        </w:rPr>
      </w:pPr>
      <w:del w:id="730" w:author="Master Repository Process" w:date="2021-08-28T14:30:00Z">
        <w:r>
          <w:rPr>
            <w:noProof/>
            <w:lang w:eastAsia="en-AU"/>
          </w:rPr>
          <w:drawing>
            <wp:inline distT="0" distB="0" distL="0" distR="0">
              <wp:extent cx="3800475" cy="5311775"/>
              <wp:effectExtent l="0" t="0" r="9525" b="3175"/>
              <wp:docPr id="18" name="Picture 18"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11775"/>
                      </a:xfrm>
                      <a:prstGeom prst="rect">
                        <a:avLst/>
                      </a:prstGeom>
                      <a:noFill/>
                      <a:ln>
                        <a:noFill/>
                      </a:ln>
                    </pic:spPr>
                  </pic:pic>
                </a:graphicData>
              </a:graphic>
            </wp:inline>
          </w:drawing>
        </w:r>
      </w:del>
    </w:p>
    <w:p>
      <w:pPr>
        <w:pStyle w:val="yTable"/>
        <w:jc w:val="center"/>
        <w:rPr>
          <w:ins w:id="731" w:author="Master Repository Process" w:date="2021-08-28T14:30:00Z"/>
          <w:snapToGrid w:val="0"/>
        </w:rPr>
      </w:pPr>
      <w:ins w:id="732" w:author="Master Repository Process" w:date="2021-08-28T14:30:00Z">
        <w:r>
          <w:rPr>
            <w:noProof/>
            <w:lang w:eastAsia="en-AU"/>
          </w:rPr>
          <w:drawing>
            <wp:inline distT="0" distB="0" distL="0" distR="0">
              <wp:extent cx="3800475" cy="5305425"/>
              <wp:effectExtent l="0" t="0" r="9525" b="9525"/>
              <wp:docPr id="11" name="Picture 11" descr="\\Pcosrv\public$\Scanning\health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Pcosrv\public$\Scanning\health9.gif"/>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800475" cy="5305425"/>
                      </a:xfrm>
                      <a:prstGeom prst="rect">
                        <a:avLst/>
                      </a:prstGeom>
                      <a:noFill/>
                      <a:ln>
                        <a:noFill/>
                      </a:ln>
                    </pic:spPr>
                  </pic:pic>
                </a:graphicData>
              </a:graphic>
            </wp:inline>
          </w:drawing>
        </w:r>
      </w:ins>
    </w:p>
    <w:p>
      <w:pPr>
        <w:pStyle w:val="yTable"/>
        <w:tabs>
          <w:tab w:val="left" w:pos="567"/>
        </w:tabs>
        <w:rPr>
          <w:snapToGrid w:val="0"/>
          <w:sz w:val="16"/>
        </w:rPr>
      </w:pPr>
      <w:r>
        <w:rPr>
          <w:snapToGrid w:val="0"/>
          <w:sz w:val="16"/>
        </w:rPr>
        <w:tab/>
        <w:t xml:space="preserve">SECTION A </w:t>
      </w:r>
      <w:r>
        <w:rPr>
          <w:snapToGrid w:val="0"/>
          <w:sz w:val="16"/>
        </w:rPr>
        <w:noBreakHyphen/>
        <w:t xml:space="preserve"> A.</w:t>
      </w:r>
    </w:p>
    <w:p>
      <w:pPr>
        <w:pStyle w:val="yTable"/>
        <w:rPr>
          <w:snapToGrid w:val="0"/>
          <w:sz w:val="16"/>
        </w:rPr>
      </w:pPr>
      <w:r>
        <w:rPr>
          <w:snapToGrid w:val="0"/>
          <w:sz w:val="16"/>
        </w:rPr>
        <w:t>DETAILS OF LEACH DRAIN.</w:t>
      </w:r>
    </w:p>
    <w:p>
      <w:pPr>
        <w:pStyle w:val="yTable"/>
        <w:spacing w:before="0"/>
        <w:rPr>
          <w:snapToGrid w:val="0"/>
          <w:sz w:val="10"/>
        </w:rPr>
      </w:pPr>
      <w:r>
        <w:rPr>
          <w:snapToGrid w:val="0"/>
          <w:sz w:val="10"/>
        </w:rPr>
        <w:t>THE DRAIN SHALL NOT BE SITUATED CLOSER THAN 2000 FROM ANY SEPTIC TANK, BUILDING OR BOUNDARY OF A LOT, UNLESS OTHERWISE APPROVED BY THE LOCAL GOVERNMENT.</w:t>
      </w:r>
    </w:p>
    <w:p>
      <w:pPr>
        <w:pStyle w:val="yTable"/>
        <w:spacing w:before="0"/>
        <w:rPr>
          <w:snapToGrid w:val="0"/>
          <w:sz w:val="10"/>
        </w:rPr>
      </w:pPr>
      <w:r>
        <w:rPr>
          <w:snapToGrid w:val="0"/>
          <w:sz w:val="10"/>
        </w:rPr>
        <w:t>MINIMUM LENGTH BLACKWATER SYSTEMS TO HAVE DRAIN 6000 LONG COMBINED SYSTEMS TO HAVE DRAIN 9000 LONG REINFORCED CONCRETE PAVING SLABS POSITIONED BENEATH INLET AND BRICK SPREADER WALLS PROVIDED NOT MORE THAN 1200 cts</w:t>
      </w:r>
    </w:p>
    <w:p>
      <w:pPr>
        <w:pStyle w:val="yTable"/>
        <w:spacing w:before="0"/>
        <w:rPr>
          <w:snapToGrid w:val="0"/>
          <w:sz w:val="10"/>
        </w:rPr>
      </w:pPr>
      <w:r>
        <w:rPr>
          <w:snapToGrid w:val="0"/>
          <w:sz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Table"/>
        <w:rPr>
          <w:del w:id="733" w:author="Master Repository Process" w:date="2021-08-28T14:30:00Z"/>
          <w:snapToGrid w:val="0"/>
        </w:rPr>
      </w:pPr>
      <w:del w:id="734" w:author="Master Repository Process" w:date="2021-08-28T14:30:00Z">
        <w:r>
          <w:rPr>
            <w:noProof/>
            <w:lang w:eastAsia="en-AU"/>
          </w:rPr>
          <w:drawing>
            <wp:inline distT="0" distB="0" distL="0" distR="0">
              <wp:extent cx="4500245" cy="3442970"/>
              <wp:effectExtent l="0" t="0" r="0" b="5080"/>
              <wp:docPr id="19" name="Picture 19"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500245" cy="3442970"/>
                      </a:xfrm>
                      <a:prstGeom prst="rect">
                        <a:avLst/>
                      </a:prstGeom>
                      <a:noFill/>
                      <a:ln>
                        <a:noFill/>
                      </a:ln>
                    </pic:spPr>
                  </pic:pic>
                </a:graphicData>
              </a:graphic>
            </wp:inline>
          </w:drawing>
        </w:r>
      </w:del>
    </w:p>
    <w:p>
      <w:pPr>
        <w:pStyle w:val="yTable"/>
        <w:rPr>
          <w:ins w:id="735" w:author="Master Repository Process" w:date="2021-08-28T14:30:00Z"/>
          <w:snapToGrid w:val="0"/>
        </w:rPr>
      </w:pPr>
      <w:ins w:id="736" w:author="Master Repository Process" w:date="2021-08-28T14:30:00Z">
        <w:r>
          <w:rPr>
            <w:noProof/>
            <w:lang w:eastAsia="en-AU"/>
          </w:rPr>
          <w:drawing>
            <wp:inline distT="0" distB="0" distL="0" distR="0">
              <wp:extent cx="4495800" cy="3438525"/>
              <wp:effectExtent l="0" t="0" r="0" b="9525"/>
              <wp:docPr id="12" name="Picture 12" descr="\\Pcosrv\public$\Scanning\health1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cosrv\public$\Scanning\health10.gif"/>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495800" cy="3438525"/>
                      </a:xfrm>
                      <a:prstGeom prst="rect">
                        <a:avLst/>
                      </a:prstGeom>
                      <a:noFill/>
                      <a:ln>
                        <a:noFill/>
                      </a:ln>
                    </pic:spPr>
                  </pic:pic>
                </a:graphicData>
              </a:graphic>
            </wp:inline>
          </w:drawing>
        </w:r>
      </w:ins>
    </w:p>
    <w:p>
      <w:pPr>
        <w:pStyle w:val="yScheduleHeading"/>
      </w:pPr>
      <w:bookmarkStart w:id="737" w:name="_Toc48022130"/>
      <w:bookmarkStart w:id="738" w:name="_Toc48108989"/>
      <w:bookmarkStart w:id="739" w:name="_Toc49935013"/>
      <w:bookmarkStart w:id="740" w:name="_Toc113177979"/>
      <w:bookmarkStart w:id="741" w:name="_Toc113259833"/>
      <w:bookmarkStart w:id="742" w:name="_Toc113262978"/>
      <w:bookmarkStart w:id="743" w:name="_Toc117907442"/>
      <w:bookmarkStart w:id="744" w:name="_Toc134332550"/>
      <w:bookmarkStart w:id="745" w:name="_Toc134337499"/>
      <w:bookmarkStart w:id="746" w:name="_Toc134337789"/>
      <w:bookmarkStart w:id="747" w:name="_Toc139258741"/>
      <w:bookmarkStart w:id="748" w:name="_Toc167179095"/>
      <w:bookmarkStart w:id="749" w:name="_Toc170201245"/>
      <w:bookmarkStart w:id="750" w:name="_Toc170715773"/>
      <w:bookmarkStart w:id="751" w:name="_Toc195006320"/>
      <w:bookmarkStart w:id="752" w:name="_Toc195070072"/>
      <w:r>
        <w:rPr>
          <w:rStyle w:val="CharSchNo"/>
        </w:rPr>
        <w:t>Schedule 8</w:t>
      </w:r>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753" w:name="_Toc113177980"/>
      <w:bookmarkStart w:id="754" w:name="_Toc113259834"/>
      <w:bookmarkStart w:id="755" w:name="_Toc113262979"/>
      <w:bookmarkStart w:id="756" w:name="_Toc117907443"/>
      <w:bookmarkStart w:id="757" w:name="_Toc134332551"/>
      <w:bookmarkStart w:id="758" w:name="_Toc134337500"/>
      <w:bookmarkStart w:id="759" w:name="_Toc134337790"/>
      <w:bookmarkStart w:id="760" w:name="_Toc139258742"/>
      <w:bookmarkStart w:id="761" w:name="_Toc167179096"/>
      <w:bookmarkStart w:id="762" w:name="_Toc170201246"/>
      <w:bookmarkStart w:id="763" w:name="_Toc170715774"/>
      <w:bookmarkStart w:id="764" w:name="_Toc195006321"/>
      <w:bookmarkStart w:id="765" w:name="_Toc195070073"/>
      <w:r>
        <w:rPr>
          <w:rStyle w:val="CharSchText"/>
        </w:rPr>
        <w:t>Method of determining absorptive capacity of a soil</w:t>
      </w:r>
      <w:bookmarkEnd w:id="753"/>
      <w:bookmarkEnd w:id="754"/>
      <w:bookmarkEnd w:id="755"/>
      <w:bookmarkEnd w:id="756"/>
      <w:bookmarkEnd w:id="757"/>
      <w:bookmarkEnd w:id="758"/>
      <w:bookmarkEnd w:id="759"/>
      <w:bookmarkEnd w:id="760"/>
      <w:bookmarkEnd w:id="761"/>
      <w:bookmarkEnd w:id="762"/>
      <w:bookmarkEnd w:id="763"/>
      <w:bookmarkEnd w:id="764"/>
      <w:bookmarkEnd w:id="765"/>
    </w:p>
    <w:p>
      <w:pPr>
        <w:pStyle w:val="yFootnoteheading"/>
      </w:pPr>
      <w:r>
        <w:tab/>
        <w:t>[Heading inserted in Gazette 15 Dec 1989 p. 4552.]</w:t>
      </w:r>
    </w:p>
    <w:p>
      <w:pPr>
        <w:pStyle w:val="yHeading5"/>
        <w:rPr>
          <w:snapToGrid w:val="0"/>
        </w:rPr>
      </w:pPr>
      <w:bookmarkStart w:id="766" w:name="_Toc195070074"/>
      <w:bookmarkStart w:id="767" w:name="_Toc170715775"/>
      <w:r>
        <w:rPr>
          <w:snapToGrid w:val="0"/>
        </w:rPr>
        <w:t>1.</w:t>
      </w:r>
      <w:bookmarkEnd w:id="766"/>
      <w:bookmarkEnd w:id="767"/>
    </w:p>
    <w:p>
      <w:pPr>
        <w:pStyle w:val="ySubsection"/>
        <w:rPr>
          <w:snapToGrid w:val="0"/>
        </w:rPr>
      </w:pPr>
      <w:r>
        <w:rPr>
          <w:snapToGrid w:val="0"/>
        </w:rPr>
        <w:tab/>
      </w:r>
      <w:r>
        <w:rPr>
          <w:snapToGrid w:val="0"/>
        </w:rPr>
        <w:tab/>
        <w:t>Dig a hole with dimensions of 300 mm square and vertical sides to the depth of the proposed absorption trench.</w:t>
      </w:r>
    </w:p>
    <w:p>
      <w:pPr>
        <w:pStyle w:val="yHeading5"/>
        <w:rPr>
          <w:snapToGrid w:val="0"/>
        </w:rPr>
      </w:pPr>
      <w:bookmarkStart w:id="768" w:name="_Toc195070075"/>
      <w:bookmarkStart w:id="769" w:name="_Toc170715776"/>
      <w:r>
        <w:rPr>
          <w:snapToGrid w:val="0"/>
        </w:rPr>
        <w:t>2.</w:t>
      </w:r>
      <w:bookmarkEnd w:id="768"/>
      <w:bookmarkEnd w:id="769"/>
    </w:p>
    <w:p>
      <w:pPr>
        <w:pStyle w:val="ySubsection"/>
        <w:rPr>
          <w:snapToGrid w:val="0"/>
        </w:rPr>
      </w:pP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Heading5"/>
        <w:rPr>
          <w:snapToGrid w:val="0"/>
        </w:rPr>
      </w:pPr>
      <w:bookmarkStart w:id="770" w:name="_Toc195070076"/>
      <w:bookmarkStart w:id="771" w:name="_Toc170715777"/>
      <w:r>
        <w:rPr>
          <w:snapToGrid w:val="0"/>
        </w:rPr>
        <w:t>3.</w:t>
      </w:r>
      <w:bookmarkEnd w:id="770"/>
      <w:bookmarkEnd w:id="771"/>
    </w:p>
    <w:p>
      <w:pPr>
        <w:pStyle w:val="ySubsection"/>
        <w:rPr>
          <w:snapToGrid w:val="0"/>
        </w:rPr>
      </w:pPr>
      <w:r>
        <w:rPr>
          <w:snapToGrid w:val="0"/>
        </w:rPr>
        <w:tab/>
      </w:r>
      <w:r>
        <w:rPr>
          <w:snapToGrid w:val="0"/>
        </w:rPr>
        <w:tab/>
        <w:t>Fill the hole with water and allow it to soak away. Preferably keep the hole filled overnight, possibly by means of an automatic siphon.</w:t>
      </w:r>
    </w:p>
    <w:p>
      <w:pPr>
        <w:pStyle w:val="yHeading5"/>
        <w:rPr>
          <w:snapToGrid w:val="0"/>
        </w:rPr>
      </w:pPr>
      <w:bookmarkStart w:id="772" w:name="_Toc195070077"/>
      <w:bookmarkStart w:id="773" w:name="_Toc170715778"/>
      <w:r>
        <w:rPr>
          <w:snapToGrid w:val="0"/>
        </w:rPr>
        <w:t>4.</w:t>
      </w:r>
      <w:bookmarkEnd w:id="772"/>
      <w:bookmarkEnd w:id="773"/>
    </w:p>
    <w:p>
      <w:pPr>
        <w:pStyle w:val="ySubsection"/>
        <w:rPr>
          <w:snapToGrid w:val="0"/>
        </w:rPr>
      </w:pP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rPr>
          <w:snapToGrid w:val="0"/>
        </w:rPr>
      </w:pPr>
      <w:r>
        <w:rPr>
          <w:snapToGrid w:val="0"/>
        </w:rPr>
        <w:tab/>
      </w:r>
      <w:r>
        <w:rPr>
          <w:snapToGrid w:val="0"/>
        </w:rPr>
        <w:tab/>
        <w:t>The amount of effluent which can be disposed of per square metre of infiltrative area per day is given by the following Table — </w:t>
      </w:r>
    </w:p>
    <w:p>
      <w:pPr>
        <w:pStyle w:val="yMiscellaneousHeading"/>
        <w:spacing w:after="100"/>
        <w:rPr>
          <w:b/>
          <w:bCs/>
          <w:snapToGrid w:val="0"/>
        </w:rPr>
      </w:pPr>
      <w:r>
        <w:rPr>
          <w:b/>
          <w:bCs/>
          <w:snapToGrid w:val="0"/>
        </w:rP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559"/>
        <w:gridCol w:w="1560"/>
        <w:gridCol w:w="1665"/>
      </w:tblGrid>
      <w:tr>
        <w:trPr>
          <w:cantSplit/>
        </w:trPr>
        <w:tc>
          <w:tcPr>
            <w:tcW w:w="1984" w:type="dxa"/>
            <w:vMerge w:val="restart"/>
            <w:tcBorders>
              <w:bottom w:val="single" w:sz="4" w:space="0" w:color="auto"/>
            </w:tcBorders>
          </w:tcPr>
          <w:p>
            <w:pPr>
              <w:pStyle w:val="yTable"/>
              <w:spacing w:before="0"/>
              <w:jc w:val="center"/>
              <w:rPr>
                <w:b/>
                <w:snapToGrid w:val="0"/>
                <w:sz w:val="20"/>
              </w:rPr>
            </w:pPr>
          </w:p>
          <w:p>
            <w:pPr>
              <w:pStyle w:val="yTable"/>
              <w:spacing w:before="0"/>
              <w:jc w:val="center"/>
              <w:rPr>
                <w:b/>
                <w:snapToGrid w:val="0"/>
                <w:sz w:val="20"/>
              </w:rPr>
            </w:pPr>
            <w:r>
              <w:rPr>
                <w:b/>
                <w:snapToGrid w:val="0"/>
                <w:sz w:val="20"/>
              </w:rPr>
              <w:t>Time for water to fall 25 m (minutes)</w:t>
            </w:r>
          </w:p>
        </w:tc>
        <w:tc>
          <w:tcPr>
            <w:tcW w:w="1559" w:type="dxa"/>
            <w:vMerge w:val="restart"/>
            <w:tcBorders>
              <w:bottom w:val="single" w:sz="4" w:space="0" w:color="auto"/>
            </w:tcBorders>
          </w:tcPr>
          <w:p>
            <w:pPr>
              <w:pStyle w:val="yTable"/>
              <w:spacing w:before="0"/>
              <w:jc w:val="center"/>
              <w:rPr>
                <w:b/>
                <w:snapToGrid w:val="0"/>
                <w:sz w:val="20"/>
              </w:rPr>
            </w:pPr>
          </w:p>
          <w:p>
            <w:pPr>
              <w:pStyle w:val="yTable"/>
              <w:spacing w:before="80"/>
              <w:jc w:val="center"/>
              <w:rPr>
                <w:b/>
                <w:snapToGrid w:val="0"/>
                <w:sz w:val="20"/>
              </w:rPr>
            </w:pPr>
            <w:r>
              <w:rPr>
                <w:b/>
                <w:snapToGrid w:val="0"/>
                <w:sz w:val="20"/>
              </w:rPr>
              <w:t>Soil type</w:t>
            </w:r>
          </w:p>
        </w:tc>
        <w:tc>
          <w:tcPr>
            <w:tcW w:w="3225" w:type="dxa"/>
            <w:gridSpan w:val="2"/>
            <w:tcBorders>
              <w:bottom w:val="single" w:sz="4" w:space="0" w:color="auto"/>
            </w:tcBorders>
          </w:tcPr>
          <w:p>
            <w:pPr>
              <w:pStyle w:val="yTable"/>
              <w:spacing w:after="60"/>
              <w:jc w:val="center"/>
              <w:rPr>
                <w:b/>
                <w:snapToGrid w:val="0"/>
                <w:sz w:val="20"/>
              </w:rPr>
            </w:pPr>
            <w:r>
              <w:rPr>
                <w:b/>
                <w:snapToGrid w:val="0"/>
                <w:sz w:val="20"/>
              </w:rPr>
              <w:t>Loading infiltration rate litres per m</w:t>
            </w:r>
            <w:r>
              <w:rPr>
                <w:b/>
                <w:snapToGrid w:val="0"/>
                <w:sz w:val="20"/>
                <w:vertAlign w:val="superscript"/>
              </w:rPr>
              <w:t>2</w:t>
            </w:r>
            <w:r>
              <w:rPr>
                <w:b/>
                <w:snapToGrid w:val="0"/>
                <w:sz w:val="20"/>
              </w:rPr>
              <w:t xml:space="preserve"> per day</w:t>
            </w:r>
          </w:p>
        </w:tc>
      </w:tr>
      <w:tr>
        <w:trPr>
          <w:cantSplit/>
        </w:trPr>
        <w:tc>
          <w:tcPr>
            <w:tcW w:w="1984" w:type="dxa"/>
            <w:vMerge/>
            <w:tcBorders>
              <w:top w:val="single" w:sz="4" w:space="0" w:color="auto"/>
            </w:tcBorders>
          </w:tcPr>
          <w:p>
            <w:pPr>
              <w:pStyle w:val="yTable"/>
              <w:spacing w:before="0"/>
              <w:rPr>
                <w:snapToGrid w:val="0"/>
                <w:sz w:val="20"/>
              </w:rPr>
            </w:pPr>
          </w:p>
        </w:tc>
        <w:tc>
          <w:tcPr>
            <w:tcW w:w="1559" w:type="dxa"/>
            <w:vMerge/>
            <w:tcBorders>
              <w:top w:val="single" w:sz="4" w:space="0" w:color="auto"/>
            </w:tcBorders>
          </w:tcPr>
          <w:p>
            <w:pPr>
              <w:pStyle w:val="yTable"/>
              <w:spacing w:before="0"/>
              <w:rPr>
                <w:snapToGrid w:val="0"/>
                <w:sz w:val="20"/>
              </w:rPr>
            </w:pPr>
          </w:p>
        </w:tc>
        <w:tc>
          <w:tcPr>
            <w:tcW w:w="1560" w:type="dxa"/>
            <w:tcBorders>
              <w:top w:val="single" w:sz="4" w:space="0" w:color="auto"/>
              <w:bottom w:val="single" w:sz="4" w:space="0" w:color="auto"/>
              <w:right w:val="single" w:sz="4" w:space="0" w:color="auto"/>
            </w:tcBorders>
          </w:tcPr>
          <w:p>
            <w:pPr>
              <w:pStyle w:val="yTable"/>
              <w:tabs>
                <w:tab w:val="left" w:pos="1309"/>
              </w:tabs>
              <w:jc w:val="center"/>
              <w:rPr>
                <w:b/>
                <w:snapToGrid w:val="0"/>
                <w:sz w:val="20"/>
              </w:rPr>
            </w:pPr>
            <w:r>
              <w:rPr>
                <w:b/>
                <w:snapToGrid w:val="0"/>
                <w:sz w:val="20"/>
              </w:rPr>
              <w:t>Alternating</w:t>
            </w:r>
          </w:p>
          <w:p>
            <w:pPr>
              <w:pStyle w:val="yTable"/>
              <w:tabs>
                <w:tab w:val="left" w:pos="1309"/>
              </w:tabs>
              <w:spacing w:before="0" w:after="60"/>
              <w:jc w:val="center"/>
              <w:rPr>
                <w:b/>
                <w:snapToGrid w:val="0"/>
                <w:sz w:val="20"/>
              </w:rPr>
            </w:pPr>
            <w:r>
              <w:rPr>
                <w:b/>
                <w:snapToGrid w:val="0"/>
                <w:sz w:val="20"/>
              </w:rPr>
              <w:t>system</w:t>
            </w:r>
          </w:p>
        </w:tc>
        <w:tc>
          <w:tcPr>
            <w:tcW w:w="1665" w:type="dxa"/>
            <w:tcBorders>
              <w:top w:val="single" w:sz="4" w:space="0" w:color="auto"/>
              <w:left w:val="single" w:sz="4" w:space="0" w:color="auto"/>
              <w:bottom w:val="single" w:sz="4" w:space="0" w:color="auto"/>
            </w:tcBorders>
          </w:tcPr>
          <w:p>
            <w:pPr>
              <w:pStyle w:val="yTable"/>
              <w:tabs>
                <w:tab w:val="left" w:pos="1309"/>
              </w:tabs>
              <w:jc w:val="center"/>
              <w:rPr>
                <w:b/>
                <w:snapToGrid w:val="0"/>
                <w:sz w:val="20"/>
              </w:rPr>
            </w:pPr>
            <w:r>
              <w:rPr>
                <w:b/>
                <w:snapToGrid w:val="0"/>
                <w:sz w:val="20"/>
              </w:rPr>
              <w:t>Non</w:t>
            </w:r>
            <w:r>
              <w:rPr>
                <w:b/>
                <w:snapToGrid w:val="0"/>
                <w:sz w:val="20"/>
              </w:rPr>
              <w:noBreakHyphen/>
              <w:t>alternating</w:t>
            </w:r>
          </w:p>
          <w:p>
            <w:pPr>
              <w:pStyle w:val="yTable"/>
              <w:tabs>
                <w:tab w:val="left" w:pos="1309"/>
              </w:tabs>
              <w:spacing w:before="0" w:after="60"/>
              <w:jc w:val="center"/>
              <w:rPr>
                <w:b/>
                <w:snapToGrid w:val="0"/>
                <w:sz w:val="20"/>
              </w:rPr>
            </w:pPr>
            <w:r>
              <w:rPr>
                <w:b/>
                <w:snapToGrid w:val="0"/>
                <w:sz w:val="20"/>
              </w:rPr>
              <w:t>system</w:t>
            </w:r>
          </w:p>
        </w:tc>
      </w:tr>
      <w:tr>
        <w:trPr>
          <w:cantSplit/>
        </w:trPr>
        <w:tc>
          <w:tcPr>
            <w:tcW w:w="1984" w:type="dxa"/>
            <w:vMerge w:val="restart"/>
          </w:tcPr>
          <w:p>
            <w:pPr>
              <w:pStyle w:val="yTable"/>
              <w:spacing w:before="80" w:after="80"/>
              <w:jc w:val="center"/>
              <w:rPr>
                <w:snapToGrid w:val="0"/>
                <w:sz w:val="20"/>
              </w:rPr>
            </w:pPr>
            <w:r>
              <w:rPr>
                <w:snapToGrid w:val="0"/>
                <w:sz w:val="20"/>
              </w:rPr>
              <w:t>1 to 5</w:t>
            </w:r>
          </w:p>
          <w:p>
            <w:pPr>
              <w:pStyle w:val="yTable"/>
              <w:spacing w:before="120"/>
              <w:jc w:val="center"/>
              <w:rPr>
                <w:snapToGrid w:val="0"/>
                <w:sz w:val="20"/>
              </w:rPr>
            </w:pPr>
            <w:r>
              <w:rPr>
                <w:snapToGrid w:val="0"/>
                <w:sz w:val="20"/>
              </w:rPr>
              <w:t>more than 5 to 60</w:t>
            </w:r>
            <w:r>
              <w:rPr>
                <w:snapToGrid w:val="0"/>
                <w:sz w:val="20"/>
              </w:rPr>
              <w:br/>
            </w:r>
          </w:p>
          <w:p>
            <w:pPr>
              <w:pStyle w:val="yTable"/>
              <w:spacing w:before="80"/>
              <w:jc w:val="center"/>
              <w:rPr>
                <w:snapToGrid w:val="0"/>
                <w:sz w:val="20"/>
              </w:rPr>
            </w:pPr>
            <w:r>
              <w:rPr>
                <w:snapToGrid w:val="0"/>
                <w:sz w:val="20"/>
              </w:rPr>
              <w:t>more than 60</w:t>
            </w:r>
          </w:p>
        </w:tc>
        <w:tc>
          <w:tcPr>
            <w:tcW w:w="1559" w:type="dxa"/>
            <w:vMerge w:val="restart"/>
          </w:tcPr>
          <w:p>
            <w:pPr>
              <w:pStyle w:val="yTable"/>
              <w:spacing w:before="80" w:after="80"/>
              <w:jc w:val="center"/>
              <w:rPr>
                <w:snapToGrid w:val="0"/>
                <w:sz w:val="20"/>
              </w:rPr>
            </w:pPr>
            <w:r>
              <w:rPr>
                <w:snapToGrid w:val="0"/>
                <w:sz w:val="20"/>
              </w:rPr>
              <w:t>Sand</w:t>
            </w:r>
          </w:p>
          <w:p>
            <w:pPr>
              <w:pStyle w:val="yTable"/>
              <w:spacing w:before="120"/>
              <w:jc w:val="center"/>
              <w:rPr>
                <w:snapToGrid w:val="0"/>
                <w:sz w:val="20"/>
              </w:rPr>
            </w:pPr>
            <w:r>
              <w:rPr>
                <w:snapToGrid w:val="0"/>
                <w:sz w:val="20"/>
              </w:rPr>
              <w:t xml:space="preserve">Loams or gravels </w:t>
            </w:r>
          </w:p>
          <w:p>
            <w:pPr>
              <w:pStyle w:val="yTable"/>
              <w:spacing w:before="80"/>
              <w:jc w:val="center"/>
              <w:rPr>
                <w:snapToGrid w:val="0"/>
                <w:sz w:val="20"/>
              </w:rPr>
            </w:pPr>
            <w:r>
              <w:rPr>
                <w:snapToGrid w:val="0"/>
                <w:sz w:val="20"/>
              </w:rPr>
              <w:t>Impervious clays, etc</w:t>
            </w:r>
          </w:p>
        </w:tc>
        <w:tc>
          <w:tcPr>
            <w:tcW w:w="1560" w:type="dxa"/>
            <w:tcBorders>
              <w:right w:val="single" w:sz="4" w:space="0" w:color="auto"/>
            </w:tcBorders>
          </w:tcPr>
          <w:p>
            <w:pPr>
              <w:pStyle w:val="yTable"/>
              <w:spacing w:before="80" w:after="120"/>
              <w:jc w:val="center"/>
              <w:rPr>
                <w:snapToGrid w:val="0"/>
                <w:sz w:val="20"/>
              </w:rPr>
            </w:pPr>
            <w:r>
              <w:rPr>
                <w:snapToGrid w:val="0"/>
                <w:sz w:val="20"/>
              </w:rPr>
              <w:t>30</w:t>
            </w:r>
          </w:p>
          <w:p>
            <w:pPr>
              <w:pStyle w:val="yTable"/>
              <w:spacing w:before="80" w:after="80"/>
              <w:jc w:val="center"/>
              <w:rPr>
                <w:snapToGrid w:val="0"/>
                <w:sz w:val="20"/>
              </w:rPr>
            </w:pPr>
            <w:r>
              <w:rPr>
                <w:snapToGrid w:val="0"/>
                <w:sz w:val="20"/>
              </w:rPr>
              <w:t>20</w:t>
            </w:r>
          </w:p>
        </w:tc>
        <w:tc>
          <w:tcPr>
            <w:tcW w:w="1665" w:type="dxa"/>
            <w:tcBorders>
              <w:left w:val="single" w:sz="4" w:space="0" w:color="auto"/>
            </w:tcBorders>
          </w:tcPr>
          <w:p>
            <w:pPr>
              <w:pStyle w:val="yTable"/>
              <w:spacing w:before="80" w:after="120"/>
              <w:jc w:val="center"/>
              <w:rPr>
                <w:snapToGrid w:val="0"/>
                <w:sz w:val="20"/>
              </w:rPr>
            </w:pPr>
            <w:r>
              <w:rPr>
                <w:snapToGrid w:val="0"/>
                <w:sz w:val="20"/>
              </w:rPr>
              <w:t>15</w:t>
            </w:r>
          </w:p>
          <w:p>
            <w:pPr>
              <w:pStyle w:val="yTable"/>
              <w:spacing w:before="80" w:after="80"/>
              <w:jc w:val="center"/>
              <w:rPr>
                <w:snapToGrid w:val="0"/>
                <w:sz w:val="20"/>
              </w:rPr>
            </w:pPr>
            <w:r>
              <w:rPr>
                <w:snapToGrid w:val="0"/>
                <w:sz w:val="20"/>
              </w:rPr>
              <w:t>10</w:t>
            </w:r>
          </w:p>
        </w:tc>
      </w:tr>
      <w:tr>
        <w:trPr>
          <w:cantSplit/>
        </w:trPr>
        <w:tc>
          <w:tcPr>
            <w:tcW w:w="1984" w:type="dxa"/>
            <w:vMerge/>
          </w:tcPr>
          <w:p>
            <w:pPr>
              <w:pStyle w:val="yTable"/>
              <w:spacing w:before="0"/>
              <w:jc w:val="center"/>
              <w:rPr>
                <w:snapToGrid w:val="0"/>
                <w:sz w:val="20"/>
              </w:rPr>
            </w:pPr>
          </w:p>
        </w:tc>
        <w:tc>
          <w:tcPr>
            <w:tcW w:w="1559" w:type="dxa"/>
            <w:vMerge/>
          </w:tcPr>
          <w:p>
            <w:pPr>
              <w:pStyle w:val="yTable"/>
              <w:spacing w:before="0"/>
              <w:jc w:val="center"/>
              <w:rPr>
                <w:snapToGrid w:val="0"/>
                <w:sz w:val="20"/>
              </w:rPr>
            </w:pPr>
          </w:p>
        </w:tc>
        <w:tc>
          <w:tcPr>
            <w:tcW w:w="3225" w:type="dxa"/>
            <w:gridSpan w:val="2"/>
          </w:tcPr>
          <w:p>
            <w:pPr>
              <w:pStyle w:val="yTable"/>
              <w:spacing w:before="80"/>
              <w:ind w:right="423"/>
              <w:jc w:val="center"/>
              <w:rPr>
                <w:snapToGrid w:val="0"/>
                <w:sz w:val="20"/>
                <w:lang w:val="en-US"/>
              </w:rPr>
            </w:pPr>
            <w:r>
              <w:rPr>
                <w:snapToGrid w:val="0"/>
                <w:sz w:val="20"/>
              </w:rPr>
              <w:t>As approved by the Executive Director, Public Health (see clause 5)</w:t>
            </w:r>
          </w:p>
        </w:tc>
      </w:tr>
    </w:tbl>
    <w:p>
      <w:pPr>
        <w:pStyle w:val="yHeading5"/>
        <w:rPr>
          <w:snapToGrid w:val="0"/>
        </w:rPr>
      </w:pPr>
      <w:bookmarkStart w:id="774" w:name="_Toc195070078"/>
      <w:bookmarkStart w:id="775" w:name="_Toc170715779"/>
      <w:r>
        <w:rPr>
          <w:snapToGrid w:val="0"/>
        </w:rPr>
        <w:t>5.</w:t>
      </w:r>
      <w:bookmarkEnd w:id="774"/>
      <w:bookmarkEnd w:id="775"/>
    </w:p>
    <w:p>
      <w:pPr>
        <w:pStyle w:val="ySubsection"/>
        <w:rPr>
          <w:snapToGrid w:val="0"/>
        </w:rPr>
      </w:pPr>
      <w:r>
        <w:rPr>
          <w:snapToGrid w:val="0"/>
        </w:rPr>
        <w:tab/>
      </w:r>
      <w:r>
        <w:rPr>
          <w:snapToGrid w:val="0"/>
        </w:rPr>
        <w:tab/>
        <w:t>This soil type in its natural state is unsuitable for on site disposal, however the Executive Director, Public Health may approve of a loading infiltration rate in a particular case if satisfied that system design and site modification to justify the loading rate will be carried out.</w:t>
      </w:r>
    </w:p>
    <w:p>
      <w:pPr>
        <w:pStyle w:val="yMiscellaneousHeading"/>
        <w:rPr>
          <w:snapToGrid w:val="0"/>
        </w:rPr>
      </w:pPr>
      <w:r>
        <w:rPr>
          <w:snapToGrid w:val="0"/>
        </w:rPr>
        <w:t>Diagram</w:t>
      </w:r>
    </w:p>
    <w:p>
      <w:pPr>
        <w:pStyle w:val="yTable"/>
        <w:jc w:val="center"/>
        <w:rPr>
          <w:del w:id="776" w:author="Master Repository Process" w:date="2021-08-28T14:30:00Z"/>
          <w:snapToGrid w:val="0"/>
        </w:rPr>
      </w:pPr>
      <w:del w:id="777" w:author="Master Repository Process" w:date="2021-08-28T14:30:00Z">
        <w:r>
          <w:rPr>
            <w:noProof/>
            <w:lang w:eastAsia="en-AU"/>
          </w:rPr>
          <w:drawing>
            <wp:inline distT="0" distB="0" distL="0" distR="0">
              <wp:extent cx="3569970" cy="5574030"/>
              <wp:effectExtent l="0" t="0" r="0" b="7620"/>
              <wp:docPr id="20" name="Picture 20"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69970" cy="5574030"/>
                      </a:xfrm>
                      <a:prstGeom prst="rect">
                        <a:avLst/>
                      </a:prstGeom>
                      <a:noFill/>
                      <a:ln>
                        <a:noFill/>
                      </a:ln>
                    </pic:spPr>
                  </pic:pic>
                </a:graphicData>
              </a:graphic>
            </wp:inline>
          </w:drawing>
        </w:r>
      </w:del>
    </w:p>
    <w:p>
      <w:pPr>
        <w:pStyle w:val="yTable"/>
        <w:jc w:val="center"/>
        <w:rPr>
          <w:ins w:id="778" w:author="Master Repository Process" w:date="2021-08-28T14:30:00Z"/>
          <w:snapToGrid w:val="0"/>
        </w:rPr>
      </w:pPr>
      <w:ins w:id="779" w:author="Master Repository Process" w:date="2021-08-28T14:30:00Z">
        <w:r>
          <w:rPr>
            <w:noProof/>
            <w:lang w:eastAsia="en-AU"/>
          </w:rPr>
          <w:drawing>
            <wp:inline distT="0" distB="0" distL="0" distR="0">
              <wp:extent cx="3571875" cy="5572125"/>
              <wp:effectExtent l="0" t="0" r="9525" b="9525"/>
              <wp:docPr id="13" name="Picture 13" descr="\\Pcosrv\public$\Scanning\health1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Pcosrv\public$\Scanning\health11.gif"/>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3571875" cy="5572125"/>
                      </a:xfrm>
                      <a:prstGeom prst="rect">
                        <a:avLst/>
                      </a:prstGeom>
                      <a:noFill/>
                      <a:ln>
                        <a:noFill/>
                      </a:ln>
                    </pic:spPr>
                  </pic:pic>
                </a:graphicData>
              </a:graphic>
            </wp:inline>
          </w:drawing>
        </w:r>
      </w:ins>
    </w:p>
    <w:p>
      <w:pPr>
        <w:pStyle w:val="yFootnotesection"/>
      </w:pPr>
      <w:r>
        <w:tab/>
        <w:t>[Schedule 8 amended in Gazette 29 Jun 1984 p. 1781; 15 Dec 1989 p. 4552</w:t>
      </w:r>
      <w:r>
        <w:noBreakHyphen/>
        <w:t xml:space="preserve">3.] </w:t>
      </w:r>
    </w:p>
    <w:p>
      <w:pPr>
        <w:pStyle w:val="yScheduleHeading"/>
      </w:pPr>
      <w:bookmarkStart w:id="780" w:name="_Toc113177981"/>
      <w:bookmarkStart w:id="781" w:name="_Toc113259835"/>
      <w:bookmarkStart w:id="782" w:name="_Toc113262980"/>
      <w:bookmarkStart w:id="783" w:name="_Toc117907444"/>
      <w:bookmarkStart w:id="784" w:name="_Toc134332557"/>
      <w:bookmarkStart w:id="785" w:name="_Toc134337506"/>
      <w:bookmarkStart w:id="786" w:name="_Toc134337796"/>
      <w:bookmarkStart w:id="787" w:name="_Toc139258748"/>
      <w:bookmarkStart w:id="788" w:name="_Toc167179102"/>
      <w:bookmarkStart w:id="789" w:name="_Toc170201252"/>
      <w:bookmarkStart w:id="790" w:name="_Toc170715780"/>
      <w:bookmarkStart w:id="791" w:name="_Toc195006327"/>
      <w:bookmarkStart w:id="792" w:name="_Toc195070079"/>
      <w:r>
        <w:rPr>
          <w:rStyle w:val="CharSchNo"/>
        </w:rPr>
        <w:t>Schedule 9</w:t>
      </w:r>
      <w:r>
        <w:t> — </w:t>
      </w:r>
      <w:r>
        <w:rPr>
          <w:rStyle w:val="CharSchText"/>
        </w:rPr>
        <w:t>Wastewater volume for residential premises</w:t>
      </w:r>
      <w:bookmarkEnd w:id="780"/>
      <w:bookmarkEnd w:id="781"/>
      <w:bookmarkEnd w:id="782"/>
      <w:bookmarkEnd w:id="783"/>
      <w:bookmarkEnd w:id="784"/>
      <w:bookmarkEnd w:id="785"/>
      <w:bookmarkEnd w:id="786"/>
      <w:bookmarkEnd w:id="787"/>
      <w:bookmarkEnd w:id="788"/>
      <w:bookmarkEnd w:id="789"/>
      <w:bookmarkEnd w:id="790"/>
      <w:bookmarkEnd w:id="791"/>
      <w:bookmarkEnd w:id="792"/>
    </w:p>
    <w:p>
      <w:pPr>
        <w:pStyle w:val="yShoulderClause"/>
      </w:pPr>
      <w:r>
        <w:t>[r. 49(3)]</w:t>
      </w:r>
    </w:p>
    <w:p>
      <w:pPr>
        <w:pStyle w:val="yFootnoteheading"/>
      </w:pPr>
      <w:r>
        <w:tab/>
        <w:t>[Heading inserted in Gazette 7 Jan 2005 p. 70.]</w:t>
      </w:r>
    </w:p>
    <w:p>
      <w:pPr>
        <w:pStyle w:val="yHeading5"/>
        <w:rPr>
          <w:snapToGrid w:val="0"/>
        </w:rPr>
      </w:pPr>
    </w:p>
    <w:p>
      <w:pPr>
        <w:pStyle w:val="ySubsection"/>
        <w:rPr>
          <w:snapToGrid w:val="0"/>
        </w:rPr>
      </w:pPr>
      <w:r>
        <w:rPr>
          <w:snapToGrid w:val="0"/>
        </w:rPr>
        <w:tab/>
      </w:r>
      <w:r>
        <w:rPr>
          <w:snapToGrid w:val="0"/>
        </w:rPr>
        <w:tab/>
        <w:t>For the purposes of the definition of “V” in the formula in regulation 49(3) the volume of wastewater is to be determined from the following Table according to the number of bedrooms on the premises.</w:t>
      </w:r>
    </w:p>
    <w:p>
      <w:pPr>
        <w:pStyle w:val="yMiscellaneousHeading"/>
        <w:spacing w:after="60"/>
        <w:rPr>
          <w:b/>
          <w:bCs/>
        </w:rPr>
      </w:pPr>
      <w:r>
        <w:rPr>
          <w:b/>
          <w:bCs/>
        </w:rP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
            </w:pPr>
            <w:r>
              <w:rPr>
                <w:b/>
                <w:bCs/>
              </w:rPr>
              <w:t>Volume of wastewater</w:t>
            </w:r>
            <w:r>
              <w:t xml:space="preserve"> (litres) </w:t>
            </w:r>
          </w:p>
        </w:tc>
      </w:tr>
      <w:tr>
        <w:trPr>
          <w:cantSplit/>
          <w:jc w:val="center"/>
        </w:trPr>
        <w:tc>
          <w:tcPr>
            <w:tcW w:w="1701" w:type="dxa"/>
            <w:vMerge/>
            <w:tcBorders>
              <w:bottom w:val="single" w:sz="4" w:space="0" w:color="auto"/>
              <w:right w:val="single" w:sz="4" w:space="0" w:color="auto"/>
            </w:tcBorders>
          </w:tcPr>
          <w:p>
            <w:pPr>
              <w:pStyle w:val="zytable"/>
            </w:pPr>
          </w:p>
        </w:tc>
        <w:tc>
          <w:tcPr>
            <w:tcW w:w="2126" w:type="dxa"/>
            <w:tcBorders>
              <w:top w:val="single" w:sz="4" w:space="0" w:color="auto"/>
              <w:left w:val="single" w:sz="4" w:space="0" w:color="auto"/>
              <w:bottom w:val="single" w:sz="4" w:space="0" w:color="auto"/>
              <w:right w:val="single" w:sz="4" w:space="0" w:color="auto"/>
            </w:tcBorders>
          </w:tcPr>
          <w:p>
            <w:pPr>
              <w:pStyle w:val="yTable"/>
            </w:pPr>
            <w:r>
              <w:rPr>
                <w:b/>
                <w:bCs/>
              </w:rPr>
              <w:t>Blackwater system</w:t>
            </w:r>
          </w:p>
        </w:tc>
        <w:tc>
          <w:tcPr>
            <w:tcW w:w="2410" w:type="dxa"/>
            <w:tcBorders>
              <w:top w:val="single" w:sz="4" w:space="0" w:color="auto"/>
              <w:left w:val="single" w:sz="4" w:space="0" w:color="auto"/>
              <w:bottom w:val="single" w:sz="4" w:space="0" w:color="auto"/>
            </w:tcBorders>
          </w:tcPr>
          <w:p>
            <w:pPr>
              <w:pStyle w:val="yTable"/>
            </w:pPr>
            <w:r>
              <w:rPr>
                <w:b/>
                <w:bCs/>
              </w:rPr>
              <w:t>Combined system</w:t>
            </w:r>
            <w:r>
              <w:rPr>
                <w:b/>
                <w:bCs/>
              </w:rP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
            </w:pPr>
            <w:r>
              <w:t>2 or less</w:t>
            </w:r>
          </w:p>
        </w:tc>
        <w:tc>
          <w:tcPr>
            <w:tcW w:w="2126" w:type="dxa"/>
            <w:tcBorders>
              <w:top w:val="single" w:sz="4" w:space="0" w:color="auto"/>
              <w:left w:val="single" w:sz="4" w:space="0" w:color="auto"/>
              <w:right w:val="single" w:sz="4" w:space="0" w:color="auto"/>
            </w:tcBorders>
          </w:tcPr>
          <w:p>
            <w:pPr>
              <w:pStyle w:val="yTable"/>
            </w:pPr>
            <w:r>
              <w:t>188</w:t>
            </w:r>
          </w:p>
        </w:tc>
        <w:tc>
          <w:tcPr>
            <w:tcW w:w="2410" w:type="dxa"/>
            <w:tcBorders>
              <w:top w:val="single" w:sz="4" w:space="0" w:color="auto"/>
              <w:left w:val="single" w:sz="4" w:space="0" w:color="auto"/>
            </w:tcBorders>
          </w:tcPr>
          <w:p>
            <w:pPr>
              <w:pStyle w:val="yTable"/>
            </w:pPr>
            <w:r>
              <w:t>564</w:t>
            </w:r>
          </w:p>
        </w:tc>
      </w:tr>
      <w:tr>
        <w:trPr>
          <w:jc w:val="center"/>
        </w:trPr>
        <w:tc>
          <w:tcPr>
            <w:tcW w:w="1701" w:type="dxa"/>
            <w:tcBorders>
              <w:right w:val="single" w:sz="4" w:space="0" w:color="auto"/>
            </w:tcBorders>
          </w:tcPr>
          <w:p>
            <w:pPr>
              <w:pStyle w:val="yTable"/>
            </w:pPr>
            <w:r>
              <w:t>3</w:t>
            </w:r>
          </w:p>
        </w:tc>
        <w:tc>
          <w:tcPr>
            <w:tcW w:w="2126" w:type="dxa"/>
            <w:tcBorders>
              <w:left w:val="single" w:sz="4" w:space="0" w:color="auto"/>
              <w:right w:val="single" w:sz="4" w:space="0" w:color="auto"/>
            </w:tcBorders>
          </w:tcPr>
          <w:p>
            <w:pPr>
              <w:pStyle w:val="yTable"/>
            </w:pPr>
            <w:r>
              <w:t>254</w:t>
            </w:r>
          </w:p>
        </w:tc>
        <w:tc>
          <w:tcPr>
            <w:tcW w:w="2410" w:type="dxa"/>
            <w:tcBorders>
              <w:left w:val="single" w:sz="4" w:space="0" w:color="auto"/>
            </w:tcBorders>
          </w:tcPr>
          <w:p>
            <w:pPr>
              <w:pStyle w:val="yTable"/>
            </w:pPr>
            <w:r>
              <w:t>761</w:t>
            </w:r>
          </w:p>
        </w:tc>
      </w:tr>
      <w:tr>
        <w:trPr>
          <w:jc w:val="center"/>
        </w:trPr>
        <w:tc>
          <w:tcPr>
            <w:tcW w:w="1701" w:type="dxa"/>
            <w:tcBorders>
              <w:bottom w:val="single" w:sz="4" w:space="0" w:color="auto"/>
              <w:right w:val="single" w:sz="4" w:space="0" w:color="auto"/>
            </w:tcBorders>
          </w:tcPr>
          <w:p>
            <w:pPr>
              <w:pStyle w:val="yTable"/>
            </w:pPr>
            <w:r>
              <w:t>4 or more</w:t>
            </w:r>
          </w:p>
        </w:tc>
        <w:tc>
          <w:tcPr>
            <w:tcW w:w="2126" w:type="dxa"/>
            <w:tcBorders>
              <w:left w:val="single" w:sz="4" w:space="0" w:color="auto"/>
              <w:bottom w:val="single" w:sz="4" w:space="0" w:color="auto"/>
              <w:right w:val="single" w:sz="4" w:space="0" w:color="auto"/>
            </w:tcBorders>
          </w:tcPr>
          <w:p>
            <w:pPr>
              <w:pStyle w:val="yTable"/>
            </w:pPr>
            <w:r>
              <w:t>276</w:t>
            </w:r>
          </w:p>
        </w:tc>
        <w:tc>
          <w:tcPr>
            <w:tcW w:w="2410" w:type="dxa"/>
            <w:tcBorders>
              <w:left w:val="single" w:sz="4" w:space="0" w:color="auto"/>
              <w:bottom w:val="single" w:sz="4" w:space="0" w:color="auto"/>
            </w:tcBorders>
          </w:tcPr>
          <w:p>
            <w:pPr>
              <w:pStyle w:val="yTable"/>
            </w:pPr>
            <w:r>
              <w:t>829</w:t>
            </w:r>
          </w:p>
        </w:tc>
      </w:tr>
    </w:tbl>
    <w:p>
      <w:pPr>
        <w:pStyle w:val="yFootnotesection"/>
      </w:pPr>
      <w:r>
        <w:tab/>
        <w:t>[Schedule 9 inserted in Gazette 7 Jan 2005 p. 70.]</w:t>
      </w:r>
    </w:p>
    <w:p>
      <w:pPr>
        <w:sectPr>
          <w:headerReference w:type="even" r:id="rId33"/>
          <w:headerReference w:type="default" r:id="rId34"/>
          <w:headerReference w:type="first" r:id="rId35"/>
          <w:type w:val="continuous"/>
          <w:pgSz w:w="11906" w:h="16838" w:code="9"/>
          <w:pgMar w:top="2376" w:right="2405" w:bottom="3542" w:left="2405" w:header="706" w:footer="3380" w:gutter="0"/>
          <w:cols w:space="720"/>
          <w:noEndnote/>
          <w:docGrid w:linePitch="326"/>
        </w:sectPr>
      </w:pPr>
    </w:p>
    <w:p>
      <w:pPr>
        <w:pStyle w:val="nHeading2"/>
      </w:pPr>
      <w:bookmarkStart w:id="793" w:name="_Toc92695672"/>
      <w:bookmarkStart w:id="794" w:name="_Toc92968614"/>
      <w:bookmarkStart w:id="795" w:name="_Toc92968706"/>
      <w:bookmarkStart w:id="796" w:name="_Toc94935645"/>
      <w:bookmarkStart w:id="797" w:name="_Toc94935860"/>
      <w:bookmarkStart w:id="798" w:name="_Toc94941422"/>
      <w:bookmarkStart w:id="799" w:name="_Toc105237898"/>
      <w:bookmarkStart w:id="800" w:name="_Toc105470667"/>
      <w:bookmarkStart w:id="801" w:name="_Toc107800514"/>
      <w:bookmarkStart w:id="802" w:name="_Toc110666984"/>
      <w:bookmarkStart w:id="803" w:name="_Toc110842824"/>
      <w:bookmarkStart w:id="804" w:name="_Toc113177982"/>
      <w:bookmarkStart w:id="805" w:name="_Toc113259836"/>
      <w:bookmarkStart w:id="806" w:name="_Toc113262981"/>
      <w:bookmarkStart w:id="807" w:name="_Toc117907445"/>
      <w:bookmarkStart w:id="808" w:name="_Toc134332558"/>
      <w:bookmarkStart w:id="809" w:name="_Toc134337507"/>
      <w:bookmarkStart w:id="810" w:name="_Toc134337797"/>
      <w:bookmarkStart w:id="811" w:name="_Toc139258749"/>
      <w:bookmarkStart w:id="812" w:name="_Toc167179103"/>
      <w:bookmarkStart w:id="813" w:name="_Toc170201253"/>
      <w:bookmarkStart w:id="814" w:name="_Toc170715781"/>
      <w:bookmarkStart w:id="815" w:name="_Toc195006328"/>
      <w:bookmarkStart w:id="816" w:name="_Toc195070080"/>
      <w:r>
        <w:t>Notes</w:t>
      </w:r>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ins w:id="817" w:author="Master Repository Process" w:date="2021-08-28T14:30:00Z">
        <w:r>
          <w:rPr>
            <w:snapToGrid w:val="0"/>
          </w:rPr>
          <w:t> </w:t>
        </w:r>
        <w:r>
          <w:rPr>
            <w:snapToGrid w:val="0"/>
            <w:vertAlign w:val="superscript"/>
          </w:rPr>
          <w:t>1a</w:t>
        </w:r>
      </w:ins>
      <w:r>
        <w:rPr>
          <w:snapToGrid w:val="0"/>
        </w:rPr>
        <w:t>.  The table also contains information about any reprint.</w:t>
      </w:r>
    </w:p>
    <w:p>
      <w:pPr>
        <w:pStyle w:val="nHeading3"/>
      </w:pPr>
      <w:bookmarkStart w:id="818" w:name="_Toc113177983"/>
      <w:bookmarkStart w:id="819" w:name="_Toc195070081"/>
      <w:bookmarkStart w:id="820" w:name="_Toc170715782"/>
      <w:r>
        <w:t>Compilation table</w:t>
      </w:r>
      <w:bookmarkEnd w:id="818"/>
      <w:bookmarkEnd w:id="819"/>
      <w:bookmarkEnd w:id="820"/>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vertAlign w:val="superscript"/>
              </w:rPr>
            </w:pPr>
            <w:r>
              <w:rPr>
                <w:i/>
                <w:sz w:val="19"/>
              </w:rPr>
              <w:t>Bacteriolytic Treatment of Sewage and Disposal of Effluent and Liquid Waste Regulations</w:t>
            </w:r>
            <w:r>
              <w:rPr>
                <w:sz w:val="19"/>
                <w:vertAlign w:val="superscript"/>
              </w:rPr>
              <w:t> 4</w:t>
            </w:r>
          </w:p>
        </w:tc>
        <w:tc>
          <w:tcPr>
            <w:tcW w:w="1276" w:type="dxa"/>
          </w:tcPr>
          <w:p>
            <w:pPr>
              <w:pStyle w:val="nTable"/>
              <w:spacing w:after="40"/>
              <w:rPr>
                <w:sz w:val="19"/>
              </w:rPr>
            </w:pPr>
            <w:r>
              <w:rPr>
                <w:sz w:val="19"/>
              </w:rPr>
              <w:t>3 Sep 1974 p. 3303</w:t>
            </w:r>
            <w:r>
              <w:rPr>
                <w:sz w:val="19"/>
              </w:rPr>
              <w:noBreakHyphen/>
              <w:t>40</w:t>
            </w:r>
            <w:r>
              <w:rPr>
                <w:sz w:val="19"/>
              </w:rPr>
              <w:br/>
              <w:t>(erratum 13 Sep 1974 p. 3440)</w:t>
            </w:r>
          </w:p>
        </w:tc>
        <w:tc>
          <w:tcPr>
            <w:tcW w:w="2693" w:type="dxa"/>
          </w:tcPr>
          <w:p>
            <w:pPr>
              <w:pStyle w:val="nTable"/>
              <w:spacing w:after="40"/>
              <w:rPr>
                <w:sz w:val="19"/>
              </w:rPr>
            </w:pPr>
            <w:r>
              <w:rPr>
                <w:sz w:val="19"/>
              </w:rPr>
              <w:t>3 Sep 1974</w:t>
            </w:r>
          </w:p>
        </w:tc>
      </w:tr>
      <w:tr>
        <w:tc>
          <w:tcPr>
            <w:tcW w:w="3118" w:type="dxa"/>
          </w:tcPr>
          <w:p>
            <w:pPr>
              <w:pStyle w:val="nTable"/>
              <w:spacing w:after="40"/>
              <w:rPr>
                <w:sz w:val="19"/>
              </w:rPr>
            </w:pPr>
            <w:r>
              <w:rPr>
                <w:sz w:val="19"/>
              </w:rPr>
              <w:t>Untitled regulations</w:t>
            </w:r>
          </w:p>
        </w:tc>
        <w:tc>
          <w:tcPr>
            <w:tcW w:w="1276" w:type="dxa"/>
          </w:tcPr>
          <w:p>
            <w:pPr>
              <w:pStyle w:val="nTable"/>
              <w:spacing w:after="40"/>
              <w:rPr>
                <w:sz w:val="19"/>
              </w:rPr>
            </w:pPr>
            <w:r>
              <w:rPr>
                <w:sz w:val="19"/>
              </w:rPr>
              <w:t>21 Apr 1978 p. 1218-20</w:t>
            </w:r>
          </w:p>
        </w:tc>
        <w:tc>
          <w:tcPr>
            <w:tcW w:w="2693" w:type="dxa"/>
          </w:tcPr>
          <w:p>
            <w:pPr>
              <w:pStyle w:val="nTable"/>
              <w:spacing w:after="40"/>
              <w:rPr>
                <w:sz w:val="19"/>
              </w:rPr>
            </w:pPr>
            <w:r>
              <w:rPr>
                <w:sz w:val="19"/>
              </w:rPr>
              <w:t>21 Apr 1978</w:t>
            </w:r>
          </w:p>
        </w:tc>
      </w:tr>
      <w:tr>
        <w:tc>
          <w:tcPr>
            <w:tcW w:w="3118" w:type="dxa"/>
          </w:tcPr>
          <w:p>
            <w:pPr>
              <w:pStyle w:val="nTable"/>
              <w:spacing w:after="40"/>
              <w:rPr>
                <w:sz w:val="19"/>
              </w:rPr>
            </w:pPr>
            <w:r>
              <w:rPr>
                <w:i/>
                <w:sz w:val="19"/>
              </w:rPr>
              <w:t>Bacteriolytic Treatment of Sewage and Disposal of Effluent and Liquid Waste Amendment Regulations 1981</w:t>
            </w:r>
          </w:p>
        </w:tc>
        <w:tc>
          <w:tcPr>
            <w:tcW w:w="1276" w:type="dxa"/>
          </w:tcPr>
          <w:p>
            <w:pPr>
              <w:pStyle w:val="nTable"/>
              <w:spacing w:after="40"/>
              <w:rPr>
                <w:sz w:val="19"/>
              </w:rPr>
            </w:pPr>
            <w:r>
              <w:rPr>
                <w:sz w:val="19"/>
              </w:rPr>
              <w:t>18 Dec 1981 p. 5192</w:t>
            </w:r>
          </w:p>
        </w:tc>
        <w:tc>
          <w:tcPr>
            <w:tcW w:w="2693" w:type="dxa"/>
          </w:tcPr>
          <w:p>
            <w:pPr>
              <w:pStyle w:val="nTable"/>
              <w:spacing w:after="40"/>
              <w:rPr>
                <w:sz w:val="19"/>
              </w:rPr>
            </w:pPr>
            <w:r>
              <w:rPr>
                <w:sz w:val="19"/>
              </w:rPr>
              <w:t>18 Dec 1981</w:t>
            </w:r>
          </w:p>
        </w:tc>
      </w:tr>
      <w:tr>
        <w:tc>
          <w:tcPr>
            <w:tcW w:w="3118" w:type="dxa"/>
          </w:tcPr>
          <w:p>
            <w:pPr>
              <w:pStyle w:val="nTable"/>
              <w:spacing w:after="40"/>
              <w:rPr>
                <w:sz w:val="19"/>
              </w:rPr>
            </w:pPr>
            <w:r>
              <w:rPr>
                <w:i/>
                <w:sz w:val="19"/>
              </w:rPr>
              <w:t>Health Legislation Amendment Regulations 1984</w:t>
            </w:r>
            <w:r>
              <w:rPr>
                <w:sz w:val="19"/>
              </w:rPr>
              <w:t xml:space="preserve"> r. 4</w:t>
            </w:r>
          </w:p>
        </w:tc>
        <w:tc>
          <w:tcPr>
            <w:tcW w:w="1276" w:type="dxa"/>
          </w:tcPr>
          <w:p>
            <w:pPr>
              <w:pStyle w:val="nTable"/>
              <w:spacing w:after="40"/>
              <w:rPr>
                <w:sz w:val="19"/>
              </w:rPr>
            </w:pPr>
            <w:r>
              <w:rPr>
                <w:sz w:val="19"/>
              </w:rPr>
              <w:t>29 Jun 1984 p. 1780-4</w:t>
            </w:r>
          </w:p>
        </w:tc>
        <w:tc>
          <w:tcPr>
            <w:tcW w:w="2693" w:type="dxa"/>
          </w:tcPr>
          <w:p>
            <w:pPr>
              <w:pStyle w:val="nTable"/>
              <w:spacing w:after="40"/>
              <w:rPr>
                <w:sz w:val="19"/>
              </w:rPr>
            </w:pPr>
            <w:r>
              <w:rPr>
                <w:sz w:val="19"/>
              </w:rPr>
              <w:t>1 Jul 1984 (see r. 2)</w:t>
            </w:r>
          </w:p>
        </w:tc>
      </w:tr>
      <w:tr>
        <w:trPr>
          <w:cantSplit/>
        </w:trPr>
        <w:tc>
          <w:tcPr>
            <w:tcW w:w="7087" w:type="dxa"/>
            <w:gridSpan w:val="3"/>
          </w:tcPr>
          <w:p>
            <w:pPr>
              <w:pStyle w:val="nTable"/>
              <w:spacing w:after="40"/>
              <w:rPr>
                <w:sz w:val="19"/>
              </w:rPr>
            </w:pPr>
            <w:r>
              <w:rPr>
                <w:b/>
                <w:sz w:val="19"/>
              </w:rPr>
              <w:t>Reprint of the</w:t>
            </w:r>
            <w:r>
              <w:rPr>
                <w:b/>
                <w:i/>
                <w:sz w:val="19"/>
              </w:rPr>
              <w:t xml:space="preserve"> Bacteriolytic Treatment of Sewage and Disposal of Effluent and Liquid Waste Regulations </w:t>
            </w:r>
            <w:r>
              <w:rPr>
                <w:b/>
                <w:sz w:val="19"/>
              </w:rPr>
              <w:t xml:space="preserve">authorised 29 Jan 1985 </w:t>
            </w:r>
            <w:r>
              <w:rPr>
                <w:sz w:val="19"/>
              </w:rPr>
              <w:t xml:space="preserve">published in </w:t>
            </w:r>
            <w:r>
              <w:rPr>
                <w:i/>
                <w:sz w:val="19"/>
              </w:rPr>
              <w:t>Gazette</w:t>
            </w:r>
            <w:r>
              <w:rPr>
                <w:sz w:val="19"/>
              </w:rPr>
              <w:t xml:space="preserve"> 6 Feb 1985 p. 469-508 (includes amendments</w:t>
            </w:r>
            <w:r>
              <w:rPr>
                <w:i/>
                <w:sz w:val="19"/>
              </w:rPr>
              <w:t xml:space="preserve"> </w:t>
            </w:r>
            <w:r>
              <w:rPr>
                <w:sz w:val="19"/>
              </w:rPr>
              <w:t>listed above)</w:t>
            </w:r>
          </w:p>
        </w:tc>
      </w:tr>
      <w:tr>
        <w:tc>
          <w:tcPr>
            <w:tcW w:w="3118" w:type="dxa"/>
          </w:tcPr>
          <w:p>
            <w:pPr>
              <w:pStyle w:val="nTable"/>
              <w:spacing w:after="40"/>
              <w:rPr>
                <w:sz w:val="19"/>
                <w:vertAlign w:val="superscript"/>
              </w:rPr>
            </w:pPr>
            <w:r>
              <w:rPr>
                <w:i/>
                <w:sz w:val="19"/>
              </w:rPr>
              <w:t>Bacteriolytic Treatment of Sewage and Disposal of Effluent and Liquid Waste Amendment Regulations 1989</w:t>
            </w:r>
            <w:r>
              <w:rPr>
                <w:sz w:val="19"/>
                <w:vertAlign w:val="superscript"/>
              </w:rPr>
              <w:t> 5</w:t>
            </w:r>
          </w:p>
        </w:tc>
        <w:tc>
          <w:tcPr>
            <w:tcW w:w="1276" w:type="dxa"/>
          </w:tcPr>
          <w:p>
            <w:pPr>
              <w:pStyle w:val="nTable"/>
              <w:spacing w:after="40"/>
              <w:rPr>
                <w:sz w:val="19"/>
              </w:rPr>
            </w:pPr>
            <w:r>
              <w:rPr>
                <w:sz w:val="19"/>
              </w:rPr>
              <w:t>15 Dec 1989 p. 4547</w:t>
            </w:r>
            <w:r>
              <w:rPr>
                <w:sz w:val="19"/>
              </w:rPr>
              <w:noBreakHyphen/>
              <w:t>53</w:t>
            </w:r>
          </w:p>
        </w:tc>
        <w:tc>
          <w:tcPr>
            <w:tcW w:w="2693" w:type="dxa"/>
          </w:tcPr>
          <w:p>
            <w:pPr>
              <w:pStyle w:val="nTable"/>
              <w:spacing w:after="40"/>
              <w:rPr>
                <w:sz w:val="19"/>
              </w:rPr>
            </w:pPr>
            <w:r>
              <w:rPr>
                <w:sz w:val="19"/>
              </w:rPr>
              <w:t>15 Dec 1989</w:t>
            </w:r>
          </w:p>
        </w:tc>
      </w:tr>
      <w:tr>
        <w:tc>
          <w:tcPr>
            <w:tcW w:w="3118" w:type="dxa"/>
          </w:tcPr>
          <w:p>
            <w:pPr>
              <w:pStyle w:val="nTable"/>
              <w:spacing w:after="40"/>
              <w:rPr>
                <w:sz w:val="19"/>
              </w:rPr>
            </w:pPr>
            <w:r>
              <w:rPr>
                <w:i/>
                <w:sz w:val="19"/>
              </w:rPr>
              <w:t>Treatment of Sewage and Disposal of Effluent and Liquid Waste Amendment Regulations 1992</w:t>
            </w:r>
          </w:p>
        </w:tc>
        <w:tc>
          <w:tcPr>
            <w:tcW w:w="1276" w:type="dxa"/>
          </w:tcPr>
          <w:p>
            <w:pPr>
              <w:pStyle w:val="nTable"/>
              <w:spacing w:after="40"/>
              <w:rPr>
                <w:sz w:val="19"/>
              </w:rPr>
            </w:pPr>
            <w:r>
              <w:rPr>
                <w:sz w:val="19"/>
              </w:rPr>
              <w:t>4 Sep 1992 p. 4471</w:t>
            </w:r>
            <w:r>
              <w:rPr>
                <w:sz w:val="19"/>
              </w:rPr>
              <w:noBreakHyphen/>
              <w:t>6</w:t>
            </w:r>
          </w:p>
        </w:tc>
        <w:tc>
          <w:tcPr>
            <w:tcW w:w="2693" w:type="dxa"/>
          </w:tcPr>
          <w:p>
            <w:pPr>
              <w:pStyle w:val="nTable"/>
              <w:spacing w:after="40"/>
              <w:rPr>
                <w:sz w:val="19"/>
              </w:rPr>
            </w:pPr>
            <w:r>
              <w:rPr>
                <w:sz w:val="19"/>
              </w:rPr>
              <w:t xml:space="preserve">4 Sep 1992 (see r. 2 and </w:t>
            </w:r>
            <w:r>
              <w:rPr>
                <w:i/>
                <w:sz w:val="19"/>
              </w:rPr>
              <w:t xml:space="preserve">Gazette </w:t>
            </w:r>
            <w:r>
              <w:rPr>
                <w:sz w:val="19"/>
              </w:rPr>
              <w:t>4 Sep 1992 p. 4453)</w:t>
            </w:r>
          </w:p>
        </w:tc>
      </w:tr>
      <w:tr>
        <w:tc>
          <w:tcPr>
            <w:tcW w:w="3118" w:type="dxa"/>
          </w:tcPr>
          <w:p>
            <w:pPr>
              <w:pStyle w:val="nTable"/>
              <w:spacing w:after="40"/>
              <w:rPr>
                <w:sz w:val="19"/>
              </w:rPr>
            </w:pPr>
            <w:r>
              <w:rPr>
                <w:i/>
                <w:sz w:val="19"/>
              </w:rPr>
              <w:t>Treatment of Sewage and Disposal of Effluent and Liquid Waste Amendment Regulations 1993</w:t>
            </w:r>
          </w:p>
        </w:tc>
        <w:tc>
          <w:tcPr>
            <w:tcW w:w="1276" w:type="dxa"/>
          </w:tcPr>
          <w:p>
            <w:pPr>
              <w:pStyle w:val="nTable"/>
              <w:spacing w:after="40"/>
              <w:rPr>
                <w:sz w:val="19"/>
              </w:rPr>
            </w:pPr>
            <w:r>
              <w:rPr>
                <w:sz w:val="19"/>
              </w:rPr>
              <w:t>12 Nov 1993 p. 6143</w:t>
            </w:r>
          </w:p>
        </w:tc>
        <w:tc>
          <w:tcPr>
            <w:tcW w:w="2693" w:type="dxa"/>
          </w:tcPr>
          <w:p>
            <w:pPr>
              <w:pStyle w:val="nTable"/>
              <w:spacing w:after="40"/>
              <w:rPr>
                <w:sz w:val="19"/>
              </w:rPr>
            </w:pPr>
            <w:r>
              <w:rPr>
                <w:sz w:val="19"/>
              </w:rPr>
              <w:t>12 Nov 1993</w:t>
            </w:r>
          </w:p>
        </w:tc>
      </w:tr>
      <w:tr>
        <w:tc>
          <w:tcPr>
            <w:tcW w:w="3118" w:type="dxa"/>
          </w:tcPr>
          <w:p>
            <w:pPr>
              <w:pStyle w:val="nTable"/>
              <w:spacing w:after="40"/>
              <w:rPr>
                <w:sz w:val="19"/>
              </w:rPr>
            </w:pPr>
            <w:r>
              <w:rPr>
                <w:i/>
                <w:sz w:val="19"/>
              </w:rPr>
              <w:t>Treatment of Sewage and Disposal of Effluent and Liquid Waste Amendment Regulations (No. 2) 1993</w:t>
            </w:r>
          </w:p>
        </w:tc>
        <w:tc>
          <w:tcPr>
            <w:tcW w:w="1276" w:type="dxa"/>
          </w:tcPr>
          <w:p>
            <w:pPr>
              <w:pStyle w:val="nTable"/>
              <w:spacing w:after="40"/>
              <w:rPr>
                <w:sz w:val="19"/>
              </w:rPr>
            </w:pPr>
            <w:r>
              <w:rPr>
                <w:sz w:val="19"/>
              </w:rPr>
              <w:t>12 Nov 1993 p. 6145</w:t>
            </w:r>
            <w:r>
              <w:rPr>
                <w:sz w:val="19"/>
              </w:rPr>
              <w:br/>
              <w:t>(correction 23 Nov 1993 p. 6308)</w:t>
            </w:r>
          </w:p>
        </w:tc>
        <w:tc>
          <w:tcPr>
            <w:tcW w:w="2693" w:type="dxa"/>
          </w:tcPr>
          <w:p>
            <w:pPr>
              <w:pStyle w:val="nTable"/>
              <w:spacing w:after="40"/>
              <w:rPr>
                <w:sz w:val="19"/>
              </w:rPr>
            </w:pPr>
            <w:r>
              <w:rPr>
                <w:sz w:val="19"/>
              </w:rPr>
              <w:t>10 Dec 1993 (see r. 2)</w:t>
            </w:r>
          </w:p>
        </w:tc>
      </w:tr>
      <w:tr>
        <w:tc>
          <w:tcPr>
            <w:tcW w:w="3118" w:type="dxa"/>
          </w:tcPr>
          <w:p>
            <w:pPr>
              <w:pStyle w:val="nTable"/>
              <w:spacing w:after="40"/>
              <w:rPr>
                <w:sz w:val="19"/>
              </w:rPr>
            </w:pPr>
            <w:r>
              <w:rPr>
                <w:i/>
                <w:sz w:val="19"/>
              </w:rPr>
              <w:t>Treatment of Sewage and Disposal of Effluent and Liquid Waste Amendment Regulations 1994</w:t>
            </w:r>
          </w:p>
        </w:tc>
        <w:tc>
          <w:tcPr>
            <w:tcW w:w="1276" w:type="dxa"/>
          </w:tcPr>
          <w:p>
            <w:pPr>
              <w:pStyle w:val="nTable"/>
              <w:spacing w:after="40"/>
              <w:rPr>
                <w:sz w:val="19"/>
              </w:rPr>
            </w:pPr>
            <w:r>
              <w:rPr>
                <w:sz w:val="19"/>
              </w:rPr>
              <w:t>27 May 1994 p. 2211</w:t>
            </w:r>
          </w:p>
        </w:tc>
        <w:tc>
          <w:tcPr>
            <w:tcW w:w="2693" w:type="dxa"/>
          </w:tcPr>
          <w:p>
            <w:pPr>
              <w:pStyle w:val="nTable"/>
              <w:spacing w:after="40"/>
              <w:rPr>
                <w:sz w:val="19"/>
              </w:rPr>
            </w:pPr>
            <w:r>
              <w:rPr>
                <w:sz w:val="19"/>
              </w:rPr>
              <w:t>1 Jul 1994 (see r. 2)</w:t>
            </w:r>
          </w:p>
        </w:tc>
      </w:tr>
      <w:tr>
        <w:tc>
          <w:tcPr>
            <w:tcW w:w="3118" w:type="dxa"/>
          </w:tcPr>
          <w:p>
            <w:pPr>
              <w:pStyle w:val="nTable"/>
              <w:keepNext/>
              <w:spacing w:after="40"/>
              <w:rPr>
                <w:sz w:val="19"/>
              </w:rPr>
            </w:pPr>
            <w:r>
              <w:rPr>
                <w:i/>
                <w:sz w:val="19"/>
              </w:rPr>
              <w:t>Treatment of Sewage and Disposal of Effluent and Liquid Waste Amendment Regulations 1995</w:t>
            </w:r>
          </w:p>
        </w:tc>
        <w:tc>
          <w:tcPr>
            <w:tcW w:w="1276" w:type="dxa"/>
          </w:tcPr>
          <w:p>
            <w:pPr>
              <w:pStyle w:val="nTable"/>
              <w:keepNext/>
              <w:spacing w:after="40"/>
              <w:rPr>
                <w:sz w:val="19"/>
              </w:rPr>
            </w:pPr>
            <w:r>
              <w:rPr>
                <w:sz w:val="19"/>
              </w:rPr>
              <w:t>27 Jun 1995 p. 2553</w:t>
            </w:r>
          </w:p>
        </w:tc>
        <w:tc>
          <w:tcPr>
            <w:tcW w:w="2693" w:type="dxa"/>
          </w:tcPr>
          <w:p>
            <w:pPr>
              <w:pStyle w:val="nTable"/>
              <w:keepNext/>
              <w:spacing w:after="40"/>
              <w:rPr>
                <w:sz w:val="19"/>
              </w:rPr>
            </w:pPr>
            <w:r>
              <w:rPr>
                <w:sz w:val="19"/>
              </w:rPr>
              <w:t>1 Jul 1995 (see r. 2)</w:t>
            </w:r>
          </w:p>
        </w:tc>
      </w:tr>
      <w:tr>
        <w:tc>
          <w:tcPr>
            <w:tcW w:w="3118" w:type="dxa"/>
          </w:tcPr>
          <w:p>
            <w:pPr>
              <w:pStyle w:val="nTable"/>
              <w:spacing w:after="40"/>
              <w:rPr>
                <w:sz w:val="19"/>
              </w:rPr>
            </w:pPr>
            <w:r>
              <w:rPr>
                <w:i/>
                <w:sz w:val="19"/>
              </w:rPr>
              <w:t>Treatment of Sewage and Disposal of Effluent and Liquid Waste Amendment Regulations 1996</w:t>
            </w:r>
          </w:p>
        </w:tc>
        <w:tc>
          <w:tcPr>
            <w:tcW w:w="1276" w:type="dxa"/>
          </w:tcPr>
          <w:p>
            <w:pPr>
              <w:pStyle w:val="nTable"/>
              <w:spacing w:after="40"/>
              <w:rPr>
                <w:sz w:val="19"/>
              </w:rPr>
            </w:pPr>
            <w:r>
              <w:rPr>
                <w:sz w:val="19"/>
              </w:rPr>
              <w:t>28 Jun 1996 p. 3032</w:t>
            </w:r>
            <w:r>
              <w:rPr>
                <w:sz w:val="19"/>
              </w:rPr>
              <w:noBreakHyphen/>
              <w:t>3</w:t>
            </w:r>
          </w:p>
        </w:tc>
        <w:tc>
          <w:tcPr>
            <w:tcW w:w="2693" w:type="dxa"/>
          </w:tcPr>
          <w:p>
            <w:pPr>
              <w:pStyle w:val="nTable"/>
              <w:spacing w:after="40"/>
              <w:rPr>
                <w:sz w:val="19"/>
              </w:rPr>
            </w:pPr>
            <w:r>
              <w:rPr>
                <w:sz w:val="19"/>
              </w:rPr>
              <w:t>1 Jul 1996 (see r. 2)</w:t>
            </w:r>
          </w:p>
        </w:tc>
      </w:tr>
      <w:tr>
        <w:tc>
          <w:tcPr>
            <w:tcW w:w="3118" w:type="dxa"/>
          </w:tcPr>
          <w:p>
            <w:pPr>
              <w:pStyle w:val="nTable"/>
              <w:spacing w:after="40"/>
              <w:rPr>
                <w:sz w:val="19"/>
              </w:rPr>
            </w:pPr>
            <w:r>
              <w:rPr>
                <w:i/>
                <w:sz w:val="19"/>
              </w:rPr>
              <w:t>Treatment of Sewerage and Disposal of Effluent and Liquid Waste Amendment Regulations 1997</w:t>
            </w:r>
          </w:p>
        </w:tc>
        <w:tc>
          <w:tcPr>
            <w:tcW w:w="1276" w:type="dxa"/>
          </w:tcPr>
          <w:p>
            <w:pPr>
              <w:pStyle w:val="nTable"/>
              <w:spacing w:after="40"/>
              <w:rPr>
                <w:sz w:val="19"/>
              </w:rPr>
            </w:pPr>
            <w:r>
              <w:rPr>
                <w:sz w:val="19"/>
              </w:rPr>
              <w:t>1 Jul 1997 p. 3255</w:t>
            </w:r>
          </w:p>
        </w:tc>
        <w:tc>
          <w:tcPr>
            <w:tcW w:w="2693" w:type="dxa"/>
          </w:tcPr>
          <w:p>
            <w:pPr>
              <w:pStyle w:val="nTable"/>
              <w:spacing w:after="40"/>
              <w:rPr>
                <w:sz w:val="19"/>
              </w:rPr>
            </w:pPr>
            <w:r>
              <w:rPr>
                <w:sz w:val="19"/>
              </w:rPr>
              <w:t>1 Jul 1997 (see r. 2)</w:t>
            </w:r>
          </w:p>
        </w:tc>
      </w:tr>
      <w:tr>
        <w:tc>
          <w:tcPr>
            <w:tcW w:w="3118" w:type="dxa"/>
          </w:tcPr>
          <w:p>
            <w:pPr>
              <w:pStyle w:val="nTable"/>
              <w:spacing w:after="40"/>
              <w:rPr>
                <w:sz w:val="19"/>
                <w:vertAlign w:val="superscript"/>
              </w:rPr>
            </w:pPr>
            <w:r>
              <w:rPr>
                <w:i/>
                <w:sz w:val="19"/>
              </w:rPr>
              <w:t>Treatment of Sewage and Disposal of Effluent and Liquid Waste Amendment Regulations (No. 2) 1997</w:t>
            </w:r>
            <w:r>
              <w:rPr>
                <w:sz w:val="19"/>
                <w:vertAlign w:val="superscript"/>
              </w:rPr>
              <w:t> 6</w:t>
            </w:r>
          </w:p>
        </w:tc>
        <w:tc>
          <w:tcPr>
            <w:tcW w:w="1276" w:type="dxa"/>
          </w:tcPr>
          <w:p>
            <w:pPr>
              <w:pStyle w:val="nTable"/>
              <w:spacing w:after="40"/>
              <w:rPr>
                <w:sz w:val="19"/>
              </w:rPr>
            </w:pPr>
            <w:r>
              <w:rPr>
                <w:sz w:val="19"/>
              </w:rPr>
              <w:t>29 Jul 1997 p. 4063</w:t>
            </w:r>
            <w:r>
              <w:rPr>
                <w:sz w:val="19"/>
              </w:rPr>
              <w:noBreakHyphen/>
              <w:t>84</w:t>
            </w:r>
          </w:p>
        </w:tc>
        <w:tc>
          <w:tcPr>
            <w:tcW w:w="2693" w:type="dxa"/>
          </w:tcPr>
          <w:p>
            <w:pPr>
              <w:pStyle w:val="nTable"/>
              <w:spacing w:after="40"/>
              <w:rPr>
                <w:sz w:val="19"/>
              </w:rPr>
            </w:pPr>
            <w:r>
              <w:rPr>
                <w:sz w:val="19"/>
              </w:rPr>
              <w:t xml:space="preserve">29 Jul 1997 (see r. 2(b) and </w:t>
            </w:r>
            <w:r>
              <w:rPr>
                <w:i/>
                <w:sz w:val="19"/>
              </w:rPr>
              <w:t>Gazette</w:t>
            </w:r>
            <w:r>
              <w:rPr>
                <w:sz w:val="19"/>
              </w:rPr>
              <w:t xml:space="preserve"> 29 Jul 1997 p. 4065)</w:t>
            </w:r>
          </w:p>
        </w:tc>
      </w:tr>
      <w:tr>
        <w:tc>
          <w:tcPr>
            <w:tcW w:w="3118" w:type="dxa"/>
          </w:tcPr>
          <w:p>
            <w:pPr>
              <w:pStyle w:val="nTable"/>
              <w:spacing w:after="40"/>
              <w:rPr>
                <w:sz w:val="19"/>
              </w:rPr>
            </w:pPr>
            <w:r>
              <w:rPr>
                <w:i/>
                <w:sz w:val="19"/>
              </w:rPr>
              <w:t>Health (Treatment of Sewage and Disposal of Effluent and Liquid Waste) Amendment Regulations (No. 3) 1997</w:t>
            </w:r>
          </w:p>
        </w:tc>
        <w:tc>
          <w:tcPr>
            <w:tcW w:w="1276" w:type="dxa"/>
          </w:tcPr>
          <w:p>
            <w:pPr>
              <w:pStyle w:val="nTable"/>
              <w:spacing w:after="40"/>
              <w:rPr>
                <w:sz w:val="19"/>
              </w:rPr>
            </w:pPr>
            <w:r>
              <w:rPr>
                <w:sz w:val="19"/>
              </w:rPr>
              <w:t>5 Sep 1997 p. 5036</w:t>
            </w:r>
            <w:r>
              <w:rPr>
                <w:sz w:val="19"/>
              </w:rPr>
              <w:noBreakHyphen/>
              <w:t>7</w:t>
            </w:r>
          </w:p>
        </w:tc>
        <w:tc>
          <w:tcPr>
            <w:tcW w:w="2693" w:type="dxa"/>
          </w:tcPr>
          <w:p>
            <w:pPr>
              <w:pStyle w:val="nTable"/>
              <w:spacing w:after="40"/>
              <w:rPr>
                <w:sz w:val="19"/>
              </w:rPr>
            </w:pPr>
            <w:r>
              <w:rPr>
                <w:sz w:val="19"/>
              </w:rPr>
              <w:t>5 Sep 1997</w:t>
            </w:r>
          </w:p>
        </w:tc>
      </w:tr>
      <w:tr>
        <w:tc>
          <w:tcPr>
            <w:tcW w:w="3118" w:type="dxa"/>
          </w:tcPr>
          <w:p>
            <w:pPr>
              <w:pStyle w:val="nTable"/>
              <w:spacing w:after="40"/>
              <w:rPr>
                <w:sz w:val="19"/>
              </w:rPr>
            </w:pPr>
            <w:r>
              <w:rPr>
                <w:i/>
                <w:sz w:val="19"/>
              </w:rPr>
              <w:t>Health (Treatment of Sewage and Disposal of Effluent and Liquid Waste)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c>
          <w:tcPr>
            <w:tcW w:w="3118" w:type="dxa"/>
          </w:tcPr>
          <w:p>
            <w:pPr>
              <w:pStyle w:val="nTable"/>
              <w:spacing w:after="40"/>
              <w:rPr>
                <w:sz w:val="19"/>
              </w:rPr>
            </w:pPr>
            <w:r>
              <w:rPr>
                <w:i/>
                <w:sz w:val="19"/>
              </w:rPr>
              <w:t>Health (Treatment of Sewage and Disposal of Effluent and Liquid Waste) Amendment (No. 2) Regulations 1998</w:t>
            </w:r>
          </w:p>
        </w:tc>
        <w:tc>
          <w:tcPr>
            <w:tcW w:w="1276" w:type="dxa"/>
          </w:tcPr>
          <w:p>
            <w:pPr>
              <w:pStyle w:val="nTable"/>
              <w:spacing w:after="40"/>
              <w:rPr>
                <w:sz w:val="19"/>
              </w:rPr>
            </w:pPr>
            <w:r>
              <w:rPr>
                <w:sz w:val="19"/>
              </w:rPr>
              <w:t>1 May 1998 p. 2273</w:t>
            </w:r>
          </w:p>
        </w:tc>
        <w:tc>
          <w:tcPr>
            <w:tcW w:w="2693" w:type="dxa"/>
          </w:tcPr>
          <w:p>
            <w:pPr>
              <w:pStyle w:val="nTable"/>
              <w:spacing w:after="40"/>
              <w:rPr>
                <w:sz w:val="19"/>
              </w:rPr>
            </w:pPr>
            <w:r>
              <w:rPr>
                <w:sz w:val="19"/>
              </w:rPr>
              <w:t>1 May 1998</w:t>
            </w:r>
          </w:p>
        </w:tc>
      </w:tr>
      <w:tr>
        <w:trPr>
          <w:cantSplit/>
        </w:trPr>
        <w:tc>
          <w:tcPr>
            <w:tcW w:w="7087" w:type="dxa"/>
            <w:gridSpan w:val="3"/>
          </w:tcPr>
          <w:p>
            <w:pPr>
              <w:pStyle w:val="nTable"/>
              <w:spacing w:after="40"/>
              <w:rPr>
                <w:sz w:val="19"/>
              </w:rPr>
            </w:pPr>
            <w:r>
              <w:rPr>
                <w:b/>
                <w:sz w:val="19"/>
              </w:rPr>
              <w:t>Reprint of the</w:t>
            </w:r>
            <w:r>
              <w:rPr>
                <w:b/>
                <w:i/>
                <w:sz w:val="19"/>
              </w:rPr>
              <w:t xml:space="preserve"> Health (Treatment of Sewage and Disposal of Effluent and Liquid Waste) Regulations 1974</w:t>
            </w:r>
            <w:r>
              <w:rPr>
                <w:b/>
                <w:sz w:val="19"/>
              </w:rPr>
              <w:t xml:space="preserve"> as at 2 May 1998</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2000</w:t>
            </w:r>
          </w:p>
        </w:tc>
        <w:tc>
          <w:tcPr>
            <w:tcW w:w="1276" w:type="dxa"/>
          </w:tcPr>
          <w:p>
            <w:pPr>
              <w:pStyle w:val="nTable"/>
              <w:spacing w:after="40"/>
              <w:rPr>
                <w:sz w:val="19"/>
              </w:rPr>
            </w:pPr>
            <w:r>
              <w:rPr>
                <w:sz w:val="19"/>
              </w:rPr>
              <w:t>30 Jun 2000 p. 3413</w:t>
            </w:r>
          </w:p>
        </w:tc>
        <w:tc>
          <w:tcPr>
            <w:tcW w:w="2693" w:type="dxa"/>
          </w:tcPr>
          <w:p>
            <w:pPr>
              <w:pStyle w:val="nTable"/>
              <w:spacing w:after="40"/>
              <w:rPr>
                <w:sz w:val="19"/>
              </w:rPr>
            </w:pPr>
            <w:r>
              <w:rPr>
                <w:sz w:val="19"/>
              </w:rPr>
              <w:t>1 Jul 2000 (see r. 2)</w:t>
            </w:r>
          </w:p>
        </w:tc>
      </w:tr>
      <w:tr>
        <w:tc>
          <w:tcPr>
            <w:tcW w:w="3118" w:type="dxa"/>
          </w:tcPr>
          <w:p>
            <w:pPr>
              <w:pStyle w:val="nTable"/>
              <w:spacing w:after="40"/>
              <w:rPr>
                <w:i/>
                <w:sz w:val="19"/>
              </w:rPr>
            </w:pPr>
            <w:r>
              <w:rPr>
                <w:i/>
                <w:sz w:val="19"/>
              </w:rPr>
              <w:t>Health (Treatment of Sewage and Disposal of Effluent and Liquid Waste) Amendment Regulations 2001</w:t>
            </w:r>
          </w:p>
        </w:tc>
        <w:tc>
          <w:tcPr>
            <w:tcW w:w="1276" w:type="dxa"/>
          </w:tcPr>
          <w:p>
            <w:pPr>
              <w:pStyle w:val="nTable"/>
              <w:spacing w:after="40"/>
              <w:rPr>
                <w:sz w:val="19"/>
              </w:rPr>
            </w:pPr>
            <w:r>
              <w:rPr>
                <w:sz w:val="19"/>
              </w:rPr>
              <w:t>6 Nov 2001 p. 5838</w:t>
            </w:r>
            <w:r>
              <w:rPr>
                <w:sz w:val="19"/>
              </w:rPr>
              <w:noBreakHyphen/>
              <w:t>9</w:t>
            </w:r>
          </w:p>
        </w:tc>
        <w:tc>
          <w:tcPr>
            <w:tcW w:w="2693" w:type="dxa"/>
          </w:tcPr>
          <w:p>
            <w:pPr>
              <w:pStyle w:val="nTable"/>
              <w:spacing w:after="40"/>
              <w:rPr>
                <w:sz w:val="19"/>
              </w:rPr>
            </w:pPr>
            <w:r>
              <w:rPr>
                <w:sz w:val="19"/>
              </w:rPr>
              <w:t>6 Nov 2001</w:t>
            </w:r>
          </w:p>
        </w:tc>
      </w:tr>
      <w:tr>
        <w:tc>
          <w:tcPr>
            <w:tcW w:w="3118" w:type="dxa"/>
          </w:tcPr>
          <w:p>
            <w:pPr>
              <w:pStyle w:val="nTable"/>
              <w:spacing w:after="40"/>
              <w:rPr>
                <w:i/>
                <w:sz w:val="19"/>
              </w:rPr>
            </w:pPr>
            <w:r>
              <w:rPr>
                <w:i/>
                <w:sz w:val="19"/>
              </w:rPr>
              <w:t>Health (Treatment of Sewage and Disposal of Effluent and Liquid Waste) Amendment Regulations (No. 2) 2001</w:t>
            </w:r>
          </w:p>
        </w:tc>
        <w:tc>
          <w:tcPr>
            <w:tcW w:w="1276" w:type="dxa"/>
          </w:tcPr>
          <w:p>
            <w:pPr>
              <w:pStyle w:val="nTable"/>
              <w:spacing w:after="40"/>
              <w:rPr>
                <w:sz w:val="19"/>
              </w:rPr>
            </w:pPr>
            <w:r>
              <w:rPr>
                <w:sz w:val="19"/>
              </w:rPr>
              <w:t>30 Nov 2001 p. 6074</w:t>
            </w:r>
          </w:p>
        </w:tc>
        <w:tc>
          <w:tcPr>
            <w:tcW w:w="2693" w:type="dxa"/>
          </w:tcPr>
          <w:p>
            <w:pPr>
              <w:pStyle w:val="nTable"/>
              <w:spacing w:after="40"/>
              <w:rPr>
                <w:sz w:val="19"/>
              </w:rPr>
            </w:pPr>
            <w:r>
              <w:rPr>
                <w:sz w:val="19"/>
              </w:rPr>
              <w:t>30 Nov 2001</w:t>
            </w:r>
          </w:p>
        </w:tc>
      </w:tr>
      <w:tr>
        <w:trPr>
          <w:cantSplit/>
        </w:trPr>
        <w:tc>
          <w:tcPr>
            <w:tcW w:w="7087" w:type="dxa"/>
            <w:gridSpan w:val="3"/>
          </w:tcPr>
          <w:p>
            <w:pPr>
              <w:pStyle w:val="nTable"/>
              <w:spacing w:after="40"/>
              <w:rPr>
                <w:sz w:val="19"/>
              </w:rPr>
            </w:pPr>
            <w:r>
              <w:rPr>
                <w:b/>
                <w:sz w:val="19"/>
              </w:rPr>
              <w:t>Reprint 3: The</w:t>
            </w:r>
            <w:r>
              <w:rPr>
                <w:b/>
                <w:i/>
                <w:sz w:val="19"/>
              </w:rPr>
              <w:t xml:space="preserve"> Health (Treatment of Sewage and Disposal of Effluent and Liquid Waste) Regulations 1974</w:t>
            </w:r>
            <w:r>
              <w:rPr>
                <w:b/>
                <w:sz w:val="19"/>
              </w:rPr>
              <w:t xml:space="preserve"> as at 8 Aug 2003</w:t>
            </w:r>
            <w:r>
              <w:rPr>
                <w:sz w:val="19"/>
              </w:rPr>
              <w:t xml:space="preserve"> (includes amendments listed above)</w:t>
            </w:r>
          </w:p>
        </w:tc>
      </w:tr>
      <w:tr>
        <w:tc>
          <w:tcPr>
            <w:tcW w:w="3118" w:type="dxa"/>
          </w:tcPr>
          <w:p>
            <w:pPr>
              <w:pStyle w:val="nTable"/>
              <w:spacing w:after="40"/>
              <w:rPr>
                <w:i/>
                <w:sz w:val="19"/>
              </w:rPr>
            </w:pPr>
            <w:r>
              <w:rPr>
                <w:i/>
                <w:sz w:val="19"/>
              </w:rPr>
              <w:t>Health (Treatment of Sewage and Disposal of Effluent and Liquid Waste) Amendment Regulations (No. 3) 2004</w:t>
            </w:r>
          </w:p>
        </w:tc>
        <w:tc>
          <w:tcPr>
            <w:tcW w:w="1276" w:type="dxa"/>
          </w:tcPr>
          <w:p>
            <w:pPr>
              <w:pStyle w:val="nTable"/>
              <w:spacing w:after="40"/>
              <w:rPr>
                <w:sz w:val="19"/>
              </w:rPr>
            </w:pPr>
            <w:r>
              <w:rPr>
                <w:sz w:val="19"/>
              </w:rPr>
              <w:t>25 Jun 2004 p. 2240-1</w:t>
            </w:r>
          </w:p>
        </w:tc>
        <w:tc>
          <w:tcPr>
            <w:tcW w:w="2693" w:type="dxa"/>
          </w:tcPr>
          <w:p>
            <w:pPr>
              <w:pStyle w:val="nTable"/>
              <w:spacing w:after="40"/>
              <w:rPr>
                <w:sz w:val="19"/>
              </w:rPr>
            </w:pPr>
            <w:r>
              <w:rPr>
                <w:sz w:val="19"/>
              </w:rPr>
              <w:t>1 Jul 2004 (see r. 2)</w:t>
            </w:r>
          </w:p>
        </w:tc>
      </w:tr>
      <w:tr>
        <w:tc>
          <w:tcPr>
            <w:tcW w:w="3118" w:type="dxa"/>
          </w:tcPr>
          <w:p>
            <w:pPr>
              <w:pStyle w:val="nTable"/>
              <w:spacing w:after="40"/>
              <w:rPr>
                <w:i/>
                <w:sz w:val="19"/>
              </w:rPr>
            </w:pPr>
            <w:r>
              <w:rPr>
                <w:i/>
                <w:sz w:val="19"/>
              </w:rPr>
              <w:t>Health (Treatment of Sewage and Disposal of Effluent and Liquid Waste) Amendment Regulations 2004</w:t>
            </w:r>
            <w:r>
              <w:rPr>
                <w:sz w:val="19"/>
                <w:vertAlign w:val="superscript"/>
              </w:rPr>
              <w:t> 7</w:t>
            </w:r>
          </w:p>
        </w:tc>
        <w:tc>
          <w:tcPr>
            <w:tcW w:w="1276" w:type="dxa"/>
          </w:tcPr>
          <w:p>
            <w:pPr>
              <w:pStyle w:val="nTable"/>
              <w:spacing w:after="40"/>
              <w:rPr>
                <w:sz w:val="19"/>
              </w:rPr>
            </w:pPr>
            <w:r>
              <w:rPr>
                <w:sz w:val="19"/>
              </w:rPr>
              <w:t>28 Jun 2004 p. 2393-6</w:t>
            </w:r>
          </w:p>
        </w:tc>
        <w:tc>
          <w:tcPr>
            <w:tcW w:w="2693" w:type="dxa"/>
          </w:tcPr>
          <w:p>
            <w:pPr>
              <w:pStyle w:val="nTable"/>
              <w:spacing w:after="40"/>
              <w:rPr>
                <w:sz w:val="19"/>
              </w:rPr>
            </w:pPr>
            <w:r>
              <w:rPr>
                <w:sz w:val="19"/>
              </w:rPr>
              <w:t xml:space="preserve">1 Jul 2004 (see r. 2 and </w:t>
            </w:r>
            <w:r>
              <w:rPr>
                <w:i/>
                <w:iCs/>
                <w:sz w:val="19"/>
              </w:rPr>
              <w:t>Gazette</w:t>
            </w:r>
            <w:r>
              <w:rPr>
                <w:sz w:val="19"/>
              </w:rPr>
              <w:t xml:space="preserve"> 28 Jun 2004 p. 2399)</w:t>
            </w:r>
          </w:p>
        </w:tc>
      </w:tr>
      <w:tr>
        <w:tc>
          <w:tcPr>
            <w:tcW w:w="3118" w:type="dxa"/>
          </w:tcPr>
          <w:p>
            <w:pPr>
              <w:pStyle w:val="nTable"/>
              <w:spacing w:after="40"/>
              <w:rPr>
                <w:i/>
                <w:sz w:val="19"/>
              </w:rPr>
            </w:pPr>
            <w:r>
              <w:rPr>
                <w:i/>
                <w:sz w:val="19"/>
              </w:rPr>
              <w:t>Health (Treatment of Sewage and Disposal of Effluent and Liquid Waste) Amendment Regulations (No. 4) 2004</w:t>
            </w:r>
            <w:r>
              <w:rPr>
                <w:sz w:val="19"/>
                <w:vertAlign w:val="superscript"/>
              </w:rPr>
              <w:t> 7</w:t>
            </w:r>
          </w:p>
        </w:tc>
        <w:tc>
          <w:tcPr>
            <w:tcW w:w="1276" w:type="dxa"/>
          </w:tcPr>
          <w:p>
            <w:pPr>
              <w:pStyle w:val="nTable"/>
              <w:spacing w:after="40"/>
              <w:rPr>
                <w:sz w:val="19"/>
              </w:rPr>
            </w:pPr>
            <w:r>
              <w:rPr>
                <w:sz w:val="19"/>
              </w:rPr>
              <w:t>24 Aug 2004 p. 3657</w:t>
            </w:r>
          </w:p>
        </w:tc>
        <w:tc>
          <w:tcPr>
            <w:tcW w:w="2693" w:type="dxa"/>
          </w:tcPr>
          <w:p>
            <w:pPr>
              <w:pStyle w:val="nTable"/>
              <w:spacing w:after="40"/>
              <w:rPr>
                <w:sz w:val="19"/>
              </w:rPr>
            </w:pPr>
            <w:r>
              <w:rPr>
                <w:sz w:val="19"/>
              </w:rPr>
              <w:t>24 Aug 2004 (see r. 2)</w:t>
            </w:r>
          </w:p>
        </w:tc>
      </w:tr>
      <w:tr>
        <w:tc>
          <w:tcPr>
            <w:tcW w:w="3118" w:type="dxa"/>
          </w:tcPr>
          <w:p>
            <w:pPr>
              <w:pStyle w:val="nTable"/>
              <w:spacing w:after="40"/>
              <w:rPr>
                <w:i/>
                <w:sz w:val="19"/>
              </w:rPr>
            </w:pPr>
            <w:r>
              <w:rPr>
                <w:i/>
                <w:sz w:val="19"/>
              </w:rPr>
              <w:t>Health (Treatment of Sewage and Disposal of Effluent and Liquid Waste) Amendment Regulations (No. 5) 2004</w:t>
            </w:r>
          </w:p>
        </w:tc>
        <w:tc>
          <w:tcPr>
            <w:tcW w:w="1276" w:type="dxa"/>
          </w:tcPr>
          <w:p>
            <w:pPr>
              <w:pStyle w:val="nTable"/>
              <w:spacing w:after="40"/>
              <w:rPr>
                <w:sz w:val="19"/>
              </w:rPr>
            </w:pPr>
            <w:r>
              <w:rPr>
                <w:sz w:val="19"/>
              </w:rPr>
              <w:t>30 Dec 2004 p. 6937-8</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c>
          <w:tcPr>
            <w:tcW w:w="3118" w:type="dxa"/>
          </w:tcPr>
          <w:p>
            <w:pPr>
              <w:pStyle w:val="nTable"/>
              <w:spacing w:after="40"/>
              <w:rPr>
                <w:i/>
                <w:sz w:val="19"/>
              </w:rPr>
            </w:pPr>
            <w:r>
              <w:rPr>
                <w:i/>
                <w:sz w:val="19"/>
              </w:rPr>
              <w:t>Health (Treatment of Sewage and Disposal of Effluent and Liquid Waste) Amendment Regulations 2005</w:t>
            </w:r>
          </w:p>
        </w:tc>
        <w:tc>
          <w:tcPr>
            <w:tcW w:w="1276" w:type="dxa"/>
          </w:tcPr>
          <w:p>
            <w:pPr>
              <w:pStyle w:val="nTable"/>
              <w:spacing w:after="40"/>
              <w:rPr>
                <w:sz w:val="19"/>
              </w:rPr>
            </w:pPr>
            <w:r>
              <w:rPr>
                <w:sz w:val="19"/>
              </w:rPr>
              <w:t>7 Jan 2005 p. 64</w:t>
            </w:r>
            <w:r>
              <w:rPr>
                <w:sz w:val="19"/>
              </w:rPr>
              <w:noBreakHyphen/>
              <w:t>70</w:t>
            </w:r>
          </w:p>
        </w:tc>
        <w:tc>
          <w:tcPr>
            <w:tcW w:w="2693" w:type="dxa"/>
          </w:tcPr>
          <w:p>
            <w:pPr>
              <w:pStyle w:val="nTable"/>
              <w:spacing w:after="40"/>
              <w:rPr>
                <w:sz w:val="19"/>
              </w:rPr>
            </w:pPr>
            <w:r>
              <w:rPr>
                <w:sz w:val="19"/>
              </w:rPr>
              <w:t>1 Feb 2005 (see r. 2)</w:t>
            </w:r>
          </w:p>
        </w:tc>
      </w:tr>
      <w:tr>
        <w:tc>
          <w:tcPr>
            <w:tcW w:w="3118" w:type="dxa"/>
          </w:tcPr>
          <w:p>
            <w:pPr>
              <w:pStyle w:val="nTable"/>
              <w:spacing w:after="40"/>
              <w:rPr>
                <w:i/>
                <w:sz w:val="19"/>
              </w:rPr>
            </w:pPr>
            <w:r>
              <w:rPr>
                <w:i/>
                <w:sz w:val="19"/>
              </w:rPr>
              <w:t>Health (Treatment of Sewage and Disposal of Effluent and Liquid Waste) Amendment Regulations (No. 2) 2005</w:t>
            </w:r>
          </w:p>
        </w:tc>
        <w:tc>
          <w:tcPr>
            <w:tcW w:w="1276" w:type="dxa"/>
          </w:tcPr>
          <w:p>
            <w:pPr>
              <w:pStyle w:val="nTable"/>
              <w:spacing w:after="40"/>
              <w:rPr>
                <w:sz w:val="19"/>
              </w:rPr>
            </w:pPr>
            <w:r>
              <w:rPr>
                <w:sz w:val="19"/>
              </w:rPr>
              <w:t>31 May 2005 p. 2411</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Reprint 4: The</w:t>
            </w:r>
            <w:r>
              <w:rPr>
                <w:b/>
                <w:i/>
                <w:sz w:val="19"/>
              </w:rPr>
              <w:t xml:space="preserve"> Health (Treatment of Sewage and Disposal of Effluent and Liquid Waste) Regulations 1974</w:t>
            </w:r>
            <w:r>
              <w:rPr>
                <w:b/>
                <w:sz w:val="19"/>
              </w:rPr>
              <w:t xml:space="preserve"> as at 7 Oct 2005</w:t>
            </w:r>
            <w:r>
              <w:rPr>
                <w:sz w:val="19"/>
              </w:rPr>
              <w:t xml:space="preserve"> (includes amendments listed above)</w:t>
            </w:r>
          </w:p>
        </w:tc>
      </w:tr>
      <w:tr>
        <w:tc>
          <w:tcPr>
            <w:tcW w:w="3118" w:type="dxa"/>
          </w:tcPr>
          <w:p>
            <w:pPr>
              <w:pStyle w:val="nTable"/>
              <w:spacing w:after="40"/>
              <w:rPr>
                <w:bCs/>
                <w:sz w:val="19"/>
                <w:vertAlign w:val="superscript"/>
              </w:rPr>
            </w:pPr>
            <w:r>
              <w:rPr>
                <w:bCs/>
                <w:i/>
                <w:sz w:val="19"/>
              </w:rPr>
              <w:t>Health (Treatment of Sewage and Disposal of Effluent and Liquid Waste) Amendment Regulations 2006</w:t>
            </w:r>
          </w:p>
        </w:tc>
        <w:tc>
          <w:tcPr>
            <w:tcW w:w="1276" w:type="dxa"/>
          </w:tcPr>
          <w:p>
            <w:pPr>
              <w:pStyle w:val="nTable"/>
              <w:spacing w:after="40"/>
              <w:rPr>
                <w:sz w:val="19"/>
              </w:rPr>
            </w:pPr>
            <w:r>
              <w:rPr>
                <w:sz w:val="19"/>
              </w:rPr>
              <w:t>2 May 2006 p. 1702</w:t>
            </w:r>
          </w:p>
        </w:tc>
        <w:tc>
          <w:tcPr>
            <w:tcW w:w="2693" w:type="dxa"/>
          </w:tcPr>
          <w:p>
            <w:pPr>
              <w:pStyle w:val="nTable"/>
              <w:spacing w:after="40"/>
              <w:rPr>
                <w:sz w:val="19"/>
              </w:rPr>
            </w:pPr>
            <w:r>
              <w:rPr>
                <w:sz w:val="19"/>
              </w:rPr>
              <w:t>1 Jul 2006 (see r. 2)</w:t>
            </w:r>
          </w:p>
        </w:tc>
      </w:tr>
      <w:tr>
        <w:tc>
          <w:tcPr>
            <w:tcW w:w="3118" w:type="dxa"/>
          </w:tcPr>
          <w:p>
            <w:pPr>
              <w:pStyle w:val="nTable"/>
              <w:spacing w:after="40"/>
              <w:rPr>
                <w:bCs/>
                <w:i/>
                <w:sz w:val="19"/>
              </w:rPr>
            </w:pPr>
            <w:r>
              <w:rPr>
                <w:i/>
                <w:sz w:val="19"/>
              </w:rPr>
              <w:t>Health (Treatment of Sewage and Disposal of Effluent and Liquid Waste) Amendment Regulations 2007</w:t>
            </w:r>
            <w:r>
              <w:t xml:space="preserve"> </w:t>
            </w:r>
          </w:p>
        </w:tc>
        <w:tc>
          <w:tcPr>
            <w:tcW w:w="1276" w:type="dxa"/>
          </w:tcPr>
          <w:p>
            <w:pPr>
              <w:pStyle w:val="nTable"/>
              <w:spacing w:after="40"/>
              <w:rPr>
                <w:sz w:val="19"/>
              </w:rPr>
            </w:pPr>
            <w:r>
              <w:rPr>
                <w:sz w:val="19"/>
              </w:rPr>
              <w:t>18 May 2007 p. 2253</w:t>
            </w:r>
          </w:p>
        </w:tc>
        <w:tc>
          <w:tcPr>
            <w:tcW w:w="2693" w:type="dxa"/>
          </w:tcPr>
          <w:p>
            <w:pPr>
              <w:pStyle w:val="nTable"/>
              <w:spacing w:after="40"/>
              <w:rPr>
                <w:sz w:val="19"/>
              </w:rPr>
            </w:pPr>
            <w:r>
              <w:rPr>
                <w:sz w:val="19"/>
              </w:rPr>
              <w:t>1 Jul 2007 (see r. 2)</w:t>
            </w:r>
          </w:p>
        </w:tc>
      </w:tr>
      <w:tr>
        <w:trPr>
          <w:ins w:id="821" w:author="Master Repository Process" w:date="2021-08-28T14:30:00Z"/>
        </w:trPr>
        <w:tc>
          <w:tcPr>
            <w:tcW w:w="3118" w:type="dxa"/>
            <w:tcBorders>
              <w:bottom w:val="single" w:sz="4" w:space="0" w:color="auto"/>
            </w:tcBorders>
          </w:tcPr>
          <w:p>
            <w:pPr>
              <w:pStyle w:val="nTable"/>
              <w:spacing w:after="40"/>
              <w:rPr>
                <w:ins w:id="822" w:author="Master Repository Process" w:date="2021-08-28T14:30:00Z"/>
                <w:i/>
                <w:sz w:val="19"/>
              </w:rPr>
            </w:pPr>
            <w:ins w:id="823" w:author="Master Repository Process" w:date="2021-08-28T14:30:00Z">
              <w:r>
                <w:rPr>
                  <w:i/>
                  <w:sz w:val="19"/>
                </w:rPr>
                <w:t>Health (Treatment of Sewage and Disposal of Effluent and Liquid Waste) Amendment Regulations 2008</w:t>
              </w:r>
              <w:r>
                <w:rPr>
                  <w:iCs/>
                  <w:sz w:val="19"/>
                </w:rPr>
                <w:t> r. 1 and 2</w:t>
              </w:r>
            </w:ins>
          </w:p>
        </w:tc>
        <w:tc>
          <w:tcPr>
            <w:tcW w:w="1276" w:type="dxa"/>
            <w:tcBorders>
              <w:bottom w:val="single" w:sz="4" w:space="0" w:color="auto"/>
            </w:tcBorders>
          </w:tcPr>
          <w:p>
            <w:pPr>
              <w:pStyle w:val="nTable"/>
              <w:spacing w:after="40"/>
              <w:rPr>
                <w:ins w:id="824" w:author="Master Repository Process" w:date="2021-08-28T14:30:00Z"/>
                <w:sz w:val="19"/>
              </w:rPr>
            </w:pPr>
            <w:ins w:id="825" w:author="Master Repository Process" w:date="2021-08-28T14:30:00Z">
              <w:r>
                <w:rPr>
                  <w:sz w:val="19"/>
                </w:rPr>
                <w:t>4 Apr 2008 p. 1309</w:t>
              </w:r>
            </w:ins>
          </w:p>
        </w:tc>
        <w:tc>
          <w:tcPr>
            <w:tcW w:w="2693" w:type="dxa"/>
            <w:tcBorders>
              <w:bottom w:val="single" w:sz="4" w:space="0" w:color="auto"/>
            </w:tcBorders>
          </w:tcPr>
          <w:p>
            <w:pPr>
              <w:pStyle w:val="nTable"/>
              <w:spacing w:after="40"/>
              <w:rPr>
                <w:ins w:id="826" w:author="Master Repository Process" w:date="2021-08-28T14:30:00Z"/>
                <w:sz w:val="19"/>
              </w:rPr>
            </w:pPr>
            <w:ins w:id="827" w:author="Master Repository Process" w:date="2021-08-28T14:30:00Z">
              <w:r>
                <w:rPr>
                  <w:sz w:val="19"/>
                </w:rPr>
                <w:t>4 Apr 2008 (see r. 2(a))</w:t>
              </w:r>
            </w:ins>
          </w:p>
        </w:tc>
      </w:tr>
    </w:tbl>
    <w:p>
      <w:pPr>
        <w:pStyle w:val="nSubsection"/>
        <w:tabs>
          <w:tab w:val="clear" w:pos="454"/>
          <w:tab w:val="left" w:pos="567"/>
        </w:tabs>
        <w:spacing w:before="120"/>
        <w:ind w:left="567" w:hanging="567"/>
        <w:rPr>
          <w:ins w:id="828" w:author="Master Repository Process" w:date="2021-08-28T14:30:00Z"/>
          <w:snapToGrid w:val="0"/>
        </w:rPr>
      </w:pPr>
      <w:ins w:id="829" w:author="Master Repository Process" w:date="2021-08-28T14:3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830" w:author="Master Repository Process" w:date="2021-08-28T14:30:00Z"/>
        </w:rPr>
      </w:pPr>
      <w:bookmarkStart w:id="831" w:name="_Toc7405065"/>
      <w:bookmarkStart w:id="832" w:name="_Toc181500909"/>
      <w:bookmarkStart w:id="833" w:name="_Toc193100050"/>
      <w:bookmarkStart w:id="834" w:name="_Toc195003289"/>
      <w:bookmarkStart w:id="835" w:name="_Toc195070082"/>
      <w:ins w:id="836" w:author="Master Repository Process" w:date="2021-08-28T14:30:00Z">
        <w:r>
          <w:t>Provisions that have not come into operation</w:t>
        </w:r>
        <w:bookmarkEnd w:id="831"/>
        <w:bookmarkEnd w:id="832"/>
        <w:bookmarkEnd w:id="833"/>
        <w:bookmarkEnd w:id="834"/>
        <w:bookmarkEnd w:id="835"/>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837" w:author="Master Repository Process" w:date="2021-08-28T14:30:00Z"/>
        </w:trPr>
        <w:tc>
          <w:tcPr>
            <w:tcW w:w="3119" w:type="dxa"/>
            <w:tcBorders>
              <w:top w:val="single" w:sz="8" w:space="0" w:color="auto"/>
              <w:bottom w:val="single" w:sz="8" w:space="0" w:color="auto"/>
            </w:tcBorders>
          </w:tcPr>
          <w:p>
            <w:pPr>
              <w:pStyle w:val="nTable"/>
              <w:spacing w:after="40"/>
              <w:ind w:right="113"/>
              <w:rPr>
                <w:ins w:id="838" w:author="Master Repository Process" w:date="2021-08-28T14:30:00Z"/>
                <w:b/>
                <w:sz w:val="19"/>
              </w:rPr>
            </w:pPr>
            <w:ins w:id="839" w:author="Master Repository Process" w:date="2021-08-28T14:30:00Z">
              <w:r>
                <w:rPr>
                  <w:b/>
                  <w:sz w:val="19"/>
                </w:rPr>
                <w:t>Citation</w:t>
              </w:r>
            </w:ins>
          </w:p>
        </w:tc>
        <w:tc>
          <w:tcPr>
            <w:tcW w:w="1276" w:type="dxa"/>
            <w:tcBorders>
              <w:top w:val="single" w:sz="8" w:space="0" w:color="auto"/>
              <w:bottom w:val="single" w:sz="8" w:space="0" w:color="auto"/>
            </w:tcBorders>
          </w:tcPr>
          <w:p>
            <w:pPr>
              <w:pStyle w:val="nTable"/>
              <w:spacing w:after="40"/>
              <w:rPr>
                <w:ins w:id="840" w:author="Master Repository Process" w:date="2021-08-28T14:30:00Z"/>
                <w:b/>
                <w:sz w:val="19"/>
              </w:rPr>
            </w:pPr>
            <w:ins w:id="841" w:author="Master Repository Process" w:date="2021-08-28T14:30:00Z">
              <w:r>
                <w:rPr>
                  <w:b/>
                  <w:sz w:val="19"/>
                </w:rPr>
                <w:t>Gazettal</w:t>
              </w:r>
            </w:ins>
          </w:p>
        </w:tc>
        <w:tc>
          <w:tcPr>
            <w:tcW w:w="2693" w:type="dxa"/>
            <w:tcBorders>
              <w:top w:val="single" w:sz="8" w:space="0" w:color="auto"/>
              <w:bottom w:val="single" w:sz="8" w:space="0" w:color="auto"/>
            </w:tcBorders>
          </w:tcPr>
          <w:p>
            <w:pPr>
              <w:pStyle w:val="nTable"/>
              <w:spacing w:after="40"/>
              <w:rPr>
                <w:ins w:id="842" w:author="Master Repository Process" w:date="2021-08-28T14:30:00Z"/>
                <w:b/>
                <w:sz w:val="19"/>
              </w:rPr>
            </w:pPr>
            <w:ins w:id="843" w:author="Master Repository Process" w:date="2021-08-28T14:30:00Z">
              <w:r>
                <w:rPr>
                  <w:b/>
                  <w:sz w:val="19"/>
                </w:rPr>
                <w:t>Commencement</w:t>
              </w:r>
            </w:ins>
          </w:p>
        </w:tc>
      </w:tr>
      <w:tr>
        <w:trPr>
          <w:cantSplit/>
          <w:ins w:id="844" w:author="Master Repository Process" w:date="2021-08-28T14:30:00Z"/>
        </w:trPr>
        <w:tc>
          <w:tcPr>
            <w:tcW w:w="3119" w:type="dxa"/>
            <w:tcBorders>
              <w:top w:val="single" w:sz="8" w:space="0" w:color="auto"/>
              <w:bottom w:val="single" w:sz="4" w:space="0" w:color="auto"/>
            </w:tcBorders>
          </w:tcPr>
          <w:p>
            <w:pPr>
              <w:pStyle w:val="nTable"/>
              <w:spacing w:after="40"/>
              <w:ind w:right="113"/>
              <w:rPr>
                <w:ins w:id="845" w:author="Master Repository Process" w:date="2021-08-28T14:30:00Z"/>
                <w:iCs/>
                <w:sz w:val="19"/>
                <w:vertAlign w:val="superscript"/>
              </w:rPr>
            </w:pPr>
            <w:ins w:id="846" w:author="Master Repository Process" w:date="2021-08-28T14:30:00Z">
              <w:r>
                <w:rPr>
                  <w:i/>
                  <w:sz w:val="19"/>
                </w:rPr>
                <w:t>Health (Treatment of Sewage and Disposal of Effluent and Liquid Waste) Amendment Regulations 2008</w:t>
              </w:r>
              <w:r>
                <w:rPr>
                  <w:iCs/>
                  <w:sz w:val="19"/>
                </w:rPr>
                <w:t> r. 3 and 4 </w:t>
              </w:r>
              <w:r>
                <w:rPr>
                  <w:iCs/>
                  <w:sz w:val="19"/>
                  <w:vertAlign w:val="superscript"/>
                </w:rPr>
                <w:t>8</w:t>
              </w:r>
            </w:ins>
          </w:p>
        </w:tc>
        <w:tc>
          <w:tcPr>
            <w:tcW w:w="1276" w:type="dxa"/>
            <w:tcBorders>
              <w:top w:val="single" w:sz="8" w:space="0" w:color="auto"/>
              <w:bottom w:val="single" w:sz="4" w:space="0" w:color="auto"/>
            </w:tcBorders>
          </w:tcPr>
          <w:p>
            <w:pPr>
              <w:pStyle w:val="nTable"/>
              <w:spacing w:after="40"/>
              <w:rPr>
                <w:ins w:id="847" w:author="Master Repository Process" w:date="2021-08-28T14:30:00Z"/>
                <w:sz w:val="19"/>
              </w:rPr>
            </w:pPr>
            <w:ins w:id="848" w:author="Master Repository Process" w:date="2021-08-28T14:30:00Z">
              <w:r>
                <w:rPr>
                  <w:sz w:val="19"/>
                </w:rPr>
                <w:t>4 Apr 2008 p. 1309</w:t>
              </w:r>
            </w:ins>
          </w:p>
        </w:tc>
        <w:tc>
          <w:tcPr>
            <w:tcW w:w="2693" w:type="dxa"/>
            <w:tcBorders>
              <w:top w:val="single" w:sz="8" w:space="0" w:color="auto"/>
              <w:bottom w:val="single" w:sz="4" w:space="0" w:color="auto"/>
            </w:tcBorders>
          </w:tcPr>
          <w:p>
            <w:pPr>
              <w:pStyle w:val="nTable"/>
              <w:spacing w:after="40"/>
              <w:rPr>
                <w:ins w:id="849" w:author="Master Repository Process" w:date="2021-08-28T14:30:00Z"/>
                <w:sz w:val="19"/>
              </w:rPr>
            </w:pPr>
            <w:ins w:id="850" w:author="Master Repository Process" w:date="2021-08-28T14:30:00Z">
              <w:r>
                <w:rPr>
                  <w:sz w:val="19"/>
                </w:rPr>
                <w:t>1 Jul 2008 (see r. 2(b))</w:t>
              </w:r>
            </w:ins>
          </w:p>
        </w:tc>
      </w:tr>
    </w:tbl>
    <w:p>
      <w:pPr>
        <w:pStyle w:val="nSubsection"/>
        <w:rPr>
          <w:ins w:id="851" w:author="Master Repository Process" w:date="2021-08-28T14:30:00Z"/>
          <w:vertAlign w:val="superscript"/>
        </w:rPr>
      </w:pPr>
    </w:p>
    <w:p>
      <w:pPr>
        <w:pStyle w:val="nSubsection"/>
      </w:pPr>
      <w:r>
        <w:rPr>
          <w:vertAlign w:val="superscript"/>
        </w:rPr>
        <w:t>2</w:t>
      </w:r>
      <w:r>
        <w:tab/>
        <w:t xml:space="preserve">Repealed by the </w:t>
      </w:r>
      <w:r>
        <w:rPr>
          <w:i/>
          <w:iCs/>
        </w:rPr>
        <w:t>Environmental Protection (Liquid Waste) Repeal Regulations 2003</w:t>
      </w:r>
      <w:r>
        <w:t>.</w:t>
      </w:r>
    </w:p>
    <w:p>
      <w:pPr>
        <w:pStyle w:val="nSubsection"/>
        <w:rPr>
          <w:snapToGrid w:val="0"/>
        </w:rPr>
      </w:pPr>
      <w:r>
        <w:rPr>
          <w:snapToGrid w:val="0"/>
          <w:vertAlign w:val="superscript"/>
        </w:rPr>
        <w:t>3</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pPr>
      <w:r>
        <w:rPr>
          <w:snapToGrid w:val="0"/>
          <w:vertAlign w:val="superscript"/>
        </w:rPr>
        <w:t>4</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pPr>
      <w:r>
        <w:rPr>
          <w:snapToGrid w:val="0"/>
          <w:vertAlign w:val="superscript"/>
        </w:rPr>
        <w:t>5</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bookmarkStart w:id="852" w:name="UpToHere"/>
      <w:bookmarkEnd w:id="852"/>
    </w:p>
    <w:p>
      <w:pPr>
        <w:pStyle w:val="nSubsection"/>
        <w:rPr>
          <w:snapToGrid w:val="0"/>
        </w:rPr>
      </w:pPr>
      <w:r>
        <w:rPr>
          <w:snapToGrid w:val="0"/>
          <w:vertAlign w:val="superscript"/>
        </w:rPr>
        <w:t>6</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rPr>
          <w:lang w:val="en-US"/>
        </w:rPr>
      </w:pPr>
      <w:r>
        <w:rPr>
          <w:vertAlign w:val="superscript"/>
          <w:lang w:val="en-US"/>
        </w:rPr>
        <w:t>7</w:t>
      </w:r>
      <w:r>
        <w:rPr>
          <w:lang w:val="en-US"/>
        </w:rPr>
        <w:tab/>
        <w:t xml:space="preserve">If, because of an error made in r. 2, the </w:t>
      </w:r>
      <w:r>
        <w:rPr>
          <w:i/>
          <w:iCs/>
          <w:lang w:val="en-US"/>
        </w:rPr>
        <w:t xml:space="preserve">Health (Treatment of Sewage and Disposal of Effluent and Liquid Waste) Amendment Regulations 2004 </w:t>
      </w:r>
      <w:r>
        <w:rPr>
          <w:lang w:val="en-US"/>
        </w:rPr>
        <w:t xml:space="preserve">did not come into operation before 24 Aug 2004, the amendments were made on that day by the </w:t>
      </w:r>
      <w:r>
        <w:rPr>
          <w:i/>
          <w:iCs/>
          <w:lang w:val="en-US"/>
        </w:rPr>
        <w:t>Health (Treatment of Sewage and Disposal of Effluent and Liquid Waste) Amendment Regulations (No. 4) 2004</w:t>
      </w:r>
      <w:r>
        <w:rPr>
          <w:lang w:val="en-US"/>
        </w:rPr>
        <w:t xml:space="preserve">, but otherwise the </w:t>
      </w:r>
      <w:r>
        <w:rPr>
          <w:i/>
          <w:iCs/>
          <w:lang w:val="en-US"/>
        </w:rPr>
        <w:t xml:space="preserve">Health (Treatment of Sewage and Disposal of Effluent and Liquid Waste) Amendment Regulations (No. 4) 2004 </w:t>
      </w:r>
      <w:r>
        <w:rPr>
          <w:lang w:val="en-US"/>
        </w:rPr>
        <w:t>do not come into operation.</w:t>
      </w:r>
    </w:p>
    <w:p>
      <w:pPr>
        <w:pStyle w:val="nSubsection"/>
        <w:keepLines/>
        <w:rPr>
          <w:ins w:id="853" w:author="Master Repository Process" w:date="2021-08-28T14:30:00Z"/>
          <w:snapToGrid w:val="0"/>
        </w:rPr>
      </w:pPr>
      <w:ins w:id="854" w:author="Master Repository Process" w:date="2021-08-28T14:30:00Z">
        <w:r>
          <w:rPr>
            <w:snapToGrid w:val="0"/>
            <w:vertAlign w:val="superscript"/>
          </w:rPr>
          <w:t>8</w:t>
        </w:r>
        <w:r>
          <w:rPr>
            <w:snapToGrid w:val="0"/>
            <w:vertAlign w:val="superscript"/>
          </w:rPr>
          <w:tab/>
        </w:r>
        <w:r>
          <w:t xml:space="preserve">On the date as at which this compilation was prepared, </w:t>
        </w:r>
        <w:r>
          <w:rPr>
            <w:snapToGrid w:val="0"/>
          </w:rPr>
          <w:t xml:space="preserve">the </w:t>
        </w:r>
        <w:r>
          <w:rPr>
            <w:i/>
          </w:rPr>
          <w:t xml:space="preserve">Health (Treatment of Sewage and Disposal of Effluent and Liquid Waste) Amendment Regulations 2008 </w:t>
        </w:r>
        <w:r>
          <w:rPr>
            <w:iCs/>
          </w:rPr>
          <w:t xml:space="preserve">r. 3 and 4 </w:t>
        </w:r>
        <w:r>
          <w:rPr>
            <w:snapToGrid w:val="0"/>
          </w:rPr>
          <w:t>had not come into operation.  They read as follows:</w:t>
        </w:r>
      </w:ins>
    </w:p>
    <w:p>
      <w:pPr>
        <w:pStyle w:val="MiscOpen"/>
        <w:rPr>
          <w:ins w:id="855" w:author="Master Repository Process" w:date="2021-08-28T14:30:00Z"/>
        </w:rPr>
      </w:pPr>
      <w:ins w:id="856" w:author="Master Repository Process" w:date="2021-08-28T14:30:00Z">
        <w:r>
          <w:t>“</w:t>
        </w:r>
      </w:ins>
    </w:p>
    <w:p>
      <w:pPr>
        <w:pStyle w:val="nzHeading5"/>
        <w:rPr>
          <w:ins w:id="857" w:author="Master Repository Process" w:date="2021-08-28T14:30:00Z"/>
          <w:snapToGrid w:val="0"/>
        </w:rPr>
      </w:pPr>
      <w:ins w:id="858" w:author="Master Repository Process" w:date="2021-08-28T14:30:00Z">
        <w:r>
          <w:rPr>
            <w:rStyle w:val="CharSectno"/>
          </w:rPr>
          <w:t>3</w:t>
        </w:r>
        <w:r>
          <w:rPr>
            <w:snapToGrid w:val="0"/>
          </w:rPr>
          <w:t>.</w:t>
        </w:r>
        <w:r>
          <w:rPr>
            <w:snapToGrid w:val="0"/>
          </w:rPr>
          <w:tab/>
          <w:t>The regulations amended</w:t>
        </w:r>
      </w:ins>
    </w:p>
    <w:p>
      <w:pPr>
        <w:pStyle w:val="nzSubsection"/>
        <w:rPr>
          <w:ins w:id="859" w:author="Master Repository Process" w:date="2021-08-28T14:30:00Z"/>
        </w:rPr>
      </w:pPr>
      <w:ins w:id="860" w:author="Master Repository Process" w:date="2021-08-28T14:30:00Z">
        <w:r>
          <w:tab/>
        </w:r>
        <w:r>
          <w:tab/>
          <w:t xml:space="preserve">The amendments in </w:t>
        </w:r>
        <w:r>
          <w:rPr>
            <w:spacing w:val="-2"/>
          </w:rPr>
          <w:t>these</w:t>
        </w:r>
        <w:r>
          <w:t xml:space="preserve"> regulations are to the </w:t>
        </w:r>
        <w:r>
          <w:rPr>
            <w:i/>
          </w:rPr>
          <w:t>Health (Treatment of Sewage and Disposal of Effluent and Liquid Waste) Regulations 1974</w:t>
        </w:r>
        <w:r>
          <w:t>.</w:t>
        </w:r>
      </w:ins>
    </w:p>
    <w:p>
      <w:pPr>
        <w:pStyle w:val="nzHeading5"/>
        <w:rPr>
          <w:ins w:id="861" w:author="Master Repository Process" w:date="2021-08-28T14:30:00Z"/>
        </w:rPr>
      </w:pPr>
      <w:ins w:id="862" w:author="Master Repository Process" w:date="2021-08-28T14:30:00Z">
        <w:r>
          <w:rPr>
            <w:rStyle w:val="CharSectno"/>
          </w:rPr>
          <w:t>4</w:t>
        </w:r>
        <w:r>
          <w:t>.</w:t>
        </w:r>
        <w:r>
          <w:tab/>
          <w:t>Schedule 1 amended</w:t>
        </w:r>
      </w:ins>
    </w:p>
    <w:p>
      <w:pPr>
        <w:pStyle w:val="nzSubsection"/>
        <w:rPr>
          <w:ins w:id="863" w:author="Master Repository Process" w:date="2021-08-28T14:30:00Z"/>
        </w:rPr>
      </w:pPr>
      <w:ins w:id="864" w:author="Master Repository Process" w:date="2021-08-28T14:30:00Z">
        <w:r>
          <w:tab/>
        </w:r>
        <w:r>
          <w:tab/>
          <w:t xml:space="preserve">Schedule 1 is amended by deleting “101.00” in both places where it occurs and inserting instead — </w:t>
        </w:r>
      </w:ins>
    </w:p>
    <w:p>
      <w:pPr>
        <w:pStyle w:val="nzSubsection"/>
        <w:rPr>
          <w:ins w:id="865" w:author="Master Repository Process" w:date="2021-08-28T14:30:00Z"/>
        </w:rPr>
      </w:pPr>
      <w:ins w:id="866" w:author="Master Repository Process" w:date="2021-08-28T14:30:00Z">
        <w:r>
          <w:tab/>
        </w:r>
        <w:r>
          <w:tab/>
          <w:t xml:space="preserve">“    </w:t>
        </w:r>
        <w:r>
          <w:rPr>
            <w:sz w:val="22"/>
          </w:rPr>
          <w:t>104.00</w:t>
        </w:r>
        <w:r>
          <w:t xml:space="preserve">    ”.</w:t>
        </w:r>
      </w:ins>
    </w:p>
    <w:p>
      <w:pPr>
        <w:pStyle w:val="MiscClose"/>
        <w:rPr>
          <w:ins w:id="867" w:author="Master Repository Process" w:date="2021-08-28T14:30:00Z"/>
        </w:rPr>
      </w:pPr>
      <w:ins w:id="868" w:author="Master Repository Process" w:date="2021-08-28T14:30:00Z">
        <w:r>
          <w:t>”.</w:t>
        </w:r>
      </w:ins>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headerReference w:type="default" r:id="rId40"/>
      <w:headerReference w:type="first" r:id="rId4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04-e0-02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04-f0-01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Health (Treatment of Sewage and Disposal of Effluent and Liquid Waste) Regulations 1974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r>
            <w:rPr>
              <w:spacing w:val="-4"/>
            </w:rPr>
            <w:fldChar w:fldCharType="begin"/>
          </w:r>
          <w:r>
            <w:rPr>
              <w:spacing w:val="-4"/>
            </w:rPr>
            <w:instrText xml:space="preserve"> STYLEREF CharSchText \* MERGEFORMAT </w:instrText>
          </w:r>
          <w:r>
            <w:rPr>
              <w:spacing w:val="-4"/>
            </w:rPr>
            <w:fldChar w:fldCharType="end"/>
          </w: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spacing w:val="-4"/>
            </w:rPr>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42" w:type="dxa"/>
        </w:tcPr>
        <w:p>
          <w:pPr>
            <w:pStyle w:val="HeaderTextRight"/>
          </w:pPr>
          <w:r>
            <w:rPr>
              <w:spacing w:val="-4"/>
            </w:rPr>
            <w:fldChar w:fldCharType="begin"/>
          </w:r>
          <w:r>
            <w:rPr>
              <w:spacing w:val="-4"/>
            </w:rPr>
            <w:instrText xml:space="preserve"> STYLEREF CharSchText \* MERGEFORMAT </w:instrText>
          </w:r>
          <w:r>
            <w:rPr>
              <w:spacing w:val="-4"/>
            </w:rPr>
            <w:fldChar w:fldCharType="end"/>
          </w: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tabs>
              <w:tab w:val="left" w:pos="2010"/>
            </w:tabs>
            <w:jc w:val="left"/>
          </w:pPr>
          <w:r>
            <w:tab/>
          </w:r>
        </w:p>
      </w:tc>
      <w:tc>
        <w:tcPr>
          <w:tcW w:w="1521" w:type="dxa"/>
        </w:tcPr>
        <w:p>
          <w:pPr>
            <w:pStyle w:val="HeaderNumberRight"/>
            <w:ind w:right="17"/>
          </w:pPr>
        </w:p>
      </w:tc>
    </w:tr>
    <w:tr>
      <w:trPr>
        <w:cantSplit/>
      </w:trPr>
      <w:tc>
        <w:tcPr>
          <w:tcW w:w="5742" w:type="dxa"/>
        </w:tcPr>
        <w:p>
          <w:pPr>
            <w:pStyle w:val="HeaderSectionRight"/>
            <w:ind w:right="17"/>
            <w:rPr>
              <w:spacing w:val="-4"/>
            </w:rPr>
          </w:pPr>
        </w:p>
      </w:tc>
      <w:tc>
        <w:tcPr>
          <w:tcW w:w="1521"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Health (Treatment of Sewage and Disposal of Effluent and Liquid Waste)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Health (Treatment of Sewage and Disposal of Effluent and Liquid Waste)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Health (Treatment of Sewage and Disposal of Effluent and Liquid Waste) Regulations 1974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EC24C6C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0BC4B0E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7E18EF6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74967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8C82C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3C834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D262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1F255A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96268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15AAE3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31FE2F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407682FE"/>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9"/>
    <o:shapelayout v:ext="edit">
      <o:idmap v:ext="edit" data="1"/>
    </o:shapelayout>
  </w:shapeDefaults>
  <w:decimalSymbol w:val="."/>
  <w:listSeparator w:val=","/>
  <w15:docId w15:val="{0EA9A7DB-96CB-4742-AB79-B22DA45B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8.wmf"/><Relationship Id="rId39" Type="http://schemas.openxmlformats.org/officeDocument/2006/relationships/header" Target="header13.xml"/><Relationship Id="rId21" Type="http://schemas.openxmlformats.org/officeDocument/2006/relationships/image" Target="media/image3.png"/><Relationship Id="rId34" Type="http://schemas.openxmlformats.org/officeDocument/2006/relationships/header" Target="header8.xml"/><Relationship Id="rId42"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11.png"/><Relationship Id="rId41"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6.png"/><Relationship Id="rId32" Type="http://schemas.openxmlformats.org/officeDocument/2006/relationships/image" Target="media/image14.png"/><Relationship Id="rId37" Type="http://schemas.openxmlformats.org/officeDocument/2006/relationships/header" Target="header11.xml"/><Relationship Id="rId40" Type="http://schemas.openxmlformats.org/officeDocument/2006/relationships/header" Target="header14.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image" Target="media/image5.png"/><Relationship Id="rId28" Type="http://schemas.openxmlformats.org/officeDocument/2006/relationships/image" Target="media/image10.jpeg"/><Relationship Id="rId36" Type="http://schemas.openxmlformats.org/officeDocument/2006/relationships/header" Target="header10.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3.png"/><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9.png"/><Relationship Id="rId30" Type="http://schemas.openxmlformats.org/officeDocument/2006/relationships/image" Target="media/image12.png"/><Relationship Id="rId35" Type="http://schemas.openxmlformats.org/officeDocument/2006/relationships/header" Target="header9.xml"/><Relationship Id="rId43"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7.wmf"/><Relationship Id="rId33" Type="http://schemas.openxmlformats.org/officeDocument/2006/relationships/header" Target="header7.xml"/><Relationship Id="rId38"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17726</Words>
  <Characters>85794</Characters>
  <Application>Microsoft Office Word</Application>
  <DocSecurity>0</DocSecurity>
  <Lines>2767</Lines>
  <Paragraphs>1697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101823</CharactersWithSpaces>
  <SharedDoc>false</SharedDoc>
  <HLinks>
    <vt:vector size="60" baseType="variant">
      <vt:variant>
        <vt:i4>5373956</vt:i4>
      </vt:variant>
      <vt:variant>
        <vt:i4>92661</vt:i4>
      </vt:variant>
      <vt:variant>
        <vt:i4>1027</vt:i4>
      </vt:variant>
      <vt:variant>
        <vt:i4>1</vt:i4>
      </vt:variant>
      <vt:variant>
        <vt:lpwstr>P:\Scanning\health1.gif</vt:lpwstr>
      </vt:variant>
      <vt:variant>
        <vt:lpwstr/>
      </vt:variant>
      <vt:variant>
        <vt:i4>852064</vt:i4>
      </vt:variant>
      <vt:variant>
        <vt:i4>92663</vt:i4>
      </vt:variant>
      <vt:variant>
        <vt:i4>1028</vt:i4>
      </vt:variant>
      <vt:variant>
        <vt:i4>1</vt:i4>
      </vt:variant>
      <vt:variant>
        <vt:lpwstr>\\Pcosrv\public$\Scanning\health2.gif</vt:lpwstr>
      </vt:variant>
      <vt:variant>
        <vt:lpwstr/>
      </vt:variant>
      <vt:variant>
        <vt:i4>852065</vt:i4>
      </vt:variant>
      <vt:variant>
        <vt:i4>94204</vt:i4>
      </vt:variant>
      <vt:variant>
        <vt:i4>1029</vt:i4>
      </vt:variant>
      <vt:variant>
        <vt:i4>1</vt:i4>
      </vt:variant>
      <vt:variant>
        <vt:lpwstr>\\Pcosrv\public$\Scanning\health3.gif</vt:lpwstr>
      </vt:variant>
      <vt:variant>
        <vt:lpwstr/>
      </vt:variant>
      <vt:variant>
        <vt:i4>852074</vt:i4>
      </vt:variant>
      <vt:variant>
        <vt:i4>95090</vt:i4>
      </vt:variant>
      <vt:variant>
        <vt:i4>1030</vt:i4>
      </vt:variant>
      <vt:variant>
        <vt:i4>1</vt:i4>
      </vt:variant>
      <vt:variant>
        <vt:lpwstr>\\PCOSRV\PUBLIC$\Scanning\treat4.gif</vt:lpwstr>
      </vt:variant>
      <vt:variant>
        <vt:lpwstr/>
      </vt:variant>
      <vt:variant>
        <vt:i4>852069</vt:i4>
      </vt:variant>
      <vt:variant>
        <vt:i4>98467</vt:i4>
      </vt:variant>
      <vt:variant>
        <vt:i4>1031</vt:i4>
      </vt:variant>
      <vt:variant>
        <vt:i4>1</vt:i4>
      </vt:variant>
      <vt:variant>
        <vt:lpwstr>\\Pcosrv\public$\Scanning\health7.gif</vt:lpwstr>
      </vt:variant>
      <vt:variant>
        <vt:lpwstr/>
      </vt:variant>
      <vt:variant>
        <vt:i4>7995459</vt:i4>
      </vt:variant>
      <vt:variant>
        <vt:i4>100262</vt:i4>
      </vt:variant>
      <vt:variant>
        <vt:i4>1032</vt:i4>
      </vt:variant>
      <vt:variant>
        <vt:i4>1</vt:i4>
      </vt:variant>
      <vt:variant>
        <vt:lpwstr>P:\Healthcd.jpg</vt:lpwstr>
      </vt:variant>
      <vt:variant>
        <vt:lpwstr/>
      </vt:variant>
      <vt:variant>
        <vt:i4>852074</vt:i4>
      </vt:variant>
      <vt:variant>
        <vt:i4>100948</vt:i4>
      </vt:variant>
      <vt:variant>
        <vt:i4>1033</vt:i4>
      </vt:variant>
      <vt:variant>
        <vt:i4>1</vt:i4>
      </vt:variant>
      <vt:variant>
        <vt:lpwstr>\\Pcosrv\public$\Scanning\health8.gif</vt:lpwstr>
      </vt:variant>
      <vt:variant>
        <vt:lpwstr/>
      </vt:variant>
      <vt:variant>
        <vt:i4>852075</vt:i4>
      </vt:variant>
      <vt:variant>
        <vt:i4>100982</vt:i4>
      </vt:variant>
      <vt:variant>
        <vt:i4>1034</vt:i4>
      </vt:variant>
      <vt:variant>
        <vt:i4>1</vt:i4>
      </vt:variant>
      <vt:variant>
        <vt:lpwstr>\\Pcosrv\public$\Scanning\health9.gif</vt:lpwstr>
      </vt:variant>
      <vt:variant>
        <vt:lpwstr/>
      </vt:variant>
      <vt:variant>
        <vt:i4>8060995</vt:i4>
      </vt:variant>
      <vt:variant>
        <vt:i4>101574</vt:i4>
      </vt:variant>
      <vt:variant>
        <vt:i4>1035</vt:i4>
      </vt:variant>
      <vt:variant>
        <vt:i4>1</vt:i4>
      </vt:variant>
      <vt:variant>
        <vt:lpwstr>\\Pcosrv\public$\Scanning\health10.gif</vt:lpwstr>
      </vt:variant>
      <vt:variant>
        <vt:lpwstr/>
      </vt:variant>
      <vt:variant>
        <vt:i4>7995459</vt:i4>
      </vt:variant>
      <vt:variant>
        <vt:i4>103300</vt:i4>
      </vt:variant>
      <vt:variant>
        <vt:i4>1025</vt:i4>
      </vt:variant>
      <vt:variant>
        <vt:i4>1</vt:i4>
      </vt:variant>
      <vt:variant>
        <vt:lpwstr>\\Pcosrv\public$\Scanning\health11.gif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04-e0-02 - 04-f0-01</dc:title>
  <dc:subject/>
  <dc:creator/>
  <cp:keywords/>
  <dc:description/>
  <cp:lastModifiedBy>Master Repository Process</cp:lastModifiedBy>
  <cp:revision>2</cp:revision>
  <cp:lastPrinted>2005-10-05T03:05:00Z</cp:lastPrinted>
  <dcterms:created xsi:type="dcterms:W3CDTF">2021-08-28T06:30:00Z</dcterms:created>
  <dcterms:modified xsi:type="dcterms:W3CDTF">2021-08-28T06:30:00Z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CommencementDate">
    <vt:lpwstr>20080404</vt:lpwstr>
  </property>
  <property fmtid="{D5CDD505-2E9C-101B-9397-08002B2CF9AE}" pid="4" name="DocumentType">
    <vt:lpwstr>Reg</vt:lpwstr>
  </property>
  <property fmtid="{D5CDD505-2E9C-101B-9397-08002B2CF9AE}" pid="5" name="OwlsUID">
    <vt:i4>4496</vt:i4>
  </property>
  <property fmtid="{D5CDD505-2E9C-101B-9397-08002B2CF9AE}" pid="6" name="ReprintNo">
    <vt:lpwstr>4</vt:lpwstr>
  </property>
  <property fmtid="{D5CDD505-2E9C-101B-9397-08002B2CF9AE}" pid="7" name="FromSuffix">
    <vt:lpwstr>04-e0-02</vt:lpwstr>
  </property>
  <property fmtid="{D5CDD505-2E9C-101B-9397-08002B2CF9AE}" pid="8" name="FromAsAtDate">
    <vt:lpwstr>01 Jul 2007</vt:lpwstr>
  </property>
  <property fmtid="{D5CDD505-2E9C-101B-9397-08002B2CF9AE}" pid="9" name="ToSuffix">
    <vt:lpwstr>04-f0-01</vt:lpwstr>
  </property>
  <property fmtid="{D5CDD505-2E9C-101B-9397-08002B2CF9AE}" pid="10" name="ToAsAtDate">
    <vt:lpwstr>04 Apr 2008</vt:lpwstr>
  </property>
</Properties>
</file>