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2008</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12 Apr 2008</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spacing w:after="720"/>
      </w:pPr>
      <w:r>
        <w:t>Weapons Act 1999</w:t>
      </w:r>
    </w:p>
    <w:p>
      <w:pPr>
        <w:pStyle w:val="NameofActReg"/>
      </w:pPr>
      <w:r>
        <w:t>Weapons Regulations 1999</w:t>
      </w:r>
    </w:p>
    <w:p>
      <w:pPr>
        <w:pStyle w:val="Heading5"/>
      </w:pPr>
      <w:bookmarkStart w:id="0" w:name="_Toc195675752"/>
      <w:bookmarkStart w:id="1" w:name="_Toc191980200"/>
      <w:r>
        <w:rPr>
          <w:rStyle w:val="CharSectno"/>
        </w:rPr>
        <w:t>1</w:t>
      </w:r>
      <w:bookmarkStart w:id="2" w:name="_GoBack"/>
      <w:bookmarkEnd w:id="2"/>
      <w:r>
        <w:t>.</w:t>
      </w:r>
      <w:r>
        <w:tab/>
        <w:t>Citation</w:t>
      </w:r>
      <w:bookmarkEnd w:id="0"/>
      <w:bookmarkEnd w:id="1"/>
    </w:p>
    <w:p>
      <w:pPr>
        <w:pStyle w:val="Subsection"/>
        <w:rPr>
          <w:i/>
        </w:rPr>
      </w:pPr>
      <w:r>
        <w:tab/>
      </w:r>
      <w:r>
        <w:tab/>
        <w:t xml:space="preserve">These </w:t>
      </w:r>
      <w:r>
        <w:rPr>
          <w:spacing w:val="-2"/>
        </w:rPr>
        <w:t>regulations</w:t>
      </w:r>
      <w:r>
        <w:t xml:space="preserve"> may be cited as the </w:t>
      </w:r>
      <w:r>
        <w:rPr>
          <w:i/>
          <w:spacing w:val="-4"/>
        </w:rPr>
        <w:t>Weapons Regulations 1999</w:t>
      </w:r>
      <w:r>
        <w:rPr>
          <w:spacing w:val="-4"/>
        </w:rPr>
        <w:t> </w:t>
      </w:r>
      <w:r>
        <w:rPr>
          <w:spacing w:val="-4"/>
          <w:vertAlign w:val="superscript"/>
        </w:rPr>
        <w:t>1</w:t>
      </w:r>
      <w:r>
        <w:rPr>
          <w:i/>
        </w:rPr>
        <w:t>.</w:t>
      </w:r>
    </w:p>
    <w:p>
      <w:pPr>
        <w:pStyle w:val="Heading5"/>
        <w:rPr>
          <w:spacing w:val="-2"/>
        </w:rPr>
      </w:pPr>
      <w:bookmarkStart w:id="3" w:name="_Toc195675753"/>
      <w:bookmarkStart w:id="4" w:name="_Toc191980201"/>
      <w:r>
        <w:rPr>
          <w:rStyle w:val="CharSectno"/>
        </w:rPr>
        <w:t>2</w:t>
      </w:r>
      <w:r>
        <w:rPr>
          <w:spacing w:val="-2"/>
        </w:rPr>
        <w:t>.</w:t>
      </w:r>
      <w:r>
        <w:rPr>
          <w:spacing w:val="-2"/>
        </w:rPr>
        <w:tab/>
        <w:t>Commencement</w:t>
      </w:r>
      <w:bookmarkEnd w:id="3"/>
      <w:bookmarkEnd w:id="4"/>
    </w:p>
    <w:p>
      <w:pPr>
        <w:pStyle w:val="Subsection"/>
      </w:pPr>
      <w:r>
        <w:tab/>
      </w:r>
      <w:r>
        <w:tab/>
        <w:t>These regulations come into operation on the day fixed by proclamation under section 2(1) of the Act </w:t>
      </w:r>
      <w:r>
        <w:rPr>
          <w:spacing w:val="-4"/>
          <w:vertAlign w:val="superscript"/>
        </w:rPr>
        <w:t>1</w:t>
      </w:r>
      <w:r>
        <w:t>.</w:t>
      </w:r>
    </w:p>
    <w:p>
      <w:pPr>
        <w:pStyle w:val="Heading5"/>
      </w:pPr>
      <w:bookmarkStart w:id="5" w:name="_Toc195675754"/>
      <w:bookmarkStart w:id="6" w:name="_Toc191980202"/>
      <w:r>
        <w:rPr>
          <w:rStyle w:val="CharSectno"/>
        </w:rPr>
        <w:t>3</w:t>
      </w:r>
      <w:r>
        <w:t>.</w:t>
      </w:r>
      <w:r>
        <w:tab/>
        <w:t>Interpretation</w:t>
      </w:r>
      <w:bookmarkEnd w:id="5"/>
      <w:bookmarkEnd w:id="6"/>
    </w:p>
    <w:p>
      <w:pPr>
        <w:pStyle w:val="Subsection"/>
      </w:pPr>
      <w:r>
        <w:tab/>
      </w:r>
      <w:r>
        <w:tab/>
        <w:t>In these regulations, unless the contrary intention appears —</w:t>
      </w:r>
    </w:p>
    <w:p>
      <w:pPr>
        <w:pStyle w:val="Defstart"/>
      </w:pPr>
      <w:r>
        <w:tab/>
      </w:r>
      <w:r>
        <w:rPr>
          <w:b/>
        </w:rPr>
        <w:t>“</w:t>
      </w:r>
      <w:r>
        <w:rPr>
          <w:rStyle w:val="CharDefText"/>
        </w:rPr>
        <w:t>approved electric shock case</w:t>
      </w:r>
      <w:r>
        <w:rPr>
          <w:b/>
        </w:rPr>
        <w:t>”</w:t>
      </w:r>
      <w:r>
        <w:t xml:space="preserve"> means a briefcase or suitcase referred to in regulation 6(1);</w:t>
      </w:r>
    </w:p>
    <w:p>
      <w:pPr>
        <w:pStyle w:val="Defstart"/>
      </w:pPr>
      <w:r>
        <w:tab/>
      </w:r>
      <w:r>
        <w:rPr>
          <w:b/>
          <w:bCs/>
        </w:rPr>
        <w:t>“</w:t>
      </w:r>
      <w:r>
        <w:rPr>
          <w:rStyle w:val="CharDefText"/>
        </w:rPr>
        <w:t>baton</w:t>
      </w:r>
      <w:r>
        <w:rPr>
          <w:b/>
          <w:bCs/>
        </w:rPr>
        <w:t>”</w:t>
      </w:r>
      <w:r>
        <w:t xml:space="preserve"> means a short stick or rod —</w:t>
      </w:r>
    </w:p>
    <w:p>
      <w:pPr>
        <w:pStyle w:val="Defpara"/>
      </w:pPr>
      <w:r>
        <w:tab/>
        <w:t>(a)</w:t>
      </w:r>
      <w:r>
        <w:tab/>
        <w:t>made of any material; and</w:t>
      </w:r>
    </w:p>
    <w:p>
      <w:pPr>
        <w:pStyle w:val="Defpara"/>
      </w:pPr>
      <w:r>
        <w:tab/>
        <w:t>(b)</w:t>
      </w:r>
      <w:r>
        <w:tab/>
        <w:t>made or modified to be used to injure or disable a person or as a martial arts weapon,</w:t>
      </w:r>
    </w:p>
    <w:p>
      <w:pPr>
        <w:pStyle w:val="Defstart"/>
      </w:pPr>
      <w:r>
        <w:tab/>
      </w:r>
      <w:r>
        <w:tab/>
        <w:t>and includes a bludgeon, club, cudgel, truncheon or the article commonly known as the police nightstick;</w:t>
      </w:r>
    </w:p>
    <w:p>
      <w:pPr>
        <w:pStyle w:val="Defstart"/>
      </w:pPr>
      <w:r>
        <w:tab/>
      </w:r>
      <w:r>
        <w:rPr>
          <w:b/>
          <w:bCs/>
        </w:rPr>
        <w:t>“</w:t>
      </w:r>
      <w:r>
        <w:rPr>
          <w:rStyle w:val="CharDefText"/>
        </w:rPr>
        <w:t>catapult</w:t>
      </w:r>
      <w:r>
        <w:rPr>
          <w:b/>
          <w:bCs/>
        </w:rPr>
        <w:t>”</w:t>
      </w:r>
      <w:r>
        <w:t xml:space="preserve"> includes a ging, shanghai or slingshot;</w:t>
      </w:r>
    </w:p>
    <w:p>
      <w:pPr>
        <w:pStyle w:val="Defstart"/>
      </w:pPr>
      <w:r>
        <w:tab/>
      </w:r>
      <w:r>
        <w:rPr>
          <w:b/>
          <w:bCs/>
        </w:rPr>
        <w:t>“</w:t>
      </w:r>
      <w:r>
        <w:rPr>
          <w:rStyle w:val="CharDefText"/>
        </w:rPr>
        <w:t>discharge</w:t>
      </w:r>
      <w:r>
        <w:rPr>
          <w:b/>
          <w:bCs/>
        </w:rPr>
        <w:t>”</w:t>
      </w:r>
      <w:r>
        <w:t xml:space="preserve"> includes to propel;</w:t>
      </w:r>
    </w:p>
    <w:p>
      <w:pPr>
        <w:pStyle w:val="Defstart"/>
      </w:pPr>
      <w:r>
        <w:tab/>
      </w:r>
      <w:r>
        <w:rPr>
          <w:b/>
        </w:rPr>
        <w:t>“</w:t>
      </w:r>
      <w:r>
        <w:rPr>
          <w:rStyle w:val="CharDefText"/>
        </w:rPr>
        <w:t>injure or disable</w:t>
      </w:r>
      <w:r>
        <w:rPr>
          <w:b/>
        </w:rPr>
        <w:t>”</w:t>
      </w:r>
      <w:r>
        <w:t xml:space="preserve"> does not include administer, in good faith and with reasonable care and skill, surgical or medical treatment;</w:t>
      </w:r>
    </w:p>
    <w:p>
      <w:pPr>
        <w:pStyle w:val="Defstart"/>
      </w:pPr>
      <w:r>
        <w:tab/>
      </w:r>
      <w:r>
        <w:rPr>
          <w:b/>
          <w:bCs/>
        </w:rPr>
        <w:t>“</w:t>
      </w:r>
      <w:r>
        <w:rPr>
          <w:rStyle w:val="CharDefText"/>
        </w:rPr>
        <w:t>martial arts weapon</w:t>
      </w:r>
      <w:r>
        <w:rPr>
          <w:b/>
          <w:bCs/>
        </w:rPr>
        <w:t>”</w:t>
      </w:r>
      <w:r>
        <w:t xml:space="preserve"> means an article made or modified to be used for attack or defence in the practice of a martial sport, art or similar discipline;</w:t>
      </w:r>
    </w:p>
    <w:p>
      <w:pPr>
        <w:pStyle w:val="Defstart"/>
      </w:pPr>
      <w:r>
        <w:tab/>
      </w:r>
      <w:r>
        <w:rPr>
          <w:b/>
          <w:bCs/>
        </w:rPr>
        <w:t>“</w:t>
      </w:r>
      <w:r>
        <w:rPr>
          <w:rStyle w:val="CharDefText"/>
        </w:rPr>
        <w:t>missile</w:t>
      </w:r>
      <w:r>
        <w:rPr>
          <w:b/>
          <w:bCs/>
        </w:rPr>
        <w:t>”</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b/>
          <w:bCs/>
        </w:rPr>
        <w:t>“</w:t>
      </w:r>
      <w:r>
        <w:rPr>
          <w:rStyle w:val="CharDefText"/>
        </w:rPr>
        <w:t>spray weapon</w:t>
      </w:r>
      <w:r>
        <w:rPr>
          <w:b/>
          <w:bCs/>
        </w:rPr>
        <w:t>”</w:t>
      </w:r>
      <w:r>
        <w:t xml:space="preserve"> means an article made or modified to be used to discharge a substance in the form of a spray so as to injure or disable a person and includes the substance.</w:t>
      </w:r>
    </w:p>
    <w:p>
      <w:pPr>
        <w:pStyle w:val="Heading5"/>
      </w:pPr>
      <w:bookmarkStart w:id="7" w:name="_Toc195675755"/>
      <w:bookmarkStart w:id="8" w:name="_Toc191980203"/>
      <w:r>
        <w:rPr>
          <w:rStyle w:val="CharSectno"/>
        </w:rPr>
        <w:t>4</w:t>
      </w:r>
      <w:r>
        <w:t>.</w:t>
      </w:r>
      <w:r>
        <w:tab/>
        <w:t>Prohibited weapons</w:t>
      </w:r>
      <w:bookmarkEnd w:id="7"/>
      <w:bookmarkEnd w:id="8"/>
    </w:p>
    <w:p>
      <w:pPr>
        <w:pStyle w:val="Subsection"/>
      </w:pPr>
      <w:r>
        <w:tab/>
      </w:r>
      <w:r>
        <w:tab/>
        <w:t>An article described in the third column of Schedule 1 is prescribed to be a prohibited weapon.</w:t>
      </w:r>
    </w:p>
    <w:p>
      <w:pPr>
        <w:pStyle w:val="Heading5"/>
      </w:pPr>
      <w:bookmarkStart w:id="9" w:name="_Toc195675756"/>
      <w:bookmarkStart w:id="10" w:name="_Toc191980204"/>
      <w:r>
        <w:rPr>
          <w:rStyle w:val="CharSectno"/>
        </w:rPr>
        <w:t>5</w:t>
      </w:r>
      <w:r>
        <w:t>.</w:t>
      </w:r>
      <w:r>
        <w:tab/>
        <w:t>Controlled weapons</w:t>
      </w:r>
      <w:bookmarkEnd w:id="9"/>
      <w:bookmarkEnd w:id="10"/>
    </w:p>
    <w:p>
      <w:pPr>
        <w:pStyle w:val="Subsection"/>
      </w:pPr>
      <w:r>
        <w:tab/>
      </w:r>
      <w:r>
        <w:tab/>
        <w:t>An article described in the third column of Schedule 2 is prescribed to be a controlled weapon.</w:t>
      </w:r>
    </w:p>
    <w:p>
      <w:pPr>
        <w:pStyle w:val="Heading5"/>
      </w:pPr>
      <w:bookmarkStart w:id="11" w:name="_Toc195675757"/>
      <w:bookmarkStart w:id="12" w:name="_Toc191980205"/>
      <w:r>
        <w:rPr>
          <w:rStyle w:val="CharSectno"/>
        </w:rPr>
        <w:t>6</w:t>
      </w:r>
      <w:r>
        <w:t>.</w:t>
      </w:r>
      <w:r>
        <w:tab/>
        <w:t>Approved electric shock case prescribed under section 7(4)</w:t>
      </w:r>
      <w:bookmarkEnd w:id="11"/>
      <w:bookmarkEnd w:id="12"/>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13" w:name="_Toc195675758"/>
      <w:bookmarkStart w:id="14" w:name="_Toc191980206"/>
      <w:r>
        <w:rPr>
          <w:rStyle w:val="CharSectno"/>
        </w:rPr>
        <w:t>7</w:t>
      </w:r>
      <w:r>
        <w:t>.</w:t>
      </w:r>
      <w:r>
        <w:tab/>
        <w:t>Oleoresin capsicum spray weapon prescribed under section 7(4)</w:t>
      </w:r>
      <w:bookmarkEnd w:id="13"/>
      <w:bookmarkEnd w:id="14"/>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15" w:name="_Toc195675759"/>
      <w:bookmarkStart w:id="16" w:name="_Toc191980207"/>
      <w:r>
        <w:rPr>
          <w:rStyle w:val="CharSectno"/>
        </w:rPr>
        <w:t>8</w:t>
      </w:r>
      <w:r>
        <w:t>.</w:t>
      </w:r>
      <w:r>
        <w:tab/>
        <w:t>Circumstances prescribed under section 10(3)</w:t>
      </w:r>
      <w:bookmarkEnd w:id="15"/>
      <w:bookmarkEnd w:id="16"/>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 xml:space="preserve">for a person undergoing a training course in baton use under that Act for the purposes of having or keeping a security officer’s licence with an endorsement under section 26 of that Act, </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keepNext/>
        <w:keepLines/>
      </w:pPr>
      <w:r>
        <w:tab/>
        <w:t>(2)</w:t>
      </w:r>
      <w:r>
        <w:tab/>
        <w:t>In this regulation —</w:t>
      </w:r>
    </w:p>
    <w:p>
      <w:pPr>
        <w:pStyle w:val="Defstart"/>
        <w:keepNext/>
        <w:keepLines/>
      </w:pPr>
      <w:r>
        <w:tab/>
      </w:r>
      <w:r>
        <w:rPr>
          <w:b/>
        </w:rPr>
        <w:t>“</w:t>
      </w:r>
      <w:r>
        <w:rPr>
          <w:rStyle w:val="CharDefText"/>
        </w:rPr>
        <w:t>extendable baton</w:t>
      </w:r>
      <w:r>
        <w:rPr>
          <w:b/>
        </w:rPr>
        <w:t>”</w:t>
      </w:r>
      <w:r>
        <w:t xml:space="preserve"> means a baton referred to in Schedule 1 item 10.</w:t>
      </w:r>
    </w:p>
    <w:p>
      <w:pPr>
        <w:pStyle w:val="Footnotesection"/>
      </w:pPr>
      <w:r>
        <w:tab/>
        <w:t>[Regulation 8 inserted in Gazette 29 Feb 2000 p. 997</w:t>
      </w:r>
      <w:r>
        <w:noBreakHyphen/>
        <w:t>8; amended in Gazette 9 Jun 2000 p. 2774; 12 Sep 2006 p. 3665</w:t>
      </w:r>
      <w:r>
        <w:noBreakHyphen/>
        <w:t>6.]</w:t>
      </w:r>
    </w:p>
    <w:p>
      <w:pPr>
        <w:pStyle w:val="Heading5"/>
      </w:pPr>
      <w:bookmarkStart w:id="17" w:name="_Toc195675760"/>
      <w:bookmarkStart w:id="18" w:name="_Toc191980208"/>
      <w:r>
        <w:rPr>
          <w:rStyle w:val="CharSectno"/>
        </w:rPr>
        <w:t>9</w:t>
      </w:r>
      <w:r>
        <w:t>.</w:t>
      </w:r>
      <w:r>
        <w:tab/>
        <w:t>Exception for exempt collectors of specified prohibited weapons</w:t>
      </w:r>
      <w:bookmarkEnd w:id="17"/>
      <w:bookmarkEnd w:id="18"/>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29 February 2000 a genuine collector of specified prohibited weapons;</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pPr>
      <w:r>
        <w:tab/>
        <w:t>(6)</w:t>
      </w:r>
      <w:r>
        <w:tab/>
        <w:t>In this regulation —</w:t>
      </w:r>
    </w:p>
    <w:p>
      <w:pPr>
        <w:pStyle w:val="Defstart"/>
      </w:pPr>
      <w:r>
        <w:tab/>
      </w:r>
      <w:r>
        <w:rPr>
          <w:b/>
        </w:rPr>
        <w:t>“</w:t>
      </w:r>
      <w:r>
        <w:rPr>
          <w:rStyle w:val="CharDefText"/>
        </w:rPr>
        <w:t>exempt collector</w:t>
      </w:r>
      <w:r>
        <w:rPr>
          <w:b/>
        </w:rPr>
        <w:t>”</w:t>
      </w:r>
      <w:r>
        <w:t xml:space="preserve"> means a person who has been given a notice under subregulation (4) and has not ceased to be an exempt collector because of a notice under subregulation (5);</w:t>
      </w:r>
    </w:p>
    <w:p>
      <w:pPr>
        <w:pStyle w:val="Defstart"/>
      </w:pPr>
      <w:r>
        <w:tab/>
      </w:r>
      <w:r>
        <w:rPr>
          <w:b/>
        </w:rPr>
        <w:t>“</w:t>
      </w:r>
      <w:r>
        <w:rPr>
          <w:rStyle w:val="CharDefText"/>
        </w:rPr>
        <w:t>specified prohibited weapon</w:t>
      </w:r>
      <w:r>
        <w:rPr>
          <w:b/>
        </w:rPr>
        <w:t>”</w:t>
      </w:r>
      <w:r>
        <w:t xml:space="preserve"> means an article described in the third column of item 3, 7, 10, 11, 12 or 13 of Schedule 1.</w:t>
      </w:r>
    </w:p>
    <w:p>
      <w:pPr>
        <w:pStyle w:val="Footnotesection"/>
      </w:pPr>
      <w:r>
        <w:tab/>
        <w:t>[Regulation 9 inserted in Gazette 10 Mar 2000 p. 1122</w:t>
      </w:r>
      <w:r>
        <w:noBreakHyphen/>
        <w:t>3.]</w:t>
      </w:r>
    </w:p>
    <w:p>
      <w:pPr>
        <w:pStyle w:val="Heading5"/>
      </w:pPr>
      <w:bookmarkStart w:id="19" w:name="_Toc195675761"/>
      <w:bookmarkStart w:id="20" w:name="_Toc191980209"/>
      <w:r>
        <w:rPr>
          <w:rStyle w:val="CharSectno"/>
        </w:rPr>
        <w:t>10</w:t>
      </w:r>
      <w:r>
        <w:t>.</w:t>
      </w:r>
      <w:r>
        <w:tab/>
        <w:t>Exception for prison officers and certain contract workers</w:t>
      </w:r>
      <w:bookmarkEnd w:id="19"/>
      <w:bookmarkEnd w:id="20"/>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in Gazette 28 Jul 2000 p. 4027.]</w:t>
      </w:r>
    </w:p>
    <w:p>
      <w:pPr>
        <w:pStyle w:val="Heading5"/>
      </w:pPr>
      <w:bookmarkStart w:id="21" w:name="_Toc195675762"/>
      <w:bookmarkStart w:id="22" w:name="_Toc191980210"/>
      <w:r>
        <w:rPr>
          <w:rStyle w:val="CharSectno"/>
        </w:rPr>
        <w:t>11</w:t>
      </w:r>
      <w:r>
        <w:t>.</w:t>
      </w:r>
      <w:r>
        <w:tab/>
        <w:t>Exception for WADSA blow pipe use</w:t>
      </w:r>
      <w:bookmarkEnd w:id="21"/>
      <w:bookmarkEnd w:id="22"/>
    </w:p>
    <w:p>
      <w:pPr>
        <w:pStyle w:val="Subsection"/>
      </w:pPr>
      <w:r>
        <w:tab/>
        <w:t>(1)</w:t>
      </w:r>
      <w:r>
        <w:tab/>
        <w:t xml:space="preserve">In this regulation — </w:t>
      </w:r>
    </w:p>
    <w:p>
      <w:pPr>
        <w:pStyle w:val="Defstart"/>
      </w:pPr>
      <w:r>
        <w:rPr>
          <w:b/>
        </w:rPr>
        <w:tab/>
        <w:t>“</w:t>
      </w:r>
      <w:r>
        <w:rPr>
          <w:rStyle w:val="CharDefText"/>
        </w:rPr>
        <w:t>exempt event</w:t>
      </w:r>
      <w:r>
        <w:rPr>
          <w:b/>
        </w:rPr>
        <w: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t>“</w:t>
      </w:r>
      <w:r>
        <w:rPr>
          <w:rStyle w:val="CharDefText"/>
        </w:rPr>
        <w:t>participant</w:t>
      </w:r>
      <w:r>
        <w:rPr>
          <w:b/>
        </w:rPr>
        <w:t>”</w:t>
      </w:r>
      <w:r>
        <w:t xml:space="preserve"> includes a person assisting a participant;</w:t>
      </w:r>
    </w:p>
    <w:p>
      <w:pPr>
        <w:pStyle w:val="Defstart"/>
      </w:pPr>
      <w:r>
        <w:rPr>
          <w:b/>
        </w:rPr>
        <w:tab/>
        <w:t>“</w:t>
      </w:r>
      <w:r>
        <w:rPr>
          <w:rStyle w:val="CharDefText"/>
        </w:rPr>
        <w:t>possess</w:t>
      </w:r>
      <w:r>
        <w:rPr>
          <w:b/>
        </w:rPr>
        <w:t>”</w:t>
      </w:r>
      <w:r>
        <w:t xml:space="preserve"> in relation to a blow pipe includes having access to a blow pipe while it is being stored;</w:t>
      </w:r>
    </w:p>
    <w:p>
      <w:pPr>
        <w:pStyle w:val="Defstart"/>
      </w:pPr>
      <w:r>
        <w:rPr>
          <w:b/>
        </w:rPr>
        <w:tab/>
        <w:t>“</w:t>
      </w:r>
      <w:r>
        <w:rPr>
          <w:rStyle w:val="CharDefText"/>
        </w:rPr>
        <w:t>WA Disabled Sports Association (Inc.) member</w:t>
      </w:r>
      <w:r>
        <w:rPr>
          <w:b/>
        </w:rPr>
        <w:t>”</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in Gazette 29 Feb 2008 p. 693.]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3" w:name="_Toc191972736"/>
      <w:bookmarkStart w:id="24" w:name="_Toc191980211"/>
      <w:bookmarkStart w:id="25" w:name="_Toc195606718"/>
      <w:bookmarkStart w:id="26" w:name="_Toc195675763"/>
      <w:r>
        <w:rPr>
          <w:rStyle w:val="CharSchNo"/>
        </w:rPr>
        <w:t>Schedule 1</w:t>
      </w:r>
      <w:r>
        <w:t xml:space="preserve"> — </w:t>
      </w:r>
      <w:r>
        <w:rPr>
          <w:rStyle w:val="CharSchText"/>
        </w:rPr>
        <w:t>Prohibited weapons</w:t>
      </w:r>
      <w:bookmarkEnd w:id="23"/>
      <w:bookmarkEnd w:id="24"/>
      <w:bookmarkEnd w:id="25"/>
      <w:bookmarkEnd w:id="26"/>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trPr>
          <w:tblHeader/>
        </w:trPr>
        <w:tc>
          <w:tcPr>
            <w:tcW w:w="624" w:type="dxa"/>
          </w:tcPr>
          <w:p>
            <w:pPr>
              <w:pStyle w:val="yTable"/>
              <w:jc w:val="center"/>
              <w:rPr>
                <w:b/>
              </w:rPr>
            </w:pPr>
            <w:r>
              <w:rPr>
                <w:b/>
              </w:rPr>
              <w:t>Item</w:t>
            </w:r>
          </w:p>
        </w:tc>
        <w:tc>
          <w:tcPr>
            <w:tcW w:w="1857" w:type="dxa"/>
          </w:tcPr>
          <w:p>
            <w:pPr>
              <w:pStyle w:val="yTable"/>
              <w:jc w:val="center"/>
              <w:rPr>
                <w:b/>
              </w:rPr>
            </w:pPr>
            <w:r>
              <w:rPr>
                <w:b/>
              </w:rPr>
              <w:t>Article</w:t>
            </w:r>
          </w:p>
        </w:tc>
        <w:tc>
          <w:tcPr>
            <w:tcW w:w="4788" w:type="dxa"/>
          </w:tcPr>
          <w:p>
            <w:pPr>
              <w:pStyle w:val="yTable"/>
              <w:jc w:val="center"/>
              <w:rPr>
                <w:b/>
              </w:rPr>
            </w:pPr>
            <w:r>
              <w:rPr>
                <w:b/>
              </w:rPr>
              <w:t>Description</w:t>
            </w:r>
          </w:p>
        </w:tc>
      </w:tr>
      <w:tr>
        <w:tc>
          <w:tcPr>
            <w:tcW w:w="624" w:type="dxa"/>
          </w:tcPr>
          <w:p>
            <w:pPr>
              <w:pStyle w:val="yTable"/>
            </w:pPr>
            <w:r>
              <w:t>1.</w:t>
            </w:r>
          </w:p>
        </w:tc>
        <w:tc>
          <w:tcPr>
            <w:tcW w:w="1857"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624" w:type="dxa"/>
          </w:tcPr>
          <w:p>
            <w:pPr>
              <w:pStyle w:val="yTable"/>
            </w:pPr>
            <w:r>
              <w:t>2.</w:t>
            </w:r>
          </w:p>
        </w:tc>
        <w:tc>
          <w:tcPr>
            <w:tcW w:w="1857" w:type="dxa"/>
          </w:tcPr>
          <w:p>
            <w:pPr>
              <w:pStyle w:val="yTable"/>
            </w:pPr>
            <w:r>
              <w:t>Ballistic knife</w:t>
            </w:r>
          </w:p>
        </w:tc>
        <w:tc>
          <w:tcPr>
            <w:tcW w:w="4788" w:type="dxa"/>
          </w:tcPr>
          <w:p>
            <w:pPr>
              <w:pStyle w:val="yTable"/>
            </w:pPr>
            <w:r>
              <w:t>An article made or modified to be used to discharge a knife and includes the knife.</w:t>
            </w:r>
          </w:p>
        </w:tc>
      </w:tr>
      <w:tr>
        <w:tc>
          <w:tcPr>
            <w:tcW w:w="624" w:type="dxa"/>
          </w:tcPr>
          <w:p>
            <w:pPr>
              <w:pStyle w:val="yTable"/>
            </w:pPr>
            <w:r>
              <w:t>3.</w:t>
            </w:r>
          </w:p>
        </w:tc>
        <w:tc>
          <w:tcPr>
            <w:tcW w:w="1857"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624" w:type="dxa"/>
          </w:tcPr>
          <w:p>
            <w:pPr>
              <w:pStyle w:val="yTable"/>
            </w:pPr>
            <w:r>
              <w:t>4.</w:t>
            </w:r>
          </w:p>
        </w:tc>
        <w:tc>
          <w:tcPr>
            <w:tcW w:w="1857"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624" w:type="dxa"/>
          </w:tcPr>
          <w:p>
            <w:pPr>
              <w:pStyle w:val="yTable"/>
            </w:pPr>
            <w:r>
              <w:t>5.</w:t>
            </w:r>
          </w:p>
        </w:tc>
        <w:tc>
          <w:tcPr>
            <w:tcW w:w="1857"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624" w:type="dxa"/>
          </w:tcPr>
          <w:p>
            <w:pPr>
              <w:pStyle w:val="yTable"/>
            </w:pPr>
            <w:r>
              <w:t>6.</w:t>
            </w:r>
          </w:p>
        </w:tc>
        <w:tc>
          <w:tcPr>
            <w:tcW w:w="1857"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624" w:type="dxa"/>
          </w:tcPr>
          <w:p>
            <w:pPr>
              <w:pStyle w:val="yTable"/>
            </w:pPr>
            <w:r>
              <w:t>7.</w:t>
            </w:r>
          </w:p>
        </w:tc>
        <w:tc>
          <w:tcPr>
            <w:tcW w:w="1857"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624" w:type="dxa"/>
          </w:tcPr>
          <w:p>
            <w:pPr>
              <w:pStyle w:val="yTable"/>
            </w:pPr>
            <w:r>
              <w:t>8.</w:t>
            </w:r>
          </w:p>
        </w:tc>
        <w:tc>
          <w:tcPr>
            <w:tcW w:w="1857" w:type="dxa"/>
          </w:tcPr>
          <w:p>
            <w:pPr>
              <w:pStyle w:val="yTable"/>
            </w:pPr>
            <w:r>
              <w:t>Electric shock weapon</w:t>
            </w:r>
          </w:p>
        </w:tc>
        <w:tc>
          <w:tcPr>
            <w:tcW w:w="4788" w:type="dxa"/>
          </w:tcPr>
          <w:p>
            <w:pPr>
              <w:pStyle w:val="yTable"/>
              <w:rPr>
                <w:spacing w:val="-4"/>
              </w:rPr>
            </w:pPr>
            <w:r>
              <w:rPr>
                <w:spacing w:val="-4"/>
              </w:rPr>
              <w:t>An article made or modified to be used to discharge an electric current so as to injure or disable a person but does not include an approved electric shock case.</w:t>
            </w:r>
          </w:p>
        </w:tc>
      </w:tr>
      <w:tr>
        <w:tc>
          <w:tcPr>
            <w:tcW w:w="624" w:type="dxa"/>
          </w:tcPr>
          <w:p>
            <w:pPr>
              <w:pStyle w:val="yTable"/>
            </w:pPr>
            <w:r>
              <w:t>9.</w:t>
            </w:r>
          </w:p>
        </w:tc>
        <w:tc>
          <w:tcPr>
            <w:tcW w:w="1857"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624" w:type="dxa"/>
          </w:tcPr>
          <w:p>
            <w:pPr>
              <w:pStyle w:val="yTable"/>
            </w:pPr>
            <w:r>
              <w:t>10.</w:t>
            </w:r>
          </w:p>
        </w:tc>
        <w:tc>
          <w:tcPr>
            <w:tcW w:w="1857"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624" w:type="dxa"/>
          </w:tcPr>
          <w:p>
            <w:pPr>
              <w:pStyle w:val="yTable"/>
            </w:pPr>
            <w:r>
              <w:t>11.</w:t>
            </w:r>
          </w:p>
        </w:tc>
        <w:tc>
          <w:tcPr>
            <w:tcW w:w="1857"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624" w:type="dxa"/>
          </w:tcPr>
          <w:p>
            <w:pPr>
              <w:pStyle w:val="yTable"/>
            </w:pPr>
            <w:r>
              <w:t>11A.</w:t>
            </w:r>
          </w:p>
        </w:tc>
        <w:tc>
          <w:tcPr>
            <w:tcW w:w="1857"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624" w:type="dxa"/>
          </w:tcPr>
          <w:p>
            <w:pPr>
              <w:pStyle w:val="yTable"/>
            </w:pPr>
            <w:r>
              <w:t>12.</w:t>
            </w:r>
          </w:p>
        </w:tc>
        <w:tc>
          <w:tcPr>
            <w:tcW w:w="1857"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624" w:type="dxa"/>
          </w:tcPr>
          <w:p>
            <w:pPr>
              <w:pStyle w:val="yTable"/>
            </w:pPr>
            <w:r>
              <w:t>13.</w:t>
            </w:r>
          </w:p>
        </w:tc>
        <w:tc>
          <w:tcPr>
            <w:tcW w:w="1857"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624" w:type="dxa"/>
          </w:tcPr>
          <w:p>
            <w:pPr>
              <w:pStyle w:val="yTable"/>
            </w:pPr>
            <w:r>
              <w:t>14.</w:t>
            </w:r>
          </w:p>
        </w:tc>
        <w:tc>
          <w:tcPr>
            <w:tcW w:w="1857" w:type="dxa"/>
          </w:tcPr>
          <w:p>
            <w:pPr>
              <w:pStyle w:val="yTable"/>
            </w:pPr>
            <w:r>
              <w:t>Pistol crossbow</w:t>
            </w:r>
          </w:p>
        </w:tc>
        <w:tc>
          <w:tcPr>
            <w:tcW w:w="4788" w:type="dxa"/>
          </w:tcPr>
          <w:p>
            <w:pPr>
              <w:pStyle w:val="yTable"/>
            </w:pPr>
            <w:r>
              <w:t>An article made or modified to be used with one hand to discharge a missile by an elastic force across a stock grooved to direct the missile and includes the missile.</w:t>
            </w:r>
          </w:p>
        </w:tc>
      </w:tr>
      <w:tr>
        <w:tc>
          <w:tcPr>
            <w:tcW w:w="624" w:type="dxa"/>
          </w:tcPr>
          <w:p>
            <w:pPr>
              <w:pStyle w:val="yTable"/>
            </w:pPr>
            <w:r>
              <w:t>15.</w:t>
            </w:r>
          </w:p>
        </w:tc>
        <w:tc>
          <w:tcPr>
            <w:tcW w:w="1857" w:type="dxa"/>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 in Gazette 11 Sep 2007 p. 4613.]</w:t>
      </w:r>
    </w:p>
    <w:p>
      <w:pPr>
        <w:pStyle w:val="yScheduleHeading"/>
      </w:pPr>
      <w:bookmarkStart w:id="27" w:name="_Toc191972737"/>
      <w:bookmarkStart w:id="28" w:name="_Toc191980212"/>
      <w:bookmarkStart w:id="29" w:name="_Toc195606719"/>
      <w:bookmarkStart w:id="30" w:name="_Toc195675764"/>
      <w:r>
        <w:rPr>
          <w:rStyle w:val="CharSchNo"/>
        </w:rPr>
        <w:t>Schedule 2</w:t>
      </w:r>
      <w:r>
        <w:t xml:space="preserve"> — </w:t>
      </w:r>
      <w:r>
        <w:rPr>
          <w:rStyle w:val="CharSchText"/>
        </w:rPr>
        <w:t>Controlled weapons</w:t>
      </w:r>
      <w:bookmarkEnd w:id="27"/>
      <w:bookmarkEnd w:id="28"/>
      <w:bookmarkEnd w:id="29"/>
      <w:bookmarkEnd w:id="30"/>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791"/>
        <w:gridCol w:w="1690"/>
        <w:gridCol w:w="4760"/>
      </w:tblGrid>
      <w:tr>
        <w:trPr>
          <w:cantSplit/>
          <w:tblHeader/>
        </w:trPr>
        <w:tc>
          <w:tcPr>
            <w:tcW w:w="791" w:type="dxa"/>
          </w:tcPr>
          <w:p>
            <w:pPr>
              <w:pStyle w:val="yTable"/>
              <w:jc w:val="center"/>
              <w:rPr>
                <w:b/>
              </w:rPr>
            </w:pPr>
            <w:r>
              <w:rPr>
                <w:b/>
              </w:rPr>
              <w:t>Item</w:t>
            </w:r>
          </w:p>
        </w:tc>
        <w:tc>
          <w:tcPr>
            <w:tcW w:w="1690" w:type="dxa"/>
          </w:tcPr>
          <w:p>
            <w:pPr>
              <w:pStyle w:val="yTable"/>
              <w:jc w:val="center"/>
              <w:rPr>
                <w:b/>
              </w:rPr>
            </w:pPr>
            <w:r>
              <w:rPr>
                <w:b/>
              </w:rPr>
              <w:t>Article</w:t>
            </w:r>
          </w:p>
        </w:tc>
        <w:tc>
          <w:tcPr>
            <w:tcW w:w="4760" w:type="dxa"/>
          </w:tcPr>
          <w:p>
            <w:pPr>
              <w:pStyle w:val="yTable"/>
              <w:jc w:val="center"/>
              <w:rPr>
                <w:b/>
              </w:rPr>
            </w:pPr>
            <w:r>
              <w:rPr>
                <w:b/>
              </w:rPr>
              <w:t>Description</w:t>
            </w:r>
          </w:p>
        </w:tc>
      </w:tr>
      <w:tr>
        <w:trPr>
          <w:cantSplit/>
        </w:trPr>
        <w:tc>
          <w:tcPr>
            <w:tcW w:w="791" w:type="dxa"/>
          </w:tcPr>
          <w:p>
            <w:pPr>
              <w:pStyle w:val="yTable"/>
            </w:pPr>
            <w:r>
              <w:t>1.</w:t>
            </w:r>
          </w:p>
        </w:tc>
        <w:tc>
          <w:tcPr>
            <w:tcW w:w="1690" w:type="dxa"/>
          </w:tcPr>
          <w:p>
            <w:pPr>
              <w:pStyle w:val="yTable"/>
            </w:pPr>
            <w:r>
              <w:t>Approved electric shock case</w:t>
            </w:r>
          </w:p>
        </w:tc>
        <w:tc>
          <w:tcPr>
            <w:tcW w:w="4760" w:type="dxa"/>
          </w:tcPr>
          <w:p>
            <w:pPr>
              <w:pStyle w:val="yTable"/>
            </w:pPr>
            <w:r>
              <w:t>Any approved electric shock case.</w:t>
            </w:r>
          </w:p>
        </w:tc>
      </w:tr>
      <w:tr>
        <w:trPr>
          <w:cantSplit/>
        </w:trPr>
        <w:tc>
          <w:tcPr>
            <w:tcW w:w="791" w:type="dxa"/>
          </w:tcPr>
          <w:p>
            <w:pPr>
              <w:pStyle w:val="yTable"/>
            </w:pPr>
            <w:r>
              <w:t>2.</w:t>
            </w:r>
          </w:p>
        </w:tc>
        <w:tc>
          <w:tcPr>
            <w:tcW w:w="1690"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791" w:type="dxa"/>
          </w:tcPr>
          <w:p>
            <w:pPr>
              <w:pStyle w:val="yTable"/>
            </w:pPr>
            <w:r>
              <w:t>3.</w:t>
            </w:r>
          </w:p>
        </w:tc>
        <w:tc>
          <w:tcPr>
            <w:tcW w:w="1690"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791" w:type="dxa"/>
          </w:tcPr>
          <w:p>
            <w:pPr>
              <w:pStyle w:val="yTable"/>
            </w:pPr>
            <w:r>
              <w:t>4.</w:t>
            </w:r>
          </w:p>
        </w:tc>
        <w:tc>
          <w:tcPr>
            <w:tcW w:w="1690" w:type="dxa"/>
          </w:tcPr>
          <w:p>
            <w:pPr>
              <w:pStyle w:val="yTable"/>
            </w:pPr>
            <w:r>
              <w:t>Crossbow</w:t>
            </w:r>
          </w:p>
        </w:tc>
        <w:tc>
          <w:tcPr>
            <w:tcW w:w="4760" w:type="dxa"/>
          </w:tcPr>
          <w:p>
            <w:pPr>
              <w:pStyle w:val="yTable"/>
            </w:pPr>
            <w:r>
              <w:t>An article made or modified to be used to discharge a missile by an elastic force across a stock grooved to direct the missile and includes the missile.</w:t>
            </w:r>
          </w:p>
        </w:tc>
      </w:tr>
      <w:tr>
        <w:trPr>
          <w:cantSplit/>
        </w:trPr>
        <w:tc>
          <w:tcPr>
            <w:tcW w:w="791" w:type="dxa"/>
          </w:tcPr>
          <w:p>
            <w:pPr>
              <w:pStyle w:val="yTable"/>
            </w:pPr>
            <w:r>
              <w:t>5.</w:t>
            </w:r>
          </w:p>
        </w:tc>
        <w:tc>
          <w:tcPr>
            <w:tcW w:w="1690"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791" w:type="dxa"/>
          </w:tcPr>
          <w:p>
            <w:pPr>
              <w:pStyle w:val="yTable"/>
            </w:pPr>
            <w:r>
              <w:t>6.</w:t>
            </w:r>
          </w:p>
        </w:tc>
        <w:tc>
          <w:tcPr>
            <w:tcW w:w="1690"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791" w:type="dxa"/>
          </w:tcPr>
          <w:p>
            <w:pPr>
              <w:pStyle w:val="yTable"/>
            </w:pPr>
            <w:r>
              <w:t>7.</w:t>
            </w:r>
          </w:p>
        </w:tc>
        <w:tc>
          <w:tcPr>
            <w:tcW w:w="1690"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791" w:type="dxa"/>
          </w:tcPr>
          <w:p>
            <w:pPr>
              <w:pStyle w:val="yTable"/>
            </w:pPr>
            <w:r>
              <w:t>8.</w:t>
            </w:r>
          </w:p>
        </w:tc>
        <w:tc>
          <w:tcPr>
            <w:tcW w:w="1690"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791" w:type="dxa"/>
          </w:tcPr>
          <w:p>
            <w:pPr>
              <w:pStyle w:val="yTable"/>
            </w:pPr>
            <w:r>
              <w:t>9.</w:t>
            </w:r>
          </w:p>
        </w:tc>
        <w:tc>
          <w:tcPr>
            <w:tcW w:w="1690"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791" w:type="dxa"/>
          </w:tcPr>
          <w:p>
            <w:pPr>
              <w:pStyle w:val="yTable"/>
            </w:pPr>
            <w:r>
              <w:t>10.</w:t>
            </w:r>
          </w:p>
        </w:tc>
        <w:tc>
          <w:tcPr>
            <w:tcW w:w="1690"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ins w:id="31" w:author="Master Repository Process" w:date="2021-09-18T19:10:00Z"/>
        </w:trPr>
        <w:tc>
          <w:tcPr>
            <w:tcW w:w="791" w:type="dxa"/>
          </w:tcPr>
          <w:p>
            <w:pPr>
              <w:pStyle w:val="yTable"/>
              <w:rPr>
                <w:ins w:id="32" w:author="Master Repository Process" w:date="2021-09-18T19:10:00Z"/>
              </w:rPr>
            </w:pPr>
            <w:ins w:id="33" w:author="Master Repository Process" w:date="2021-09-18T19:10:00Z">
              <w:r>
                <w:t>10AA.</w:t>
              </w:r>
            </w:ins>
          </w:p>
        </w:tc>
        <w:tc>
          <w:tcPr>
            <w:tcW w:w="1690" w:type="dxa"/>
          </w:tcPr>
          <w:p>
            <w:pPr>
              <w:pStyle w:val="yTable"/>
              <w:rPr>
                <w:ins w:id="34" w:author="Master Repository Process" w:date="2021-09-18T19:10:00Z"/>
              </w:rPr>
            </w:pPr>
            <w:ins w:id="35" w:author="Master Repository Process" w:date="2021-09-18T19:10:00Z">
              <w:r>
                <w:t>Light pointer</w:t>
              </w:r>
            </w:ins>
          </w:p>
        </w:tc>
        <w:tc>
          <w:tcPr>
            <w:tcW w:w="4760" w:type="dxa"/>
          </w:tcPr>
          <w:p>
            <w:pPr>
              <w:pStyle w:val="yTable"/>
              <w:rPr>
                <w:ins w:id="36" w:author="Master Repository Process" w:date="2021-09-18T19:10:00Z"/>
              </w:rPr>
            </w:pPr>
            <w:ins w:id="37" w:author="Master Repository Process" w:date="2021-09-18T19:10:00Z">
              <w:r>
                <w:t>An article made or modified to be used to emit light so as to be used as a pointing device (including a laser pointer).</w:t>
              </w:r>
            </w:ins>
          </w:p>
        </w:tc>
      </w:tr>
      <w:tr>
        <w:trPr>
          <w:cantSplit/>
        </w:trPr>
        <w:tc>
          <w:tcPr>
            <w:tcW w:w="791" w:type="dxa"/>
          </w:tcPr>
          <w:p>
            <w:pPr>
              <w:pStyle w:val="yTable"/>
            </w:pPr>
            <w:r>
              <w:t>10A.</w:t>
            </w:r>
          </w:p>
        </w:tc>
        <w:tc>
          <w:tcPr>
            <w:tcW w:w="1690" w:type="dxa"/>
          </w:tcPr>
          <w:p>
            <w:pPr>
              <w:pStyle w:val="yTable"/>
            </w:pPr>
            <w:r>
              <w:t>Machete</w:t>
            </w:r>
          </w:p>
        </w:tc>
        <w:tc>
          <w:tcPr>
            <w:tcW w:w="4760" w:type="dxa"/>
          </w:tcPr>
          <w:p>
            <w:pPr>
              <w:pStyle w:val="yTable"/>
            </w:pPr>
            <w:r>
              <w:t xml:space="preserve">A broad, heavy chopping knife (e.g. the single edged, cutlass-like knife traditionally used as both a weapon and an implement in Latin American countries, also known as a “matchet” or a “panga”). </w:t>
            </w:r>
          </w:p>
        </w:tc>
      </w:tr>
      <w:tr>
        <w:trPr>
          <w:cantSplit/>
        </w:trPr>
        <w:tc>
          <w:tcPr>
            <w:tcW w:w="791" w:type="dxa"/>
          </w:tcPr>
          <w:p>
            <w:pPr>
              <w:pStyle w:val="yTable"/>
            </w:pPr>
            <w:r>
              <w:t>11.</w:t>
            </w:r>
          </w:p>
        </w:tc>
        <w:tc>
          <w:tcPr>
            <w:tcW w:w="1690"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791" w:type="dxa"/>
          </w:tcPr>
          <w:p>
            <w:pPr>
              <w:pStyle w:val="yTable"/>
            </w:pPr>
            <w:r>
              <w:t>12.</w:t>
            </w:r>
          </w:p>
        </w:tc>
        <w:tc>
          <w:tcPr>
            <w:tcW w:w="1690"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791" w:type="dxa"/>
          </w:tcPr>
          <w:p>
            <w:pPr>
              <w:pStyle w:val="yTable"/>
            </w:pPr>
            <w:r>
              <w:t>13.</w:t>
            </w:r>
          </w:p>
        </w:tc>
        <w:tc>
          <w:tcPr>
            <w:tcW w:w="1690"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791" w:type="dxa"/>
          </w:tcPr>
          <w:p>
            <w:pPr>
              <w:pStyle w:val="yTable"/>
            </w:pPr>
            <w:r>
              <w:t>14.</w:t>
            </w:r>
          </w:p>
        </w:tc>
        <w:tc>
          <w:tcPr>
            <w:tcW w:w="1690" w:type="dxa"/>
          </w:tcPr>
          <w:p>
            <w:pPr>
              <w:pStyle w:val="yTable"/>
            </w:pPr>
            <w:r>
              <w:t>Sickle or scythe weapon</w:t>
            </w:r>
          </w:p>
        </w:tc>
        <w:tc>
          <w:tcPr>
            <w:tcW w:w="4760" w:type="dxa"/>
          </w:tcPr>
          <w:p>
            <w:pPr>
              <w:pStyle w:val="yTable"/>
            </w:pPr>
            <w:r>
              <w:t>A sickle or scythe made or modified to be used to injure or disable a person or as a martial arts weapon (e.g. the martial arts weapons known as the kama and kusarigama).</w:t>
            </w:r>
          </w:p>
        </w:tc>
      </w:tr>
      <w:tr>
        <w:trPr>
          <w:cantSplit/>
        </w:trPr>
        <w:tc>
          <w:tcPr>
            <w:tcW w:w="791" w:type="dxa"/>
          </w:tcPr>
          <w:p>
            <w:pPr>
              <w:pStyle w:val="yTable"/>
            </w:pPr>
            <w:r>
              <w:t>15.</w:t>
            </w:r>
          </w:p>
        </w:tc>
        <w:tc>
          <w:tcPr>
            <w:tcW w:w="1690" w:type="dxa"/>
          </w:tcPr>
          <w:p>
            <w:pPr>
              <w:pStyle w:val="yTable"/>
            </w:pPr>
            <w:r>
              <w:t>Spear</w:t>
            </w:r>
          </w:p>
        </w:tc>
        <w:tc>
          <w:tcPr>
            <w:tcW w:w="4760" w:type="dxa"/>
          </w:tcPr>
          <w:p>
            <w:pPr>
              <w:pStyle w:val="yTable"/>
            </w:pPr>
            <w:r>
              <w:t>Any spear (e.g. the martial arts weapon known as the yari).</w:t>
            </w:r>
          </w:p>
        </w:tc>
      </w:tr>
      <w:tr>
        <w:trPr>
          <w:cantSplit/>
        </w:trPr>
        <w:tc>
          <w:tcPr>
            <w:tcW w:w="791" w:type="dxa"/>
          </w:tcPr>
          <w:p>
            <w:pPr>
              <w:pStyle w:val="yTable"/>
            </w:pPr>
            <w:r>
              <w:t>16.</w:t>
            </w:r>
          </w:p>
        </w:tc>
        <w:tc>
          <w:tcPr>
            <w:tcW w:w="1690"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791" w:type="dxa"/>
          </w:tcPr>
          <w:p>
            <w:pPr>
              <w:pStyle w:val="yTable"/>
            </w:pPr>
            <w:r>
              <w:t>17.</w:t>
            </w:r>
          </w:p>
        </w:tc>
        <w:tc>
          <w:tcPr>
            <w:tcW w:w="1690"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791" w:type="dxa"/>
          </w:tcPr>
          <w:p>
            <w:pPr>
              <w:pStyle w:val="yTable"/>
            </w:pPr>
            <w:r>
              <w:t>18.</w:t>
            </w:r>
          </w:p>
        </w:tc>
        <w:tc>
          <w:tcPr>
            <w:tcW w:w="1690"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791" w:type="dxa"/>
          </w:tcPr>
          <w:p>
            <w:pPr>
              <w:pStyle w:val="yTable"/>
            </w:pPr>
            <w:r>
              <w:t>19.</w:t>
            </w:r>
          </w:p>
        </w:tc>
        <w:tc>
          <w:tcPr>
            <w:tcW w:w="1690"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791" w:type="dxa"/>
          </w:tcPr>
          <w:p>
            <w:pPr>
              <w:pStyle w:val="yTable"/>
            </w:pPr>
            <w:r>
              <w:t>20.</w:t>
            </w:r>
          </w:p>
        </w:tc>
        <w:tc>
          <w:tcPr>
            <w:tcW w:w="1690"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791" w:type="dxa"/>
          </w:tcPr>
          <w:p>
            <w:pPr>
              <w:pStyle w:val="yTable"/>
            </w:pPr>
            <w:r>
              <w:t>21.</w:t>
            </w:r>
          </w:p>
        </w:tc>
        <w:tc>
          <w:tcPr>
            <w:tcW w:w="1690"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791" w:type="dxa"/>
          </w:tcPr>
          <w:p>
            <w:pPr>
              <w:pStyle w:val="yTable"/>
            </w:pPr>
            <w:r>
              <w:t>22.</w:t>
            </w:r>
          </w:p>
        </w:tc>
        <w:tc>
          <w:tcPr>
            <w:tcW w:w="1690"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r>
        <w:tab/>
        <w:t>[Schedule 2 amended in Gazette 1 Oct 2004 p. 4284</w:t>
      </w:r>
      <w:ins w:id="38" w:author="Master Repository Process" w:date="2021-09-18T19:10:00Z">
        <w:r>
          <w:t>; 11 Apr 2008 p. 1392</w:t>
        </w:r>
      </w:ins>
      <w:r>
        <w:t>.]</w:t>
      </w:r>
    </w:p>
    <w:p>
      <w:pPr>
        <w:pStyle w:val="nHeading2"/>
      </w:pPr>
      <w:bookmarkStart w:id="39" w:name="_Toc191972738"/>
      <w:bookmarkStart w:id="40" w:name="_Toc191980213"/>
      <w:bookmarkStart w:id="41" w:name="_Toc195606720"/>
      <w:bookmarkStart w:id="42" w:name="_Toc195675765"/>
      <w:r>
        <w:t>Notes</w:t>
      </w:r>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rPr>
        <w:t>Weapons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43" w:name="_Toc195675766"/>
      <w:bookmarkStart w:id="44" w:name="_Toc191980214"/>
      <w:r>
        <w:t>Compilation table</w:t>
      </w:r>
      <w:bookmarkEnd w:id="43"/>
      <w:bookmarkEnd w:id="44"/>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pPr>
              <w:pStyle w:val="nTable"/>
              <w:spacing w:after="40"/>
              <w:ind w:left="35"/>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Weapons Regulations 1999</w:t>
            </w:r>
          </w:p>
        </w:tc>
        <w:tc>
          <w:tcPr>
            <w:tcW w:w="1276" w:type="dxa"/>
            <w:tcBorders>
              <w:top w:val="single" w:sz="8" w:space="0" w:color="auto"/>
            </w:tcBorders>
          </w:tcPr>
          <w:p>
            <w:pPr>
              <w:pStyle w:val="nTable"/>
              <w:spacing w:after="40"/>
              <w:ind w:left="51"/>
              <w:rPr>
                <w:sz w:val="19"/>
              </w:rPr>
            </w:pPr>
            <w:r>
              <w:rPr>
                <w:sz w:val="19"/>
              </w:rPr>
              <w:t>31 Aug 1999 p. 4225</w:t>
            </w:r>
            <w:r>
              <w:rPr>
                <w:sz w:val="19"/>
              </w:rPr>
              <w:noBreakHyphen/>
              <w:t>32</w:t>
            </w:r>
          </w:p>
        </w:tc>
        <w:tc>
          <w:tcPr>
            <w:tcW w:w="2693" w:type="dxa"/>
            <w:tcBorders>
              <w:top w:val="single" w:sz="8" w:space="0" w:color="auto"/>
            </w:tcBorders>
          </w:tcPr>
          <w:p>
            <w:pPr>
              <w:pStyle w:val="nTable"/>
              <w:spacing w:after="40"/>
              <w:ind w:left="35"/>
              <w:rPr>
                <w:sz w:val="19"/>
              </w:rPr>
            </w:pPr>
            <w:r>
              <w:rPr>
                <w:sz w:val="19"/>
              </w:rPr>
              <w:t xml:space="preserve">1 Sep 1999 (see r. 2 and </w:t>
            </w:r>
            <w:r>
              <w:rPr>
                <w:i/>
                <w:sz w:val="19"/>
              </w:rPr>
              <w:t>Gazette</w:t>
            </w:r>
            <w:r>
              <w:rPr>
                <w:sz w:val="19"/>
              </w:rPr>
              <w:t xml:space="preserve"> 31 Aug 1999 p. 4235)</w:t>
            </w:r>
          </w:p>
        </w:tc>
      </w:tr>
      <w:tr>
        <w:trPr>
          <w:cantSplit/>
        </w:trPr>
        <w:tc>
          <w:tcPr>
            <w:tcW w:w="3119" w:type="dxa"/>
          </w:tcPr>
          <w:p>
            <w:pPr>
              <w:pStyle w:val="nTable"/>
              <w:spacing w:after="40"/>
              <w:ind w:right="113"/>
              <w:rPr>
                <w:i/>
                <w:sz w:val="19"/>
              </w:rPr>
            </w:pPr>
            <w:r>
              <w:rPr>
                <w:i/>
                <w:sz w:val="19"/>
              </w:rPr>
              <w:t>Weapons Amendment Regulations 2000</w:t>
            </w:r>
          </w:p>
        </w:tc>
        <w:tc>
          <w:tcPr>
            <w:tcW w:w="1276" w:type="dxa"/>
          </w:tcPr>
          <w:p>
            <w:pPr>
              <w:pStyle w:val="nTable"/>
              <w:spacing w:after="40"/>
              <w:ind w:left="51"/>
              <w:rPr>
                <w:sz w:val="19"/>
              </w:rPr>
            </w:pPr>
            <w:r>
              <w:rPr>
                <w:sz w:val="19"/>
              </w:rPr>
              <w:t>29 Feb 2000 p. 997</w:t>
            </w:r>
            <w:r>
              <w:rPr>
                <w:sz w:val="19"/>
              </w:rPr>
              <w:noBreakHyphen/>
              <w:t>8</w:t>
            </w:r>
          </w:p>
        </w:tc>
        <w:tc>
          <w:tcPr>
            <w:tcW w:w="2693" w:type="dxa"/>
          </w:tcPr>
          <w:p>
            <w:pPr>
              <w:pStyle w:val="nTable"/>
              <w:spacing w:after="40"/>
              <w:ind w:left="35"/>
              <w:rPr>
                <w:sz w:val="19"/>
              </w:rPr>
            </w:pPr>
            <w:r>
              <w:rPr>
                <w:sz w:val="19"/>
              </w:rPr>
              <w:t>1 Mar 2000 (see r. 2)</w:t>
            </w:r>
          </w:p>
        </w:tc>
      </w:tr>
      <w:tr>
        <w:trPr>
          <w:cantSplit/>
        </w:trPr>
        <w:tc>
          <w:tcPr>
            <w:tcW w:w="3119" w:type="dxa"/>
          </w:tcPr>
          <w:p>
            <w:pPr>
              <w:pStyle w:val="nTable"/>
              <w:spacing w:after="40"/>
              <w:ind w:right="113"/>
              <w:rPr>
                <w:i/>
                <w:sz w:val="19"/>
              </w:rPr>
            </w:pPr>
            <w:r>
              <w:rPr>
                <w:i/>
                <w:sz w:val="19"/>
              </w:rPr>
              <w:t>Weapons Amendment Regulations (No. 2) 2000</w:t>
            </w:r>
          </w:p>
        </w:tc>
        <w:tc>
          <w:tcPr>
            <w:tcW w:w="1276" w:type="dxa"/>
          </w:tcPr>
          <w:p>
            <w:pPr>
              <w:pStyle w:val="nTable"/>
              <w:spacing w:after="40"/>
              <w:ind w:left="51"/>
              <w:rPr>
                <w:sz w:val="19"/>
              </w:rPr>
            </w:pPr>
            <w:r>
              <w:rPr>
                <w:sz w:val="19"/>
              </w:rPr>
              <w:t>10 Mar 2000 p. 1122</w:t>
            </w:r>
            <w:r>
              <w:rPr>
                <w:sz w:val="19"/>
              </w:rPr>
              <w:noBreakHyphen/>
              <w:t>3</w:t>
            </w:r>
          </w:p>
        </w:tc>
        <w:tc>
          <w:tcPr>
            <w:tcW w:w="2693" w:type="dxa"/>
          </w:tcPr>
          <w:p>
            <w:pPr>
              <w:pStyle w:val="nTable"/>
              <w:spacing w:after="40"/>
              <w:ind w:left="35"/>
              <w:rPr>
                <w:sz w:val="19"/>
              </w:rPr>
            </w:pPr>
            <w:r>
              <w:rPr>
                <w:sz w:val="19"/>
              </w:rPr>
              <w:t>10 Mar 2000</w:t>
            </w:r>
          </w:p>
        </w:tc>
      </w:tr>
      <w:tr>
        <w:trPr>
          <w:cantSplit/>
        </w:trPr>
        <w:tc>
          <w:tcPr>
            <w:tcW w:w="3119" w:type="dxa"/>
          </w:tcPr>
          <w:p>
            <w:pPr>
              <w:pStyle w:val="nTable"/>
              <w:spacing w:after="40"/>
              <w:ind w:right="113"/>
              <w:rPr>
                <w:i/>
                <w:sz w:val="19"/>
              </w:rPr>
            </w:pPr>
            <w:r>
              <w:rPr>
                <w:i/>
                <w:sz w:val="19"/>
              </w:rPr>
              <w:t>Weapons Amendment Regulations (No. 3) 2000</w:t>
            </w:r>
          </w:p>
        </w:tc>
        <w:tc>
          <w:tcPr>
            <w:tcW w:w="1276" w:type="dxa"/>
          </w:tcPr>
          <w:p>
            <w:pPr>
              <w:pStyle w:val="nTable"/>
              <w:spacing w:after="40"/>
              <w:ind w:left="51"/>
              <w:rPr>
                <w:sz w:val="19"/>
              </w:rPr>
            </w:pPr>
            <w:r>
              <w:rPr>
                <w:sz w:val="19"/>
              </w:rPr>
              <w:t xml:space="preserve">9 Jun 2000 </w:t>
            </w:r>
            <w:r>
              <w:rPr>
                <w:sz w:val="19"/>
              </w:rPr>
              <w:br/>
              <w:t>p. 2773</w:t>
            </w:r>
            <w:r>
              <w:rPr>
                <w:sz w:val="19"/>
              </w:rPr>
              <w:noBreakHyphen/>
              <w:t>4</w:t>
            </w:r>
          </w:p>
        </w:tc>
        <w:tc>
          <w:tcPr>
            <w:tcW w:w="2693" w:type="dxa"/>
          </w:tcPr>
          <w:p>
            <w:pPr>
              <w:pStyle w:val="nTable"/>
              <w:spacing w:after="40"/>
              <w:ind w:left="35"/>
              <w:rPr>
                <w:sz w:val="19"/>
              </w:rPr>
            </w:pPr>
            <w:r>
              <w:rPr>
                <w:sz w:val="19"/>
              </w:rPr>
              <w:t xml:space="preserve">9 Jun 2000 </w:t>
            </w:r>
          </w:p>
        </w:tc>
      </w:tr>
      <w:tr>
        <w:trPr>
          <w:cantSplit/>
        </w:trPr>
        <w:tc>
          <w:tcPr>
            <w:tcW w:w="3119" w:type="dxa"/>
          </w:tcPr>
          <w:p>
            <w:pPr>
              <w:pStyle w:val="nTable"/>
              <w:spacing w:after="40"/>
              <w:ind w:right="113"/>
              <w:rPr>
                <w:i/>
                <w:sz w:val="19"/>
              </w:rPr>
            </w:pPr>
            <w:r>
              <w:rPr>
                <w:i/>
                <w:sz w:val="19"/>
              </w:rPr>
              <w:t>Weapons Amendment Regulations (No. 4) 2000</w:t>
            </w:r>
          </w:p>
        </w:tc>
        <w:tc>
          <w:tcPr>
            <w:tcW w:w="1276" w:type="dxa"/>
          </w:tcPr>
          <w:p>
            <w:pPr>
              <w:pStyle w:val="nTable"/>
              <w:spacing w:after="40"/>
              <w:ind w:left="51"/>
              <w:rPr>
                <w:sz w:val="19"/>
              </w:rPr>
            </w:pPr>
            <w:r>
              <w:rPr>
                <w:sz w:val="19"/>
              </w:rPr>
              <w:t xml:space="preserve">28 Jul 2000 </w:t>
            </w:r>
            <w:r>
              <w:rPr>
                <w:sz w:val="19"/>
              </w:rPr>
              <w:br/>
              <w:t>p. 4027</w:t>
            </w:r>
          </w:p>
        </w:tc>
        <w:tc>
          <w:tcPr>
            <w:tcW w:w="2693" w:type="dxa"/>
          </w:tcPr>
          <w:p>
            <w:pPr>
              <w:pStyle w:val="nTable"/>
              <w:spacing w:after="40"/>
              <w:ind w:left="35"/>
              <w:rPr>
                <w:sz w:val="19"/>
              </w:rPr>
            </w:pPr>
            <w:r>
              <w:rPr>
                <w:sz w:val="19"/>
              </w:rPr>
              <w:t>28 Jul 2000</w:t>
            </w:r>
          </w:p>
        </w:tc>
      </w:tr>
      <w:tr>
        <w:trPr>
          <w:cantSplit/>
        </w:trPr>
        <w:tc>
          <w:tcPr>
            <w:tcW w:w="7088" w:type="dxa"/>
            <w:gridSpan w:val="3"/>
          </w:tcPr>
          <w:p>
            <w:pPr>
              <w:pStyle w:val="nTable"/>
              <w:spacing w:after="40"/>
              <w:ind w:left="51"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trPr>
          <w:cantSplit/>
        </w:trPr>
        <w:tc>
          <w:tcPr>
            <w:tcW w:w="3119" w:type="dxa"/>
          </w:tcPr>
          <w:p>
            <w:pPr>
              <w:pStyle w:val="nTable"/>
              <w:spacing w:after="40"/>
              <w:ind w:right="113"/>
              <w:rPr>
                <w:i/>
                <w:sz w:val="19"/>
              </w:rPr>
            </w:pPr>
            <w:r>
              <w:rPr>
                <w:i/>
                <w:sz w:val="19"/>
              </w:rPr>
              <w:t>Weapons Amendment Regulations 2004</w:t>
            </w:r>
          </w:p>
        </w:tc>
        <w:tc>
          <w:tcPr>
            <w:tcW w:w="1276" w:type="dxa"/>
          </w:tcPr>
          <w:p>
            <w:pPr>
              <w:pStyle w:val="nTable"/>
              <w:spacing w:after="40"/>
              <w:ind w:left="51"/>
              <w:rPr>
                <w:sz w:val="19"/>
              </w:rPr>
            </w:pPr>
            <w:r>
              <w:rPr>
                <w:sz w:val="19"/>
              </w:rPr>
              <w:t>1 Oct 2004 p. 4284</w:t>
            </w:r>
          </w:p>
        </w:tc>
        <w:tc>
          <w:tcPr>
            <w:tcW w:w="2693" w:type="dxa"/>
          </w:tcPr>
          <w:p>
            <w:pPr>
              <w:pStyle w:val="nTable"/>
              <w:spacing w:after="40"/>
              <w:ind w:left="35"/>
              <w:rPr>
                <w:sz w:val="19"/>
              </w:rPr>
            </w:pPr>
            <w:r>
              <w:rPr>
                <w:sz w:val="19"/>
              </w:rPr>
              <w:t>1 Oct 2004</w:t>
            </w:r>
          </w:p>
        </w:tc>
      </w:tr>
      <w:tr>
        <w:trPr>
          <w:cantSplit/>
        </w:trPr>
        <w:tc>
          <w:tcPr>
            <w:tcW w:w="3119" w:type="dxa"/>
          </w:tcPr>
          <w:p>
            <w:pPr>
              <w:pStyle w:val="nTable"/>
              <w:spacing w:after="40"/>
              <w:ind w:right="113"/>
              <w:rPr>
                <w:i/>
                <w:sz w:val="19"/>
              </w:rPr>
            </w:pPr>
            <w:r>
              <w:rPr>
                <w:i/>
                <w:sz w:val="19"/>
              </w:rPr>
              <w:t>Weapons Amendment Regulations (No. 2) 2006</w:t>
            </w:r>
          </w:p>
        </w:tc>
        <w:tc>
          <w:tcPr>
            <w:tcW w:w="1276" w:type="dxa"/>
          </w:tcPr>
          <w:p>
            <w:pPr>
              <w:pStyle w:val="nTable"/>
              <w:spacing w:after="40"/>
              <w:ind w:left="51"/>
              <w:rPr>
                <w:sz w:val="19"/>
              </w:rPr>
            </w:pPr>
            <w:r>
              <w:rPr>
                <w:sz w:val="19"/>
              </w:rPr>
              <w:t>12 Sep 2006 p. 3665-6</w:t>
            </w:r>
          </w:p>
        </w:tc>
        <w:tc>
          <w:tcPr>
            <w:tcW w:w="2693" w:type="dxa"/>
          </w:tcPr>
          <w:p>
            <w:pPr>
              <w:pStyle w:val="nTable"/>
              <w:spacing w:after="40"/>
              <w:ind w:left="35"/>
              <w:rPr>
                <w:sz w:val="19"/>
              </w:rPr>
            </w:pPr>
            <w:r>
              <w:rPr>
                <w:sz w:val="19"/>
              </w:rPr>
              <w:t>12 Sep 2006</w:t>
            </w:r>
          </w:p>
        </w:tc>
      </w:tr>
      <w:tr>
        <w:trPr>
          <w:cantSplit/>
        </w:trPr>
        <w:tc>
          <w:tcPr>
            <w:tcW w:w="3119" w:type="dxa"/>
          </w:tcPr>
          <w:p>
            <w:pPr>
              <w:pStyle w:val="nTable"/>
              <w:spacing w:after="40"/>
              <w:ind w:right="113"/>
              <w:rPr>
                <w:i/>
                <w:sz w:val="19"/>
              </w:rPr>
            </w:pPr>
            <w:r>
              <w:rPr>
                <w:i/>
                <w:sz w:val="19"/>
              </w:rPr>
              <w:t>Weapons Amendment Regulations 2007</w:t>
            </w:r>
          </w:p>
        </w:tc>
        <w:tc>
          <w:tcPr>
            <w:tcW w:w="1276" w:type="dxa"/>
          </w:tcPr>
          <w:p>
            <w:pPr>
              <w:pStyle w:val="nTable"/>
              <w:spacing w:after="40"/>
              <w:ind w:left="51"/>
              <w:rPr>
                <w:sz w:val="19"/>
              </w:rPr>
            </w:pPr>
            <w:r>
              <w:rPr>
                <w:sz w:val="19"/>
              </w:rPr>
              <w:t>11 Sep 2007 p. 4613</w:t>
            </w:r>
          </w:p>
        </w:tc>
        <w:tc>
          <w:tcPr>
            <w:tcW w:w="2693" w:type="dxa"/>
          </w:tcPr>
          <w:p>
            <w:pPr>
              <w:pStyle w:val="nTable"/>
              <w:spacing w:after="40"/>
              <w:ind w:left="35"/>
              <w:rPr>
                <w:sz w:val="19"/>
              </w:rPr>
            </w:pPr>
            <w:r>
              <w:rPr>
                <w:sz w:val="19"/>
              </w:rPr>
              <w:t>r. 1 and 2: 11 Sep 2007 (see r. 2(a));</w:t>
            </w:r>
          </w:p>
          <w:p>
            <w:pPr>
              <w:pStyle w:val="nTable"/>
              <w:spacing w:after="40"/>
              <w:ind w:left="35"/>
              <w:rPr>
                <w:sz w:val="19"/>
              </w:rPr>
            </w:pPr>
            <w:r>
              <w:rPr>
                <w:sz w:val="19"/>
              </w:rPr>
              <w:t>Regulations other than r. 1 and 2: 12 Sep 2007 (see r. 2(b))</w:t>
            </w:r>
          </w:p>
        </w:tc>
      </w:tr>
      <w:tr>
        <w:trPr>
          <w:cantSplit/>
        </w:trPr>
        <w:tc>
          <w:tcPr>
            <w:tcW w:w="3119" w:type="dxa"/>
          </w:tcPr>
          <w:p>
            <w:pPr>
              <w:pStyle w:val="nTable"/>
              <w:spacing w:after="40"/>
              <w:ind w:right="113"/>
              <w:rPr>
                <w:i/>
                <w:sz w:val="19"/>
              </w:rPr>
            </w:pPr>
            <w:r>
              <w:rPr>
                <w:i/>
                <w:sz w:val="19"/>
              </w:rPr>
              <w:t>Weapons Amendment Regulations 2008</w:t>
            </w:r>
          </w:p>
        </w:tc>
        <w:tc>
          <w:tcPr>
            <w:tcW w:w="1276" w:type="dxa"/>
          </w:tcPr>
          <w:p>
            <w:pPr>
              <w:pStyle w:val="nTable"/>
              <w:spacing w:after="40"/>
              <w:ind w:left="51"/>
              <w:rPr>
                <w:sz w:val="19"/>
              </w:rPr>
            </w:pPr>
            <w:r>
              <w:rPr>
                <w:sz w:val="19"/>
              </w:rPr>
              <w:t>29 Feb 2008 p. 692</w:t>
            </w:r>
            <w:r>
              <w:rPr>
                <w:sz w:val="19"/>
              </w:rPr>
              <w:noBreakHyphen/>
              <w:t>3</w:t>
            </w:r>
          </w:p>
        </w:tc>
        <w:tc>
          <w:tcPr>
            <w:tcW w:w="2693" w:type="dxa"/>
          </w:tcPr>
          <w:p>
            <w:pPr>
              <w:pStyle w:val="nTable"/>
              <w:spacing w:after="40"/>
              <w:ind w:left="35"/>
              <w:rPr>
                <w:sz w:val="19"/>
              </w:rPr>
            </w:pPr>
            <w:r>
              <w:rPr>
                <w:snapToGrid w:val="0"/>
                <w:sz w:val="19"/>
                <w:lang w:val="en-US"/>
              </w:rPr>
              <w:t>r. 1 and 2: 29 Feb 2008 (see r. 2(a));</w:t>
            </w:r>
            <w:r>
              <w:rPr>
                <w:snapToGrid w:val="0"/>
                <w:sz w:val="19"/>
                <w:lang w:val="en-US"/>
              </w:rPr>
              <w:br/>
              <w:t>Regulations other than r. 1 and 2: 1 Mar 2008 (see r. 2(b))</w:t>
            </w:r>
          </w:p>
        </w:tc>
      </w:tr>
      <w:tr>
        <w:trPr>
          <w:cantSplit/>
          <w:ins w:id="45" w:author="Master Repository Process" w:date="2021-09-18T19:10:00Z"/>
        </w:trPr>
        <w:tc>
          <w:tcPr>
            <w:tcW w:w="3118" w:type="dxa"/>
            <w:tcBorders>
              <w:bottom w:val="single" w:sz="8" w:space="0" w:color="auto"/>
            </w:tcBorders>
          </w:tcPr>
          <w:p>
            <w:pPr>
              <w:pStyle w:val="nTable"/>
              <w:spacing w:after="40"/>
              <w:ind w:right="113"/>
              <w:rPr>
                <w:ins w:id="46" w:author="Master Repository Process" w:date="2021-09-18T19:10:00Z"/>
                <w:i/>
                <w:sz w:val="19"/>
              </w:rPr>
            </w:pPr>
            <w:ins w:id="47" w:author="Master Repository Process" w:date="2021-09-18T19:10:00Z">
              <w:r>
                <w:rPr>
                  <w:i/>
                  <w:sz w:val="19"/>
                </w:rPr>
                <w:t>Weapons Amendment Regulations (No. 2) 2008</w:t>
              </w:r>
            </w:ins>
          </w:p>
        </w:tc>
        <w:tc>
          <w:tcPr>
            <w:tcW w:w="1276" w:type="dxa"/>
            <w:tcBorders>
              <w:bottom w:val="single" w:sz="8" w:space="0" w:color="auto"/>
            </w:tcBorders>
          </w:tcPr>
          <w:p>
            <w:pPr>
              <w:pStyle w:val="nTable"/>
              <w:spacing w:after="40"/>
              <w:ind w:left="51"/>
              <w:rPr>
                <w:ins w:id="48" w:author="Master Repository Process" w:date="2021-09-18T19:10:00Z"/>
                <w:sz w:val="19"/>
              </w:rPr>
            </w:pPr>
            <w:ins w:id="49" w:author="Master Repository Process" w:date="2021-09-18T19:10:00Z">
              <w:r>
                <w:rPr>
                  <w:sz w:val="19"/>
                </w:rPr>
                <w:t>11 Apr 2008 p. 1392</w:t>
              </w:r>
            </w:ins>
          </w:p>
        </w:tc>
        <w:tc>
          <w:tcPr>
            <w:tcW w:w="2693" w:type="dxa"/>
            <w:tcBorders>
              <w:bottom w:val="single" w:sz="8" w:space="0" w:color="auto"/>
            </w:tcBorders>
          </w:tcPr>
          <w:p>
            <w:pPr>
              <w:pStyle w:val="nTable"/>
              <w:spacing w:after="40"/>
              <w:ind w:left="35"/>
              <w:rPr>
                <w:ins w:id="50" w:author="Master Repository Process" w:date="2021-09-18T19:10:00Z"/>
                <w:snapToGrid w:val="0"/>
                <w:sz w:val="19"/>
                <w:lang w:val="en-US"/>
              </w:rPr>
            </w:pPr>
            <w:ins w:id="51" w:author="Master Repository Process" w:date="2021-09-18T19:10:00Z">
              <w:r>
                <w:rPr>
                  <w:snapToGrid w:val="0"/>
                  <w:sz w:val="19"/>
                  <w:lang w:val="en-US"/>
                </w:rPr>
                <w:t>r. 1 and 2: 11 Apr 2008 (see r. 2(a));</w:t>
              </w:r>
            </w:ins>
          </w:p>
          <w:p>
            <w:pPr>
              <w:pStyle w:val="nTable"/>
              <w:spacing w:after="40"/>
              <w:ind w:left="35"/>
              <w:rPr>
                <w:ins w:id="52" w:author="Master Repository Process" w:date="2021-09-18T19:10:00Z"/>
                <w:snapToGrid w:val="0"/>
                <w:sz w:val="19"/>
                <w:lang w:val="en-US"/>
              </w:rPr>
            </w:pPr>
            <w:ins w:id="53" w:author="Master Repository Process" w:date="2021-09-18T19:10:00Z">
              <w:r>
                <w:rPr>
                  <w:snapToGrid w:val="0"/>
                  <w:sz w:val="19"/>
                  <w:lang w:val="en-US"/>
                </w:rPr>
                <w:t>Regulations other than r. 1 and 2: 12 Apr 2008 (see r. 2(b))</w:t>
              </w:r>
            </w:ins>
          </w:p>
        </w:tc>
      </w:tr>
    </w:tbl>
    <w:p>
      <w:pPr>
        <w:rPr>
          <w:iCs/>
        </w:rPr>
      </w:pPr>
    </w:p>
    <w:p>
      <w:pPr>
        <w:rPr>
          <w:snapToGrid w:val="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bookmarkStart w:id="54" w:name="UpToHere"/>
      <w:bookmarkEnd w:id="54"/>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Weapons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Weapons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Weapons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Weapons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FC54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316B1D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55AD9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CBEB6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8282A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8A0F3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6AFBE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20008E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ECF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7872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331E82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C2808C0"/>
    <w:multiLevelType w:val="singleLevel"/>
    <w:tmpl w:val="705856E6"/>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9A7122-EBDE-4753-A21A-CDC82E26C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3512</Words>
  <Characters>16090</Characters>
  <Application>Microsoft Office Word</Application>
  <DocSecurity>0</DocSecurity>
  <Lines>595</Lines>
  <Paragraphs>362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Prohibited weapons</vt:lpstr>
      <vt:lpstr>    Schedule 2 — Controlled weapons</vt:lpstr>
      <vt:lpstr>    Notes</vt:lpstr>
    </vt:vector>
  </TitlesOfParts>
  <Manager/>
  <Company/>
  <LinksUpToDate>false</LinksUpToDate>
  <CharactersWithSpaces>19240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01-e0-01 - 01-f0-01</dc:title>
  <dc:subject/>
  <dc:creator/>
  <cp:keywords/>
  <dc:description/>
  <cp:lastModifiedBy>Master Repository Process</cp:lastModifiedBy>
  <cp:revision>2</cp:revision>
  <cp:lastPrinted>2001-05-22T08:08:00Z</cp:lastPrinted>
  <dcterms:created xsi:type="dcterms:W3CDTF">2021-09-18T11:10:00Z</dcterms:created>
  <dcterms:modified xsi:type="dcterms:W3CDTF">2021-09-18T11:11:00Z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20080412</vt:lpwstr>
  </property>
  <property fmtid="{D5CDD505-2E9C-101B-9397-08002B2CF9AE}" pid="4" name="DocumentType">
    <vt:lpwstr>Reg</vt:lpwstr>
  </property>
  <property fmtid="{D5CDD505-2E9C-101B-9397-08002B2CF9AE}" pid="5" name="OwlsUID">
    <vt:i4>616</vt:i4>
  </property>
  <property fmtid="{D5CDD505-2E9C-101B-9397-08002B2CF9AE}" pid="6" name="FromSuffix">
    <vt:lpwstr>01-e0-01</vt:lpwstr>
  </property>
  <property fmtid="{D5CDD505-2E9C-101B-9397-08002B2CF9AE}" pid="7" name="FromAsAtDate">
    <vt:lpwstr>01 Mar 2008</vt:lpwstr>
  </property>
  <property fmtid="{D5CDD505-2E9C-101B-9397-08002B2CF9AE}" pid="8" name="ToSuffix">
    <vt:lpwstr>01-f0-01</vt:lpwstr>
  </property>
  <property fmtid="{D5CDD505-2E9C-101B-9397-08002B2CF9AE}" pid="9" name="ToAsAtDate">
    <vt:lpwstr>12 Apr 2008</vt:lpwstr>
  </property>
</Properties>
</file>