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Aug 2007</w:t>
      </w:r>
      <w:r>
        <w:fldChar w:fldCharType="end"/>
      </w:r>
      <w:r>
        <w:t xml:space="preserve">, </w:t>
      </w:r>
      <w:r>
        <w:fldChar w:fldCharType="begin"/>
      </w:r>
      <w:r>
        <w:instrText xml:space="preserve"> DocProperty FromSuffix </w:instrText>
      </w:r>
      <w:r>
        <w:fldChar w:fldCharType="separate"/>
      </w:r>
      <w:r>
        <w:t>02-a0-02</w:t>
      </w:r>
      <w:r>
        <w:fldChar w:fldCharType="end"/>
      </w:r>
      <w:r>
        <w:t>] and [</w:t>
      </w:r>
      <w:r>
        <w:fldChar w:fldCharType="begin"/>
      </w:r>
      <w:r>
        <w:instrText xml:space="preserve"> DocProperty ToAsAtDate</w:instrText>
      </w:r>
      <w:r>
        <w:fldChar w:fldCharType="separate"/>
      </w:r>
      <w:r>
        <w:t>20 May 2008</w:t>
      </w:r>
      <w:r>
        <w:fldChar w:fldCharType="end"/>
      </w:r>
      <w:r>
        <w:t xml:space="preserve">, </w:t>
      </w:r>
      <w:r>
        <w:fldChar w:fldCharType="begin"/>
      </w:r>
      <w:r>
        <w:instrText xml:space="preserve"> DocProperty ToSuffix</w:instrText>
      </w:r>
      <w:r>
        <w:fldChar w:fldCharType="separate"/>
      </w:r>
      <w:r>
        <w:t>02-b0-02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7-31T08:16:00Z"/>
        </w:trPr>
        <w:tc>
          <w:tcPr>
            <w:tcW w:w="2434" w:type="dxa"/>
            <w:vMerge w:val="restart"/>
          </w:tcPr>
          <w:p>
            <w:pPr>
              <w:rPr>
                <w:del w:id="1" w:author="Master Repository Process" w:date="2021-07-31T08:16:00Z"/>
              </w:rPr>
            </w:pPr>
          </w:p>
        </w:tc>
        <w:tc>
          <w:tcPr>
            <w:tcW w:w="2434" w:type="dxa"/>
            <w:vMerge w:val="restart"/>
          </w:tcPr>
          <w:p>
            <w:pPr>
              <w:jc w:val="center"/>
              <w:rPr>
                <w:del w:id="2" w:author="Master Repository Process" w:date="2021-07-31T08:16:00Z"/>
              </w:rPr>
            </w:pPr>
            <w:del w:id="3" w:author="Master Repository Process" w:date="2021-07-31T08:16:00Z">
              <w:r>
                <w:rPr>
                  <w:noProof/>
                  <w:lang w:eastAsia="en-AU"/>
                </w:rPr>
                <w:drawing>
                  <wp:inline distT="0" distB="0" distL="0" distR="0">
                    <wp:extent cx="534035" cy="467995"/>
                    <wp:effectExtent l="0" t="0" r="0" b="825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035" cy="467995"/>
                            </a:xfrm>
                            <a:prstGeom prst="rect">
                              <a:avLst/>
                            </a:prstGeom>
                            <a:noFill/>
                            <a:ln>
                              <a:noFill/>
                            </a:ln>
                          </pic:spPr>
                        </pic:pic>
                      </a:graphicData>
                    </a:graphic>
                  </wp:inline>
                </w:drawing>
              </w:r>
            </w:del>
          </w:p>
        </w:tc>
        <w:tc>
          <w:tcPr>
            <w:tcW w:w="2434" w:type="dxa"/>
          </w:tcPr>
          <w:p>
            <w:pPr>
              <w:rPr>
                <w:del w:id="4" w:author="Master Repository Process" w:date="2021-07-31T08:16:00Z"/>
              </w:rPr>
            </w:pPr>
          </w:p>
        </w:tc>
      </w:tr>
      <w:tr>
        <w:trPr>
          <w:cantSplit/>
          <w:del w:id="5" w:author="Master Repository Process" w:date="2021-07-31T08:16:00Z"/>
        </w:trPr>
        <w:tc>
          <w:tcPr>
            <w:tcW w:w="2434" w:type="dxa"/>
            <w:vMerge/>
          </w:tcPr>
          <w:p>
            <w:pPr>
              <w:rPr>
                <w:del w:id="6" w:author="Master Repository Process" w:date="2021-07-31T08:16:00Z"/>
              </w:rPr>
            </w:pPr>
          </w:p>
        </w:tc>
        <w:tc>
          <w:tcPr>
            <w:tcW w:w="2434" w:type="dxa"/>
            <w:vMerge/>
          </w:tcPr>
          <w:p>
            <w:pPr>
              <w:jc w:val="center"/>
              <w:rPr>
                <w:del w:id="7" w:author="Master Repository Process" w:date="2021-07-31T08:16:00Z"/>
              </w:rPr>
            </w:pPr>
          </w:p>
        </w:tc>
        <w:tc>
          <w:tcPr>
            <w:tcW w:w="2434" w:type="dxa"/>
          </w:tcPr>
          <w:p>
            <w:pPr>
              <w:keepNext/>
              <w:rPr>
                <w:del w:id="8" w:author="Master Repository Process" w:date="2021-07-31T08:16:00Z"/>
                <w:b/>
                <w:sz w:val="22"/>
              </w:rPr>
            </w:pPr>
            <w:del w:id="9" w:author="Master Repository Process" w:date="2021-07-31T08:16:00Z">
              <w:r>
                <w:rPr>
                  <w:b/>
                  <w:sz w:val="22"/>
                </w:rPr>
                <w:delText xml:space="preserve">Reprinted under the </w:delText>
              </w:r>
              <w:r>
                <w:rPr>
                  <w:b/>
                  <w:i/>
                  <w:sz w:val="22"/>
                </w:rPr>
                <w:delText>Reprints Act 1984</w:delText>
              </w:r>
              <w:r>
                <w:rPr>
                  <w:b/>
                  <w:sz w:val="22"/>
                </w:rPr>
                <w:delText xml:space="preserve"> as at 24</w:delText>
              </w:r>
              <w:r>
                <w:rPr>
                  <w:b/>
                  <w:snapToGrid w:val="0"/>
                  <w:sz w:val="22"/>
                </w:rPr>
                <w:delText xml:space="preserve"> August 2007</w:delText>
              </w:r>
            </w:del>
          </w:p>
        </w:tc>
      </w:tr>
    </w:tbl>
    <w:p>
      <w:pPr>
        <w:pStyle w:val="WA"/>
        <w:spacing w:before="120"/>
      </w:pPr>
      <w:r>
        <w:t>Western Australia</w:t>
      </w:r>
    </w:p>
    <w:p>
      <w:pPr>
        <w:pStyle w:val="PrincipalActReg"/>
        <w:rPr>
          <w:snapToGrid w:val="0"/>
        </w:rPr>
      </w:pPr>
      <w:r>
        <w:rPr>
          <w:snapToGrid w:val="0"/>
        </w:rPr>
        <w:t>Agriculture and Related Resources Protection Act 1976</w:t>
      </w:r>
    </w:p>
    <w:p>
      <w:pPr>
        <w:pStyle w:val="NameofActReg"/>
        <w:spacing w:before="400" w:after="400"/>
      </w:pPr>
      <w:r>
        <w:t>Agriculture and Related Resources Protection (Declared Animals) Regulations 1985</w:t>
      </w:r>
    </w:p>
    <w:p>
      <w:pPr>
        <w:pStyle w:val="Heading2"/>
        <w:pageBreakBefore w:val="0"/>
      </w:pPr>
      <w:bookmarkStart w:id="10" w:name="_Toc105405742"/>
      <w:bookmarkStart w:id="11" w:name="_Toc105405793"/>
      <w:bookmarkStart w:id="12" w:name="_Toc105406165"/>
      <w:bookmarkStart w:id="13" w:name="_Toc107633575"/>
      <w:bookmarkStart w:id="14" w:name="_Toc138563603"/>
      <w:bookmarkStart w:id="15" w:name="_Toc138563848"/>
      <w:bookmarkStart w:id="16" w:name="_Toc170183729"/>
      <w:bookmarkStart w:id="17" w:name="_Toc170716408"/>
      <w:bookmarkStart w:id="18" w:name="_Toc172599775"/>
      <w:bookmarkStart w:id="19" w:name="_Toc172603198"/>
      <w:bookmarkStart w:id="20" w:name="_Toc175372422"/>
      <w:bookmarkStart w:id="21" w:name="_Toc199043449"/>
      <w:r>
        <w:rPr>
          <w:rStyle w:val="CharPartNo"/>
        </w:rPr>
        <w:t>P</w:t>
      </w:r>
      <w:bookmarkStart w:id="22" w:name="_GoBack"/>
      <w:bookmarkEnd w:id="22"/>
      <w:r>
        <w:rPr>
          <w:rStyle w:val="CharPartNo"/>
        </w:rPr>
        <w:t>art I</w:t>
      </w:r>
      <w:r>
        <w:rPr>
          <w:rStyle w:val="CharDivNo"/>
        </w:rPr>
        <w:t> </w:t>
      </w:r>
      <w:r>
        <w:t>—</w:t>
      </w:r>
      <w:r>
        <w:rPr>
          <w:rStyle w:val="CharDivText"/>
        </w:rPr>
        <w:t> </w:t>
      </w:r>
      <w:r>
        <w:rPr>
          <w:rStyle w:val="CharPartText"/>
        </w:rPr>
        <w:t>Preliminary</w:t>
      </w:r>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3" w:name="_Toc434725425"/>
      <w:bookmarkStart w:id="24" w:name="_Toc105405794"/>
      <w:bookmarkStart w:id="25" w:name="_Toc107633576"/>
      <w:bookmarkStart w:id="26" w:name="_Toc199043450"/>
      <w:bookmarkStart w:id="27" w:name="_Toc175372423"/>
      <w:r>
        <w:rPr>
          <w:rStyle w:val="CharSectno"/>
        </w:rPr>
        <w:t>1</w:t>
      </w:r>
      <w:r>
        <w:rPr>
          <w:snapToGrid w:val="0"/>
        </w:rPr>
        <w:t>.</w:t>
      </w:r>
      <w:r>
        <w:rPr>
          <w:snapToGrid w:val="0"/>
        </w:rPr>
        <w:tab/>
        <w:t>Citation</w:t>
      </w:r>
      <w:bookmarkEnd w:id="23"/>
      <w:bookmarkEnd w:id="24"/>
      <w:bookmarkEnd w:id="25"/>
      <w:bookmarkEnd w:id="26"/>
      <w:bookmarkEnd w:id="27"/>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28" w:name="_Toc434725426"/>
      <w:bookmarkStart w:id="29" w:name="_Toc105405795"/>
      <w:bookmarkStart w:id="30" w:name="_Toc107633577"/>
      <w:bookmarkStart w:id="31" w:name="_Toc199043451"/>
      <w:bookmarkStart w:id="32" w:name="_Toc175372424"/>
      <w:r>
        <w:rPr>
          <w:rStyle w:val="CharSectno"/>
        </w:rPr>
        <w:t>2</w:t>
      </w:r>
      <w:r>
        <w:rPr>
          <w:snapToGrid w:val="0"/>
        </w:rPr>
        <w:t>.</w:t>
      </w:r>
      <w:r>
        <w:rPr>
          <w:snapToGrid w:val="0"/>
        </w:rPr>
        <w:tab/>
      </w:r>
      <w:bookmarkEnd w:id="28"/>
      <w:bookmarkEnd w:id="29"/>
      <w:bookmarkEnd w:id="30"/>
      <w:r>
        <w:rPr>
          <w:snapToGrid w:val="0"/>
        </w:rPr>
        <w:t>Terms used in these regulations</w:t>
      </w:r>
      <w:bookmarkEnd w:id="31"/>
      <w:bookmarkEnd w:id="32"/>
    </w:p>
    <w:p>
      <w:pPr>
        <w:pStyle w:val="Subsection"/>
        <w:rPr>
          <w:snapToGrid w:val="0"/>
        </w:rPr>
      </w:pPr>
      <w:r>
        <w:rPr>
          <w:snapToGrid w:val="0"/>
        </w:rPr>
        <w:tab/>
      </w:r>
      <w:r>
        <w:rPr>
          <w:snapToGrid w:val="0"/>
        </w:rPr>
        <w:tab/>
        <w:t>In these regulations, unless the contrary intention appears —</w:t>
      </w:r>
    </w:p>
    <w:p>
      <w:pPr>
        <w:pStyle w:val="Defstart"/>
      </w:pPr>
      <w:r>
        <w:rPr>
          <w:b/>
        </w:rPr>
        <w:tab/>
        <w:t>“</w:t>
      </w:r>
      <w:r>
        <w:rPr>
          <w:rStyle w:val="CharDefText"/>
        </w:rPr>
        <w:t>metropolitan area</w:t>
      </w:r>
      <w:r>
        <w:rPr>
          <w:b/>
        </w:rPr>
        <w:t>”</w:t>
      </w:r>
      <w:r>
        <w:t xml:space="preserve"> means the area described as the metropolitan region in the Third Schedule to the </w:t>
      </w:r>
      <w:r>
        <w:rPr>
          <w:i/>
        </w:rPr>
        <w:t>Metropolitan Region Town Planning Scheme Act 1959 </w:t>
      </w:r>
      <w:r>
        <w:rPr>
          <w:vertAlign w:val="superscript"/>
        </w:rPr>
        <w:t>2</w:t>
      </w:r>
      <w:r>
        <w:t>;</w:t>
      </w:r>
    </w:p>
    <w:p>
      <w:pPr>
        <w:pStyle w:val="Defstart"/>
      </w:pPr>
      <w:r>
        <w:rPr>
          <w:b/>
        </w:rPr>
        <w:tab/>
        <w:t>“</w:t>
      </w:r>
      <w:r>
        <w:rPr>
          <w:rStyle w:val="CharDefText"/>
        </w:rPr>
        <w:t>permit</w:t>
      </w:r>
      <w:r>
        <w:rPr>
          <w:b/>
        </w:rPr>
        <w: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33" w:name="_Toc434725427"/>
      <w:bookmarkStart w:id="34" w:name="_Toc105405796"/>
      <w:bookmarkStart w:id="35" w:name="_Toc107633578"/>
      <w:bookmarkStart w:id="36" w:name="_Toc199043452"/>
      <w:bookmarkStart w:id="37" w:name="_Toc175372425"/>
      <w:r>
        <w:rPr>
          <w:rStyle w:val="CharSectno"/>
        </w:rPr>
        <w:t>3</w:t>
      </w:r>
      <w:r>
        <w:rPr>
          <w:snapToGrid w:val="0"/>
        </w:rPr>
        <w:t>.</w:t>
      </w:r>
      <w:r>
        <w:rPr>
          <w:snapToGrid w:val="0"/>
        </w:rPr>
        <w:tab/>
        <w:t>Scientific name</w:t>
      </w:r>
      <w:bookmarkEnd w:id="33"/>
      <w:bookmarkEnd w:id="34"/>
      <w:bookmarkEnd w:id="35"/>
      <w:bookmarkEnd w:id="36"/>
      <w:bookmarkEnd w:id="37"/>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38" w:name="_Toc105405746"/>
      <w:bookmarkStart w:id="39" w:name="_Toc105405797"/>
      <w:bookmarkStart w:id="40" w:name="_Toc105406169"/>
      <w:bookmarkStart w:id="41" w:name="_Toc107633579"/>
      <w:bookmarkStart w:id="42" w:name="_Toc138563607"/>
      <w:bookmarkStart w:id="43" w:name="_Toc138563852"/>
      <w:bookmarkStart w:id="44" w:name="_Toc170183733"/>
      <w:bookmarkStart w:id="45" w:name="_Toc170716412"/>
      <w:bookmarkStart w:id="46" w:name="_Toc172599779"/>
      <w:bookmarkStart w:id="47" w:name="_Toc172603202"/>
      <w:bookmarkStart w:id="48" w:name="_Toc175372426"/>
      <w:bookmarkStart w:id="49" w:name="_Toc199043453"/>
      <w:r>
        <w:rPr>
          <w:rStyle w:val="CharPartNo"/>
        </w:rPr>
        <w:lastRenderedPageBreak/>
        <w:t>Part II</w:t>
      </w:r>
      <w:r>
        <w:rPr>
          <w:rStyle w:val="CharDivNo"/>
        </w:rPr>
        <w:t> </w:t>
      </w:r>
      <w:r>
        <w:t>—</w:t>
      </w:r>
      <w:r>
        <w:rPr>
          <w:rStyle w:val="CharDivText"/>
        </w:rPr>
        <w:t> </w:t>
      </w:r>
      <w:r>
        <w:rPr>
          <w:rStyle w:val="CharPartText"/>
        </w:rPr>
        <w:t>Introduction of category A4 declared animals</w:t>
      </w:r>
      <w:bookmarkEnd w:id="38"/>
      <w:bookmarkEnd w:id="39"/>
      <w:bookmarkEnd w:id="40"/>
      <w:bookmarkEnd w:id="41"/>
      <w:bookmarkEnd w:id="42"/>
      <w:bookmarkEnd w:id="43"/>
      <w:bookmarkEnd w:id="44"/>
      <w:bookmarkEnd w:id="45"/>
      <w:bookmarkEnd w:id="46"/>
      <w:bookmarkEnd w:id="47"/>
      <w:bookmarkEnd w:id="48"/>
      <w:bookmarkEnd w:id="49"/>
    </w:p>
    <w:p>
      <w:pPr>
        <w:pStyle w:val="Heading5"/>
        <w:spacing w:before="120"/>
        <w:rPr>
          <w:snapToGrid w:val="0"/>
        </w:rPr>
      </w:pPr>
      <w:bookmarkStart w:id="50" w:name="_Toc434725428"/>
      <w:bookmarkStart w:id="51" w:name="_Toc105405798"/>
      <w:bookmarkStart w:id="52" w:name="_Toc107633580"/>
      <w:bookmarkStart w:id="53" w:name="_Toc199043454"/>
      <w:bookmarkStart w:id="54" w:name="_Toc175372427"/>
      <w:r>
        <w:rPr>
          <w:rStyle w:val="CharSectno"/>
        </w:rPr>
        <w:t>4</w:t>
      </w:r>
      <w:r>
        <w:rPr>
          <w:snapToGrid w:val="0"/>
        </w:rPr>
        <w:t>.</w:t>
      </w:r>
      <w:r>
        <w:rPr>
          <w:snapToGrid w:val="0"/>
        </w:rPr>
        <w:tab/>
        <w:t>Permit</w:t>
      </w:r>
      <w:bookmarkEnd w:id="50"/>
      <w:bookmarkEnd w:id="51"/>
      <w:bookmarkEnd w:id="52"/>
      <w:bookmarkEnd w:id="53"/>
      <w:bookmarkEnd w:id="54"/>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Protection Board </w:t>
      </w:r>
      <w:r>
        <w:rPr>
          <w:snapToGrid w:val="0"/>
          <w:color w:val="000000"/>
        </w:rPr>
        <w:t>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the manner of enclosure, and such other precautions for the purposes of the Act, as the Protection Board sees fit to require in relation to the animals while they are being dealt with under the authority of the permit;</w:t>
      </w:r>
    </w:p>
    <w:p>
      <w:pPr>
        <w:pStyle w:val="Indenti"/>
        <w:rPr>
          <w:snapToGrid w:val="0"/>
        </w:rPr>
      </w:pPr>
      <w:r>
        <w:rPr>
          <w:snapToGrid w:val="0"/>
        </w:rPr>
        <w:lastRenderedPageBreak/>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those birds shall be deemed to be brought in pursuant to and in accordance with a current permit issued for that purpose by the Protection Board and that person shall, not more than 1 month after so bringing those birds into the State or part of the State, as the case may be, submit to the Protection Board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 $200.</w:t>
      </w:r>
    </w:p>
    <w:p>
      <w:pPr>
        <w:pStyle w:val="Footnotesection"/>
      </w:pPr>
      <w:r>
        <w:tab/>
        <w:t>[Regulation 4 amended in Gazette 6 Sep 1985 p. 3497; 6 Jun 1986 p. 1929; 4 Mar 1988 p. 703; 7 Dec 2001 p. 6181 (disallowed in Gazette 14 May 2002 p. 2530).]</w:t>
      </w:r>
    </w:p>
    <w:p>
      <w:pPr>
        <w:pStyle w:val="Heading5"/>
        <w:rPr>
          <w:snapToGrid w:val="0"/>
        </w:rPr>
      </w:pPr>
      <w:bookmarkStart w:id="55" w:name="_Toc434725429"/>
      <w:bookmarkStart w:id="56" w:name="_Toc105405799"/>
      <w:bookmarkStart w:id="57" w:name="_Toc107633581"/>
      <w:bookmarkStart w:id="58" w:name="_Toc199043455"/>
      <w:bookmarkStart w:id="59" w:name="_Toc175372428"/>
      <w:r>
        <w:rPr>
          <w:rStyle w:val="CharSectno"/>
        </w:rPr>
        <w:t>5</w:t>
      </w:r>
      <w:r>
        <w:rPr>
          <w:snapToGrid w:val="0"/>
        </w:rPr>
        <w:t>.</w:t>
      </w:r>
      <w:r>
        <w:rPr>
          <w:snapToGrid w:val="0"/>
        </w:rPr>
        <w:tab/>
        <w:t>Application for permit</w:t>
      </w:r>
      <w:bookmarkEnd w:id="55"/>
      <w:bookmarkEnd w:id="56"/>
      <w:bookmarkEnd w:id="57"/>
      <w:bookmarkEnd w:id="58"/>
      <w:bookmarkEnd w:id="59"/>
    </w:p>
    <w:p>
      <w:pPr>
        <w:pStyle w:val="Subsection"/>
        <w:rPr>
          <w:snapToGrid w:val="0"/>
        </w:rPr>
      </w:pPr>
      <w:r>
        <w:rPr>
          <w:snapToGrid w:val="0"/>
        </w:rPr>
        <w:tab/>
      </w:r>
      <w:r>
        <w:rPr>
          <w:snapToGrid w:val="0"/>
        </w:rPr>
        <w:tab/>
        <w:t>An application for the issue of a permit may be made in the form of Form 2 duly competed and lodged with the Protection Board at least 7 days before it is proposed to bring in animals under that permit.</w:t>
      </w:r>
    </w:p>
    <w:p>
      <w:pPr>
        <w:pStyle w:val="Heading5"/>
        <w:rPr>
          <w:snapToGrid w:val="0"/>
        </w:rPr>
      </w:pPr>
      <w:bookmarkStart w:id="60" w:name="_Toc434725430"/>
      <w:bookmarkStart w:id="61" w:name="_Toc105405800"/>
      <w:bookmarkStart w:id="62" w:name="_Toc107633582"/>
      <w:bookmarkStart w:id="63" w:name="_Toc199043456"/>
      <w:bookmarkStart w:id="64" w:name="_Toc175372429"/>
      <w:r>
        <w:rPr>
          <w:rStyle w:val="CharSectno"/>
        </w:rPr>
        <w:t>6</w:t>
      </w:r>
      <w:r>
        <w:rPr>
          <w:snapToGrid w:val="0"/>
        </w:rPr>
        <w:t>.</w:t>
      </w:r>
      <w:r>
        <w:rPr>
          <w:snapToGrid w:val="0"/>
        </w:rPr>
        <w:tab/>
        <w:t>Evidence of security</w:t>
      </w:r>
      <w:bookmarkEnd w:id="60"/>
      <w:bookmarkEnd w:id="61"/>
      <w:bookmarkEnd w:id="62"/>
      <w:bookmarkEnd w:id="63"/>
      <w:bookmarkEnd w:id="64"/>
    </w:p>
    <w:p>
      <w:pPr>
        <w:pStyle w:val="Subsection"/>
        <w:rPr>
          <w:snapToGrid w:val="0"/>
        </w:rPr>
      </w:pPr>
      <w:r>
        <w:rPr>
          <w:snapToGrid w:val="0"/>
        </w:rPr>
        <w:tab/>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Heading5"/>
        <w:rPr>
          <w:snapToGrid w:val="0"/>
        </w:rPr>
      </w:pPr>
      <w:bookmarkStart w:id="65" w:name="_Toc434725431"/>
      <w:bookmarkStart w:id="66" w:name="_Toc105405801"/>
      <w:bookmarkStart w:id="67" w:name="_Toc107633583"/>
      <w:bookmarkStart w:id="68" w:name="_Toc199043457"/>
      <w:bookmarkStart w:id="69" w:name="_Toc175372430"/>
      <w:r>
        <w:rPr>
          <w:rStyle w:val="CharSectno"/>
        </w:rPr>
        <w:t>7</w:t>
      </w:r>
      <w:r>
        <w:rPr>
          <w:snapToGrid w:val="0"/>
        </w:rPr>
        <w:t>.</w:t>
      </w:r>
      <w:r>
        <w:rPr>
          <w:snapToGrid w:val="0"/>
        </w:rPr>
        <w:tab/>
        <w:t>Issue of permit</w:t>
      </w:r>
      <w:bookmarkEnd w:id="65"/>
      <w:bookmarkEnd w:id="66"/>
      <w:bookmarkEnd w:id="67"/>
      <w:bookmarkEnd w:id="68"/>
      <w:bookmarkEnd w:id="69"/>
    </w:p>
    <w:p>
      <w:pPr>
        <w:pStyle w:val="Subsection"/>
        <w:rPr>
          <w:snapToGrid w:val="0"/>
        </w:rPr>
      </w:pPr>
      <w:r>
        <w:rPr>
          <w:snapToGrid w:val="0"/>
        </w:rPr>
        <w:tab/>
      </w:r>
      <w:r>
        <w:rPr>
          <w:snapToGrid w:val="0"/>
        </w:rPr>
        <w:tab/>
        <w:t>The Protection Board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endorse on any permit issued such conditions as to it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Heading5"/>
        <w:rPr>
          <w:snapToGrid w:val="0"/>
        </w:rPr>
      </w:pPr>
      <w:bookmarkStart w:id="70" w:name="_Toc434725432"/>
      <w:bookmarkStart w:id="71" w:name="_Toc105405802"/>
      <w:bookmarkStart w:id="72" w:name="_Toc107633584"/>
      <w:bookmarkStart w:id="73" w:name="_Toc199043458"/>
      <w:bookmarkStart w:id="74" w:name="_Toc175372431"/>
      <w:r>
        <w:rPr>
          <w:rStyle w:val="CharSectno"/>
        </w:rPr>
        <w:t>8</w:t>
      </w:r>
      <w:r>
        <w:rPr>
          <w:snapToGrid w:val="0"/>
        </w:rPr>
        <w:t>.</w:t>
      </w:r>
      <w:r>
        <w:rPr>
          <w:snapToGrid w:val="0"/>
        </w:rPr>
        <w:tab/>
        <w:t>Animals to be accompanied by copy of a permit</w:t>
      </w:r>
      <w:bookmarkEnd w:id="70"/>
      <w:bookmarkEnd w:id="71"/>
      <w:bookmarkEnd w:id="72"/>
      <w:bookmarkEnd w:id="73"/>
      <w:bookmarkEnd w:id="74"/>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Penalty: $200.</w:t>
      </w:r>
    </w:p>
    <w:p>
      <w:pPr>
        <w:pStyle w:val="Heading5"/>
        <w:rPr>
          <w:snapToGrid w:val="0"/>
        </w:rPr>
      </w:pPr>
      <w:bookmarkStart w:id="75" w:name="_Toc434725433"/>
      <w:bookmarkStart w:id="76" w:name="_Toc105405803"/>
      <w:bookmarkStart w:id="77" w:name="_Toc107633585"/>
      <w:bookmarkStart w:id="78" w:name="_Toc199043459"/>
      <w:bookmarkStart w:id="79" w:name="_Toc175372432"/>
      <w:r>
        <w:rPr>
          <w:rStyle w:val="CharSectno"/>
        </w:rPr>
        <w:t>9</w:t>
      </w:r>
      <w:r>
        <w:rPr>
          <w:snapToGrid w:val="0"/>
        </w:rPr>
        <w:t>.</w:t>
      </w:r>
      <w:r>
        <w:rPr>
          <w:snapToGrid w:val="0"/>
        </w:rPr>
        <w:tab/>
        <w:t>Notice of arrival</w:t>
      </w:r>
      <w:bookmarkEnd w:id="75"/>
      <w:bookmarkEnd w:id="76"/>
      <w:bookmarkEnd w:id="77"/>
      <w:bookmarkEnd w:id="78"/>
      <w:bookmarkEnd w:id="79"/>
    </w:p>
    <w:p>
      <w:pPr>
        <w:pStyle w:val="Subsection"/>
        <w:rPr>
          <w:snapToGrid w:val="0"/>
        </w:rPr>
      </w:pPr>
      <w:r>
        <w:rPr>
          <w:snapToGrid w:val="0"/>
        </w:rPr>
        <w:tab/>
        <w:t>(1)</w:t>
      </w:r>
      <w:r>
        <w:rPr>
          <w:snapToGrid w:val="0"/>
        </w:rPr>
        <w:tab/>
        <w:t>Where a person proposes to bring in any animals pursuant to a permit he shall first give the Protection Board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A person shall not bring in any animals pursuant to a permit unless he has first obtained the approval of the Protection Board to the proposed time of arrival of those animals at the place at which they are to be inspected.</w:t>
      </w:r>
    </w:p>
    <w:p>
      <w:pPr>
        <w:pStyle w:val="Penstart"/>
        <w:rPr>
          <w:snapToGrid w:val="0"/>
        </w:rPr>
      </w:pPr>
      <w:r>
        <w:rPr>
          <w:snapToGrid w:val="0"/>
        </w:rPr>
        <w:tab/>
        <w:t>Penalty: $100.</w:t>
      </w:r>
    </w:p>
    <w:p>
      <w:pPr>
        <w:pStyle w:val="Subsection"/>
        <w:rPr>
          <w:snapToGrid w:val="0"/>
        </w:rPr>
      </w:pPr>
      <w:r>
        <w:rPr>
          <w:snapToGrid w:val="0"/>
        </w:rPr>
        <w:tab/>
        <w:t>(3)</w:t>
      </w:r>
      <w:r>
        <w:rPr>
          <w:snapToGrid w:val="0"/>
        </w:rPr>
        <w:tab/>
        <w:t>The Protection Board shall, when giving its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Protection Board and —</w:t>
      </w:r>
    </w:p>
    <w:p>
      <w:pPr>
        <w:pStyle w:val="Indenta"/>
        <w:rPr>
          <w:snapToGrid w:val="0"/>
        </w:rPr>
      </w:pPr>
      <w:r>
        <w:rPr>
          <w:snapToGrid w:val="0"/>
        </w:rPr>
        <w:tab/>
        <w:t>(a)</w:t>
      </w:r>
      <w:r>
        <w:rPr>
          <w:snapToGrid w:val="0"/>
        </w:rPr>
        <w:tab/>
        <w:t>a clearance certificate is issued by the Protection Board pursuant to regulation 10(1) in relation to those animals; or</w:t>
      </w:r>
    </w:p>
    <w:p>
      <w:pPr>
        <w:pStyle w:val="Indenta"/>
        <w:rPr>
          <w:snapToGrid w:val="0"/>
        </w:rPr>
      </w:pPr>
      <w:r>
        <w:rPr>
          <w:snapToGrid w:val="0"/>
        </w:rPr>
        <w:tab/>
        <w:t>(b)</w:t>
      </w:r>
      <w:r>
        <w:rPr>
          <w:snapToGrid w:val="0"/>
        </w:rPr>
        <w:tab/>
        <w:t>the permit relating to those animals is amended by the Protection Board pursuant to regulation 10(2) to impose further conditions.</w:t>
      </w:r>
    </w:p>
    <w:p>
      <w:pPr>
        <w:pStyle w:val="Penstart"/>
        <w:rPr>
          <w:snapToGrid w:val="0"/>
        </w:rPr>
      </w:pPr>
      <w:r>
        <w:rPr>
          <w:snapToGrid w:val="0"/>
        </w:rPr>
        <w:tab/>
        <w:t>Penalty for an offence against subregulation (4): $100.</w:t>
      </w:r>
    </w:p>
    <w:p>
      <w:pPr>
        <w:pStyle w:val="Footnotesection"/>
      </w:pPr>
      <w:r>
        <w:tab/>
        <w:t>[Regulation 9 amended in Gazette 6 Sep 1985 p. 3497.]</w:t>
      </w:r>
    </w:p>
    <w:p>
      <w:pPr>
        <w:pStyle w:val="Heading5"/>
        <w:rPr>
          <w:snapToGrid w:val="0"/>
        </w:rPr>
      </w:pPr>
      <w:bookmarkStart w:id="80" w:name="_Toc434725434"/>
      <w:bookmarkStart w:id="81" w:name="_Toc105405804"/>
      <w:bookmarkStart w:id="82" w:name="_Toc107633586"/>
      <w:bookmarkStart w:id="83" w:name="_Toc199043460"/>
      <w:bookmarkStart w:id="84" w:name="_Toc175372433"/>
      <w:r>
        <w:rPr>
          <w:rStyle w:val="CharSectno"/>
        </w:rPr>
        <w:t>10</w:t>
      </w:r>
      <w:r>
        <w:rPr>
          <w:snapToGrid w:val="0"/>
        </w:rPr>
        <w:t>.</w:t>
      </w:r>
      <w:r>
        <w:rPr>
          <w:snapToGrid w:val="0"/>
        </w:rPr>
        <w:tab/>
        <w:t>Clearance certificate or further conditions</w:t>
      </w:r>
      <w:bookmarkEnd w:id="80"/>
      <w:bookmarkEnd w:id="81"/>
      <w:bookmarkEnd w:id="82"/>
      <w:bookmarkEnd w:id="83"/>
      <w:bookmarkEnd w:id="84"/>
    </w:p>
    <w:p>
      <w:pPr>
        <w:pStyle w:val="Subsection"/>
        <w:rPr>
          <w:snapToGrid w:val="0"/>
        </w:rPr>
      </w:pPr>
      <w:r>
        <w:rPr>
          <w:snapToGrid w:val="0"/>
        </w:rPr>
        <w:tab/>
        <w:t>(1)</w:t>
      </w:r>
      <w:r>
        <w:rPr>
          <w:snapToGrid w:val="0"/>
        </w:rPr>
        <w:tab/>
        <w:t>Where, upon inspection, the Protection Board finds that declared animals are brought in in accordance with these regulations and a permit, it shall issue a clearance certificate to that effect to accompany the animals to which it relates.</w:t>
      </w:r>
    </w:p>
    <w:p>
      <w:pPr>
        <w:pStyle w:val="Subsection"/>
        <w:rPr>
          <w:snapToGrid w:val="0"/>
        </w:rPr>
      </w:pPr>
      <w:r>
        <w:rPr>
          <w:snapToGrid w:val="0"/>
        </w:rPr>
        <w:tab/>
        <w:t>(2)</w:t>
      </w:r>
      <w:r>
        <w:rPr>
          <w:snapToGrid w:val="0"/>
        </w:rPr>
        <w:tab/>
        <w:t>Where, upon inspection, the Protection Board finds that declared animals are brought in in some respect contrary to or not in accordance with these regulations or a permit, and it considers that the irregularity is such as may be conveniently rectified by the imposition of further conditions, it may amend the permit to include such further conditions including a condition as to further inspection and thereafter the permit shall be deemed to have been issued as so amended.</w:t>
      </w:r>
    </w:p>
    <w:p>
      <w:pPr>
        <w:pStyle w:val="Heading5"/>
        <w:rPr>
          <w:snapToGrid w:val="0"/>
        </w:rPr>
      </w:pPr>
      <w:bookmarkStart w:id="85" w:name="_Toc434725435"/>
      <w:bookmarkStart w:id="86" w:name="_Toc105405805"/>
      <w:bookmarkStart w:id="87" w:name="_Toc107633587"/>
      <w:bookmarkStart w:id="88" w:name="_Toc199043461"/>
      <w:bookmarkStart w:id="89" w:name="_Toc175372434"/>
      <w:r>
        <w:rPr>
          <w:rStyle w:val="CharSectno"/>
        </w:rPr>
        <w:t>11</w:t>
      </w:r>
      <w:r>
        <w:rPr>
          <w:snapToGrid w:val="0"/>
        </w:rPr>
        <w:t>.</w:t>
      </w:r>
      <w:r>
        <w:rPr>
          <w:snapToGrid w:val="0"/>
        </w:rPr>
        <w:tab/>
        <w:t>Production of permit, clearance certificate</w:t>
      </w:r>
      <w:bookmarkEnd w:id="85"/>
      <w:bookmarkEnd w:id="86"/>
      <w:bookmarkEnd w:id="87"/>
      <w:bookmarkEnd w:id="88"/>
      <w:bookmarkEnd w:id="89"/>
    </w:p>
    <w:p>
      <w:pPr>
        <w:pStyle w:val="Subsection"/>
        <w:rPr>
          <w:snapToGrid w:val="0"/>
        </w:rPr>
      </w:pPr>
      <w:r>
        <w:rPr>
          <w:snapToGrid w:val="0"/>
        </w:rPr>
        <w:tab/>
        <w:t>(1)</w:t>
      </w:r>
      <w:r>
        <w:rPr>
          <w:snapToGrid w:val="0"/>
        </w:rPr>
        <w:tab/>
        <w:t>A person to whom a permit is issued under this Part shall, upon demand, produce that permit to an inspector or authorised person.</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rPr>
          <w:snapToGrid w:val="0"/>
        </w:rPr>
      </w:pPr>
      <w:r>
        <w:rPr>
          <w:snapToGrid w:val="0"/>
        </w:rPr>
        <w:tab/>
        <w:t>Penalty: $100.</w:t>
      </w:r>
    </w:p>
    <w:p>
      <w:pPr>
        <w:pStyle w:val="Footnotesection"/>
      </w:pPr>
      <w:r>
        <w:tab/>
        <w:t>[Regulation 11 amended in Gazette 6 Sep 1985 p. 3497.]</w:t>
      </w:r>
    </w:p>
    <w:p>
      <w:pPr>
        <w:pStyle w:val="Heading5"/>
        <w:rPr>
          <w:snapToGrid w:val="0"/>
        </w:rPr>
      </w:pPr>
      <w:bookmarkStart w:id="90" w:name="_Toc434725436"/>
      <w:bookmarkStart w:id="91" w:name="_Toc105405806"/>
      <w:bookmarkStart w:id="92" w:name="_Toc107633588"/>
      <w:bookmarkStart w:id="93" w:name="_Toc199043462"/>
      <w:bookmarkStart w:id="94" w:name="_Toc175372435"/>
      <w:r>
        <w:rPr>
          <w:rStyle w:val="CharSectno"/>
        </w:rPr>
        <w:t>12</w:t>
      </w:r>
      <w:r>
        <w:rPr>
          <w:snapToGrid w:val="0"/>
        </w:rPr>
        <w:t>.</w:t>
      </w:r>
      <w:r>
        <w:rPr>
          <w:snapToGrid w:val="0"/>
        </w:rPr>
        <w:tab/>
        <w:t>Escape of declared animals</w:t>
      </w:r>
      <w:bookmarkEnd w:id="90"/>
      <w:bookmarkEnd w:id="91"/>
      <w:bookmarkEnd w:id="92"/>
      <w:bookmarkEnd w:id="93"/>
      <w:bookmarkEnd w:id="94"/>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 Protection Board, immediately take all reasonable steps to recapture or destroy the animal, and he and the person to whom the permit was issued shall each notify the Protection Board forthwith.</w:t>
      </w:r>
    </w:p>
    <w:p>
      <w:pPr>
        <w:pStyle w:val="Penstart"/>
        <w:rPr>
          <w:snapToGrid w:val="0"/>
        </w:rPr>
      </w:pPr>
      <w:r>
        <w:rPr>
          <w:snapToGrid w:val="0"/>
        </w:rPr>
        <w:tab/>
        <w:t>Penalty: $500.</w:t>
      </w:r>
    </w:p>
    <w:p>
      <w:pPr>
        <w:pStyle w:val="Heading2"/>
      </w:pPr>
      <w:bookmarkStart w:id="95" w:name="_Toc105405756"/>
      <w:bookmarkStart w:id="96" w:name="_Toc105405807"/>
      <w:bookmarkStart w:id="97" w:name="_Toc105406179"/>
      <w:bookmarkStart w:id="98" w:name="_Toc107633589"/>
      <w:bookmarkStart w:id="99" w:name="_Toc138563617"/>
      <w:bookmarkStart w:id="100" w:name="_Toc138563862"/>
      <w:bookmarkStart w:id="101" w:name="_Toc170183743"/>
      <w:bookmarkStart w:id="102" w:name="_Toc170716422"/>
      <w:bookmarkStart w:id="103" w:name="_Toc172599789"/>
      <w:bookmarkStart w:id="104" w:name="_Toc172603212"/>
      <w:bookmarkStart w:id="105" w:name="_Toc175372436"/>
      <w:bookmarkStart w:id="106" w:name="_Toc199043463"/>
      <w:r>
        <w:rPr>
          <w:rStyle w:val="CharPartNo"/>
        </w:rPr>
        <w:t>Part III</w:t>
      </w:r>
      <w:r>
        <w:rPr>
          <w:rStyle w:val="CharDivNo"/>
        </w:rPr>
        <w:t> </w:t>
      </w:r>
      <w:r>
        <w:t>—</w:t>
      </w:r>
      <w:r>
        <w:rPr>
          <w:rStyle w:val="CharDivText"/>
        </w:rPr>
        <w:t> </w:t>
      </w:r>
      <w:r>
        <w:rPr>
          <w:rStyle w:val="CharPartText"/>
        </w:rPr>
        <w:t>Keeping of category A6 declared animals</w:t>
      </w:r>
      <w:bookmarkEnd w:id="95"/>
      <w:bookmarkEnd w:id="96"/>
      <w:bookmarkEnd w:id="97"/>
      <w:bookmarkEnd w:id="98"/>
      <w:bookmarkEnd w:id="99"/>
      <w:bookmarkEnd w:id="100"/>
      <w:bookmarkEnd w:id="101"/>
      <w:bookmarkEnd w:id="102"/>
      <w:bookmarkEnd w:id="103"/>
      <w:bookmarkEnd w:id="104"/>
      <w:bookmarkEnd w:id="105"/>
      <w:bookmarkEnd w:id="106"/>
    </w:p>
    <w:p>
      <w:pPr>
        <w:pStyle w:val="Heading5"/>
        <w:rPr>
          <w:snapToGrid w:val="0"/>
        </w:rPr>
      </w:pPr>
      <w:bookmarkStart w:id="107" w:name="_Toc434725437"/>
      <w:bookmarkStart w:id="108" w:name="_Toc105405808"/>
      <w:bookmarkStart w:id="109" w:name="_Toc107633590"/>
      <w:bookmarkStart w:id="110" w:name="_Toc199043464"/>
      <w:bookmarkStart w:id="111" w:name="_Toc175372437"/>
      <w:r>
        <w:rPr>
          <w:rStyle w:val="CharSectno"/>
        </w:rPr>
        <w:t>13</w:t>
      </w:r>
      <w:r>
        <w:rPr>
          <w:snapToGrid w:val="0"/>
        </w:rPr>
        <w:t>.</w:t>
      </w:r>
      <w:r>
        <w:rPr>
          <w:snapToGrid w:val="0"/>
        </w:rPr>
        <w:tab/>
        <w:t>Permit</w:t>
      </w:r>
      <w:bookmarkEnd w:id="107"/>
      <w:bookmarkEnd w:id="108"/>
      <w:bookmarkEnd w:id="109"/>
      <w:bookmarkEnd w:id="110"/>
      <w:bookmarkEnd w:id="111"/>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 Protection Board;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such precautions for the purposes of the Act, as the Protection Board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those birds shall be deemed to be kept pursuant to and in accordance with a current permit issued for that purpose by the Protection Board and that person shall, at least once in each month during which such birds are so kept by that person, submit to the Protection Board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 $200.</w:t>
      </w:r>
    </w:p>
    <w:p>
      <w:pPr>
        <w:pStyle w:val="Footnotesection"/>
      </w:pPr>
      <w:r>
        <w:tab/>
        <w:t>[Regulation 13 amended in Gazette 6 Sep 1985 p. 3497; 6 Jun 1986 p. 1920; 4 Mar 1988 p. 703; 7 Dec 2001 p. 6181 (disallowed in Gazette 14 May 2002 p. 2530); 28 Jun 2002 p. 3038.]</w:t>
      </w:r>
    </w:p>
    <w:p>
      <w:pPr>
        <w:pStyle w:val="Heading5"/>
        <w:rPr>
          <w:snapToGrid w:val="0"/>
        </w:rPr>
      </w:pPr>
      <w:bookmarkStart w:id="112" w:name="_Toc434725438"/>
      <w:bookmarkStart w:id="113" w:name="_Toc105405809"/>
      <w:bookmarkStart w:id="114" w:name="_Toc107633591"/>
      <w:bookmarkStart w:id="115" w:name="_Toc199043465"/>
      <w:bookmarkStart w:id="116" w:name="_Toc175372438"/>
      <w:r>
        <w:rPr>
          <w:rStyle w:val="CharSectno"/>
        </w:rPr>
        <w:t>14</w:t>
      </w:r>
      <w:r>
        <w:rPr>
          <w:snapToGrid w:val="0"/>
        </w:rPr>
        <w:t>.</w:t>
      </w:r>
      <w:r>
        <w:rPr>
          <w:snapToGrid w:val="0"/>
        </w:rPr>
        <w:tab/>
        <w:t>Application for permit</w:t>
      </w:r>
      <w:bookmarkEnd w:id="112"/>
      <w:bookmarkEnd w:id="113"/>
      <w:bookmarkEnd w:id="114"/>
      <w:bookmarkEnd w:id="115"/>
      <w:bookmarkEnd w:id="116"/>
    </w:p>
    <w:p>
      <w:pPr>
        <w:pStyle w:val="Subsection"/>
        <w:rPr>
          <w:snapToGrid w:val="0"/>
        </w:rPr>
      </w:pPr>
      <w:r>
        <w:rPr>
          <w:snapToGrid w:val="0"/>
        </w:rPr>
        <w:tab/>
        <w:t>(1)</w:t>
      </w:r>
      <w:r>
        <w:rPr>
          <w:snapToGrid w:val="0"/>
        </w:rPr>
        <w:tab/>
        <w:t>An application for the issue of a permit in respect of animals proposed to be acquired may be made in the form of Form 4 duly completed and lodged with the Protection Board at least 7 days before it is proposed to acquire those animals.</w:t>
      </w:r>
    </w:p>
    <w:p>
      <w:pPr>
        <w:pStyle w:val="Subsection"/>
      </w:pPr>
      <w:bookmarkStart w:id="117"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w:t>
      </w:r>
    </w:p>
    <w:p>
      <w:pPr>
        <w:pStyle w:val="Heading5"/>
        <w:rPr>
          <w:snapToGrid w:val="0"/>
        </w:rPr>
      </w:pPr>
      <w:bookmarkStart w:id="118" w:name="_Toc105405810"/>
      <w:bookmarkStart w:id="119" w:name="_Toc107633592"/>
      <w:bookmarkStart w:id="120" w:name="_Toc199043466"/>
      <w:bookmarkStart w:id="121" w:name="_Toc175372439"/>
      <w:r>
        <w:rPr>
          <w:rStyle w:val="CharSectno"/>
        </w:rPr>
        <w:t>15</w:t>
      </w:r>
      <w:r>
        <w:rPr>
          <w:snapToGrid w:val="0"/>
        </w:rPr>
        <w:t>.</w:t>
      </w:r>
      <w:r>
        <w:rPr>
          <w:snapToGrid w:val="0"/>
        </w:rPr>
        <w:tab/>
        <w:t>Security requirements</w:t>
      </w:r>
      <w:bookmarkEnd w:id="117"/>
      <w:bookmarkEnd w:id="118"/>
      <w:bookmarkEnd w:id="119"/>
      <w:bookmarkEnd w:id="120"/>
      <w:bookmarkEnd w:id="121"/>
    </w:p>
    <w:p>
      <w:pPr>
        <w:pStyle w:val="Subsection"/>
        <w:rPr>
          <w:snapToGrid w:val="0"/>
        </w:rPr>
      </w:pPr>
      <w:r>
        <w:rPr>
          <w:snapToGrid w:val="0"/>
        </w:rPr>
        <w:tab/>
        <w:t>(1)</w:t>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Where, for the purpose of determining whether, or the conditions and restrictions subject to which, a permit should be issued, the Protection Board causes the place where an applicant proposes to keep animals under a permit to be inspected, the applicant is liable to pay to the Protection Board in respect of each such inspection a fee of $136.50 which may be recovered from the applicant in a court of competent jurisdiction as a debt due to the Crown.</w:t>
      </w:r>
    </w:p>
    <w:p>
      <w:pPr>
        <w:pStyle w:val="Footnotesection"/>
      </w:pPr>
      <w:r>
        <w:tab/>
        <w:t>[Regulation 15 amended in Gazette 31 May 2005 p. 2395; 16 Jun 2006 p. 2112; 15 Jun 2007 p. 2752.]</w:t>
      </w:r>
    </w:p>
    <w:p>
      <w:pPr>
        <w:pStyle w:val="Heading5"/>
      </w:pPr>
      <w:bookmarkStart w:id="122" w:name="_Toc105405811"/>
      <w:bookmarkStart w:id="123" w:name="_Toc107633593"/>
      <w:bookmarkStart w:id="124" w:name="_Toc199043467"/>
      <w:bookmarkStart w:id="125" w:name="_Toc175372440"/>
      <w:bookmarkStart w:id="126" w:name="_Toc434725441"/>
      <w:r>
        <w:rPr>
          <w:rStyle w:val="CharSectno"/>
        </w:rPr>
        <w:t>16</w:t>
      </w:r>
      <w:r>
        <w:t>.</w:t>
      </w:r>
      <w:r>
        <w:tab/>
        <w:t>Issue or renewal of permit</w:t>
      </w:r>
      <w:bookmarkEnd w:id="122"/>
      <w:bookmarkEnd w:id="123"/>
      <w:bookmarkEnd w:id="124"/>
      <w:bookmarkEnd w:id="125"/>
    </w:p>
    <w:p>
      <w:pPr>
        <w:pStyle w:val="Subsection"/>
      </w:pPr>
      <w:r>
        <w:tab/>
        <w:t>(1)</w:t>
      </w:r>
      <w:r>
        <w:tab/>
        <w:t>The Protection Board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it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$80.</w:t>
      </w:r>
    </w:p>
    <w:p>
      <w:pPr>
        <w:pStyle w:val="Footnotesection"/>
      </w:pPr>
      <w:r>
        <w:tab/>
        <w:t>[Regulation 16 inserted in Gazette 28 Jun 2002 p. 3039; amended in Gazette 31 May 2005 p. 2396.]</w:t>
      </w:r>
    </w:p>
    <w:p>
      <w:pPr>
        <w:pStyle w:val="Heading5"/>
      </w:pPr>
      <w:bookmarkStart w:id="127" w:name="_Toc105405812"/>
      <w:bookmarkStart w:id="128" w:name="_Toc107633594"/>
      <w:bookmarkStart w:id="129" w:name="_Toc199043468"/>
      <w:bookmarkStart w:id="130" w:name="_Toc175372441"/>
      <w:r>
        <w:rPr>
          <w:rStyle w:val="CharSectno"/>
        </w:rPr>
        <w:t>16A</w:t>
      </w:r>
      <w:r>
        <w:t>.</w:t>
      </w:r>
      <w:r>
        <w:tab/>
        <w:t>Revocation of permits</w:t>
      </w:r>
      <w:bookmarkEnd w:id="127"/>
      <w:bookmarkEnd w:id="128"/>
      <w:bookmarkEnd w:id="129"/>
      <w:bookmarkEnd w:id="130"/>
    </w:p>
    <w:p>
      <w:pPr>
        <w:pStyle w:val="Subsection"/>
      </w:pPr>
      <w:r>
        <w:tab/>
      </w:r>
      <w:r>
        <w:tab/>
        <w:t>The Protection Board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w:t>
      </w:r>
    </w:p>
    <w:p>
      <w:pPr>
        <w:pStyle w:val="Heading5"/>
        <w:rPr>
          <w:snapToGrid w:val="0"/>
        </w:rPr>
      </w:pPr>
      <w:bookmarkStart w:id="131" w:name="_Toc105405813"/>
      <w:bookmarkStart w:id="132" w:name="_Toc107633595"/>
      <w:bookmarkStart w:id="133" w:name="_Toc199043469"/>
      <w:bookmarkStart w:id="134" w:name="_Toc175372442"/>
      <w:r>
        <w:rPr>
          <w:rStyle w:val="CharSectno"/>
        </w:rPr>
        <w:t>17</w:t>
      </w:r>
      <w:r>
        <w:rPr>
          <w:snapToGrid w:val="0"/>
        </w:rPr>
        <w:t>.</w:t>
      </w:r>
      <w:r>
        <w:rPr>
          <w:snapToGrid w:val="0"/>
        </w:rPr>
        <w:tab/>
        <w:t>Production of permit</w:t>
      </w:r>
      <w:bookmarkEnd w:id="126"/>
      <w:bookmarkEnd w:id="131"/>
      <w:bookmarkEnd w:id="132"/>
      <w:bookmarkEnd w:id="133"/>
      <w:bookmarkEnd w:id="134"/>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rPr>
          <w:snapToGrid w:val="0"/>
        </w:rPr>
      </w:pPr>
      <w:r>
        <w:rPr>
          <w:snapToGrid w:val="0"/>
        </w:rPr>
        <w:tab/>
        <w:t>Penalty: $100.</w:t>
      </w:r>
    </w:p>
    <w:p>
      <w:pPr>
        <w:pStyle w:val="Footnotesection"/>
      </w:pPr>
      <w:r>
        <w:tab/>
        <w:t>[Regulation 17 amended in Gazette 6 Sep 1985 p. 3497.]</w:t>
      </w:r>
    </w:p>
    <w:p>
      <w:pPr>
        <w:pStyle w:val="Heading5"/>
        <w:rPr>
          <w:snapToGrid w:val="0"/>
        </w:rPr>
      </w:pPr>
      <w:bookmarkStart w:id="135" w:name="_Toc434725442"/>
      <w:bookmarkStart w:id="136" w:name="_Toc105405814"/>
      <w:bookmarkStart w:id="137" w:name="_Toc107633596"/>
      <w:bookmarkStart w:id="138" w:name="_Toc199043470"/>
      <w:bookmarkStart w:id="139" w:name="_Toc175372443"/>
      <w:r>
        <w:rPr>
          <w:rStyle w:val="CharSectno"/>
        </w:rPr>
        <w:t>18</w:t>
      </w:r>
      <w:r>
        <w:rPr>
          <w:snapToGrid w:val="0"/>
        </w:rPr>
        <w:t>.</w:t>
      </w:r>
      <w:r>
        <w:rPr>
          <w:snapToGrid w:val="0"/>
        </w:rPr>
        <w:tab/>
        <w:t>Notice of death or disposal</w:t>
      </w:r>
      <w:bookmarkEnd w:id="135"/>
      <w:bookmarkEnd w:id="136"/>
      <w:bookmarkEnd w:id="137"/>
      <w:bookmarkEnd w:id="138"/>
      <w:bookmarkEnd w:id="139"/>
    </w:p>
    <w:p>
      <w:pPr>
        <w:pStyle w:val="Subsection"/>
        <w:rPr>
          <w:snapToGrid w:val="0"/>
        </w:rPr>
      </w:pPr>
      <w:r>
        <w:rPr>
          <w:snapToGrid w:val="0"/>
        </w:rPr>
        <w:tab/>
      </w:r>
      <w:r>
        <w:rPr>
          <w:snapToGrid w:val="0"/>
        </w:rPr>
        <w:tab/>
        <w:t>A person to whom a permit is issued shall forthwith notify the Protection Board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and produce such evidence of the death or disposal so notified as the Protection Board may reasonably require.</w:t>
      </w:r>
    </w:p>
    <w:p>
      <w:pPr>
        <w:pStyle w:val="Penstart"/>
        <w:rPr>
          <w:snapToGrid w:val="0"/>
        </w:rPr>
      </w:pPr>
      <w:r>
        <w:rPr>
          <w:snapToGrid w:val="0"/>
        </w:rPr>
        <w:tab/>
        <w:t>Penalty: $100.</w:t>
      </w:r>
    </w:p>
    <w:p>
      <w:pPr>
        <w:pStyle w:val="Footnotesection"/>
      </w:pPr>
      <w:r>
        <w:tab/>
        <w:t>[Regulation 18 inserted in Gazette 4 Mar 1988 p. 704.]</w:t>
      </w:r>
    </w:p>
    <w:p>
      <w:pPr>
        <w:pStyle w:val="Heading5"/>
        <w:rPr>
          <w:snapToGrid w:val="0"/>
        </w:rPr>
      </w:pPr>
      <w:bookmarkStart w:id="140" w:name="_Toc434725443"/>
      <w:bookmarkStart w:id="141" w:name="_Toc105405815"/>
      <w:bookmarkStart w:id="142" w:name="_Toc107633597"/>
      <w:bookmarkStart w:id="143" w:name="_Toc199043471"/>
      <w:bookmarkStart w:id="144" w:name="_Toc175372444"/>
      <w:r>
        <w:rPr>
          <w:rStyle w:val="CharSectno"/>
        </w:rPr>
        <w:t>19</w:t>
      </w:r>
      <w:r>
        <w:rPr>
          <w:snapToGrid w:val="0"/>
        </w:rPr>
        <w:t>.</w:t>
      </w:r>
      <w:r>
        <w:rPr>
          <w:snapToGrid w:val="0"/>
        </w:rPr>
        <w:tab/>
        <w:t>Variation of permit</w:t>
      </w:r>
      <w:bookmarkEnd w:id="140"/>
      <w:bookmarkEnd w:id="141"/>
      <w:bookmarkEnd w:id="142"/>
      <w:bookmarkEnd w:id="143"/>
      <w:bookmarkEnd w:id="144"/>
    </w:p>
    <w:p>
      <w:pPr>
        <w:pStyle w:val="Subsection"/>
        <w:rPr>
          <w:snapToGrid w:val="0"/>
        </w:rPr>
      </w:pPr>
      <w:r>
        <w:rPr>
          <w:snapToGrid w:val="0"/>
        </w:rPr>
        <w:tab/>
        <w:t>(1)</w:t>
      </w:r>
      <w:r>
        <w:rPr>
          <w:snapToGrid w:val="0"/>
        </w:rPr>
        <w:tab/>
        <w:t>A person to whom a current permit is issued under regulation 16 may apply to the Protection Board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The Protection Board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Heading2"/>
      </w:pPr>
      <w:bookmarkStart w:id="145" w:name="_Toc105405765"/>
      <w:bookmarkStart w:id="146" w:name="_Toc105405816"/>
      <w:bookmarkStart w:id="147" w:name="_Toc105406188"/>
      <w:bookmarkStart w:id="148" w:name="_Toc107633598"/>
      <w:bookmarkStart w:id="149" w:name="_Toc138563626"/>
      <w:bookmarkStart w:id="150" w:name="_Toc138563871"/>
      <w:bookmarkStart w:id="151" w:name="_Toc170183752"/>
      <w:bookmarkStart w:id="152" w:name="_Toc170716431"/>
      <w:bookmarkStart w:id="153" w:name="_Toc172599798"/>
      <w:bookmarkStart w:id="154" w:name="_Toc172603221"/>
      <w:bookmarkStart w:id="155" w:name="_Toc175372445"/>
      <w:bookmarkStart w:id="156" w:name="_Toc199043472"/>
      <w:r>
        <w:rPr>
          <w:rStyle w:val="CharPartNo"/>
        </w:rPr>
        <w:t>Part IV</w:t>
      </w:r>
      <w:r>
        <w:rPr>
          <w:rStyle w:val="CharDivNo"/>
        </w:rPr>
        <w:t> </w:t>
      </w:r>
      <w:r>
        <w:t>—</w:t>
      </w:r>
      <w:r>
        <w:rPr>
          <w:rStyle w:val="CharDivText"/>
        </w:rPr>
        <w:t> </w:t>
      </w:r>
      <w:r>
        <w:rPr>
          <w:rStyle w:val="CharPartText"/>
        </w:rPr>
        <w:t>Scientific or educational purposes</w:t>
      </w:r>
      <w:bookmarkEnd w:id="145"/>
      <w:bookmarkEnd w:id="146"/>
      <w:bookmarkEnd w:id="147"/>
      <w:bookmarkEnd w:id="148"/>
      <w:bookmarkEnd w:id="149"/>
      <w:bookmarkEnd w:id="150"/>
      <w:bookmarkEnd w:id="151"/>
      <w:bookmarkEnd w:id="152"/>
      <w:bookmarkEnd w:id="153"/>
      <w:bookmarkEnd w:id="154"/>
      <w:bookmarkEnd w:id="155"/>
      <w:bookmarkEnd w:id="156"/>
    </w:p>
    <w:p>
      <w:pPr>
        <w:pStyle w:val="Heading5"/>
        <w:rPr>
          <w:snapToGrid w:val="0"/>
        </w:rPr>
      </w:pPr>
      <w:bookmarkStart w:id="157" w:name="_Toc434725444"/>
      <w:bookmarkStart w:id="158" w:name="_Toc105405817"/>
      <w:bookmarkStart w:id="159" w:name="_Toc107633599"/>
      <w:bookmarkStart w:id="160" w:name="_Toc199043473"/>
      <w:bookmarkStart w:id="161" w:name="_Toc175372446"/>
      <w:r>
        <w:rPr>
          <w:rStyle w:val="CharSectno"/>
        </w:rPr>
        <w:t>20</w:t>
      </w:r>
      <w:r>
        <w:rPr>
          <w:snapToGrid w:val="0"/>
        </w:rPr>
        <w:t>.</w:t>
      </w:r>
      <w:r>
        <w:rPr>
          <w:snapToGrid w:val="0"/>
        </w:rPr>
        <w:tab/>
        <w:t>Application for permission</w:t>
      </w:r>
      <w:bookmarkEnd w:id="157"/>
      <w:bookmarkEnd w:id="158"/>
      <w:bookmarkEnd w:id="159"/>
      <w:bookmarkEnd w:id="160"/>
      <w:bookmarkEnd w:id="161"/>
    </w:p>
    <w:p>
      <w:pPr>
        <w:pStyle w:val="Subsection"/>
        <w:rPr>
          <w:snapToGrid w:val="0"/>
        </w:rPr>
      </w:pPr>
      <w:r>
        <w:rPr>
          <w:snapToGrid w:val="0"/>
        </w:rPr>
        <w:tab/>
      </w:r>
      <w:r>
        <w:rPr>
          <w:snapToGrid w:val="0"/>
        </w:rPr>
        <w:tab/>
        <w:t>An application for permission to bring in or keep declared animals under in section 77(2) or section 80(2) of the Act, may be made in writing and before determining the application the Protection Board may request the applicant to provide such further information as the Protection Board considers relevant to the application.</w:t>
      </w:r>
    </w:p>
    <w:p>
      <w:pPr>
        <w:pStyle w:val="Heading5"/>
        <w:rPr>
          <w:snapToGrid w:val="0"/>
        </w:rPr>
      </w:pPr>
      <w:bookmarkStart w:id="162" w:name="_Toc434725445"/>
      <w:bookmarkStart w:id="163" w:name="_Toc105405818"/>
      <w:bookmarkStart w:id="164" w:name="_Toc107633600"/>
      <w:bookmarkStart w:id="165" w:name="_Toc199043474"/>
      <w:bookmarkStart w:id="166" w:name="_Toc175372447"/>
      <w:r>
        <w:rPr>
          <w:rStyle w:val="CharSectno"/>
        </w:rPr>
        <w:t>21</w:t>
      </w:r>
      <w:r>
        <w:rPr>
          <w:snapToGrid w:val="0"/>
        </w:rPr>
        <w:t>.</w:t>
      </w:r>
      <w:r>
        <w:rPr>
          <w:snapToGrid w:val="0"/>
        </w:rPr>
        <w:tab/>
        <w:t>Records and returns</w:t>
      </w:r>
      <w:bookmarkEnd w:id="162"/>
      <w:bookmarkEnd w:id="163"/>
      <w:bookmarkEnd w:id="164"/>
      <w:bookmarkEnd w:id="165"/>
      <w:bookmarkEnd w:id="166"/>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submit to the Protection Board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 $200.</w:t>
      </w:r>
    </w:p>
    <w:p>
      <w:pPr>
        <w:pStyle w:val="Footnotesection"/>
      </w:pPr>
      <w:r>
        <w:tab/>
        <w:t>[Regulation 21 amended in Gazette 7 Nov 1986 p. 4173.]</w:t>
      </w:r>
    </w:p>
    <w:p>
      <w:pPr>
        <w:pStyle w:val="Ednotesection"/>
      </w:pPr>
      <w:r>
        <w:t>[</w:t>
      </w:r>
      <w:r>
        <w:rPr>
          <w:b/>
          <w:bCs/>
        </w:rPr>
        <w:t>22.</w:t>
      </w:r>
      <w:r>
        <w:tab/>
        <w:t>Omitted under the Reprints Act 1984 s. 7(4)(f).]</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67" w:name="_Toc105405769"/>
      <w:bookmarkStart w:id="168" w:name="_Toc105405820"/>
      <w:bookmarkStart w:id="169" w:name="_Toc107633602"/>
      <w:bookmarkStart w:id="170" w:name="_Toc138563630"/>
      <w:bookmarkStart w:id="171" w:name="_Toc138563875"/>
      <w:bookmarkStart w:id="172" w:name="_Toc170183756"/>
      <w:bookmarkStart w:id="173" w:name="_Toc170716435"/>
      <w:bookmarkStart w:id="174" w:name="_Toc172599802"/>
      <w:bookmarkStart w:id="175" w:name="_Toc172603225"/>
      <w:bookmarkStart w:id="176" w:name="_Toc175372448"/>
      <w:bookmarkStart w:id="177" w:name="_Toc199043475"/>
      <w:r>
        <w:rPr>
          <w:rStyle w:val="CharSchNo"/>
        </w:rPr>
        <w:t>Schedule 1</w:t>
      </w:r>
      <w:bookmarkEnd w:id="167"/>
      <w:bookmarkEnd w:id="168"/>
      <w:bookmarkEnd w:id="169"/>
      <w:bookmarkEnd w:id="170"/>
      <w:bookmarkEnd w:id="171"/>
      <w:bookmarkEnd w:id="172"/>
      <w:bookmarkEnd w:id="173"/>
      <w:bookmarkEnd w:id="174"/>
      <w:bookmarkEnd w:id="175"/>
      <w:bookmarkEnd w:id="176"/>
      <w:bookmarkEnd w:id="177"/>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 Agriculture Protection Board.</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Table"/>
        <w:keepNext/>
        <w:keepLines/>
        <w:pageBreakBefore/>
        <w:jc w:val="center"/>
        <w:rPr>
          <w:b/>
          <w:snapToGrid w:val="0"/>
        </w:rPr>
      </w:pPr>
      <w:r>
        <w:rPr>
          <w:b/>
          <w:snapToGrid w:val="0"/>
        </w:rPr>
        <w:t>Form 4</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b/>
          <w:snapToGrid w:val="0"/>
        </w:rPr>
        <w:t>Form 5</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pageBreakBefore/>
        <w:spacing w:before="240"/>
        <w:jc w:val="center"/>
        <w:rPr>
          <w:b/>
          <w:snapToGrid w:val="0"/>
        </w:rPr>
      </w:pPr>
      <w:r>
        <w:rPr>
          <w:b/>
          <w:snapToGrid w:val="0"/>
        </w:rPr>
        <w:t>Form 6</w:t>
      </w:r>
    </w:p>
    <w:p>
      <w:pPr>
        <w:pStyle w:val="yTable"/>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178" w:name="_Toc105405770"/>
      <w:bookmarkStart w:id="179" w:name="_Toc105405821"/>
      <w:bookmarkStart w:id="180" w:name="_Toc107633603"/>
      <w:bookmarkStart w:id="181" w:name="_Toc138563631"/>
      <w:bookmarkStart w:id="182" w:name="_Toc138563876"/>
      <w:bookmarkStart w:id="183" w:name="_Toc170183757"/>
      <w:bookmarkStart w:id="184" w:name="_Toc170716436"/>
      <w:bookmarkStart w:id="185" w:name="_Toc172599803"/>
      <w:bookmarkStart w:id="186" w:name="_Toc172603226"/>
      <w:bookmarkStart w:id="187" w:name="_Toc175372449"/>
      <w:bookmarkStart w:id="188" w:name="_Toc199043476"/>
      <w:r>
        <w:rPr>
          <w:rStyle w:val="CharSchNo"/>
        </w:rPr>
        <w:t>Schedule 1A</w:t>
      </w:r>
      <w:bookmarkEnd w:id="178"/>
      <w:bookmarkEnd w:id="179"/>
      <w:bookmarkEnd w:id="180"/>
      <w:bookmarkEnd w:id="181"/>
      <w:bookmarkEnd w:id="182"/>
      <w:bookmarkEnd w:id="183"/>
      <w:bookmarkEnd w:id="184"/>
      <w:bookmarkEnd w:id="185"/>
      <w:bookmarkEnd w:id="186"/>
      <w:bookmarkEnd w:id="187"/>
      <w:bookmarkEnd w:id="188"/>
    </w:p>
    <w:p>
      <w:pPr>
        <w:pStyle w:val="yShoulderClause"/>
      </w:pPr>
      <w:r>
        <w:t>[Reg. 4(1)]</w:t>
      </w:r>
    </w:p>
    <w:p>
      <w:pPr>
        <w:pStyle w:val="yHeading2"/>
      </w:pPr>
      <w:bookmarkStart w:id="189" w:name="_Toc172603227"/>
      <w:bookmarkStart w:id="190" w:name="_Toc175372450"/>
      <w:bookmarkStart w:id="191" w:name="_Toc199043477"/>
      <w:r>
        <w:rPr>
          <w:rStyle w:val="CharSchText"/>
        </w:rPr>
        <w:t>Case where permit not required for introduction of category A4 declared animals</w:t>
      </w:r>
      <w:bookmarkEnd w:id="189"/>
      <w:bookmarkEnd w:id="190"/>
      <w:bookmarkEnd w:id="191"/>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jc w:val="center"/>
              <w:rPr>
                <w:b/>
                <w:snapToGrid w:val="0"/>
              </w:rPr>
            </w:pPr>
            <w:r>
              <w:rPr>
                <w:b/>
                <w:snapToGrid w:val="0"/>
              </w:rPr>
              <w:t>Column 1</w:t>
            </w:r>
          </w:p>
        </w:tc>
        <w:tc>
          <w:tcPr>
            <w:tcW w:w="2888" w:type="dxa"/>
          </w:tcPr>
          <w:p>
            <w:pPr>
              <w:pStyle w:val="yTable"/>
              <w:jc w:val="center"/>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w:t>
            </w:r>
          </w:p>
          <w:p>
            <w:pPr>
              <w:pStyle w:val="yTable"/>
              <w:spacing w:before="0"/>
              <w:rPr>
                <w:snapToGrid w:val="0"/>
              </w:rPr>
            </w:pPr>
            <w:r>
              <w:rPr>
                <w:snapToGrid w:val="0"/>
              </w:rPr>
              <w:t xml:space="preserve">other than common grey rabbits </w:t>
            </w:r>
            <w:r>
              <w:rPr>
                <w:rFonts w:ascii="Symbol" w:hAnsi="Symbol"/>
                <w:snapToGrid w:val="0"/>
              </w:rPr>
              <w:t></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 or</w:t>
            </w:r>
          </w:p>
        </w:tc>
        <w:tc>
          <w:tcPr>
            <w:tcW w:w="2888" w:type="dxa"/>
          </w:tcPr>
          <w:p>
            <w:pPr>
              <w:pStyle w:val="yTable"/>
              <w:rPr>
                <w:snapToGrid w:val="0"/>
              </w:rPr>
            </w:pPr>
          </w:p>
        </w:tc>
      </w:tr>
      <w:tr>
        <w:tc>
          <w:tcPr>
            <w:tcW w:w="4200"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192" w:name="_Toc105405771"/>
      <w:bookmarkStart w:id="193" w:name="_Toc105405822"/>
      <w:bookmarkStart w:id="194" w:name="_Toc107633604"/>
      <w:bookmarkStart w:id="195" w:name="_Toc138563632"/>
      <w:bookmarkStart w:id="196" w:name="_Toc138563877"/>
      <w:bookmarkStart w:id="197" w:name="_Toc170183758"/>
      <w:bookmarkStart w:id="198" w:name="_Toc170716437"/>
      <w:bookmarkStart w:id="199" w:name="_Toc172599804"/>
      <w:bookmarkStart w:id="200" w:name="_Toc172603228"/>
      <w:bookmarkStart w:id="201" w:name="_Toc175372451"/>
      <w:bookmarkStart w:id="202" w:name="_Toc199043478"/>
      <w:r>
        <w:rPr>
          <w:rStyle w:val="CharSchNo"/>
        </w:rPr>
        <w:t>Schedule 2</w:t>
      </w:r>
      <w:bookmarkEnd w:id="192"/>
      <w:bookmarkEnd w:id="193"/>
      <w:bookmarkEnd w:id="194"/>
      <w:bookmarkEnd w:id="195"/>
      <w:bookmarkEnd w:id="196"/>
      <w:bookmarkEnd w:id="197"/>
      <w:bookmarkEnd w:id="198"/>
      <w:bookmarkEnd w:id="199"/>
      <w:bookmarkEnd w:id="200"/>
      <w:bookmarkEnd w:id="201"/>
      <w:bookmarkEnd w:id="202"/>
    </w:p>
    <w:p>
      <w:pPr>
        <w:pStyle w:val="yShoulderClause"/>
        <w:rPr>
          <w:snapToGrid w:val="0"/>
        </w:rPr>
      </w:pPr>
      <w:r>
        <w:rPr>
          <w:snapToGrid w:val="0"/>
        </w:rPr>
        <w:t>[Reg. 13(1)]</w:t>
      </w:r>
    </w:p>
    <w:p>
      <w:pPr>
        <w:pStyle w:val="yHeading2"/>
        <w:spacing w:before="120"/>
      </w:pPr>
      <w:bookmarkStart w:id="203" w:name="_Toc172603229"/>
      <w:bookmarkStart w:id="204" w:name="_Toc175372452"/>
      <w:bookmarkStart w:id="205" w:name="_Toc199043479"/>
      <w:r>
        <w:rPr>
          <w:rStyle w:val="CharSchText"/>
        </w:rPr>
        <w:t>Case where permit not required for keeping of category A6 declared animals</w:t>
      </w:r>
      <w:bookmarkEnd w:id="203"/>
      <w:bookmarkEnd w:id="204"/>
      <w:bookmarkEnd w:id="205"/>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jc w:val="center"/>
              <w:rPr>
                <w:b/>
              </w:rPr>
            </w:pPr>
            <w:r>
              <w:rPr>
                <w:b/>
              </w:rPr>
              <w:t>Column 1</w:t>
            </w:r>
          </w:p>
        </w:tc>
        <w:tc>
          <w:tcPr>
            <w:tcW w:w="3240" w:type="dxa"/>
          </w:tcPr>
          <w:p>
            <w:pPr>
              <w:pStyle w:val="yTable"/>
              <w:jc w:val="center"/>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Protection Board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are domesticated to the extent that they are no more likely to escape from an enclosure of the kind usually used for containing domestic goats than are domestic goats.</w:t>
            </w:r>
          </w:p>
        </w:tc>
        <w:tc>
          <w:tcPr>
            <w:tcW w:w="3240" w:type="dxa"/>
            <w:tcMar>
              <w:left w:w="113" w:type="dxa"/>
            </w:tcMar>
          </w:tcPr>
          <w:p>
            <w:pPr>
              <w:pStyle w:val="yTable"/>
            </w:pPr>
          </w:p>
        </w:tc>
      </w:tr>
      <w:t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left" w:pos="1058"/>
                <w:tab w:val="left" w:pos="1462"/>
              </w:tabs>
              <w:spacing w:before="60" w:line="240" w:lineRule="atLeast"/>
              <w:ind w:left="1463" w:right="63" w:hanging="1463"/>
              <w:rPr>
                <w:snapToGrid w:val="0"/>
                <w:color w:val="000000"/>
                <w:sz w:val="22"/>
              </w:rPr>
            </w:pPr>
            <w:r>
              <w:rPr>
                <w:snapToGrid w:val="0"/>
                <w:color w:val="000000"/>
                <w:sz w:val="22"/>
              </w:rPr>
              <w:tab/>
              <w:t>(i)</w:t>
            </w:r>
            <w:r>
              <w:rPr>
                <w:snapToGrid w:val="0"/>
                <w:color w:val="000000"/>
                <w:sz w:val="22"/>
              </w:rPr>
              <w:tab/>
              <w:t>but not more than 2 per pet shop and their progeny, if any, born within the preceding 2 months; or</w:t>
            </w:r>
          </w:p>
        </w:tc>
        <w:tc>
          <w:tcPr>
            <w:tcW w:w="3240" w:type="dxa"/>
          </w:tcPr>
          <w:p>
            <w:pPr>
              <w:pStyle w:val="yTable"/>
              <w:rPr>
                <w:snapToGrid w:val="0"/>
                <w:color w:val="000000"/>
              </w:rPr>
            </w:pPr>
          </w:p>
        </w:tc>
      </w:tr>
      <w:tr>
        <w:tc>
          <w:tcPr>
            <w:tcW w:w="3840" w:type="dxa"/>
          </w:tcPr>
          <w:p>
            <w:pPr>
              <w:keepNext/>
              <w:tabs>
                <w:tab w:val="left" w:pos="1058"/>
                <w:tab w:val="left" w:pos="1462"/>
              </w:tabs>
              <w:spacing w:before="60" w:line="240" w:lineRule="atLeast"/>
              <w:ind w:left="1463" w:right="63" w:hanging="1463"/>
              <w:rPr>
                <w:snapToGrid w:val="0"/>
                <w:color w:val="000000"/>
                <w:sz w:val="22"/>
              </w:rPr>
            </w:pPr>
            <w:r>
              <w:rPr>
                <w:snapToGrid w:val="0"/>
                <w:color w:val="000000"/>
                <w:sz w:val="22"/>
              </w:rPr>
              <w:tab/>
              <w:t>(ii)</w:t>
            </w:r>
            <w:r>
              <w:rPr>
                <w:snapToGrid w:val="0"/>
                <w:color w:val="000000"/>
                <w:sz w:val="22"/>
              </w:rPr>
              <w:tab/>
              <w:t>being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w:t>
      </w:r>
    </w:p>
    <w:p>
      <w:pPr>
        <w:pStyle w:val="yScheduleHeading"/>
      </w:pPr>
      <w:bookmarkStart w:id="206" w:name="_Toc105405772"/>
      <w:bookmarkStart w:id="207" w:name="_Toc105405823"/>
      <w:bookmarkStart w:id="208" w:name="_Toc107633605"/>
      <w:bookmarkStart w:id="209" w:name="_Toc138563633"/>
      <w:bookmarkStart w:id="210" w:name="_Toc138563878"/>
      <w:bookmarkStart w:id="211" w:name="_Toc170183759"/>
      <w:bookmarkStart w:id="212" w:name="_Toc170716438"/>
      <w:bookmarkStart w:id="213" w:name="_Toc172599805"/>
      <w:bookmarkStart w:id="214" w:name="_Toc172603230"/>
      <w:bookmarkStart w:id="215" w:name="_Toc175372453"/>
      <w:bookmarkStart w:id="216" w:name="_Toc199043480"/>
      <w:r>
        <w:rPr>
          <w:rStyle w:val="CharSchNo"/>
        </w:rPr>
        <w:t>Schedule 3</w:t>
      </w:r>
      <w:r>
        <w:t> — </w:t>
      </w:r>
      <w:r>
        <w:rPr>
          <w:rStyle w:val="CharSchText"/>
        </w:rPr>
        <w:t>Category A6 birds that are exempt from permit fees</w:t>
      </w:r>
      <w:bookmarkEnd w:id="206"/>
      <w:bookmarkEnd w:id="207"/>
      <w:bookmarkEnd w:id="208"/>
      <w:bookmarkEnd w:id="209"/>
      <w:bookmarkEnd w:id="210"/>
      <w:bookmarkEnd w:id="211"/>
      <w:bookmarkEnd w:id="212"/>
      <w:bookmarkEnd w:id="213"/>
      <w:bookmarkEnd w:id="214"/>
      <w:bookmarkEnd w:id="215"/>
      <w:bookmarkEnd w:id="216"/>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Dove, Namaqua; Cape Dove</w:t>
            </w:r>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Fody, Madagascan Red; Madagascar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headed; Madagascar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r>
              <w:t>Scaup, New Zealand</w:t>
            </w:r>
          </w:p>
        </w:tc>
        <w:tc>
          <w:tcPr>
            <w:tcW w:w="2410" w:type="dxa"/>
          </w:tcPr>
          <w:p>
            <w:pPr>
              <w:pStyle w:val="yTable"/>
              <w:rPr>
                <w:i/>
              </w:rPr>
            </w:pPr>
            <w:r>
              <w:rPr>
                <w:i/>
              </w:rPr>
              <w:t>Aythya novaeseelandiae</w:t>
            </w:r>
          </w:p>
        </w:tc>
      </w:tr>
      <w:tr>
        <w:tc>
          <w:tcPr>
            <w:tcW w:w="4394" w:type="dxa"/>
          </w:tcPr>
          <w:p>
            <w:pPr>
              <w:pStyle w:val="yTable"/>
            </w:pPr>
            <w:r>
              <w:t>Shelduck, Paradise</w:t>
            </w:r>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Sparrow, Paradise; Aberdeen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Waxbill, Common; St Helena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Weaver, Grenadier; Red Bishop; Orange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ab/>
        <w:t>[Schedule 3 inserted in Gazette 28 Jun 2002 p. 3040</w:t>
      </w:r>
      <w:r>
        <w:noBreakHyphen/>
        <w:t>1.]</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217" w:name="_Toc105405773"/>
      <w:bookmarkStart w:id="218" w:name="_Toc105405824"/>
      <w:bookmarkStart w:id="219" w:name="_Toc105406196"/>
      <w:bookmarkStart w:id="220" w:name="_Toc107633606"/>
      <w:bookmarkStart w:id="221" w:name="_Toc138563634"/>
      <w:bookmarkStart w:id="222" w:name="_Toc138563879"/>
      <w:bookmarkStart w:id="223" w:name="_Toc170183760"/>
      <w:bookmarkStart w:id="224" w:name="_Toc170716439"/>
      <w:bookmarkStart w:id="225" w:name="_Toc172599806"/>
      <w:bookmarkStart w:id="226" w:name="_Toc172603231"/>
      <w:bookmarkStart w:id="227" w:name="_Toc175372454"/>
      <w:bookmarkStart w:id="228" w:name="_Toc199043481"/>
      <w:r>
        <w:t>Notes</w:t>
      </w:r>
      <w:bookmarkEnd w:id="217"/>
      <w:bookmarkEnd w:id="218"/>
      <w:bookmarkEnd w:id="219"/>
      <w:bookmarkEnd w:id="220"/>
      <w:bookmarkEnd w:id="221"/>
      <w:bookmarkEnd w:id="222"/>
      <w:bookmarkEnd w:id="223"/>
      <w:bookmarkEnd w:id="224"/>
      <w:bookmarkEnd w:id="225"/>
      <w:bookmarkEnd w:id="226"/>
      <w:bookmarkEnd w:id="227"/>
      <w:bookmarkEnd w:id="228"/>
    </w:p>
    <w:p>
      <w:pPr>
        <w:pStyle w:val="nSubsection"/>
        <w:rPr>
          <w:snapToGrid w:val="0"/>
        </w:rPr>
      </w:pPr>
      <w:r>
        <w:rPr>
          <w:snapToGrid w:val="0"/>
          <w:vertAlign w:val="superscript"/>
        </w:rPr>
        <w:t>1</w:t>
      </w:r>
      <w:r>
        <w:rPr>
          <w:snapToGrid w:val="0"/>
        </w:rPr>
        <w:tab/>
        <w:t xml:space="preserve">This </w:t>
      </w:r>
      <w:del w:id="229" w:author="Master Repository Process" w:date="2021-07-31T08:16:00Z">
        <w:r>
          <w:rPr>
            <w:snapToGrid w:val="0"/>
          </w:rPr>
          <w:delText xml:space="preserve">reprint </w:delText>
        </w:r>
      </w:del>
      <w:r>
        <w:rPr>
          <w:snapToGrid w:val="0"/>
        </w:rPr>
        <w:t>is a compilation</w:t>
      </w:r>
      <w:del w:id="230" w:author="Master Repository Process" w:date="2021-07-31T08:16:00Z">
        <w:r>
          <w:rPr>
            <w:snapToGrid w:val="0"/>
          </w:rPr>
          <w:delText xml:space="preserve"> as at 24 August 2007</w:delText>
        </w:r>
      </w:del>
      <w:r>
        <w:rPr>
          <w:snapToGrid w:val="0"/>
        </w:rPr>
        <w:t xml:space="preserve">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w:t>
      </w:r>
      <w:ins w:id="231" w:author="Master Repository Process" w:date="2021-07-31T08:16: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232" w:name="_Toc199043482"/>
      <w:bookmarkStart w:id="233" w:name="_Toc175372455"/>
      <w:r>
        <w:rPr>
          <w:snapToGrid w:val="0"/>
        </w:rPr>
        <w:t>Compilation table</w:t>
      </w:r>
      <w:bookmarkEnd w:id="232"/>
      <w:bookmarkEnd w:id="23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Borders>
              <w:bottom w:val="single" w:sz="8" w:space="0" w:color="auto"/>
            </w:tcBorders>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bl>
    <w:p>
      <w:pPr>
        <w:pStyle w:val="nSubsection"/>
        <w:tabs>
          <w:tab w:val="clear" w:pos="454"/>
          <w:tab w:val="left" w:pos="567"/>
        </w:tabs>
        <w:spacing w:before="120"/>
        <w:ind w:left="567" w:hanging="567"/>
        <w:rPr>
          <w:ins w:id="234" w:author="Master Repository Process" w:date="2021-07-31T08:16:00Z"/>
          <w:snapToGrid w:val="0"/>
        </w:rPr>
      </w:pPr>
      <w:ins w:id="235" w:author="Master Repository Process" w:date="2021-07-31T08:16: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36" w:author="Master Repository Process" w:date="2021-07-31T08:16:00Z"/>
        </w:rPr>
      </w:pPr>
      <w:bookmarkStart w:id="237" w:name="_Toc7405065"/>
      <w:bookmarkStart w:id="238" w:name="_Toc181500909"/>
      <w:bookmarkStart w:id="239" w:name="_Toc193100050"/>
      <w:bookmarkStart w:id="240" w:name="_Toc199043483"/>
      <w:ins w:id="241" w:author="Master Repository Process" w:date="2021-07-31T08:16:00Z">
        <w:r>
          <w:t>Provisions that have not come into operation</w:t>
        </w:r>
        <w:bookmarkEnd w:id="237"/>
        <w:bookmarkEnd w:id="238"/>
        <w:bookmarkEnd w:id="239"/>
        <w:bookmarkEnd w:id="240"/>
      </w:ins>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ins w:id="242" w:author="Master Repository Process" w:date="2021-07-31T08:16:00Z"/>
        </w:trPr>
        <w:tc>
          <w:tcPr>
            <w:tcW w:w="3118" w:type="dxa"/>
            <w:tcBorders>
              <w:top w:val="single" w:sz="8" w:space="0" w:color="auto"/>
              <w:bottom w:val="single" w:sz="8" w:space="0" w:color="auto"/>
            </w:tcBorders>
          </w:tcPr>
          <w:p>
            <w:pPr>
              <w:pStyle w:val="nTable"/>
              <w:spacing w:after="40"/>
              <w:ind w:right="113"/>
              <w:rPr>
                <w:ins w:id="243" w:author="Master Repository Process" w:date="2021-07-31T08:16:00Z"/>
                <w:b/>
                <w:sz w:val="19"/>
              </w:rPr>
            </w:pPr>
            <w:ins w:id="244" w:author="Master Repository Process" w:date="2021-07-31T08:16:00Z">
              <w:r>
                <w:rPr>
                  <w:b/>
                  <w:sz w:val="19"/>
                </w:rPr>
                <w:t>Citation</w:t>
              </w:r>
            </w:ins>
          </w:p>
        </w:tc>
        <w:tc>
          <w:tcPr>
            <w:tcW w:w="1276" w:type="dxa"/>
            <w:tcBorders>
              <w:top w:val="single" w:sz="8" w:space="0" w:color="auto"/>
              <w:bottom w:val="single" w:sz="8" w:space="0" w:color="auto"/>
            </w:tcBorders>
          </w:tcPr>
          <w:p>
            <w:pPr>
              <w:pStyle w:val="nTable"/>
              <w:spacing w:after="40"/>
              <w:rPr>
                <w:ins w:id="245" w:author="Master Repository Process" w:date="2021-07-31T08:16:00Z"/>
                <w:b/>
                <w:sz w:val="19"/>
              </w:rPr>
            </w:pPr>
            <w:ins w:id="246" w:author="Master Repository Process" w:date="2021-07-31T08:16:00Z">
              <w:r>
                <w:rPr>
                  <w:b/>
                  <w:sz w:val="19"/>
                </w:rPr>
                <w:t>Gazettal</w:t>
              </w:r>
            </w:ins>
          </w:p>
        </w:tc>
        <w:tc>
          <w:tcPr>
            <w:tcW w:w="2693" w:type="dxa"/>
            <w:tcBorders>
              <w:top w:val="single" w:sz="8" w:space="0" w:color="auto"/>
              <w:bottom w:val="single" w:sz="8" w:space="0" w:color="auto"/>
            </w:tcBorders>
          </w:tcPr>
          <w:p>
            <w:pPr>
              <w:pStyle w:val="nTable"/>
              <w:spacing w:after="40"/>
              <w:rPr>
                <w:ins w:id="247" w:author="Master Repository Process" w:date="2021-07-31T08:16:00Z"/>
                <w:b/>
                <w:sz w:val="19"/>
              </w:rPr>
            </w:pPr>
            <w:ins w:id="248" w:author="Master Repository Process" w:date="2021-07-31T08:16:00Z">
              <w:r>
                <w:rPr>
                  <w:b/>
                  <w:sz w:val="19"/>
                </w:rPr>
                <w:t>Commencement</w:t>
              </w:r>
            </w:ins>
          </w:p>
        </w:tc>
      </w:tr>
      <w:tr>
        <w:trPr>
          <w:cantSplit/>
          <w:ins w:id="249" w:author="Master Repository Process" w:date="2021-07-31T08:16:00Z"/>
        </w:trPr>
        <w:tc>
          <w:tcPr>
            <w:tcW w:w="3118" w:type="dxa"/>
            <w:tcBorders>
              <w:top w:val="single" w:sz="8" w:space="0" w:color="auto"/>
              <w:bottom w:val="single" w:sz="4" w:space="0" w:color="auto"/>
            </w:tcBorders>
          </w:tcPr>
          <w:p>
            <w:pPr>
              <w:pStyle w:val="nTable"/>
              <w:spacing w:after="40"/>
              <w:ind w:right="113"/>
              <w:rPr>
                <w:ins w:id="250" w:author="Master Repository Process" w:date="2021-07-31T08:16:00Z"/>
                <w:rFonts w:ascii="Times" w:hAnsi="Times"/>
                <w:iCs/>
                <w:sz w:val="19"/>
                <w:vertAlign w:val="superscript"/>
              </w:rPr>
            </w:pPr>
            <w:ins w:id="251" w:author="Master Repository Process" w:date="2021-07-31T08:16:00Z">
              <w:r>
                <w:rPr>
                  <w:i/>
                  <w:sz w:val="19"/>
                </w:rPr>
                <w:t>Agriculture and Related Resources Protection (Declared Animals) Amendment Regulations 2008</w:t>
              </w:r>
              <w:r>
                <w:rPr>
                  <w:sz w:val="19"/>
                  <w:vertAlign w:val="superscript"/>
                </w:rPr>
                <w:t xml:space="preserve"> </w:t>
              </w:r>
              <w:r>
                <w:rPr>
                  <w:sz w:val="19"/>
                </w:rPr>
                <w:t>r. 3</w:t>
              </w:r>
              <w:r>
                <w:rPr>
                  <w:sz w:val="19"/>
                </w:rPr>
                <w:noBreakHyphen/>
                <w:t>5</w:t>
              </w:r>
              <w:r>
                <w:rPr>
                  <w:iCs/>
                  <w:sz w:val="19"/>
                </w:rPr>
                <w:t> </w:t>
              </w:r>
              <w:r>
                <w:rPr>
                  <w:iCs/>
                  <w:sz w:val="19"/>
                  <w:vertAlign w:val="superscript"/>
                </w:rPr>
                <w:t>3</w:t>
              </w:r>
            </w:ins>
          </w:p>
        </w:tc>
        <w:tc>
          <w:tcPr>
            <w:tcW w:w="1276" w:type="dxa"/>
            <w:tcBorders>
              <w:top w:val="single" w:sz="8" w:space="0" w:color="auto"/>
              <w:bottom w:val="single" w:sz="4" w:space="0" w:color="auto"/>
            </w:tcBorders>
          </w:tcPr>
          <w:p>
            <w:pPr>
              <w:pStyle w:val="nTable"/>
              <w:spacing w:after="40"/>
              <w:rPr>
                <w:ins w:id="252" w:author="Master Repository Process" w:date="2021-07-31T08:16:00Z"/>
                <w:sz w:val="19"/>
              </w:rPr>
            </w:pPr>
            <w:ins w:id="253" w:author="Master Repository Process" w:date="2021-07-31T08:16:00Z">
              <w:r>
                <w:rPr>
                  <w:sz w:val="19"/>
                </w:rPr>
                <w:t>20 May 2008 p. 1934</w:t>
              </w:r>
            </w:ins>
          </w:p>
        </w:tc>
        <w:tc>
          <w:tcPr>
            <w:tcW w:w="2693" w:type="dxa"/>
            <w:tcBorders>
              <w:top w:val="single" w:sz="8" w:space="0" w:color="auto"/>
              <w:bottom w:val="single" w:sz="4" w:space="0" w:color="auto"/>
            </w:tcBorders>
          </w:tcPr>
          <w:p>
            <w:pPr>
              <w:pStyle w:val="nTable"/>
              <w:spacing w:after="40"/>
              <w:rPr>
                <w:ins w:id="254" w:author="Master Repository Process" w:date="2021-07-31T08:16:00Z"/>
                <w:sz w:val="19"/>
              </w:rPr>
            </w:pPr>
            <w:ins w:id="255" w:author="Master Repository Process" w:date="2021-07-31T08:16:00Z">
              <w:r>
                <w:rPr>
                  <w:sz w:val="19"/>
                </w:rPr>
                <w:t>1 Jul 2008 (see r. 2(b))</w:t>
              </w:r>
            </w:ins>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Pr>
        <w:pStyle w:val="nSubsection"/>
        <w:rPr>
          <w:ins w:id="256" w:author="Master Repository Process" w:date="2021-07-31T08:16:00Z"/>
          <w:snapToGrid w:val="0"/>
        </w:rPr>
      </w:pPr>
      <w:ins w:id="257" w:author="Master Repository Process" w:date="2021-07-31T08:16:00Z">
        <w:r>
          <w:rPr>
            <w:snapToGrid w:val="0"/>
            <w:vertAlign w:val="superscript"/>
          </w:rPr>
          <w:t>3</w:t>
        </w:r>
        <w:r>
          <w:rPr>
            <w:snapToGrid w:val="0"/>
          </w:rPr>
          <w:tab/>
          <w:t xml:space="preserve">On the date as at which this compilation was prepared, the </w:t>
        </w:r>
        <w:r>
          <w:rPr>
            <w:i/>
          </w:rPr>
          <w:t xml:space="preserve">Agriculture and Related Resources Protection (Declared Animals) Amendment Regulations 2008 </w:t>
        </w:r>
        <w:r>
          <w:rPr>
            <w:iCs/>
          </w:rPr>
          <w:t>r. 3</w:t>
        </w:r>
        <w:r>
          <w:rPr>
            <w:iCs/>
          </w:rPr>
          <w:noBreakHyphen/>
          <w:t>5</w:t>
        </w:r>
        <w:r>
          <w:rPr>
            <w:snapToGrid w:val="0"/>
          </w:rPr>
          <w:t xml:space="preserve"> had not come into operation.  They read as follows:</w:t>
        </w:r>
      </w:ins>
    </w:p>
    <w:p>
      <w:pPr>
        <w:pStyle w:val="MiscOpen"/>
        <w:rPr>
          <w:ins w:id="258" w:author="Master Repository Process" w:date="2021-07-31T08:16:00Z"/>
          <w:snapToGrid w:val="0"/>
        </w:rPr>
      </w:pPr>
      <w:ins w:id="259" w:author="Master Repository Process" w:date="2021-07-31T08:16:00Z">
        <w:r>
          <w:rPr>
            <w:snapToGrid w:val="0"/>
          </w:rPr>
          <w:t>“</w:t>
        </w:r>
      </w:ins>
    </w:p>
    <w:p>
      <w:pPr>
        <w:pStyle w:val="nzHeading5"/>
        <w:rPr>
          <w:ins w:id="260" w:author="Master Repository Process" w:date="2021-07-31T08:16:00Z"/>
          <w:snapToGrid w:val="0"/>
        </w:rPr>
      </w:pPr>
      <w:bookmarkStart w:id="261" w:name="_Toc423332724"/>
      <w:bookmarkStart w:id="262" w:name="_Toc425219443"/>
      <w:bookmarkStart w:id="263" w:name="_Toc426249310"/>
      <w:bookmarkStart w:id="264" w:name="_Toc449924706"/>
      <w:bookmarkStart w:id="265" w:name="_Toc449947724"/>
      <w:bookmarkStart w:id="266" w:name="_Toc454185715"/>
      <w:bookmarkStart w:id="267" w:name="_Toc515958688"/>
      <w:ins w:id="268" w:author="Master Repository Process" w:date="2021-07-31T08:16:00Z">
        <w:r>
          <w:rPr>
            <w:rStyle w:val="CharSectno"/>
          </w:rPr>
          <w:t>3</w:t>
        </w:r>
        <w:r>
          <w:rPr>
            <w:snapToGrid w:val="0"/>
          </w:rPr>
          <w:t>.</w:t>
        </w:r>
        <w:r>
          <w:rPr>
            <w:snapToGrid w:val="0"/>
          </w:rPr>
          <w:tab/>
          <w:t>The regulations amended</w:t>
        </w:r>
        <w:bookmarkEnd w:id="261"/>
        <w:bookmarkEnd w:id="262"/>
        <w:bookmarkEnd w:id="263"/>
        <w:bookmarkEnd w:id="264"/>
        <w:bookmarkEnd w:id="265"/>
        <w:bookmarkEnd w:id="266"/>
        <w:bookmarkEnd w:id="267"/>
      </w:ins>
    </w:p>
    <w:p>
      <w:pPr>
        <w:pStyle w:val="nzSubsection"/>
        <w:rPr>
          <w:ins w:id="269" w:author="Master Repository Process" w:date="2021-07-31T08:16:00Z"/>
        </w:rPr>
      </w:pPr>
      <w:ins w:id="270" w:author="Master Repository Process" w:date="2021-07-31T08:16:00Z">
        <w:r>
          <w:tab/>
        </w:r>
        <w:r>
          <w:tab/>
          <w:t xml:space="preserve">The amendments in </w:t>
        </w:r>
        <w:r>
          <w:rPr>
            <w:spacing w:val="-2"/>
          </w:rPr>
          <w:t>these</w:t>
        </w:r>
        <w:r>
          <w:t xml:space="preserve"> regulations are to the </w:t>
        </w:r>
        <w:r>
          <w:rPr>
            <w:i/>
          </w:rPr>
          <w:t>Agriculture and Related Resources Protection (Declared Animals) Regulations 1985</w:t>
        </w:r>
        <w:r>
          <w:t>.</w:t>
        </w:r>
      </w:ins>
    </w:p>
    <w:p>
      <w:pPr>
        <w:pStyle w:val="nzHeading5"/>
        <w:rPr>
          <w:ins w:id="271" w:author="Master Repository Process" w:date="2021-07-31T08:16:00Z"/>
        </w:rPr>
      </w:pPr>
      <w:ins w:id="272" w:author="Master Repository Process" w:date="2021-07-31T08:16:00Z">
        <w:r>
          <w:rPr>
            <w:rStyle w:val="CharSectno"/>
          </w:rPr>
          <w:t>4</w:t>
        </w:r>
        <w:r>
          <w:t>.</w:t>
        </w:r>
        <w:r>
          <w:tab/>
          <w:t>Regulation 15 amended</w:t>
        </w:r>
      </w:ins>
    </w:p>
    <w:p>
      <w:pPr>
        <w:pStyle w:val="nzSubsection"/>
        <w:rPr>
          <w:ins w:id="273" w:author="Master Repository Process" w:date="2021-07-31T08:16:00Z"/>
        </w:rPr>
      </w:pPr>
      <w:ins w:id="274" w:author="Master Repository Process" w:date="2021-07-31T08:16:00Z">
        <w:r>
          <w:tab/>
        </w:r>
        <w:r>
          <w:tab/>
          <w:t xml:space="preserve">Regulation 15(2) is amended by deleting “$136.50” and inserting instead — </w:t>
        </w:r>
      </w:ins>
    </w:p>
    <w:p>
      <w:pPr>
        <w:pStyle w:val="nzSubsection"/>
        <w:rPr>
          <w:ins w:id="275" w:author="Master Repository Process" w:date="2021-07-31T08:16:00Z"/>
        </w:rPr>
      </w:pPr>
      <w:ins w:id="276" w:author="Master Repository Process" w:date="2021-07-31T08:16:00Z">
        <w:r>
          <w:tab/>
        </w:r>
        <w:r>
          <w:tab/>
          <w:t>“    $141.00    ”.</w:t>
        </w:r>
      </w:ins>
    </w:p>
    <w:p>
      <w:pPr>
        <w:pStyle w:val="nzHeading5"/>
        <w:rPr>
          <w:ins w:id="277" w:author="Master Repository Process" w:date="2021-07-31T08:16:00Z"/>
        </w:rPr>
      </w:pPr>
      <w:ins w:id="278" w:author="Master Repository Process" w:date="2021-07-31T08:16:00Z">
        <w:r>
          <w:rPr>
            <w:rStyle w:val="CharSectno"/>
          </w:rPr>
          <w:t>5</w:t>
        </w:r>
        <w:r>
          <w:t>.</w:t>
        </w:r>
        <w:r>
          <w:tab/>
          <w:t>Regulation 16 amended</w:t>
        </w:r>
      </w:ins>
    </w:p>
    <w:p>
      <w:pPr>
        <w:pStyle w:val="nzSubsection"/>
        <w:rPr>
          <w:ins w:id="279" w:author="Master Repository Process" w:date="2021-07-31T08:16:00Z"/>
        </w:rPr>
      </w:pPr>
      <w:ins w:id="280" w:author="Master Repository Process" w:date="2021-07-31T08:16:00Z">
        <w:r>
          <w:tab/>
        </w:r>
        <w:r>
          <w:tab/>
          <w:t xml:space="preserve">Regulation 16(2)(d) is amended by deleting “$80.” and inserting instead — </w:t>
        </w:r>
      </w:ins>
    </w:p>
    <w:p>
      <w:pPr>
        <w:pStyle w:val="nzSubsection"/>
        <w:rPr>
          <w:ins w:id="281" w:author="Master Repository Process" w:date="2021-07-31T08:16:00Z"/>
        </w:rPr>
      </w:pPr>
      <w:ins w:id="282" w:author="Master Repository Process" w:date="2021-07-31T08:16:00Z">
        <w:r>
          <w:tab/>
        </w:r>
        <w:r>
          <w:tab/>
          <w:t>“    $83.    ”.</w:t>
        </w:r>
      </w:ins>
    </w:p>
    <w:p>
      <w:pPr>
        <w:pStyle w:val="MiscClose"/>
        <w:rPr>
          <w:ins w:id="283" w:author="Master Repository Process" w:date="2021-07-31T08:16:00Z"/>
        </w:rPr>
      </w:pPr>
      <w:ins w:id="284" w:author="Master Repository Process" w:date="2021-07-31T08:16:00Z">
        <w:r>
          <w:t>”.</w:t>
        </w:r>
      </w:ins>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fldSimple w:instr=" styleref CharPartNo ">
            <w:r>
              <w:rPr>
                <w:noProof/>
              </w:rPr>
              <w:t>Part II</w:t>
            </w:r>
          </w:fldSimple>
        </w:p>
      </w:tc>
      <w:tc>
        <w:tcPr>
          <w:tcW w:w="5715" w:type="dxa"/>
          <w:vAlign w:val="bottom"/>
        </w:tcPr>
        <w:p>
          <w:pPr>
            <w:pStyle w:val="HeaderTextLeft"/>
          </w:pPr>
          <w:fldSimple w:instr=" styleref CharPartText ">
            <w:r>
              <w:rPr>
                <w:noProof/>
              </w:rPr>
              <w:t>Introduction of category A4 declared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 MERGEFORMAT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15857"/>
    <w:docVar w:name="WAFER_20151204115857" w:val="RemoveTrackChanges"/>
    <w:docVar w:name="WAFER_20151204115857_GUID" w:val="ff378afa-84a6-44dc-a90a-88e6f9e6539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E9CB679-D369-4235-9C64-35731D7BA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5376</Words>
  <Characters>36883</Characters>
  <Application>Microsoft Office Word</Application>
  <DocSecurity>0</DocSecurity>
  <Lines>996</Lines>
  <Paragraphs>621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02-a0-02 - 02-b0-02</dc:title>
  <dc:subject/>
  <dc:creator/>
  <cp:keywords/>
  <dc:description/>
  <cp:lastModifiedBy>Master Repository Process</cp:lastModifiedBy>
  <cp:revision>2</cp:revision>
  <cp:lastPrinted>2007-08-21T00:32:00Z</cp:lastPrinted>
  <dcterms:created xsi:type="dcterms:W3CDTF">2021-07-31T00:16:00Z</dcterms:created>
  <dcterms:modified xsi:type="dcterms:W3CDTF">2021-07-31T00:16:00Z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20080520</vt:lpwstr>
  </property>
  <property fmtid="{D5CDD505-2E9C-101B-9397-08002B2CF9AE}" pid="4" name="DocumentType">
    <vt:lpwstr>Reg</vt:lpwstr>
  </property>
  <property fmtid="{D5CDD505-2E9C-101B-9397-08002B2CF9AE}" pid="5" name="OwlsUID">
    <vt:i4>4266</vt:i4>
  </property>
  <property fmtid="{D5CDD505-2E9C-101B-9397-08002B2CF9AE}" pid="6" name="ReprintNo">
    <vt:lpwstr>2</vt:lpwstr>
  </property>
  <property fmtid="{D5CDD505-2E9C-101B-9397-08002B2CF9AE}" pid="7" name="ReprintedAsAt">
    <vt:filetime>2007-08-23T16:00:00Z</vt:filetime>
  </property>
  <property fmtid="{D5CDD505-2E9C-101B-9397-08002B2CF9AE}" pid="8" name="FromSuffix">
    <vt:lpwstr>02-a0-02</vt:lpwstr>
  </property>
  <property fmtid="{D5CDD505-2E9C-101B-9397-08002B2CF9AE}" pid="9" name="FromAsAtDate">
    <vt:lpwstr>24 Aug 2007</vt:lpwstr>
  </property>
  <property fmtid="{D5CDD505-2E9C-101B-9397-08002B2CF9AE}" pid="10" name="ToSuffix">
    <vt:lpwstr>02-b0-02</vt:lpwstr>
  </property>
  <property fmtid="{D5CDD505-2E9C-101B-9397-08002B2CF9AE}" pid="11" name="ToAsAtDate">
    <vt:lpwstr>20 May 2008</vt:lpwstr>
  </property>
</Properties>
</file>