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2007</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10 Jun 2008</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09:36:00Z"/>
        </w:trPr>
        <w:tc>
          <w:tcPr>
            <w:tcW w:w="2434" w:type="dxa"/>
            <w:vMerge w:val="restart"/>
          </w:tcPr>
          <w:p>
            <w:pPr>
              <w:rPr>
                <w:del w:id="1" w:author="Master Repository Process" w:date="2021-09-12T09:36:00Z"/>
              </w:rPr>
            </w:pPr>
          </w:p>
        </w:tc>
        <w:tc>
          <w:tcPr>
            <w:tcW w:w="2434" w:type="dxa"/>
            <w:vMerge w:val="restart"/>
          </w:tcPr>
          <w:p>
            <w:pPr>
              <w:jc w:val="center"/>
              <w:rPr>
                <w:del w:id="2" w:author="Master Repository Process" w:date="2021-09-12T09:36:00Z"/>
              </w:rPr>
            </w:pPr>
            <w:del w:id="3" w:author="Master Repository Process" w:date="2021-09-12T09:3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09:36:00Z"/>
              </w:rPr>
            </w:pPr>
          </w:p>
        </w:tc>
      </w:tr>
      <w:tr>
        <w:trPr>
          <w:cantSplit/>
          <w:del w:id="5" w:author="Master Repository Process" w:date="2021-09-12T09:36:00Z"/>
        </w:trPr>
        <w:tc>
          <w:tcPr>
            <w:tcW w:w="2434" w:type="dxa"/>
            <w:vMerge/>
          </w:tcPr>
          <w:p>
            <w:pPr>
              <w:rPr>
                <w:del w:id="6" w:author="Master Repository Process" w:date="2021-09-12T09:36:00Z"/>
              </w:rPr>
            </w:pPr>
          </w:p>
        </w:tc>
        <w:tc>
          <w:tcPr>
            <w:tcW w:w="2434" w:type="dxa"/>
            <w:vMerge/>
          </w:tcPr>
          <w:p>
            <w:pPr>
              <w:jc w:val="center"/>
              <w:rPr>
                <w:del w:id="7" w:author="Master Repository Process" w:date="2021-09-12T09:36:00Z"/>
              </w:rPr>
            </w:pPr>
          </w:p>
        </w:tc>
        <w:tc>
          <w:tcPr>
            <w:tcW w:w="2434" w:type="dxa"/>
          </w:tcPr>
          <w:p>
            <w:pPr>
              <w:keepNext/>
              <w:rPr>
                <w:del w:id="8" w:author="Master Repository Process" w:date="2021-09-12T09:36:00Z"/>
                <w:b/>
                <w:sz w:val="22"/>
              </w:rPr>
            </w:pPr>
            <w:del w:id="9" w:author="Master Repository Process" w:date="2021-09-12T09:36: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February 2007</w:delText>
              </w:r>
            </w:del>
          </w:p>
        </w:tc>
      </w:tr>
    </w:tbl>
    <w:p>
      <w:pPr>
        <w:pStyle w:val="WA"/>
        <w:spacing w:before="120"/>
      </w:pPr>
      <w:r>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0" w:name="_Toc437741276"/>
      <w:bookmarkStart w:id="11" w:name="_Toc523808902"/>
      <w:bookmarkStart w:id="12" w:name="_Toc535820246"/>
      <w:bookmarkStart w:id="13" w:name="_Toc113163928"/>
      <w:bookmarkStart w:id="14" w:name="_Toc113164016"/>
      <w:bookmarkStart w:id="15" w:name="_Toc200963344"/>
      <w:bookmarkStart w:id="16" w:name="_Toc159742696"/>
      <w:r>
        <w:rPr>
          <w:rStyle w:val="CharSectno"/>
        </w:rPr>
        <w:t>1</w:t>
      </w:r>
      <w:bookmarkStart w:id="17" w:name="_GoBack"/>
      <w:bookmarkEnd w:id="17"/>
      <w:r>
        <w:rPr>
          <w:snapToGrid w:val="0"/>
        </w:rPr>
        <w:t>.</w:t>
      </w:r>
      <w:r>
        <w:rPr>
          <w:snapToGrid w:val="0"/>
        </w:rPr>
        <w:tab/>
        <w:t>Citation</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18" w:name="_Toc437741277"/>
      <w:bookmarkStart w:id="19" w:name="_Toc523808903"/>
      <w:bookmarkStart w:id="20" w:name="_Toc535820247"/>
      <w:bookmarkStart w:id="21" w:name="_Toc113163929"/>
      <w:bookmarkStart w:id="22" w:name="_Toc113164017"/>
      <w:bookmarkStart w:id="23" w:name="_Toc200963345"/>
      <w:bookmarkStart w:id="24" w:name="_Toc159742697"/>
      <w:r>
        <w:rPr>
          <w:rStyle w:val="CharSectno"/>
        </w:rPr>
        <w:t>2</w:t>
      </w:r>
      <w:r>
        <w:rPr>
          <w:snapToGrid w:val="0"/>
        </w:rPr>
        <w:t>.</w:t>
      </w:r>
      <w:r>
        <w:rPr>
          <w:snapToGrid w:val="0"/>
        </w:rPr>
        <w:tab/>
        <w:t>Commencement</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25" w:name="_Toc437741278"/>
      <w:bookmarkStart w:id="26" w:name="_Toc523808904"/>
      <w:bookmarkStart w:id="27" w:name="_Toc535820248"/>
      <w:bookmarkStart w:id="28" w:name="_Toc113163930"/>
      <w:bookmarkStart w:id="29" w:name="_Toc113164018"/>
      <w:bookmarkStart w:id="30" w:name="_Toc200963346"/>
      <w:bookmarkStart w:id="31" w:name="_Toc159742698"/>
      <w:r>
        <w:rPr>
          <w:rStyle w:val="CharSectno"/>
        </w:rPr>
        <w:t>3</w:t>
      </w:r>
      <w:r>
        <w:rPr>
          <w:snapToGrid w:val="0"/>
        </w:rPr>
        <w:t>.</w:t>
      </w:r>
      <w:r>
        <w:rPr>
          <w:snapToGrid w:val="0"/>
        </w:rPr>
        <w:tab/>
        <w:t>Categories of events</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If the Board </w:t>
      </w:r>
      <w:r>
        <w:rPr>
          <w:snapToGrid w:val="0"/>
          <w:vertAlign w:val="superscript"/>
        </w:rPr>
        <w:t>2</w:t>
      </w:r>
      <w:r>
        <w:rPr>
          <w:snapToGrid w:val="0"/>
        </w:rPr>
        <w:t xml:space="preserve"> is of the opinion that an event has not been correctly categorized by the applicant it may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subject to subregulation (3)(b) but notwithstanding any other provision of these regulations categorize the event as it considers appropriate and grant the order.</w:t>
      </w:r>
    </w:p>
    <w:p>
      <w:pPr>
        <w:pStyle w:val="Footnotesection"/>
      </w:pPr>
      <w:r>
        <w:tab/>
        <w:t>[Regulation 3 amended in Gazette 28 Nov 2006 p. 4913.]</w:t>
      </w:r>
    </w:p>
    <w:p>
      <w:pPr>
        <w:pStyle w:val="Heading5"/>
        <w:rPr>
          <w:snapToGrid w:val="0"/>
        </w:rPr>
      </w:pPr>
      <w:bookmarkStart w:id="32" w:name="_Toc437413702"/>
      <w:bookmarkStart w:id="33" w:name="_Toc437741279"/>
      <w:bookmarkStart w:id="34" w:name="_Toc523808905"/>
      <w:bookmarkStart w:id="35" w:name="_Toc535820249"/>
      <w:bookmarkStart w:id="36" w:name="_Toc113163931"/>
      <w:bookmarkStart w:id="37" w:name="_Toc113164019"/>
      <w:bookmarkStart w:id="38" w:name="_Toc200963347"/>
      <w:bookmarkStart w:id="39" w:name="_Toc159742699"/>
      <w:r>
        <w:rPr>
          <w:rStyle w:val="CharSectno"/>
        </w:rPr>
        <w:t>4</w:t>
      </w:r>
      <w:r>
        <w:rPr>
          <w:snapToGrid w:val="0"/>
        </w:rPr>
        <w:t>.</w:t>
      </w:r>
      <w:r>
        <w:rPr>
          <w:snapToGrid w:val="0"/>
        </w:rPr>
        <w:tab/>
        <w:t>Approvals</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40" w:name="_Toc437413703"/>
      <w:bookmarkStart w:id="41" w:name="_Toc437741280"/>
      <w:bookmarkStart w:id="42" w:name="_Toc523808906"/>
      <w:bookmarkStart w:id="43" w:name="_Toc535820250"/>
      <w:bookmarkStart w:id="44" w:name="_Toc113163932"/>
      <w:bookmarkStart w:id="45" w:name="_Toc113164020"/>
      <w:bookmarkStart w:id="46" w:name="_Toc200963348"/>
      <w:bookmarkStart w:id="47" w:name="_Toc159742700"/>
      <w:r>
        <w:rPr>
          <w:rStyle w:val="CharSectno"/>
        </w:rPr>
        <w:t>5</w:t>
      </w:r>
      <w:r>
        <w:rPr>
          <w:snapToGrid w:val="0"/>
        </w:rPr>
        <w:t>.</w:t>
      </w:r>
      <w:r>
        <w:rPr>
          <w:snapToGrid w:val="0"/>
        </w:rPr>
        <w:tab/>
        <w:t>Occupier’s consent</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48" w:name="_Toc437413704"/>
      <w:bookmarkStart w:id="49" w:name="_Toc437741281"/>
      <w:bookmarkStart w:id="50" w:name="_Toc523808907"/>
      <w:bookmarkStart w:id="51" w:name="_Toc535820251"/>
      <w:bookmarkStart w:id="52" w:name="_Toc113163933"/>
      <w:bookmarkStart w:id="53" w:name="_Toc113164021"/>
      <w:bookmarkStart w:id="54" w:name="_Toc200963349"/>
      <w:bookmarkStart w:id="55" w:name="_Toc159742701"/>
      <w:r>
        <w:rPr>
          <w:rStyle w:val="CharSectno"/>
        </w:rPr>
        <w:t>6</w:t>
      </w:r>
      <w:r>
        <w:rPr>
          <w:snapToGrid w:val="0"/>
        </w:rPr>
        <w:t>.</w:t>
      </w:r>
      <w:r>
        <w:rPr>
          <w:snapToGrid w:val="0"/>
        </w:rPr>
        <w:tab/>
        <w:t>Application for order</w:t>
      </w:r>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 xml:space="preserve">the appropriate application fee </w:t>
      </w:r>
      <w:r>
        <w:t xml:space="preserve">as prescribed in the </w:t>
      </w:r>
      <w:r>
        <w:rPr>
          <w:i/>
          <w:iCs/>
        </w:rPr>
        <w:t>Road Traffic (Charges and Fees) Regulations 2006</w:t>
      </w:r>
      <w:r>
        <w:t>;</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w:t>
      </w:r>
    </w:p>
    <w:p>
      <w:pPr>
        <w:pStyle w:val="Heading5"/>
        <w:rPr>
          <w:snapToGrid w:val="0"/>
        </w:rPr>
      </w:pPr>
      <w:bookmarkStart w:id="56" w:name="_Toc437413705"/>
      <w:bookmarkStart w:id="57" w:name="_Toc437741282"/>
      <w:bookmarkStart w:id="58" w:name="_Toc523808908"/>
      <w:bookmarkStart w:id="59" w:name="_Toc535820252"/>
      <w:bookmarkStart w:id="60" w:name="_Toc113163934"/>
      <w:bookmarkStart w:id="61" w:name="_Toc113164022"/>
      <w:bookmarkStart w:id="62" w:name="_Toc200963350"/>
      <w:bookmarkStart w:id="63" w:name="_Toc159742702"/>
      <w:r>
        <w:rPr>
          <w:rStyle w:val="CharSectno"/>
        </w:rPr>
        <w:t>7</w:t>
      </w:r>
      <w:r>
        <w:rPr>
          <w:snapToGrid w:val="0"/>
        </w:rPr>
        <w:t>.</w:t>
      </w:r>
      <w:r>
        <w:rPr>
          <w:snapToGrid w:val="0"/>
        </w:rPr>
        <w:tab/>
        <w:t>Time for making application</w:t>
      </w:r>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 Board </w:t>
      </w:r>
      <w:r>
        <w:rPr>
          <w:snapToGrid w:val="0"/>
          <w:vertAlign w:val="superscript"/>
        </w:rPr>
        <w:t>2</w:t>
      </w:r>
      <w:r>
        <w:rPr>
          <w:snapToGrid w:val="0"/>
        </w:rPr>
        <w:t>.</w:t>
      </w:r>
    </w:p>
    <w:p>
      <w:pPr>
        <w:pStyle w:val="Heading5"/>
        <w:rPr>
          <w:snapToGrid w:val="0"/>
        </w:rPr>
      </w:pPr>
      <w:bookmarkStart w:id="64" w:name="_Toc437413706"/>
      <w:bookmarkStart w:id="65" w:name="_Toc437741283"/>
      <w:bookmarkStart w:id="66" w:name="_Toc523808909"/>
      <w:bookmarkStart w:id="67" w:name="_Toc535820253"/>
      <w:bookmarkStart w:id="68" w:name="_Toc113163935"/>
      <w:bookmarkStart w:id="69" w:name="_Toc113164023"/>
      <w:bookmarkStart w:id="70" w:name="_Toc200963351"/>
      <w:bookmarkStart w:id="71" w:name="_Toc159742703"/>
      <w:r>
        <w:rPr>
          <w:rStyle w:val="CharSectno"/>
        </w:rPr>
        <w:t>8</w:t>
      </w:r>
      <w:r>
        <w:rPr>
          <w:snapToGrid w:val="0"/>
        </w:rPr>
        <w:t>.</w:t>
      </w:r>
      <w:r>
        <w:rPr>
          <w:snapToGrid w:val="0"/>
        </w:rPr>
        <w:tab/>
        <w:t>Order</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Board </w:t>
      </w:r>
      <w:r>
        <w:rPr>
          <w:snapToGrid w:val="0"/>
          <w:vertAlign w:val="superscript"/>
        </w:rPr>
        <w:t>2</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if it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it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Heading5"/>
        <w:rPr>
          <w:snapToGrid w:val="0"/>
        </w:rPr>
      </w:pPr>
      <w:bookmarkStart w:id="72" w:name="_Toc437413707"/>
      <w:bookmarkStart w:id="73" w:name="_Toc437741284"/>
      <w:bookmarkStart w:id="74" w:name="_Toc523808910"/>
      <w:bookmarkStart w:id="75" w:name="_Toc535820254"/>
      <w:bookmarkStart w:id="76" w:name="_Toc113163936"/>
      <w:bookmarkStart w:id="77" w:name="_Toc113164024"/>
      <w:bookmarkStart w:id="78" w:name="_Toc200963352"/>
      <w:bookmarkStart w:id="79" w:name="_Toc159742704"/>
      <w:r>
        <w:rPr>
          <w:rStyle w:val="CharSectno"/>
        </w:rPr>
        <w:t>9</w:t>
      </w:r>
      <w:r>
        <w:rPr>
          <w:snapToGrid w:val="0"/>
        </w:rPr>
        <w:t>.</w:t>
      </w:r>
      <w:r>
        <w:rPr>
          <w:snapToGrid w:val="0"/>
        </w:rPr>
        <w:tab/>
        <w:t>Erection of barriers, signs and other equipment</w:t>
      </w:r>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 road closure ordered by the Board </w:t>
      </w:r>
      <w:r>
        <w:rPr>
          <w:snapToGrid w:val="0"/>
          <w:vertAlign w:val="superscript"/>
        </w:rPr>
        <w:t>2</w:t>
      </w:r>
      <w:r>
        <w:rPr>
          <w:snapToGrid w:val="0"/>
        </w:rPr>
        <w:t xml:space="preserve">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on 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Heading5"/>
        <w:rPr>
          <w:snapToGrid w:val="0"/>
        </w:rPr>
      </w:pPr>
      <w:bookmarkStart w:id="80" w:name="_Toc437413708"/>
      <w:bookmarkStart w:id="81" w:name="_Toc437741285"/>
      <w:bookmarkStart w:id="82" w:name="_Toc523808911"/>
      <w:bookmarkStart w:id="83" w:name="_Toc535820255"/>
      <w:bookmarkStart w:id="84" w:name="_Toc113163937"/>
      <w:bookmarkStart w:id="85" w:name="_Toc113164025"/>
      <w:bookmarkStart w:id="86" w:name="_Toc200963353"/>
      <w:bookmarkStart w:id="87" w:name="_Toc159742705"/>
      <w:r>
        <w:rPr>
          <w:rStyle w:val="CharSectno"/>
        </w:rPr>
        <w:t>10</w:t>
      </w:r>
      <w:r>
        <w:rPr>
          <w:snapToGrid w:val="0"/>
        </w:rPr>
        <w:t>.</w:t>
      </w:r>
      <w:r>
        <w:rPr>
          <w:snapToGrid w:val="0"/>
        </w:rPr>
        <w:tab/>
        <w:t>Offences</w:t>
      </w:r>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8" w:name="_Toc113163938"/>
      <w:bookmarkStart w:id="89" w:name="_Toc113164026"/>
      <w:bookmarkStart w:id="90" w:name="_Toc139172578"/>
      <w:bookmarkStart w:id="91" w:name="_Toc139344729"/>
      <w:bookmarkStart w:id="92" w:name="_Toc152736111"/>
      <w:bookmarkStart w:id="93" w:name="_Toc156112982"/>
      <w:bookmarkStart w:id="94" w:name="_Toc156116566"/>
      <w:bookmarkStart w:id="95" w:name="_Toc157231483"/>
      <w:bookmarkStart w:id="96" w:name="_Toc159742706"/>
      <w:bookmarkStart w:id="97" w:name="_Toc200952867"/>
      <w:bookmarkStart w:id="98" w:name="_Toc200963354"/>
      <w:r>
        <w:rPr>
          <w:rStyle w:val="CharSchNo"/>
        </w:rPr>
        <w:t>Schedule 1</w:t>
      </w:r>
      <w:bookmarkEnd w:id="88"/>
      <w:bookmarkEnd w:id="89"/>
      <w:bookmarkEnd w:id="90"/>
      <w:bookmarkEnd w:id="91"/>
      <w:bookmarkEnd w:id="92"/>
      <w:bookmarkEnd w:id="93"/>
      <w:bookmarkEnd w:id="94"/>
      <w:bookmarkEnd w:id="95"/>
      <w:bookmarkEnd w:id="96"/>
      <w:bookmarkEnd w:id="97"/>
      <w:bookmarkEnd w:id="98"/>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i/>
          <w:iCs/>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tabs>
          <w:tab w:val="clear" w:pos="893"/>
        </w:tabs>
        <w:ind w:left="0" w:firstLine="0"/>
      </w:pPr>
      <w:r>
        <w:tab/>
        <w:t>[Form 1 inserted in Gazette 22 Feb 1991 p. 909</w:t>
      </w:r>
      <w:r>
        <w:noBreakHyphen/>
        <w:t>11.]</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Ednoteschedule"/>
      </w:pPr>
      <w:r>
        <w:t>[Schedule 2 repealed in Gazette 28 Nov 2006 p. 4913.]</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9" w:name="_Toc76543397"/>
      <w:bookmarkStart w:id="100" w:name="_Toc113163940"/>
      <w:bookmarkStart w:id="101" w:name="_Toc113164028"/>
      <w:bookmarkStart w:id="102" w:name="_Toc139172581"/>
      <w:bookmarkStart w:id="103" w:name="_Toc139344731"/>
      <w:bookmarkStart w:id="104" w:name="_Toc152736112"/>
      <w:bookmarkStart w:id="105" w:name="_Toc156112983"/>
      <w:bookmarkStart w:id="106" w:name="_Toc156116567"/>
      <w:bookmarkStart w:id="107" w:name="_Toc157231484"/>
      <w:bookmarkStart w:id="108" w:name="_Toc159742707"/>
      <w:bookmarkStart w:id="109" w:name="_Toc200952868"/>
      <w:bookmarkStart w:id="110" w:name="_Toc200963355"/>
      <w:r>
        <w:t>Notes</w:t>
      </w:r>
      <w:bookmarkEnd w:id="99"/>
      <w:bookmarkEnd w:id="100"/>
      <w:bookmarkEnd w:id="101"/>
      <w:bookmarkEnd w:id="102"/>
      <w:bookmarkEnd w:id="103"/>
      <w:bookmarkEnd w:id="104"/>
      <w:bookmarkEnd w:id="105"/>
      <w:bookmarkEnd w:id="106"/>
      <w:bookmarkEnd w:id="107"/>
      <w:bookmarkEnd w:id="108"/>
      <w:bookmarkEnd w:id="109"/>
      <w:bookmarkEnd w:id="110"/>
    </w:p>
    <w:p>
      <w:pPr>
        <w:pStyle w:val="nSubsection"/>
        <w:rPr>
          <w:snapToGrid w:val="0"/>
        </w:rPr>
      </w:pPr>
      <w:r>
        <w:rPr>
          <w:snapToGrid w:val="0"/>
          <w:vertAlign w:val="superscript"/>
        </w:rPr>
        <w:t>1</w:t>
      </w:r>
      <w:r>
        <w:rPr>
          <w:snapToGrid w:val="0"/>
        </w:rPr>
        <w:tab/>
        <w:t xml:space="preserve">This </w:t>
      </w:r>
      <w:del w:id="111" w:author="Master Repository Process" w:date="2021-09-12T09:36:00Z">
        <w:r>
          <w:rPr>
            <w:snapToGrid w:val="0"/>
          </w:rPr>
          <w:delText xml:space="preserve">reprint </w:delText>
        </w:r>
      </w:del>
      <w:r>
        <w:rPr>
          <w:snapToGrid w:val="0"/>
        </w:rPr>
        <w:t>is a compilation</w:t>
      </w:r>
      <w:del w:id="112" w:author="Master Repository Process" w:date="2021-09-12T09:36:00Z">
        <w:r>
          <w:rPr>
            <w:snapToGrid w:val="0"/>
          </w:rPr>
          <w:delText xml:space="preserve"> as at 2 February 2007</w:delText>
        </w:r>
      </w:del>
      <w:r>
        <w:rPr>
          <w:snapToGrid w:val="0"/>
        </w:rPr>
        <w:t xml:space="preserve"> of the </w:t>
      </w:r>
      <w:r>
        <w:rPr>
          <w:i/>
          <w:noProof/>
          <w:snapToGrid w:val="0"/>
        </w:rPr>
        <w:t>Road Traffic (Events on Roads) Regulations 1991</w:t>
      </w:r>
      <w:r>
        <w:rPr>
          <w:snapToGrid w:val="0"/>
        </w:rPr>
        <w:t xml:space="preserve"> and includes the amendments made by the other written laws referred to in the following table</w:t>
      </w:r>
      <w:ins w:id="113" w:author="Master Repository Process" w:date="2021-09-12T09:36: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14" w:name="_Toc200963356"/>
      <w:bookmarkStart w:id="115" w:name="_Toc159742708"/>
      <w:r>
        <w:rPr>
          <w:snapToGrid w:val="0"/>
        </w:rPr>
        <w:t>Compilation table</w:t>
      </w:r>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80" w:after="60"/>
              <w:ind w:right="113"/>
              <w:rPr>
                <w:sz w:val="19"/>
              </w:rPr>
            </w:pPr>
            <w:r>
              <w:rPr>
                <w:i/>
                <w:sz w:val="19"/>
              </w:rPr>
              <w:t>Road Traffic (Events on Roads) Regulations 1991</w:t>
            </w:r>
          </w:p>
        </w:tc>
        <w:tc>
          <w:tcPr>
            <w:tcW w:w="1276" w:type="dxa"/>
            <w:tcBorders>
              <w:top w:val="single" w:sz="8" w:space="0" w:color="auto"/>
            </w:tcBorders>
          </w:tcPr>
          <w:p>
            <w:pPr>
              <w:pStyle w:val="nTable"/>
              <w:spacing w:before="80" w:after="60"/>
              <w:rPr>
                <w:sz w:val="19"/>
              </w:rPr>
            </w:pPr>
            <w:r>
              <w:rPr>
                <w:sz w:val="19"/>
              </w:rPr>
              <w:t>1 Feb 1991 p. 549</w:t>
            </w:r>
            <w:r>
              <w:rPr>
                <w:sz w:val="19"/>
              </w:rPr>
              <w:noBreakHyphen/>
              <w:t>54</w:t>
            </w:r>
          </w:p>
        </w:tc>
        <w:tc>
          <w:tcPr>
            <w:tcW w:w="2693" w:type="dxa"/>
            <w:tcBorders>
              <w:top w:val="single" w:sz="8" w:space="0" w:color="auto"/>
            </w:tcBorders>
          </w:tcPr>
          <w:p>
            <w:pPr>
              <w:pStyle w:val="nTable"/>
              <w:spacing w:before="80" w:after="60"/>
              <w:rPr>
                <w:sz w:val="19"/>
              </w:rPr>
            </w:pPr>
            <w:r>
              <w:rPr>
                <w:sz w:val="19"/>
              </w:rPr>
              <w:t xml:space="preserve">1 Feb 1991 (see r. 2 and </w:t>
            </w:r>
            <w:r>
              <w:rPr>
                <w:i/>
                <w:sz w:val="19"/>
              </w:rPr>
              <w:t>Gazette</w:t>
            </w:r>
            <w:r>
              <w:rPr>
                <w:sz w:val="19"/>
              </w:rPr>
              <w:t xml:space="preserve"> 1 Feb 1991 p. 511)</w:t>
            </w:r>
          </w:p>
        </w:tc>
      </w:tr>
      <w:tr>
        <w:trPr>
          <w:cantSplit/>
        </w:trPr>
        <w:tc>
          <w:tcPr>
            <w:tcW w:w="3119" w:type="dxa"/>
          </w:tcPr>
          <w:p>
            <w:pPr>
              <w:pStyle w:val="nTable"/>
              <w:spacing w:before="80" w:after="60"/>
              <w:ind w:right="113"/>
              <w:rPr>
                <w:sz w:val="19"/>
              </w:rPr>
            </w:pPr>
            <w:r>
              <w:rPr>
                <w:i/>
                <w:sz w:val="19"/>
              </w:rPr>
              <w:t>Road Traffic (Events on Roads) Amendment Regulations 1991</w:t>
            </w:r>
          </w:p>
        </w:tc>
        <w:tc>
          <w:tcPr>
            <w:tcW w:w="1276" w:type="dxa"/>
          </w:tcPr>
          <w:p>
            <w:pPr>
              <w:pStyle w:val="nTable"/>
              <w:spacing w:before="80" w:after="60"/>
              <w:rPr>
                <w:sz w:val="19"/>
              </w:rPr>
            </w:pPr>
            <w:r>
              <w:rPr>
                <w:sz w:val="19"/>
              </w:rPr>
              <w:t>22 Feb 1991 p. 909</w:t>
            </w:r>
            <w:r>
              <w:rPr>
                <w:sz w:val="19"/>
              </w:rPr>
              <w:noBreakHyphen/>
              <w:t>11</w:t>
            </w:r>
          </w:p>
        </w:tc>
        <w:tc>
          <w:tcPr>
            <w:tcW w:w="2693" w:type="dxa"/>
          </w:tcPr>
          <w:p>
            <w:pPr>
              <w:pStyle w:val="nTable"/>
              <w:spacing w:before="80" w:after="60"/>
              <w:rPr>
                <w:sz w:val="19"/>
              </w:rPr>
            </w:pPr>
            <w:r>
              <w:rPr>
                <w:sz w:val="19"/>
              </w:rPr>
              <w:t>22 Feb 1991</w:t>
            </w:r>
          </w:p>
        </w:tc>
      </w:tr>
      <w:tr>
        <w:trPr>
          <w:cantSplit/>
        </w:trPr>
        <w:tc>
          <w:tcPr>
            <w:tcW w:w="3119" w:type="dxa"/>
          </w:tcPr>
          <w:p>
            <w:pPr>
              <w:pStyle w:val="nTable"/>
              <w:spacing w:before="80" w:after="60"/>
              <w:ind w:right="113"/>
              <w:rPr>
                <w:sz w:val="19"/>
              </w:rPr>
            </w:pPr>
            <w:r>
              <w:rPr>
                <w:i/>
                <w:sz w:val="19"/>
              </w:rPr>
              <w:t>Road Traffic (Events on Roads) Amendment Regulations 1997</w:t>
            </w:r>
          </w:p>
        </w:tc>
        <w:tc>
          <w:tcPr>
            <w:tcW w:w="1276" w:type="dxa"/>
          </w:tcPr>
          <w:p>
            <w:pPr>
              <w:pStyle w:val="nTable"/>
              <w:spacing w:before="80" w:after="60"/>
              <w:rPr>
                <w:sz w:val="19"/>
              </w:rPr>
            </w:pPr>
            <w:r>
              <w:rPr>
                <w:sz w:val="19"/>
              </w:rPr>
              <w:t>23 Dec 1997 p. 7440</w:t>
            </w:r>
          </w:p>
        </w:tc>
        <w:tc>
          <w:tcPr>
            <w:tcW w:w="2693" w:type="dxa"/>
          </w:tcPr>
          <w:p>
            <w:pPr>
              <w:pStyle w:val="nTable"/>
              <w:spacing w:before="80" w:after="6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before="80" w:after="60"/>
              <w:ind w:right="113"/>
              <w:rPr>
                <w:sz w:val="19"/>
              </w:rPr>
            </w:pPr>
            <w:r>
              <w:rPr>
                <w:i/>
                <w:sz w:val="19"/>
              </w:rPr>
              <w:t>Road Traffic (Events on Roads) Amendment Regulations 1998</w:t>
            </w:r>
          </w:p>
        </w:tc>
        <w:tc>
          <w:tcPr>
            <w:tcW w:w="1276" w:type="dxa"/>
          </w:tcPr>
          <w:p>
            <w:pPr>
              <w:pStyle w:val="nTable"/>
              <w:spacing w:before="80" w:after="60"/>
              <w:rPr>
                <w:sz w:val="19"/>
              </w:rPr>
            </w:pPr>
            <w:r>
              <w:rPr>
                <w:sz w:val="19"/>
              </w:rPr>
              <w:t>23 Jun 1998 p. 3344</w:t>
            </w:r>
            <w:r>
              <w:rPr>
                <w:sz w:val="19"/>
              </w:rPr>
              <w:noBreakHyphen/>
              <w:t>5</w:t>
            </w:r>
          </w:p>
        </w:tc>
        <w:tc>
          <w:tcPr>
            <w:tcW w:w="2693" w:type="dxa"/>
          </w:tcPr>
          <w:p>
            <w:pPr>
              <w:pStyle w:val="nTable"/>
              <w:spacing w:before="80" w:after="60"/>
              <w:rPr>
                <w:sz w:val="19"/>
              </w:rPr>
            </w:pPr>
            <w:r>
              <w:rPr>
                <w:sz w:val="19"/>
              </w:rPr>
              <w:t>1 Jul 1998 (see r. 2)</w:t>
            </w:r>
          </w:p>
        </w:tc>
      </w:tr>
      <w:tr>
        <w:trPr>
          <w:cantSplit/>
        </w:trPr>
        <w:tc>
          <w:tcPr>
            <w:tcW w:w="3119" w:type="dxa"/>
          </w:tcPr>
          <w:p>
            <w:pPr>
              <w:pStyle w:val="nTable"/>
              <w:spacing w:before="80" w:after="60"/>
              <w:ind w:right="113"/>
              <w:rPr>
                <w:i/>
                <w:sz w:val="19"/>
              </w:rPr>
            </w:pPr>
            <w:r>
              <w:rPr>
                <w:i/>
                <w:sz w:val="19"/>
              </w:rPr>
              <w:t>Road Traffic (Events on Roads) Amendment Regulations 2000</w:t>
            </w:r>
          </w:p>
        </w:tc>
        <w:tc>
          <w:tcPr>
            <w:tcW w:w="1276" w:type="dxa"/>
          </w:tcPr>
          <w:p>
            <w:pPr>
              <w:pStyle w:val="nTable"/>
              <w:spacing w:before="80" w:after="60"/>
              <w:rPr>
                <w:sz w:val="19"/>
              </w:rPr>
            </w:pPr>
            <w:r>
              <w:rPr>
                <w:sz w:val="19"/>
              </w:rPr>
              <w:t>20 Jun 2000 p. 3075</w:t>
            </w:r>
            <w:r>
              <w:rPr>
                <w:sz w:val="19"/>
              </w:rPr>
              <w:noBreakHyphen/>
              <w:t>6</w:t>
            </w:r>
          </w:p>
        </w:tc>
        <w:tc>
          <w:tcPr>
            <w:tcW w:w="2693" w:type="dxa"/>
          </w:tcPr>
          <w:p>
            <w:pPr>
              <w:pStyle w:val="nTable"/>
              <w:spacing w:before="80" w:after="60"/>
              <w:rPr>
                <w:sz w:val="19"/>
              </w:rPr>
            </w:pPr>
            <w:r>
              <w:rPr>
                <w:sz w:val="19"/>
              </w:rPr>
              <w:t>1 Jul 2000 (see r. 2)</w:t>
            </w:r>
          </w:p>
        </w:tc>
      </w:tr>
      <w:tr>
        <w:trPr>
          <w:cantSplit/>
        </w:trPr>
        <w:tc>
          <w:tcPr>
            <w:tcW w:w="3119" w:type="dxa"/>
          </w:tcPr>
          <w:p>
            <w:pPr>
              <w:pStyle w:val="nTable"/>
              <w:spacing w:before="80" w:after="60"/>
              <w:ind w:right="113"/>
              <w:rPr>
                <w:i/>
                <w:sz w:val="19"/>
              </w:rPr>
            </w:pPr>
            <w:r>
              <w:rPr>
                <w:i/>
                <w:sz w:val="19"/>
              </w:rPr>
              <w:t>Road Traffic (Events on Roads) Amendment Regulations 2001</w:t>
            </w:r>
          </w:p>
        </w:tc>
        <w:tc>
          <w:tcPr>
            <w:tcW w:w="1276" w:type="dxa"/>
          </w:tcPr>
          <w:p>
            <w:pPr>
              <w:pStyle w:val="nTable"/>
              <w:spacing w:before="80" w:after="60"/>
              <w:rPr>
                <w:sz w:val="19"/>
              </w:rPr>
            </w:pPr>
            <w:r>
              <w:rPr>
                <w:sz w:val="19"/>
              </w:rPr>
              <w:t>31 Aug 2001 p. 4887</w:t>
            </w:r>
          </w:p>
        </w:tc>
        <w:tc>
          <w:tcPr>
            <w:tcW w:w="2693" w:type="dxa"/>
          </w:tcPr>
          <w:p>
            <w:pPr>
              <w:pStyle w:val="nTable"/>
              <w:spacing w:before="80" w:after="60"/>
              <w:rPr>
                <w:sz w:val="19"/>
              </w:rPr>
            </w:pPr>
            <w:r>
              <w:rPr>
                <w:sz w:val="19"/>
              </w:rPr>
              <w:t>31 Aug 2001</w:t>
            </w:r>
          </w:p>
        </w:tc>
      </w:tr>
      <w:tr>
        <w:trPr>
          <w:cantSplit/>
        </w:trPr>
        <w:tc>
          <w:tcPr>
            <w:tcW w:w="7088" w:type="dxa"/>
            <w:gridSpan w:val="3"/>
          </w:tcPr>
          <w:p>
            <w:pPr>
              <w:pStyle w:val="nTable"/>
              <w:spacing w:before="80" w:after="6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trPr>
          <w:cantSplit/>
        </w:trPr>
        <w:tc>
          <w:tcPr>
            <w:tcW w:w="3119" w:type="dxa"/>
          </w:tcPr>
          <w:p>
            <w:pPr>
              <w:pStyle w:val="nTable"/>
              <w:spacing w:before="80" w:after="60"/>
              <w:ind w:right="113"/>
              <w:rPr>
                <w:i/>
                <w:sz w:val="19"/>
              </w:rPr>
            </w:pPr>
            <w:r>
              <w:rPr>
                <w:i/>
                <w:sz w:val="19"/>
              </w:rPr>
              <w:t>Road Traffic (Events on Roads) Amendment Regulations 2002</w:t>
            </w:r>
          </w:p>
        </w:tc>
        <w:tc>
          <w:tcPr>
            <w:tcW w:w="1276" w:type="dxa"/>
          </w:tcPr>
          <w:p>
            <w:pPr>
              <w:pStyle w:val="nTable"/>
              <w:spacing w:before="80" w:after="60"/>
              <w:ind w:right="113"/>
              <w:rPr>
                <w:sz w:val="19"/>
              </w:rPr>
            </w:pPr>
            <w:r>
              <w:rPr>
                <w:sz w:val="19"/>
              </w:rPr>
              <w:t>28 Jun 2002 p. 3112-13</w:t>
            </w:r>
          </w:p>
        </w:tc>
        <w:tc>
          <w:tcPr>
            <w:tcW w:w="2693" w:type="dxa"/>
          </w:tcPr>
          <w:p>
            <w:pPr>
              <w:pStyle w:val="nTable"/>
              <w:spacing w:before="80" w:after="60"/>
              <w:ind w:right="113"/>
              <w:rPr>
                <w:sz w:val="19"/>
              </w:rPr>
            </w:pPr>
            <w:r>
              <w:rPr>
                <w:sz w:val="19"/>
              </w:rPr>
              <w:t>1 Jul 2002 (see r. 2)</w:t>
            </w:r>
          </w:p>
        </w:tc>
      </w:tr>
      <w:tr>
        <w:trPr>
          <w:cantSplit/>
        </w:trPr>
        <w:tc>
          <w:tcPr>
            <w:tcW w:w="3119" w:type="dxa"/>
          </w:tcPr>
          <w:p>
            <w:pPr>
              <w:pStyle w:val="nTable"/>
              <w:spacing w:before="80" w:after="60"/>
              <w:ind w:right="113"/>
              <w:rPr>
                <w:i/>
                <w:sz w:val="19"/>
              </w:rPr>
            </w:pPr>
            <w:r>
              <w:rPr>
                <w:i/>
                <w:sz w:val="19"/>
              </w:rPr>
              <w:t>Road Traffic (Events on Roads) Amendment Regulations 2003</w:t>
            </w:r>
          </w:p>
        </w:tc>
        <w:tc>
          <w:tcPr>
            <w:tcW w:w="1276" w:type="dxa"/>
          </w:tcPr>
          <w:p>
            <w:pPr>
              <w:pStyle w:val="nTable"/>
              <w:spacing w:before="80" w:after="60"/>
              <w:ind w:right="113"/>
              <w:rPr>
                <w:sz w:val="19"/>
              </w:rPr>
            </w:pPr>
            <w:r>
              <w:rPr>
                <w:sz w:val="19"/>
              </w:rPr>
              <w:t>27 Jun 2003 p. 2527</w:t>
            </w:r>
          </w:p>
        </w:tc>
        <w:tc>
          <w:tcPr>
            <w:tcW w:w="2693" w:type="dxa"/>
          </w:tcPr>
          <w:p>
            <w:pPr>
              <w:pStyle w:val="nTable"/>
              <w:spacing w:before="80" w:after="60"/>
              <w:ind w:right="113"/>
              <w:rPr>
                <w:sz w:val="19"/>
              </w:rPr>
            </w:pPr>
            <w:r>
              <w:rPr>
                <w:sz w:val="19"/>
              </w:rPr>
              <w:t>1 Jul 2003 (see r. 2)</w:t>
            </w:r>
          </w:p>
        </w:tc>
      </w:tr>
      <w:tr>
        <w:trPr>
          <w:cantSplit/>
        </w:trPr>
        <w:tc>
          <w:tcPr>
            <w:tcW w:w="3119" w:type="dxa"/>
          </w:tcPr>
          <w:p>
            <w:pPr>
              <w:pStyle w:val="nTable"/>
              <w:spacing w:before="80" w:after="60"/>
              <w:ind w:right="113"/>
              <w:rPr>
                <w:i/>
                <w:sz w:val="19"/>
              </w:rPr>
            </w:pPr>
            <w:r>
              <w:rPr>
                <w:i/>
                <w:sz w:val="19"/>
              </w:rPr>
              <w:t>Road Traffic (Events on Roads) Amendment Regulations 2004</w:t>
            </w:r>
          </w:p>
        </w:tc>
        <w:tc>
          <w:tcPr>
            <w:tcW w:w="1276" w:type="dxa"/>
          </w:tcPr>
          <w:p>
            <w:pPr>
              <w:pStyle w:val="nTable"/>
              <w:spacing w:before="80" w:after="60"/>
              <w:ind w:right="113"/>
              <w:rPr>
                <w:sz w:val="19"/>
              </w:rPr>
            </w:pPr>
            <w:r>
              <w:rPr>
                <w:sz w:val="19"/>
              </w:rPr>
              <w:t>25 Jun 2004 p. 2249</w:t>
            </w:r>
            <w:r>
              <w:rPr>
                <w:sz w:val="19"/>
              </w:rPr>
              <w:noBreakHyphen/>
              <w:t>50</w:t>
            </w:r>
          </w:p>
        </w:tc>
        <w:tc>
          <w:tcPr>
            <w:tcW w:w="2693" w:type="dxa"/>
          </w:tcPr>
          <w:p>
            <w:pPr>
              <w:pStyle w:val="nTable"/>
              <w:spacing w:before="80" w:after="60"/>
              <w:ind w:right="113"/>
              <w:rPr>
                <w:sz w:val="19"/>
              </w:rPr>
            </w:pPr>
            <w:r>
              <w:rPr>
                <w:sz w:val="19"/>
              </w:rPr>
              <w:t>1 Jul 2004 (see r. 2)</w:t>
            </w:r>
          </w:p>
        </w:tc>
      </w:tr>
      <w:tr>
        <w:trPr>
          <w:cantSplit/>
        </w:trPr>
        <w:tc>
          <w:tcPr>
            <w:tcW w:w="3119" w:type="dxa"/>
          </w:tcPr>
          <w:p>
            <w:pPr>
              <w:pStyle w:val="nTable"/>
              <w:spacing w:before="80" w:after="60"/>
              <w:ind w:right="113"/>
              <w:rPr>
                <w:i/>
                <w:sz w:val="19"/>
              </w:rPr>
            </w:pPr>
            <w:r>
              <w:rPr>
                <w:i/>
                <w:sz w:val="19"/>
              </w:rPr>
              <w:t>Road Traffic (Events on Roads) Amendment Regulations 2005</w:t>
            </w:r>
          </w:p>
        </w:tc>
        <w:tc>
          <w:tcPr>
            <w:tcW w:w="1276" w:type="dxa"/>
          </w:tcPr>
          <w:p>
            <w:pPr>
              <w:pStyle w:val="nTable"/>
              <w:spacing w:before="80" w:after="60"/>
              <w:ind w:right="113"/>
              <w:rPr>
                <w:sz w:val="19"/>
              </w:rPr>
            </w:pPr>
            <w:r>
              <w:rPr>
                <w:sz w:val="19"/>
              </w:rPr>
              <w:t>30 Aug 2005 p. 4056</w:t>
            </w:r>
          </w:p>
        </w:tc>
        <w:tc>
          <w:tcPr>
            <w:tcW w:w="2693" w:type="dxa"/>
          </w:tcPr>
          <w:p>
            <w:pPr>
              <w:pStyle w:val="nTable"/>
              <w:spacing w:before="80" w:after="60"/>
              <w:ind w:right="113"/>
              <w:rPr>
                <w:sz w:val="19"/>
              </w:rPr>
            </w:pPr>
            <w:r>
              <w:rPr>
                <w:sz w:val="19"/>
              </w:rPr>
              <w:t>30 Aug 2005</w:t>
            </w:r>
          </w:p>
        </w:tc>
      </w:tr>
      <w:tr>
        <w:trPr>
          <w:cantSplit/>
        </w:trPr>
        <w:tc>
          <w:tcPr>
            <w:tcW w:w="3119" w:type="dxa"/>
          </w:tcPr>
          <w:p>
            <w:pPr>
              <w:pStyle w:val="nTable"/>
              <w:spacing w:before="80" w:after="60"/>
              <w:ind w:right="113"/>
              <w:rPr>
                <w:i/>
                <w:sz w:val="19"/>
              </w:rPr>
            </w:pPr>
            <w:r>
              <w:rPr>
                <w:i/>
                <w:sz w:val="19"/>
              </w:rPr>
              <w:t>Road Traffic (Events on Roads) Amendment Regulations (No. 2) 2006</w:t>
            </w:r>
          </w:p>
        </w:tc>
        <w:tc>
          <w:tcPr>
            <w:tcW w:w="1276" w:type="dxa"/>
          </w:tcPr>
          <w:p>
            <w:pPr>
              <w:pStyle w:val="nTable"/>
              <w:spacing w:before="80" w:after="60"/>
              <w:ind w:right="113"/>
              <w:rPr>
                <w:sz w:val="19"/>
              </w:rPr>
            </w:pPr>
            <w:r>
              <w:rPr>
                <w:sz w:val="19"/>
              </w:rPr>
              <w:t>23 Jun 2006 p. 2224</w:t>
            </w:r>
            <w:r>
              <w:rPr>
                <w:sz w:val="19"/>
              </w:rPr>
              <w:noBreakHyphen/>
              <w:t>5</w:t>
            </w:r>
          </w:p>
        </w:tc>
        <w:tc>
          <w:tcPr>
            <w:tcW w:w="2693" w:type="dxa"/>
          </w:tcPr>
          <w:p>
            <w:pPr>
              <w:pStyle w:val="nTable"/>
              <w:spacing w:before="80" w:after="60"/>
              <w:ind w:right="113"/>
              <w:rPr>
                <w:sz w:val="19"/>
              </w:rPr>
            </w:pPr>
            <w:r>
              <w:rPr>
                <w:sz w:val="19"/>
              </w:rPr>
              <w:t>1 Jul 2006 (see r. 2)</w:t>
            </w:r>
          </w:p>
        </w:tc>
      </w:tr>
      <w:tr>
        <w:trPr>
          <w:cantSplit/>
        </w:trPr>
        <w:tc>
          <w:tcPr>
            <w:tcW w:w="3119" w:type="dxa"/>
          </w:tcPr>
          <w:p>
            <w:pPr>
              <w:pStyle w:val="nTable"/>
              <w:spacing w:before="80" w:after="60"/>
              <w:ind w:right="113"/>
              <w:rPr>
                <w:i/>
                <w:sz w:val="19"/>
              </w:rPr>
            </w:pPr>
            <w:r>
              <w:rPr>
                <w:i/>
                <w:sz w:val="19"/>
              </w:rPr>
              <w:t>Road Traffic (Events on Roads) Amendment Regulations 2006</w:t>
            </w:r>
          </w:p>
        </w:tc>
        <w:tc>
          <w:tcPr>
            <w:tcW w:w="1276" w:type="dxa"/>
          </w:tcPr>
          <w:p>
            <w:pPr>
              <w:pStyle w:val="nTable"/>
              <w:spacing w:before="80" w:after="60"/>
              <w:ind w:right="113"/>
              <w:rPr>
                <w:sz w:val="19"/>
              </w:rPr>
            </w:pPr>
            <w:r>
              <w:rPr>
                <w:sz w:val="19"/>
              </w:rPr>
              <w:t>28 Nov 2006 p. 4912</w:t>
            </w:r>
            <w:r>
              <w:rPr>
                <w:sz w:val="19"/>
              </w:rPr>
              <w:noBreakHyphen/>
              <w:t>13</w:t>
            </w:r>
          </w:p>
        </w:tc>
        <w:tc>
          <w:tcPr>
            <w:tcW w:w="2693" w:type="dxa"/>
          </w:tcPr>
          <w:p>
            <w:pPr>
              <w:pStyle w:val="nTable"/>
              <w:spacing w:before="80" w:after="60"/>
              <w:ind w:right="113"/>
              <w:rPr>
                <w:sz w:val="19"/>
              </w:rPr>
            </w:pPr>
            <w:r>
              <w:rPr>
                <w:sz w:val="19"/>
              </w:rPr>
              <w:t xml:space="preserve">4 Dec 2006 (see r. 2 and </w:t>
            </w:r>
            <w:r>
              <w:rPr>
                <w:i/>
                <w:iCs/>
                <w:sz w:val="19"/>
              </w:rPr>
              <w:t>Gazette</w:t>
            </w:r>
            <w:r>
              <w:rPr>
                <w:sz w:val="19"/>
              </w:rPr>
              <w:t xml:space="preserve"> 28 Nov 2006 p. 4889)</w:t>
            </w:r>
          </w:p>
        </w:tc>
      </w:tr>
      <w:tr>
        <w:trPr>
          <w:cantSplit/>
        </w:trPr>
        <w:tc>
          <w:tcPr>
            <w:tcW w:w="7088" w:type="dxa"/>
            <w:gridSpan w:val="3"/>
            <w:tcBorders>
              <w:bottom w:val="single" w:sz="8" w:space="0" w:color="auto"/>
            </w:tcBorders>
          </w:tcPr>
          <w:p>
            <w:pPr>
              <w:pStyle w:val="nTable"/>
              <w:spacing w:before="80" w:after="60"/>
              <w:ind w:right="113"/>
              <w:rPr>
                <w:sz w:val="19"/>
              </w:rPr>
            </w:pPr>
            <w:r>
              <w:rPr>
                <w:b/>
                <w:sz w:val="19"/>
              </w:rPr>
              <w:t xml:space="preserve">Reprint 2: The </w:t>
            </w:r>
            <w:r>
              <w:rPr>
                <w:b/>
                <w:i/>
                <w:sz w:val="19"/>
              </w:rPr>
              <w:t>Road Traffic (Events on Roads) Regulations 1991</w:t>
            </w:r>
            <w:r>
              <w:rPr>
                <w:b/>
                <w:sz w:val="19"/>
              </w:rPr>
              <w:t xml:space="preserve"> as at 2 Feb 2007</w:t>
            </w:r>
            <w:r>
              <w:rPr>
                <w:sz w:val="19"/>
              </w:rPr>
              <w:br/>
              <w:t>(includes amendments listed above)</w:t>
            </w:r>
          </w:p>
        </w:tc>
      </w:tr>
    </w:tbl>
    <w:p>
      <w:pPr>
        <w:pStyle w:val="nSubsection"/>
        <w:rPr>
          <w:ins w:id="116" w:author="Master Repository Process" w:date="2021-09-12T09:36:00Z"/>
          <w:snapToGrid w:val="0"/>
        </w:rPr>
      </w:pPr>
      <w:ins w:id="117" w:author="Master Repository Process" w:date="2021-09-12T09: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8" w:author="Master Repository Process" w:date="2021-09-12T09:36:00Z"/>
          <w:snapToGrid w:val="0"/>
        </w:rPr>
      </w:pPr>
      <w:bookmarkStart w:id="119" w:name="_Toc534778309"/>
      <w:bookmarkStart w:id="120" w:name="_Toc7405063"/>
      <w:bookmarkStart w:id="121" w:name="_Toc200963357"/>
      <w:ins w:id="122" w:author="Master Repository Process" w:date="2021-09-12T09:36:00Z">
        <w:r>
          <w:rPr>
            <w:snapToGrid w:val="0"/>
          </w:rPr>
          <w:t>Provisions that have not come into operation</w:t>
        </w:r>
        <w:bookmarkEnd w:id="119"/>
        <w:bookmarkEnd w:id="120"/>
        <w:bookmarkEnd w:id="12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23" w:author="Master Repository Process" w:date="2021-09-12T09:36:00Z"/>
        </w:trPr>
        <w:tc>
          <w:tcPr>
            <w:tcW w:w="3119" w:type="dxa"/>
            <w:tcBorders>
              <w:top w:val="single" w:sz="8" w:space="0" w:color="auto"/>
              <w:bottom w:val="single" w:sz="8" w:space="0" w:color="auto"/>
            </w:tcBorders>
          </w:tcPr>
          <w:p>
            <w:pPr>
              <w:pStyle w:val="nTable"/>
              <w:spacing w:after="40"/>
              <w:ind w:right="113"/>
              <w:rPr>
                <w:ins w:id="124" w:author="Master Repository Process" w:date="2021-09-12T09:36:00Z"/>
                <w:b/>
                <w:sz w:val="19"/>
              </w:rPr>
            </w:pPr>
            <w:ins w:id="125" w:author="Master Repository Process" w:date="2021-09-12T09:36:00Z">
              <w:r>
                <w:rPr>
                  <w:b/>
                  <w:sz w:val="19"/>
                </w:rPr>
                <w:t>Citation</w:t>
              </w:r>
            </w:ins>
          </w:p>
        </w:tc>
        <w:tc>
          <w:tcPr>
            <w:tcW w:w="1276" w:type="dxa"/>
            <w:tcBorders>
              <w:top w:val="single" w:sz="8" w:space="0" w:color="auto"/>
              <w:bottom w:val="single" w:sz="8" w:space="0" w:color="auto"/>
            </w:tcBorders>
          </w:tcPr>
          <w:p>
            <w:pPr>
              <w:pStyle w:val="nTable"/>
              <w:spacing w:after="40"/>
              <w:rPr>
                <w:ins w:id="126" w:author="Master Repository Process" w:date="2021-09-12T09:36:00Z"/>
                <w:b/>
                <w:sz w:val="19"/>
              </w:rPr>
            </w:pPr>
            <w:ins w:id="127" w:author="Master Repository Process" w:date="2021-09-12T09:36:00Z">
              <w:r>
                <w:rPr>
                  <w:b/>
                  <w:sz w:val="19"/>
                </w:rPr>
                <w:t>Gazettal</w:t>
              </w:r>
            </w:ins>
          </w:p>
        </w:tc>
        <w:tc>
          <w:tcPr>
            <w:tcW w:w="2693" w:type="dxa"/>
            <w:tcBorders>
              <w:top w:val="single" w:sz="8" w:space="0" w:color="auto"/>
              <w:bottom w:val="single" w:sz="8" w:space="0" w:color="auto"/>
            </w:tcBorders>
          </w:tcPr>
          <w:p>
            <w:pPr>
              <w:pStyle w:val="nTable"/>
              <w:spacing w:after="40"/>
              <w:rPr>
                <w:ins w:id="128" w:author="Master Repository Process" w:date="2021-09-12T09:36:00Z"/>
                <w:b/>
                <w:sz w:val="19"/>
              </w:rPr>
            </w:pPr>
            <w:ins w:id="129" w:author="Master Repository Process" w:date="2021-09-12T09:36:00Z">
              <w:r>
                <w:rPr>
                  <w:b/>
                  <w:sz w:val="19"/>
                </w:rPr>
                <w:t>Commencement</w:t>
              </w:r>
            </w:ins>
          </w:p>
        </w:tc>
      </w:tr>
      <w:tr>
        <w:trPr>
          <w:cantSplit/>
          <w:ins w:id="130" w:author="Master Repository Process" w:date="2021-09-12T09:36:00Z"/>
        </w:trPr>
        <w:tc>
          <w:tcPr>
            <w:tcW w:w="3119" w:type="dxa"/>
            <w:tcBorders>
              <w:top w:val="single" w:sz="8" w:space="0" w:color="auto"/>
              <w:bottom w:val="single" w:sz="8" w:space="0" w:color="auto"/>
            </w:tcBorders>
          </w:tcPr>
          <w:p>
            <w:pPr>
              <w:pStyle w:val="nTable"/>
              <w:spacing w:before="80" w:after="60"/>
              <w:ind w:right="113"/>
              <w:rPr>
                <w:ins w:id="131" w:author="Master Repository Process" w:date="2021-09-12T09:36:00Z"/>
                <w:sz w:val="19"/>
              </w:rPr>
            </w:pPr>
            <w:ins w:id="132" w:author="Master Repository Process" w:date="2021-09-12T09:36:00Z">
              <w:r>
                <w:rPr>
                  <w:i/>
                  <w:sz w:val="19"/>
                </w:rPr>
                <w:t xml:space="preserve">Road Traffic Consequential Amendment Regulations 2008 </w:t>
              </w:r>
              <w:r>
                <w:rPr>
                  <w:iCs/>
                  <w:sz w:val="19"/>
                </w:rPr>
                <w:t xml:space="preserve">Pt. 3 </w:t>
              </w:r>
              <w:r>
                <w:rPr>
                  <w:iCs/>
                  <w:sz w:val="19"/>
                  <w:vertAlign w:val="superscript"/>
                </w:rPr>
                <w:t>3</w:t>
              </w:r>
            </w:ins>
          </w:p>
        </w:tc>
        <w:tc>
          <w:tcPr>
            <w:tcW w:w="1276" w:type="dxa"/>
            <w:tcBorders>
              <w:top w:val="single" w:sz="8" w:space="0" w:color="auto"/>
              <w:bottom w:val="single" w:sz="8" w:space="0" w:color="auto"/>
            </w:tcBorders>
          </w:tcPr>
          <w:p>
            <w:pPr>
              <w:pStyle w:val="nTable"/>
              <w:spacing w:before="80" w:after="60"/>
              <w:rPr>
                <w:ins w:id="133" w:author="Master Repository Process" w:date="2021-09-12T09:36:00Z"/>
                <w:sz w:val="19"/>
              </w:rPr>
            </w:pPr>
            <w:ins w:id="134" w:author="Master Repository Process" w:date="2021-09-12T09:36:00Z">
              <w:r>
                <w:rPr>
                  <w:sz w:val="19"/>
                </w:rPr>
                <w:t>10 Jun 2008 p. 2449-67</w:t>
              </w:r>
            </w:ins>
          </w:p>
        </w:tc>
        <w:tc>
          <w:tcPr>
            <w:tcW w:w="2693" w:type="dxa"/>
            <w:tcBorders>
              <w:top w:val="single" w:sz="8" w:space="0" w:color="auto"/>
              <w:bottom w:val="single" w:sz="8" w:space="0" w:color="auto"/>
            </w:tcBorders>
          </w:tcPr>
          <w:p>
            <w:pPr>
              <w:pStyle w:val="nTable"/>
              <w:spacing w:before="80" w:after="60"/>
              <w:rPr>
                <w:ins w:id="135" w:author="Master Repository Process" w:date="2021-09-12T09:36:00Z"/>
                <w:sz w:val="19"/>
              </w:rPr>
            </w:pPr>
            <w:ins w:id="136" w:author="Master Repository Process" w:date="2021-09-12T09:36:00Z">
              <w:r>
                <w:rPr>
                  <w:sz w:val="19"/>
                </w:rPr>
                <w:t xml:space="preserve">30 Jun 2008 (see r. 2(b) and </w:t>
              </w:r>
              <w:r>
                <w:rPr>
                  <w:i/>
                  <w:iCs/>
                  <w:sz w:val="19"/>
                </w:rPr>
                <w:t>Gazette</w:t>
              </w:r>
              <w:r>
                <w:rPr>
                  <w:sz w:val="19"/>
                </w:rPr>
                <w:t xml:space="preserve"> 10 Jun 2008 p. 2471)</w:t>
              </w:r>
            </w:ins>
          </w:p>
        </w:tc>
      </w:tr>
    </w:tbl>
    <w:p>
      <w:pPr>
        <w:pStyle w:val="nSubsection"/>
      </w:pPr>
      <w:r>
        <w:rPr>
          <w:vertAlign w:val="superscript"/>
        </w:rPr>
        <w:t>2</w:t>
      </w:r>
      <w:r>
        <w:rPr>
          <w:vertAlign w:val="superscript"/>
        </w:rPr>
        <w:tab/>
      </w:r>
      <w:r>
        <w:t xml:space="preserve">On commencement of the </w:t>
      </w:r>
      <w:r>
        <w:rPr>
          <w:i/>
          <w:iCs/>
        </w:rPr>
        <w:t>Road Traffic Amendment Act 1996</w:t>
      </w:r>
      <w:r>
        <w:t xml:space="preserve"> the Traffic Board ceased to exist. Under the </w:t>
      </w:r>
      <w:r>
        <w:rPr>
          <w:i/>
          <w:iCs/>
        </w:rPr>
        <w:t>Road Traffic Act 1974</w:t>
      </w:r>
      <w:r>
        <w:t xml:space="preserve"> Part VA, the responsibility for road closure orders rests with the Commissioner of Police.</w:t>
      </w:r>
    </w:p>
    <w:p>
      <w:pPr>
        <w:pStyle w:val="nSubsection"/>
        <w:rPr>
          <w:ins w:id="137" w:author="Master Repository Process" w:date="2021-09-12T09:36:00Z"/>
          <w:snapToGrid w:val="0"/>
        </w:rPr>
      </w:pPr>
      <w:ins w:id="138" w:author="Master Repository Process" w:date="2021-09-12T09:36:00Z">
        <w:r>
          <w:rPr>
            <w:snapToGrid w:val="0"/>
            <w:vertAlign w:val="superscript"/>
          </w:rPr>
          <w:t>3</w:t>
        </w:r>
        <w:r>
          <w:rPr>
            <w:snapToGrid w:val="0"/>
          </w:rPr>
          <w:tab/>
          <w:t xml:space="preserve">On the date as at which this compilation was prepared, the </w:t>
        </w:r>
        <w:r>
          <w:rPr>
            <w:i/>
          </w:rPr>
          <w:t xml:space="preserve">Road Traffic Consequential Amendment Regulations 2008 </w:t>
        </w:r>
        <w:r>
          <w:rPr>
            <w:iCs/>
          </w:rPr>
          <w:t>Pt. 3</w:t>
        </w:r>
        <w:r>
          <w:rPr>
            <w:snapToGrid w:val="0"/>
          </w:rPr>
          <w:t xml:space="preserve"> had not come into operation.  It reads as follows:</w:t>
        </w:r>
      </w:ins>
    </w:p>
    <w:p>
      <w:pPr>
        <w:pStyle w:val="MiscOpen"/>
        <w:rPr>
          <w:ins w:id="139" w:author="Master Repository Process" w:date="2021-09-12T09:36:00Z"/>
          <w:snapToGrid w:val="0"/>
        </w:rPr>
      </w:pPr>
      <w:ins w:id="140" w:author="Master Repository Process" w:date="2021-09-12T09:36:00Z">
        <w:r>
          <w:rPr>
            <w:snapToGrid w:val="0"/>
          </w:rPr>
          <w:t>“</w:t>
        </w:r>
      </w:ins>
    </w:p>
    <w:p>
      <w:pPr>
        <w:pStyle w:val="nzHeading2"/>
        <w:rPr>
          <w:ins w:id="141" w:author="Master Repository Process" w:date="2021-09-12T09:36:00Z"/>
        </w:rPr>
      </w:pPr>
      <w:bookmarkStart w:id="142" w:name="_Toc197158392"/>
      <w:bookmarkStart w:id="143" w:name="_Toc197158962"/>
      <w:bookmarkStart w:id="144" w:name="_Toc197164856"/>
      <w:bookmarkStart w:id="145" w:name="_Toc197504290"/>
      <w:bookmarkStart w:id="146" w:name="_Toc198979101"/>
      <w:bookmarkStart w:id="147" w:name="_Toc198979144"/>
      <w:bookmarkStart w:id="148" w:name="_Toc198979581"/>
      <w:bookmarkStart w:id="149" w:name="_Toc199055026"/>
      <w:bookmarkStart w:id="150" w:name="_Toc199055304"/>
      <w:bookmarkStart w:id="151" w:name="_Toc199056077"/>
      <w:bookmarkStart w:id="152" w:name="_Toc199056504"/>
      <w:bookmarkStart w:id="153" w:name="_Toc199056620"/>
      <w:bookmarkStart w:id="154" w:name="_Toc199057758"/>
      <w:bookmarkStart w:id="155" w:name="_Toc199061487"/>
      <w:bookmarkStart w:id="156" w:name="_Toc199062367"/>
      <w:bookmarkStart w:id="157" w:name="_Toc199063657"/>
      <w:bookmarkStart w:id="158" w:name="_Toc199063700"/>
      <w:bookmarkStart w:id="159" w:name="_Toc199065354"/>
      <w:bookmarkStart w:id="160" w:name="_Toc199065902"/>
      <w:bookmarkStart w:id="161" w:name="_Toc199065945"/>
      <w:bookmarkStart w:id="162" w:name="_Toc199065988"/>
      <w:bookmarkStart w:id="163" w:name="_Toc199066206"/>
      <w:ins w:id="164" w:author="Master Repository Process" w:date="2021-09-12T09:36:00Z">
        <w:r>
          <w:rPr>
            <w:rStyle w:val="CharPartNo"/>
          </w:rPr>
          <w:t>Part 3</w:t>
        </w:r>
        <w:r>
          <w:rPr>
            <w:rStyle w:val="CharDivNo"/>
          </w:rPr>
          <w:t> </w:t>
        </w:r>
        <w:r>
          <w:t>—</w:t>
        </w:r>
        <w:r>
          <w:rPr>
            <w:rStyle w:val="CharDivText"/>
          </w:rPr>
          <w:t> </w:t>
        </w:r>
        <w:r>
          <w:rPr>
            <w:rStyle w:val="CharPartText"/>
          </w:rPr>
          <w:t>Amendments to Road Traffic (Events on Roads) Regulations 1991</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ins>
    </w:p>
    <w:p>
      <w:pPr>
        <w:pStyle w:val="nzHeading5"/>
        <w:rPr>
          <w:ins w:id="165" w:author="Master Repository Process" w:date="2021-09-12T09:36:00Z"/>
          <w:snapToGrid w:val="0"/>
        </w:rPr>
      </w:pPr>
      <w:bookmarkStart w:id="166" w:name="_Toc199066207"/>
      <w:ins w:id="167" w:author="Master Repository Process" w:date="2021-09-12T09:36:00Z">
        <w:r>
          <w:rPr>
            <w:rStyle w:val="CharSectno"/>
          </w:rPr>
          <w:t>18</w:t>
        </w:r>
        <w:r>
          <w:rPr>
            <w:snapToGrid w:val="0"/>
          </w:rPr>
          <w:t>.</w:t>
        </w:r>
        <w:r>
          <w:rPr>
            <w:snapToGrid w:val="0"/>
          </w:rPr>
          <w:tab/>
          <w:t>The regulations amended</w:t>
        </w:r>
        <w:bookmarkEnd w:id="166"/>
      </w:ins>
    </w:p>
    <w:p>
      <w:pPr>
        <w:pStyle w:val="nzSubsection"/>
        <w:rPr>
          <w:ins w:id="168" w:author="Master Repository Process" w:date="2021-09-12T09:36:00Z"/>
        </w:rPr>
      </w:pPr>
      <w:ins w:id="169" w:author="Master Repository Process" w:date="2021-09-12T09:36:00Z">
        <w:r>
          <w:tab/>
        </w:r>
        <w:r>
          <w:tab/>
          <w:t xml:space="preserve">The amendments in </w:t>
        </w:r>
        <w:r>
          <w:rPr>
            <w:spacing w:val="-2"/>
          </w:rPr>
          <w:t xml:space="preserve">this Part </w:t>
        </w:r>
        <w:r>
          <w:t xml:space="preserve">are to the </w:t>
        </w:r>
        <w:r>
          <w:rPr>
            <w:i/>
          </w:rPr>
          <w:t>Road Traffic (Events on Roads) Regulations 1991</w:t>
        </w:r>
        <w:r>
          <w:t>.</w:t>
        </w:r>
      </w:ins>
    </w:p>
    <w:p>
      <w:pPr>
        <w:pStyle w:val="nzHeading5"/>
        <w:rPr>
          <w:ins w:id="170" w:author="Master Repository Process" w:date="2021-09-12T09:36:00Z"/>
        </w:rPr>
      </w:pPr>
      <w:bookmarkStart w:id="171" w:name="_Toc199066208"/>
      <w:ins w:id="172" w:author="Master Repository Process" w:date="2021-09-12T09:36:00Z">
        <w:r>
          <w:rPr>
            <w:rStyle w:val="CharSectno"/>
          </w:rPr>
          <w:t>19</w:t>
        </w:r>
        <w:r>
          <w:t>.</w:t>
        </w:r>
        <w:r>
          <w:tab/>
          <w:t>Regulation 3 amended</w:t>
        </w:r>
        <w:bookmarkEnd w:id="171"/>
      </w:ins>
    </w:p>
    <w:p>
      <w:pPr>
        <w:pStyle w:val="nzSubsection"/>
        <w:rPr>
          <w:ins w:id="173" w:author="Master Repository Process" w:date="2021-09-12T09:36:00Z"/>
        </w:rPr>
      </w:pPr>
      <w:ins w:id="174" w:author="Master Repository Process" w:date="2021-09-12T09:36:00Z">
        <w:r>
          <w:tab/>
        </w:r>
        <w:r>
          <w:tab/>
          <w:t>Regulation 3(2) is amended as follows:</w:t>
        </w:r>
      </w:ins>
    </w:p>
    <w:p>
      <w:pPr>
        <w:pStyle w:val="nzIndenta"/>
        <w:rPr>
          <w:ins w:id="175" w:author="Master Repository Process" w:date="2021-09-12T09:36:00Z"/>
        </w:rPr>
      </w:pPr>
      <w:ins w:id="176" w:author="Master Repository Process" w:date="2021-09-12T09:36:00Z">
        <w:r>
          <w:tab/>
          <w:t>(a)</w:t>
        </w:r>
        <w:r>
          <w:tab/>
          <w:t xml:space="preserve">by deleting “Board” and inserting instead — </w:t>
        </w:r>
      </w:ins>
    </w:p>
    <w:p>
      <w:pPr>
        <w:pStyle w:val="nzIndenta"/>
        <w:rPr>
          <w:ins w:id="177" w:author="Master Repository Process" w:date="2021-09-12T09:36:00Z"/>
        </w:rPr>
      </w:pPr>
      <w:ins w:id="178" w:author="Master Repository Process" w:date="2021-09-12T09:36:00Z">
        <w:r>
          <w:tab/>
        </w:r>
        <w:r>
          <w:tab/>
          <w:t>“    Commissioner of Police    ”;</w:t>
        </w:r>
      </w:ins>
    </w:p>
    <w:p>
      <w:pPr>
        <w:pStyle w:val="nzIndenta"/>
        <w:rPr>
          <w:ins w:id="179" w:author="Master Repository Process" w:date="2021-09-12T09:36:00Z"/>
        </w:rPr>
      </w:pPr>
      <w:ins w:id="180" w:author="Master Repository Process" w:date="2021-09-12T09:36:00Z">
        <w:r>
          <w:tab/>
          <w:t>(b)</w:t>
        </w:r>
        <w:r>
          <w:tab/>
          <w:t xml:space="preserve">by deleting “it may” and inserting instead — </w:t>
        </w:r>
      </w:ins>
    </w:p>
    <w:p>
      <w:pPr>
        <w:pStyle w:val="nzIndenta"/>
        <w:rPr>
          <w:ins w:id="181" w:author="Master Repository Process" w:date="2021-09-12T09:36:00Z"/>
        </w:rPr>
      </w:pPr>
      <w:ins w:id="182" w:author="Master Repository Process" w:date="2021-09-12T09:36:00Z">
        <w:r>
          <w:tab/>
        </w:r>
        <w:r>
          <w:tab/>
          <w:t>“    the Commissioner may    ”;</w:t>
        </w:r>
      </w:ins>
    </w:p>
    <w:p>
      <w:pPr>
        <w:pStyle w:val="nzIndenta"/>
        <w:rPr>
          <w:ins w:id="183" w:author="Master Repository Process" w:date="2021-09-12T09:36:00Z"/>
        </w:rPr>
      </w:pPr>
      <w:ins w:id="184" w:author="Master Repository Process" w:date="2021-09-12T09:36:00Z">
        <w:r>
          <w:tab/>
          <w:t>(c)</w:t>
        </w:r>
        <w:r>
          <w:tab/>
          <w:t xml:space="preserve">in paragraph (b), by deleting “it” and inserting instead — </w:t>
        </w:r>
      </w:ins>
    </w:p>
    <w:p>
      <w:pPr>
        <w:pStyle w:val="nzIndenta"/>
        <w:rPr>
          <w:ins w:id="185" w:author="Master Repository Process" w:date="2021-09-12T09:36:00Z"/>
        </w:rPr>
      </w:pPr>
      <w:ins w:id="186" w:author="Master Repository Process" w:date="2021-09-12T09:36:00Z">
        <w:r>
          <w:tab/>
        </w:r>
        <w:r>
          <w:tab/>
          <w:t>“    the Commissioner    ”.</w:t>
        </w:r>
      </w:ins>
    </w:p>
    <w:p>
      <w:pPr>
        <w:pStyle w:val="nzHeading5"/>
        <w:rPr>
          <w:ins w:id="187" w:author="Master Repository Process" w:date="2021-09-12T09:36:00Z"/>
        </w:rPr>
      </w:pPr>
      <w:bookmarkStart w:id="188" w:name="_Toc199066209"/>
      <w:ins w:id="189" w:author="Master Repository Process" w:date="2021-09-12T09:36:00Z">
        <w:r>
          <w:rPr>
            <w:rStyle w:val="CharSectno"/>
          </w:rPr>
          <w:t>20</w:t>
        </w:r>
        <w:r>
          <w:t>.</w:t>
        </w:r>
        <w:r>
          <w:tab/>
          <w:t>Regulation 7 amended</w:t>
        </w:r>
        <w:bookmarkEnd w:id="188"/>
      </w:ins>
    </w:p>
    <w:p>
      <w:pPr>
        <w:pStyle w:val="nzSubsection"/>
        <w:rPr>
          <w:ins w:id="190" w:author="Master Repository Process" w:date="2021-09-12T09:36:00Z"/>
        </w:rPr>
      </w:pPr>
      <w:ins w:id="191" w:author="Master Repository Process" w:date="2021-09-12T09:36:00Z">
        <w:r>
          <w:tab/>
        </w:r>
        <w:r>
          <w:tab/>
          <w:t xml:space="preserve">Regulation 7 is amended by deleting “Board.” and inserting instead — </w:t>
        </w:r>
      </w:ins>
    </w:p>
    <w:p>
      <w:pPr>
        <w:pStyle w:val="nzSubsection"/>
        <w:rPr>
          <w:ins w:id="192" w:author="Master Repository Process" w:date="2021-09-12T09:36:00Z"/>
        </w:rPr>
      </w:pPr>
      <w:ins w:id="193" w:author="Master Repository Process" w:date="2021-09-12T09:36:00Z">
        <w:r>
          <w:tab/>
        </w:r>
        <w:r>
          <w:tab/>
          <w:t>“    Commissioner of Police.    ”.</w:t>
        </w:r>
      </w:ins>
    </w:p>
    <w:p>
      <w:pPr>
        <w:pStyle w:val="nzHeading5"/>
        <w:rPr>
          <w:ins w:id="194" w:author="Master Repository Process" w:date="2021-09-12T09:36:00Z"/>
        </w:rPr>
      </w:pPr>
      <w:bookmarkStart w:id="195" w:name="_Toc199066210"/>
      <w:ins w:id="196" w:author="Master Repository Process" w:date="2021-09-12T09:36:00Z">
        <w:r>
          <w:rPr>
            <w:rStyle w:val="CharSectno"/>
          </w:rPr>
          <w:t>21</w:t>
        </w:r>
        <w:r>
          <w:t>.</w:t>
        </w:r>
        <w:r>
          <w:tab/>
          <w:t>Regulation 8 amended</w:t>
        </w:r>
        <w:bookmarkEnd w:id="195"/>
      </w:ins>
    </w:p>
    <w:p>
      <w:pPr>
        <w:pStyle w:val="nzSubsection"/>
        <w:rPr>
          <w:ins w:id="197" w:author="Master Repository Process" w:date="2021-09-12T09:36:00Z"/>
        </w:rPr>
      </w:pPr>
      <w:ins w:id="198" w:author="Master Repository Process" w:date="2021-09-12T09:36:00Z">
        <w:r>
          <w:tab/>
        </w:r>
        <w:r>
          <w:tab/>
          <w:t>Regulation 8(1) is amended as follows:</w:t>
        </w:r>
      </w:ins>
    </w:p>
    <w:p>
      <w:pPr>
        <w:pStyle w:val="nzIndenta"/>
        <w:rPr>
          <w:ins w:id="199" w:author="Master Repository Process" w:date="2021-09-12T09:36:00Z"/>
        </w:rPr>
      </w:pPr>
      <w:ins w:id="200" w:author="Master Repository Process" w:date="2021-09-12T09:36:00Z">
        <w:r>
          <w:tab/>
          <w:t>(a)</w:t>
        </w:r>
        <w:r>
          <w:tab/>
          <w:t xml:space="preserve">by deleting “Board” and inserting instead — </w:t>
        </w:r>
      </w:ins>
    </w:p>
    <w:p>
      <w:pPr>
        <w:pStyle w:val="nzIndenta"/>
        <w:rPr>
          <w:ins w:id="201" w:author="Master Repository Process" w:date="2021-09-12T09:36:00Z"/>
        </w:rPr>
      </w:pPr>
      <w:ins w:id="202" w:author="Master Repository Process" w:date="2021-09-12T09:36:00Z">
        <w:r>
          <w:tab/>
        </w:r>
        <w:r>
          <w:tab/>
          <w:t>“    Commissioner of Police    ”;</w:t>
        </w:r>
      </w:ins>
    </w:p>
    <w:p>
      <w:pPr>
        <w:pStyle w:val="nzIndenta"/>
        <w:rPr>
          <w:ins w:id="203" w:author="Master Repository Process" w:date="2021-09-12T09:36:00Z"/>
        </w:rPr>
      </w:pPr>
      <w:ins w:id="204" w:author="Master Repository Process" w:date="2021-09-12T09:36:00Z">
        <w:r>
          <w:tab/>
          <w:t>(b)</w:t>
        </w:r>
        <w:r>
          <w:tab/>
          <w:t xml:space="preserve">in each of paragraphs (b) and (c), by deleting “it” and inserting instead — </w:t>
        </w:r>
      </w:ins>
    </w:p>
    <w:p>
      <w:pPr>
        <w:pStyle w:val="nzIndenta"/>
        <w:rPr>
          <w:ins w:id="205" w:author="Master Repository Process" w:date="2021-09-12T09:36:00Z"/>
        </w:rPr>
      </w:pPr>
      <w:ins w:id="206" w:author="Master Repository Process" w:date="2021-09-12T09:36:00Z">
        <w:r>
          <w:tab/>
        </w:r>
        <w:r>
          <w:tab/>
          <w:t>“    the Commissioner    ”.</w:t>
        </w:r>
      </w:ins>
    </w:p>
    <w:p>
      <w:pPr>
        <w:pStyle w:val="nzHeading5"/>
        <w:rPr>
          <w:ins w:id="207" w:author="Master Repository Process" w:date="2021-09-12T09:36:00Z"/>
        </w:rPr>
      </w:pPr>
      <w:bookmarkStart w:id="208" w:name="_Toc199066211"/>
      <w:ins w:id="209" w:author="Master Repository Process" w:date="2021-09-12T09:36:00Z">
        <w:r>
          <w:rPr>
            <w:rStyle w:val="CharSectno"/>
          </w:rPr>
          <w:t>22</w:t>
        </w:r>
        <w:r>
          <w:t>.</w:t>
        </w:r>
        <w:r>
          <w:tab/>
          <w:t>Regulation 9 amended</w:t>
        </w:r>
        <w:bookmarkEnd w:id="208"/>
      </w:ins>
    </w:p>
    <w:p>
      <w:pPr>
        <w:pStyle w:val="nzSubsection"/>
        <w:rPr>
          <w:ins w:id="210" w:author="Master Repository Process" w:date="2021-09-12T09:36:00Z"/>
        </w:rPr>
      </w:pPr>
      <w:ins w:id="211" w:author="Master Repository Process" w:date="2021-09-12T09:36:00Z">
        <w:r>
          <w:tab/>
        </w:r>
        <w:r>
          <w:tab/>
          <w:t>Regulation 9(1) is amended as follows:</w:t>
        </w:r>
      </w:ins>
    </w:p>
    <w:p>
      <w:pPr>
        <w:pStyle w:val="nzIndenta"/>
        <w:rPr>
          <w:ins w:id="212" w:author="Master Repository Process" w:date="2021-09-12T09:36:00Z"/>
        </w:rPr>
      </w:pPr>
      <w:ins w:id="213" w:author="Master Repository Process" w:date="2021-09-12T09:36:00Z">
        <w:r>
          <w:tab/>
          <w:t>(a)</w:t>
        </w:r>
        <w:r>
          <w:tab/>
          <w:t xml:space="preserve">by deleting “Board” and inserting instead — </w:t>
        </w:r>
      </w:ins>
    </w:p>
    <w:p>
      <w:pPr>
        <w:pStyle w:val="nzIndenta"/>
        <w:rPr>
          <w:ins w:id="214" w:author="Master Repository Process" w:date="2021-09-12T09:36:00Z"/>
        </w:rPr>
      </w:pPr>
      <w:ins w:id="215" w:author="Master Repository Process" w:date="2021-09-12T09:36:00Z">
        <w:r>
          <w:tab/>
        </w:r>
        <w:r>
          <w:tab/>
          <w:t>“    Commissioner of Police    ”;</w:t>
        </w:r>
      </w:ins>
    </w:p>
    <w:p>
      <w:pPr>
        <w:pStyle w:val="nzIndenta"/>
        <w:rPr>
          <w:ins w:id="216" w:author="Master Repository Process" w:date="2021-09-12T09:36:00Z"/>
        </w:rPr>
      </w:pPr>
      <w:ins w:id="217" w:author="Master Repository Process" w:date="2021-09-12T09:36:00Z">
        <w:r>
          <w:tab/>
          <w:t>(b)</w:t>
        </w:r>
        <w:r>
          <w:tab/>
          <w:t>in paragraph (b), by deleting “on”.</w:t>
        </w:r>
      </w:ins>
    </w:p>
    <w:p>
      <w:pPr>
        <w:pStyle w:val="MiscClose"/>
        <w:rPr>
          <w:ins w:id="218" w:author="Master Repository Process" w:date="2021-09-12T09:36:00Z"/>
          <w:snapToGrid w:val="0"/>
        </w:rPr>
      </w:pPr>
      <w:ins w:id="219" w:author="Master Repository Process" w:date="2021-09-12T09:36:00Z">
        <w:r>
          <w:rPr>
            <w:snapToGrid w:val="0"/>
          </w:rP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(Events on Roads)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(Events on Roads)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423"/>
    <w:docVar w:name="WAFER_20151209123423" w:val="RemoveTrackChanges"/>
    <w:docVar w:name="WAFER_20151209123423_GUID" w:val="ccb42f3a-414e-472e-a17f-7e49fc74ad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8CCC227-30D4-4A9E-85BB-9F12B9300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2824</Words>
  <Characters>21130</Characters>
  <Application>Microsoft Office Word</Application>
  <DocSecurity>0</DocSecurity>
  <Lines>480</Lines>
  <Paragraphs>332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23622</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02-a0-04 - 02-b0-02</dc:title>
  <dc:subject/>
  <dc:creator/>
  <cp:keywords/>
  <dc:description/>
  <cp:lastModifiedBy>Master Repository Process</cp:lastModifiedBy>
  <cp:revision>2</cp:revision>
  <cp:lastPrinted>2007-02-06T00:52:00Z</cp:lastPrinted>
  <dcterms:created xsi:type="dcterms:W3CDTF">2021-09-12T01:36:00Z</dcterms:created>
  <dcterms:modified xsi:type="dcterms:W3CDTF">2021-09-12T01:36:00Z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4753</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02 Feb 2007</vt:lpwstr>
  </property>
  <property fmtid="{D5CDD505-2E9C-101B-9397-08002B2CF9AE}" pid="9" name="ToSuffix">
    <vt:lpwstr>02-b0-02</vt:lpwstr>
  </property>
  <property fmtid="{D5CDD505-2E9C-101B-9397-08002B2CF9AE}" pid="10" name="ToAsAtDate">
    <vt:lpwstr>10 Jun 2008</vt:lpwstr>
  </property>
</Properties>
</file>