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28 Jun 2008</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109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09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095"/>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096"/>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1097"/>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098"/>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1099"/>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100"/>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101"/>
      <w:r>
        <w:rPr>
          <w:rStyle w:val="CharSectno"/>
        </w:rPr>
        <w:t>7</w:t>
      </w:r>
      <w:r>
        <w:t>.</w:t>
      </w:r>
      <w:r>
        <w:tab/>
        <w:t>Administration of taxation Acts</w:t>
      </w:r>
      <w:bookmarkEnd w:id="9"/>
    </w:p>
    <w:p>
      <w:pPr>
        <w:pStyle w:val="Subsection"/>
      </w:pPr>
      <w:r>
        <w:tab/>
        <w:t>(1)</w:t>
      </w:r>
      <w:r>
        <w:tab/>
        <w:t xml:space="preserve">The Commissioner </w:t>
      </w:r>
      <w:del w:id="10" w:author="svcMRProcess" w:date="2018-09-09T10:15:00Z">
        <w:r>
          <w:delText xml:space="preserve">is responsible to </w:delText>
        </w:r>
      </w:del>
      <w:ins w:id="11" w:author="svcMRProcess" w:date="2018-09-09T10:15:00Z">
        <w:r>
          <w:t xml:space="preserve">has </w:t>
        </w:r>
      </w:ins>
      <w:r>
        <w:t xml:space="preserve">the </w:t>
      </w:r>
      <w:del w:id="12" w:author="svcMRProcess" w:date="2018-09-09T10:15:00Z">
        <w:r>
          <w:delText>Minister for applying and giving effect to</w:delText>
        </w:r>
      </w:del>
      <w:ins w:id="13" w:author="svcMRProcess" w:date="2018-09-09T10:15:00Z">
        <w:r>
          <w:t>general administration of</w:t>
        </w:r>
      </w:ins>
      <w:r>
        <w:t xml:space="preserve"> the taxation Acts</w:t>
      </w:r>
      <w:ins w:id="14" w:author="svcMRProcess" w:date="2018-09-09T10:15:00Z">
        <w:r>
          <w:t xml:space="preserve"> and may do anything necessary or convenient to be done for that purpose</w:t>
        </w:r>
      </w:ins>
      <w:r>
        <w:t>.</w:t>
      </w:r>
    </w:p>
    <w:p>
      <w:pPr>
        <w:pStyle w:val="Subsection"/>
      </w:pPr>
      <w:r>
        <w:tab/>
        <w:t>(2)</w:t>
      </w:r>
      <w:r>
        <w:tab/>
      </w:r>
      <w:del w:id="15" w:author="svcMRProcess" w:date="2018-09-09T10:15:00Z">
        <w:r>
          <w:delText xml:space="preserve">The </w:delText>
        </w:r>
      </w:del>
      <w:ins w:id="16" w:author="svcMRProcess" w:date="2018-09-09T10:15:00Z">
        <w:r>
          <w:t xml:space="preserve">Without limiting subsection (1) the </w:t>
        </w:r>
      </w:ins>
      <w:r>
        <w:t xml:space="preserve">Commissioner </w:t>
      </w:r>
      <w:del w:id="17" w:author="svcMRProcess" w:date="2018-09-09T10:15:00Z">
        <w:r>
          <w:delText>is not subject to Ministerial control or direction in relation to — </w:delText>
        </w:r>
      </w:del>
      <w:ins w:id="18" w:author="svcMRProcess" w:date="2018-09-09T10:15:00Z">
        <w:r>
          <w:t xml:space="preserve">may — </w:t>
        </w:r>
      </w:ins>
    </w:p>
    <w:p>
      <w:pPr>
        <w:pStyle w:val="Indenta"/>
      </w:pPr>
      <w:r>
        <w:tab/>
        <w:t>(a)</w:t>
      </w:r>
      <w:r>
        <w:tab/>
      </w:r>
      <w:del w:id="19" w:author="svcMRProcess" w:date="2018-09-09T10:15:00Z">
        <w:r>
          <w:delText xml:space="preserve">the interpretation of </w:delText>
        </w:r>
      </w:del>
      <w:ins w:id="20" w:author="svcMRProcess" w:date="2018-09-09T10:15:00Z">
        <w:r>
          <w:t xml:space="preserve">deal with </w:t>
        </w:r>
      </w:ins>
      <w:r>
        <w:t xml:space="preserve">a taxation </w:t>
      </w:r>
      <w:del w:id="21" w:author="svcMRProcess" w:date="2018-09-09T10:15:00Z">
        <w:r>
          <w:delText>Act; or</w:delText>
        </w:r>
      </w:del>
      <w:ins w:id="22" w:author="svcMRProcess" w:date="2018-09-09T10:15:00Z">
        <w:r>
          <w:t xml:space="preserve">matter in any manner; and </w:t>
        </w:r>
      </w:ins>
    </w:p>
    <w:p>
      <w:pPr>
        <w:pStyle w:val="Indenta"/>
        <w:rPr>
          <w:ins w:id="23" w:author="svcMRProcess" w:date="2018-09-09T10:15:00Z"/>
        </w:rPr>
      </w:pPr>
      <w:r>
        <w:tab/>
        <w:t>(b)</w:t>
      </w:r>
      <w:r>
        <w:tab/>
      </w:r>
      <w:del w:id="24" w:author="svcMRProcess" w:date="2018-09-09T10:15:00Z">
        <w:r>
          <w:delText xml:space="preserve">the </w:delText>
        </w:r>
      </w:del>
      <w:r>
        <w:t xml:space="preserve">exercise </w:t>
      </w:r>
      <w:del w:id="25" w:author="svcMRProcess" w:date="2018-09-09T10:15:00Z">
        <w:r>
          <w:delText>of a power</w:delText>
        </w:r>
      </w:del>
      <w:ins w:id="26" w:author="svcMRProcess" w:date="2018-09-09T10:15:00Z">
        <w:r>
          <w:t xml:space="preserve">in relation to a taxation matter any discretion, </w:t>
        </w:r>
      </w:ins>
    </w:p>
    <w:p>
      <w:pPr>
        <w:pStyle w:val="Subsection"/>
        <w:rPr>
          <w:ins w:id="27" w:author="svcMRProcess" w:date="2018-09-09T10:15:00Z"/>
        </w:rPr>
      </w:pPr>
      <w:ins w:id="28" w:author="svcMRProcess" w:date="2018-09-09T10:15:00Z">
        <w:r>
          <w:tab/>
        </w:r>
        <w:r>
          <w:tab/>
          <w:t xml:space="preserve">that the Commissioner considers appropriate in the interests of good management. </w:t>
        </w:r>
      </w:ins>
    </w:p>
    <w:p>
      <w:pPr>
        <w:pStyle w:val="Subsection"/>
        <w:rPr>
          <w:ins w:id="29" w:author="svcMRProcess" w:date="2018-09-09T10:15:00Z"/>
        </w:rPr>
      </w:pPr>
      <w:ins w:id="30" w:author="svcMRProcess" w:date="2018-09-09T10:15:00Z">
        <w:r>
          <w:tab/>
          <w:t>(3)</w:t>
        </w:r>
        <w:r>
          <w:tab/>
          <w:t xml:space="preserve">In subsection (2) — </w:t>
        </w:r>
      </w:ins>
    </w:p>
    <w:p>
      <w:pPr>
        <w:pStyle w:val="Defstart"/>
      </w:pPr>
      <w:ins w:id="31" w:author="svcMRProcess" w:date="2018-09-09T10:15:00Z">
        <w:r>
          <w:rPr>
            <w:b/>
          </w:rPr>
          <w:tab/>
          <w:t>“</w:t>
        </w:r>
        <w:r>
          <w:rPr>
            <w:rStyle w:val="CharDefText"/>
          </w:rPr>
          <w:t>taxation matter</w:t>
        </w:r>
        <w:r>
          <w:rPr>
            <w:b/>
          </w:rPr>
          <w:t>”</w:t>
        </w:r>
        <w:r>
          <w:t xml:space="preserve"> means any matter or thing arising</w:t>
        </w:r>
      </w:ins>
      <w:r>
        <w:t xml:space="preserve"> under </w:t>
      </w:r>
      <w:ins w:id="32" w:author="svcMRProcess" w:date="2018-09-09T10:15:00Z">
        <w:r>
          <w:t xml:space="preserve">or in relation to </w:t>
        </w:r>
      </w:ins>
      <w:r>
        <w:t>a taxation Act.</w:t>
      </w:r>
      <w:ins w:id="33" w:author="svcMRProcess" w:date="2018-09-09T10:15:00Z">
        <w:r>
          <w:t xml:space="preserve"> </w:t>
        </w:r>
      </w:ins>
    </w:p>
    <w:p>
      <w:pPr>
        <w:pStyle w:val="Footnotesection"/>
        <w:rPr>
          <w:ins w:id="34" w:author="svcMRProcess" w:date="2018-09-09T10:15:00Z"/>
        </w:rPr>
      </w:pPr>
      <w:ins w:id="35" w:author="svcMRProcess" w:date="2018-09-09T10:15:00Z">
        <w:r>
          <w:tab/>
          <w:t>[Section 7 inserted by No. 31 of 2008 s. 23.]</w:t>
        </w:r>
      </w:ins>
    </w:p>
    <w:p>
      <w:pPr>
        <w:pStyle w:val="Heading5"/>
      </w:pPr>
      <w:bookmarkStart w:id="36" w:name="_Toc390071102"/>
      <w:r>
        <w:rPr>
          <w:rStyle w:val="CharSectno"/>
        </w:rPr>
        <w:t>8</w:t>
      </w:r>
      <w:r>
        <w:t>.</w:t>
      </w:r>
      <w:r>
        <w:tab/>
        <w:t>Commissioner’s functions</w:t>
      </w:r>
      <w:bookmarkEnd w:id="36"/>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7" w:name="_Toc390071103"/>
      <w:r>
        <w:rPr>
          <w:rStyle w:val="CharSectno"/>
        </w:rPr>
        <w:t>9</w:t>
      </w:r>
      <w:r>
        <w:t>.</w:t>
      </w:r>
      <w:r>
        <w:tab/>
        <w:t>Judicial notice of appointment and signature</w:t>
      </w:r>
      <w:bookmarkEnd w:id="37"/>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8" w:name="_Toc390071104"/>
      <w:r>
        <w:rPr>
          <w:rStyle w:val="CharSectno"/>
        </w:rPr>
        <w:t>10</w:t>
      </w:r>
      <w:r>
        <w:t>.</w:t>
      </w:r>
      <w:r>
        <w:tab/>
        <w:t>Delegation</w:t>
      </w:r>
      <w:bookmarkEnd w:id="38"/>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39" w:name="_Toc390071105"/>
      <w:r>
        <w:rPr>
          <w:rStyle w:val="CharSectno"/>
        </w:rPr>
        <w:t>11</w:t>
      </w:r>
      <w:r>
        <w:t>.</w:t>
      </w:r>
      <w:r>
        <w:tab/>
        <w:t>Tax investigators</w:t>
      </w:r>
      <w:bookmarkEnd w:id="39"/>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40" w:name="_Toc390071106"/>
      <w:r>
        <w:rPr>
          <w:rStyle w:val="CharSectno"/>
        </w:rPr>
        <w:t>12</w:t>
      </w:r>
      <w:r>
        <w:t>.</w:t>
      </w:r>
      <w:r>
        <w:tab/>
        <w:t>Appointed representatives for court proceedings</w:t>
      </w:r>
      <w:bookmarkEnd w:id="40"/>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1" w:name="_Toc390071107"/>
      <w:r>
        <w:rPr>
          <w:rStyle w:val="CharPartNo"/>
        </w:rPr>
        <w:t>Part 3</w:t>
      </w:r>
      <w:r>
        <w:t xml:space="preserve"> — </w:t>
      </w:r>
      <w:r>
        <w:rPr>
          <w:rStyle w:val="CharPartText"/>
        </w:rPr>
        <w:t>Assessments of tax</w:t>
      </w:r>
      <w:bookmarkEnd w:id="41"/>
    </w:p>
    <w:p>
      <w:pPr>
        <w:pStyle w:val="Heading3"/>
      </w:pPr>
      <w:bookmarkStart w:id="42" w:name="_Toc390071108"/>
      <w:r>
        <w:rPr>
          <w:rStyle w:val="CharDivNo"/>
        </w:rPr>
        <w:t>Division 1</w:t>
      </w:r>
      <w:r>
        <w:t xml:space="preserve"> — </w:t>
      </w:r>
      <w:r>
        <w:rPr>
          <w:rStyle w:val="CharDivText"/>
        </w:rPr>
        <w:t>Assessments</w:t>
      </w:r>
      <w:bookmarkEnd w:id="42"/>
    </w:p>
    <w:p>
      <w:pPr>
        <w:pStyle w:val="Heading5"/>
      </w:pPr>
      <w:bookmarkStart w:id="43" w:name="_Toc390071109"/>
      <w:r>
        <w:rPr>
          <w:rStyle w:val="CharSectno"/>
        </w:rPr>
        <w:t>13</w:t>
      </w:r>
      <w:r>
        <w:t>.</w:t>
      </w:r>
      <w:r>
        <w:tab/>
        <w:t>Assessments</w:t>
      </w:r>
      <w:bookmarkEnd w:id="43"/>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44" w:name="_Toc390071110"/>
      <w:r>
        <w:rPr>
          <w:rStyle w:val="CharSectno"/>
        </w:rPr>
        <w:t>14</w:t>
      </w:r>
      <w:r>
        <w:t>.</w:t>
      </w:r>
      <w:r>
        <w:tab/>
        <w:t>Self</w:t>
      </w:r>
      <w:r>
        <w:noBreakHyphen/>
        <w:t>assessments</w:t>
      </w:r>
      <w:bookmarkEnd w:id="4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5" w:name="_Toc390071111"/>
      <w:r>
        <w:rPr>
          <w:rStyle w:val="CharSectno"/>
        </w:rPr>
        <w:t>15</w:t>
      </w:r>
      <w:r>
        <w:t>.</w:t>
      </w:r>
      <w:r>
        <w:tab/>
        <w:t>Official assessments</w:t>
      </w:r>
      <w:bookmarkEnd w:id="45"/>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46" w:name="_Toc390071112"/>
      <w:r>
        <w:rPr>
          <w:rStyle w:val="CharSectno"/>
        </w:rPr>
        <w:t>16</w:t>
      </w:r>
      <w:r>
        <w:t>.</w:t>
      </w:r>
      <w:r>
        <w:tab/>
        <w:t>Reassessments</w:t>
      </w:r>
      <w:bookmarkEnd w:id="46"/>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47" w:name="_Toc390071113"/>
      <w:r>
        <w:rPr>
          <w:rStyle w:val="CharSectno"/>
        </w:rPr>
        <w:t>17</w:t>
      </w:r>
      <w:r>
        <w:t>.</w:t>
      </w:r>
      <w:r>
        <w:tab/>
        <w:t>Time limits on reassessments</w:t>
      </w:r>
      <w:bookmarkEnd w:id="47"/>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48" w:name="_Toc390071114"/>
      <w:r>
        <w:rPr>
          <w:rStyle w:val="CharSectno"/>
        </w:rPr>
        <w:t>18</w:t>
      </w:r>
      <w:r>
        <w:t>.</w:t>
      </w:r>
      <w:r>
        <w:tab/>
        <w:t>Effect of reassessment</w:t>
      </w:r>
      <w:bookmarkEnd w:id="48"/>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49" w:name="_Toc390071115"/>
      <w:r>
        <w:rPr>
          <w:rStyle w:val="CharSectno"/>
        </w:rPr>
        <w:t>18A</w:t>
      </w:r>
      <w:r>
        <w:rPr>
          <w:color w:val="000000"/>
        </w:rPr>
        <w:t>.</w:t>
      </w:r>
      <w:r>
        <w:rPr>
          <w:color w:val="000000"/>
        </w:rPr>
        <w:tab/>
        <w:t>Withdrawal of assessment</w:t>
      </w:r>
      <w:bookmarkEnd w:id="49"/>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50" w:name="_Toc390071116"/>
      <w:r>
        <w:rPr>
          <w:rStyle w:val="CharSectno"/>
        </w:rPr>
        <w:t>19</w:t>
      </w:r>
      <w:r>
        <w:t>.</w:t>
      </w:r>
      <w:r>
        <w:tab/>
        <w:t>Assessments based on estimated or suspected liability</w:t>
      </w:r>
      <w:bookmarkEnd w:id="50"/>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51" w:name="_Toc390071117"/>
      <w:r>
        <w:rPr>
          <w:rStyle w:val="CharSectno"/>
        </w:rPr>
        <w:t>20</w:t>
      </w:r>
      <w:r>
        <w:t>.</w:t>
      </w:r>
      <w:r>
        <w:tab/>
        <w:t>Assessments when instrument misleading or unavailable</w:t>
      </w:r>
      <w:bookmarkEnd w:id="51"/>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p>
    <w:p>
      <w:pPr>
        <w:pStyle w:val="Heading5"/>
        <w:spacing w:before="180"/>
      </w:pPr>
      <w:bookmarkStart w:id="52" w:name="_Toc390071118"/>
      <w:r>
        <w:rPr>
          <w:rStyle w:val="CharSectno"/>
        </w:rPr>
        <w:t>21</w:t>
      </w:r>
      <w:r>
        <w:t>.</w:t>
      </w:r>
      <w:r>
        <w:tab/>
        <w:t>Ascertaining value of property, consideration or benefit</w:t>
      </w:r>
      <w:bookmarkEnd w:id="52"/>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53" w:name="_Toc390071119"/>
      <w:r>
        <w:rPr>
          <w:rStyle w:val="CharSectno"/>
        </w:rPr>
        <w:t>22</w:t>
      </w:r>
      <w:r>
        <w:t>.</w:t>
      </w:r>
      <w:r>
        <w:tab/>
        <w:t>Commissioner’s power to have valuation made</w:t>
      </w:r>
      <w:bookmarkEnd w:id="53"/>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54" w:name="_Toc390071120"/>
      <w:r>
        <w:rPr>
          <w:rStyle w:val="CharDivNo"/>
        </w:rPr>
        <w:t>Division 2</w:t>
      </w:r>
      <w:r>
        <w:t xml:space="preserve"> — </w:t>
      </w:r>
      <w:r>
        <w:rPr>
          <w:rStyle w:val="CharDivText"/>
        </w:rPr>
        <w:t>Assessment notices and returns</w:t>
      </w:r>
      <w:bookmarkEnd w:id="54"/>
    </w:p>
    <w:p>
      <w:pPr>
        <w:pStyle w:val="Heading5"/>
        <w:spacing w:before="180"/>
      </w:pPr>
      <w:bookmarkStart w:id="55" w:name="_Toc390071121"/>
      <w:r>
        <w:rPr>
          <w:rStyle w:val="CharSectno"/>
        </w:rPr>
        <w:t>23</w:t>
      </w:r>
      <w:r>
        <w:t>.</w:t>
      </w:r>
      <w:r>
        <w:tab/>
        <w:t>Assessment notices</w:t>
      </w:r>
      <w:bookmarkEnd w:id="55"/>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w:t>
      </w:r>
    </w:p>
    <w:p>
      <w:pPr>
        <w:pStyle w:val="Heading5"/>
      </w:pPr>
      <w:bookmarkStart w:id="56" w:name="_Toc390071122"/>
      <w:r>
        <w:rPr>
          <w:rStyle w:val="CharSectno"/>
        </w:rPr>
        <w:t>24</w:t>
      </w:r>
      <w:r>
        <w:t>.</w:t>
      </w:r>
      <w:r>
        <w:tab/>
        <w:t>Form of assessment notice</w:t>
      </w:r>
      <w:bookmarkEnd w:id="56"/>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57" w:name="_Toc390071123"/>
      <w:r>
        <w:rPr>
          <w:rStyle w:val="CharSectno"/>
        </w:rPr>
        <w:t>25</w:t>
      </w:r>
      <w:r>
        <w:t>.</w:t>
      </w:r>
      <w:r>
        <w:tab/>
        <w:t>Statement of grounds of assessment</w:t>
      </w:r>
      <w:bookmarkEnd w:id="57"/>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58" w:name="_Toc390071124"/>
      <w:r>
        <w:rPr>
          <w:rStyle w:val="CharDivNo"/>
        </w:rPr>
        <w:t>Division 3</w:t>
      </w:r>
      <w:r>
        <w:t xml:space="preserve"> — </w:t>
      </w:r>
      <w:r>
        <w:rPr>
          <w:rStyle w:val="CharDivText"/>
        </w:rPr>
        <w:t>Penalty tax</w:t>
      </w:r>
      <w:bookmarkEnd w:id="58"/>
    </w:p>
    <w:p>
      <w:pPr>
        <w:pStyle w:val="Heading5"/>
      </w:pPr>
      <w:bookmarkStart w:id="59" w:name="_Toc390071125"/>
      <w:r>
        <w:rPr>
          <w:rStyle w:val="CharSectno"/>
        </w:rPr>
        <w:t>26</w:t>
      </w:r>
      <w:r>
        <w:t>.</w:t>
      </w:r>
      <w:r>
        <w:tab/>
        <w:t>Penalty tax for contravention of taxation Act</w:t>
      </w:r>
      <w:bookmarkEnd w:id="5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60" w:name="_Toc390071126"/>
      <w:r>
        <w:rPr>
          <w:rStyle w:val="CharSectno"/>
        </w:rPr>
        <w:t>27</w:t>
      </w:r>
      <w:r>
        <w:t>.</w:t>
      </w:r>
      <w:r>
        <w:tab/>
        <w:t>Penalty tax for late payment</w:t>
      </w:r>
      <w:bookmarkEnd w:id="60"/>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61" w:name="_Toc390071127"/>
      <w:r>
        <w:rPr>
          <w:rStyle w:val="CharSectno"/>
        </w:rPr>
        <w:t>28</w:t>
      </w:r>
      <w:r>
        <w:t>.</w:t>
      </w:r>
      <w:r>
        <w:tab/>
        <w:t>Limitation on amount of penalty tax</w:t>
      </w:r>
      <w:bookmarkEnd w:id="61"/>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62" w:name="_Toc390071128"/>
      <w:r>
        <w:rPr>
          <w:rStyle w:val="CharSectno"/>
        </w:rPr>
        <w:t>29</w:t>
      </w:r>
      <w:r>
        <w:t>.</w:t>
      </w:r>
      <w:r>
        <w:tab/>
        <w:t>Remission of penalty tax</w:t>
      </w:r>
      <w:bookmarkEnd w:id="6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63" w:name="_Toc390071129"/>
      <w:r>
        <w:rPr>
          <w:rStyle w:val="CharSectno"/>
        </w:rPr>
        <w:t>30</w:t>
      </w:r>
      <w:r>
        <w:t>.</w:t>
      </w:r>
      <w:r>
        <w:tab/>
        <w:t>Guidelines for imposing penalty tax</w:t>
      </w:r>
      <w:bookmarkEnd w:id="63"/>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64" w:name="_Toc390071130"/>
      <w:r>
        <w:rPr>
          <w:rStyle w:val="CharPartNo"/>
        </w:rPr>
        <w:t>Part 4</w:t>
      </w:r>
      <w:r>
        <w:t xml:space="preserve"> — </w:t>
      </w:r>
      <w:r>
        <w:rPr>
          <w:rStyle w:val="CharPartText"/>
        </w:rPr>
        <w:t>Objections and review proceedings</w:t>
      </w:r>
      <w:bookmarkEnd w:id="64"/>
    </w:p>
    <w:p>
      <w:pPr>
        <w:pStyle w:val="Footnoteheading"/>
        <w:tabs>
          <w:tab w:val="left" w:pos="851"/>
        </w:tabs>
      </w:pPr>
      <w:r>
        <w:tab/>
        <w:t>[Heading amended by No. 55 of 2004 s. 1167.]</w:t>
      </w:r>
    </w:p>
    <w:p>
      <w:pPr>
        <w:pStyle w:val="Heading3"/>
      </w:pPr>
      <w:bookmarkStart w:id="65" w:name="_Toc390071131"/>
      <w:r>
        <w:rPr>
          <w:rStyle w:val="CharDivNo"/>
        </w:rPr>
        <w:t>Division 1</w:t>
      </w:r>
      <w:r>
        <w:t xml:space="preserve"> — </w:t>
      </w:r>
      <w:r>
        <w:rPr>
          <w:rStyle w:val="CharDivText"/>
        </w:rPr>
        <w:t>Procedures and restrictions</w:t>
      </w:r>
      <w:bookmarkEnd w:id="65"/>
    </w:p>
    <w:p>
      <w:pPr>
        <w:pStyle w:val="Heading5"/>
      </w:pPr>
      <w:bookmarkStart w:id="66" w:name="_Toc390071132"/>
      <w:r>
        <w:rPr>
          <w:rStyle w:val="CharSectno"/>
        </w:rPr>
        <w:t>31</w:t>
      </w:r>
      <w:r>
        <w:t>.</w:t>
      </w:r>
      <w:r>
        <w:tab/>
        <w:t>Procedure for challenging assessments</w:t>
      </w:r>
      <w:bookmarkEnd w:id="66"/>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67" w:name="_Toc390071133"/>
      <w:r>
        <w:rPr>
          <w:rStyle w:val="CharSectno"/>
        </w:rPr>
        <w:t>32</w:t>
      </w:r>
      <w:r>
        <w:t>.</w:t>
      </w:r>
      <w:r>
        <w:tab/>
        <w:t>Objections to land valuations</w:t>
      </w:r>
      <w:bookmarkEnd w:id="6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68" w:name="_Toc390071134"/>
      <w:r>
        <w:t>33.</w:t>
      </w:r>
      <w:r>
        <w:tab/>
        <w:t>Continuing obligation to pay assessed tax</w:t>
      </w:r>
      <w:bookmarkEnd w:id="68"/>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69" w:name="_Toc390071135"/>
      <w:r>
        <w:rPr>
          <w:rStyle w:val="CharDivNo"/>
        </w:rPr>
        <w:t>Division 2</w:t>
      </w:r>
      <w:r>
        <w:t xml:space="preserve"> — </w:t>
      </w:r>
      <w:r>
        <w:rPr>
          <w:rStyle w:val="CharDivText"/>
        </w:rPr>
        <w:t>Objections</w:t>
      </w:r>
      <w:bookmarkEnd w:id="69"/>
    </w:p>
    <w:p>
      <w:pPr>
        <w:pStyle w:val="Heading5"/>
        <w:spacing w:before="200"/>
      </w:pPr>
      <w:bookmarkStart w:id="70" w:name="_Toc390071136"/>
      <w:r>
        <w:rPr>
          <w:rStyle w:val="CharSectno"/>
        </w:rPr>
        <w:t>34</w:t>
      </w:r>
      <w:r>
        <w:t>.</w:t>
      </w:r>
      <w:r>
        <w:tab/>
        <w:t>Right to object</w:t>
      </w:r>
      <w:bookmarkEnd w:id="70"/>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Heading5"/>
      </w:pPr>
      <w:bookmarkStart w:id="71" w:name="_Toc390071137"/>
      <w:r>
        <w:rPr>
          <w:rStyle w:val="CharSectno"/>
        </w:rPr>
        <w:t>35</w:t>
      </w:r>
      <w:r>
        <w:t>.</w:t>
      </w:r>
      <w:r>
        <w:tab/>
        <w:t>Form of objection</w:t>
      </w:r>
      <w:bookmarkEnd w:id="71"/>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72" w:name="_Toc390071138"/>
      <w:r>
        <w:rPr>
          <w:rStyle w:val="CharSectno"/>
        </w:rPr>
        <w:t>36</w:t>
      </w:r>
      <w:r>
        <w:t>.</w:t>
      </w:r>
      <w:r>
        <w:tab/>
        <w:t>Time for lodging objection</w:t>
      </w:r>
      <w:bookmarkEnd w:id="72"/>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73" w:name="_Toc390071139"/>
      <w:r>
        <w:rPr>
          <w:rStyle w:val="CharSectno"/>
        </w:rPr>
        <w:t>37</w:t>
      </w:r>
      <w:r>
        <w:t>.</w:t>
      </w:r>
      <w:r>
        <w:tab/>
        <w:t>Consideration of objections</w:t>
      </w:r>
      <w:bookmarkEnd w:id="73"/>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74" w:name="_Toc390071140"/>
      <w:r>
        <w:rPr>
          <w:rStyle w:val="CharSectno"/>
        </w:rPr>
        <w:t>38</w:t>
      </w:r>
      <w:r>
        <w:t>.</w:t>
      </w:r>
      <w:r>
        <w:tab/>
        <w:t>Time limit for determining objections</w:t>
      </w:r>
      <w:bookmarkEnd w:id="7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75" w:name="_Toc390071141"/>
      <w:r>
        <w:rPr>
          <w:rStyle w:val="CharSectno"/>
        </w:rPr>
        <w:t>39</w:t>
      </w:r>
      <w:r>
        <w:t>.</w:t>
      </w:r>
      <w:r>
        <w:tab/>
        <w:t>Reassessment on determination of objection</w:t>
      </w:r>
      <w:bookmarkEnd w:id="75"/>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76" w:name="_Toc390071142"/>
      <w:r>
        <w:rPr>
          <w:rStyle w:val="CharDivNo"/>
        </w:rPr>
        <w:t>Division 3</w:t>
      </w:r>
      <w:r>
        <w:t> — </w:t>
      </w:r>
      <w:r>
        <w:rPr>
          <w:rStyle w:val="CharDivText"/>
        </w:rPr>
        <w:t>Reviews and stated cases</w:t>
      </w:r>
      <w:bookmarkEnd w:id="76"/>
    </w:p>
    <w:p>
      <w:pPr>
        <w:pStyle w:val="Footnoteheading"/>
        <w:tabs>
          <w:tab w:val="left" w:pos="851"/>
        </w:tabs>
      </w:pPr>
      <w:r>
        <w:rPr>
          <w:i w:val="0"/>
        </w:rPr>
        <w:tab/>
      </w:r>
      <w:r>
        <w:t>[Heading amended by No. 55 of 2004 s. 1173.]</w:t>
      </w:r>
    </w:p>
    <w:p>
      <w:pPr>
        <w:pStyle w:val="Heading5"/>
      </w:pPr>
      <w:bookmarkStart w:id="77" w:name="_Toc390071143"/>
      <w:r>
        <w:rPr>
          <w:rStyle w:val="CharSectno"/>
        </w:rPr>
        <w:t>40</w:t>
      </w:r>
      <w:r>
        <w:t>.</w:t>
      </w:r>
      <w:r>
        <w:tab/>
        <w:t>Right of review</w:t>
      </w:r>
      <w:bookmarkEnd w:id="77"/>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78" w:name="_Toc390071144"/>
      <w:r>
        <w:rPr>
          <w:rStyle w:val="CharSectno"/>
        </w:rPr>
        <w:t>42</w:t>
      </w:r>
      <w:r>
        <w:t>.</w:t>
      </w:r>
      <w:r>
        <w:tab/>
        <w:t>Time for review</w:t>
      </w:r>
      <w:bookmarkEnd w:id="78"/>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79" w:name="_Toc390071145"/>
      <w:r>
        <w:rPr>
          <w:rStyle w:val="CharSectno"/>
        </w:rPr>
        <w:t>43</w:t>
      </w:r>
      <w:r>
        <w:t>.</w:t>
      </w:r>
      <w:r>
        <w:tab/>
        <w:t>Proceedings before State Administrative Tribunal</w:t>
      </w:r>
      <w:bookmarkEnd w:id="79"/>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80" w:name="_Toc390071146"/>
      <w:r>
        <w:rPr>
          <w:rStyle w:val="CharSectno"/>
        </w:rPr>
        <w:t>43A</w:t>
      </w:r>
      <w:r>
        <w:t>.</w:t>
      </w:r>
      <w:r>
        <w:tab/>
        <w:t>Appeal from decision of State Administrative Tribunal</w:t>
      </w:r>
      <w:bookmarkEnd w:id="80"/>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81" w:name="_Toc390071147"/>
      <w:r>
        <w:rPr>
          <w:rStyle w:val="CharSectno"/>
        </w:rPr>
        <w:t>44</w:t>
      </w:r>
      <w:r>
        <w:t>.</w:t>
      </w:r>
      <w:r>
        <w:tab/>
        <w:t>Cases stated by Commissioner</w:t>
      </w:r>
      <w:bookmarkEnd w:id="81"/>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82" w:name="_Toc390071148"/>
      <w:r>
        <w:rPr>
          <w:rStyle w:val="CharPartNo"/>
        </w:rPr>
        <w:t>Part 5</w:t>
      </w:r>
      <w:r>
        <w:t xml:space="preserve"> — </w:t>
      </w:r>
      <w:r>
        <w:rPr>
          <w:rStyle w:val="CharPartText"/>
        </w:rPr>
        <w:t>Payment and refund of tax</w:t>
      </w:r>
      <w:bookmarkEnd w:id="82"/>
    </w:p>
    <w:p>
      <w:pPr>
        <w:pStyle w:val="Heading3"/>
      </w:pPr>
      <w:bookmarkStart w:id="83" w:name="_Toc390071149"/>
      <w:r>
        <w:rPr>
          <w:rStyle w:val="CharDivNo"/>
        </w:rPr>
        <w:t>Division 1</w:t>
      </w:r>
      <w:r>
        <w:t xml:space="preserve"> — </w:t>
      </w:r>
      <w:r>
        <w:rPr>
          <w:rStyle w:val="CharDivText"/>
        </w:rPr>
        <w:t>Payment</w:t>
      </w:r>
      <w:bookmarkEnd w:id="83"/>
    </w:p>
    <w:p>
      <w:pPr>
        <w:pStyle w:val="Heading5"/>
      </w:pPr>
      <w:bookmarkStart w:id="84" w:name="_Toc390071150"/>
      <w:r>
        <w:rPr>
          <w:rStyle w:val="CharSectno"/>
        </w:rPr>
        <w:t>45</w:t>
      </w:r>
      <w:r>
        <w:t>.</w:t>
      </w:r>
      <w:r>
        <w:tab/>
        <w:t>When tax is due for payment</w:t>
      </w:r>
      <w:bookmarkEnd w:id="84"/>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85" w:name="_Toc390071151"/>
      <w:r>
        <w:rPr>
          <w:rStyle w:val="CharSectno"/>
        </w:rPr>
        <w:t>46</w:t>
      </w:r>
      <w:r>
        <w:t>.</w:t>
      </w:r>
      <w:r>
        <w:tab/>
        <w:t>Allocation of payment</w:t>
      </w:r>
      <w:bookmarkEnd w:id="85"/>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6" w:name="_Toc390071152"/>
      <w:r>
        <w:rPr>
          <w:rStyle w:val="CharSectno"/>
        </w:rPr>
        <w:t>47</w:t>
      </w:r>
      <w:r>
        <w:t>.</w:t>
      </w:r>
      <w:r>
        <w:tab/>
        <w:t>Arrangements for instalments and extensions of time</w:t>
      </w:r>
      <w:bookmarkEnd w:id="86"/>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87" w:name="_Toc390071153"/>
      <w:r>
        <w:rPr>
          <w:rStyle w:val="CharDivNo"/>
        </w:rPr>
        <w:t>Division 2</w:t>
      </w:r>
      <w:r>
        <w:t xml:space="preserve"> — </w:t>
      </w:r>
      <w:r>
        <w:rPr>
          <w:rStyle w:val="CharDivText"/>
        </w:rPr>
        <w:t>Special tax return arrangements</w:t>
      </w:r>
      <w:bookmarkEnd w:id="87"/>
    </w:p>
    <w:p>
      <w:pPr>
        <w:pStyle w:val="Heading5"/>
      </w:pPr>
      <w:bookmarkStart w:id="88" w:name="_Toc390071154"/>
      <w:r>
        <w:rPr>
          <w:rStyle w:val="CharSectno"/>
        </w:rPr>
        <w:t>49</w:t>
      </w:r>
      <w:r>
        <w:t>.</w:t>
      </w:r>
      <w:r>
        <w:tab/>
        <w:t>Approval of special tax return arrangements</w:t>
      </w:r>
      <w:bookmarkEnd w:id="8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9" w:name="_Toc390071155"/>
      <w:r>
        <w:rPr>
          <w:rStyle w:val="CharSectno"/>
        </w:rPr>
        <w:t>50</w:t>
      </w:r>
      <w:r>
        <w:t>.</w:t>
      </w:r>
      <w:r>
        <w:tab/>
        <w:t>Content of special tax return arrangement</w:t>
      </w:r>
      <w:bookmarkEnd w:id="89"/>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p>
    <w:p>
      <w:pPr>
        <w:pStyle w:val="Indenta"/>
      </w:pPr>
      <w:r>
        <w:tab/>
        <w:t>(b)</w:t>
      </w:r>
      <w:r>
        <w:tab/>
        <w:t>may require compliance with any other obligations imposed under the conditions of the arrangement;</w:t>
      </w:r>
    </w:p>
    <w:p>
      <w:pPr>
        <w:pStyle w:val="Indenta"/>
      </w:pPr>
      <w:r>
        <w:tab/>
        <w:t>(c)</w:t>
      </w:r>
      <w:r>
        <w:tab/>
        <w:t>may exempt the taxpayer or taxpayers covered by the arrangement from compliance with specified administrative requirements of a taxation Act;</w:t>
      </w:r>
    </w:p>
    <w:p>
      <w:pPr>
        <w:pStyle w:val="Indenta"/>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90" w:name="_Toc390071156"/>
      <w:r>
        <w:rPr>
          <w:rStyle w:val="CharSectno"/>
        </w:rPr>
        <w:t>51</w:t>
      </w:r>
      <w:r>
        <w:t>.</w:t>
      </w:r>
      <w:r>
        <w:tab/>
        <w:t>Instruments stamped or endorsed under a special tax return arrangement</w:t>
      </w:r>
      <w:bookmarkEnd w:id="90"/>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91" w:name="_Toc390071157"/>
      <w:r>
        <w:rPr>
          <w:rStyle w:val="CharSectno"/>
        </w:rPr>
        <w:t>52</w:t>
      </w:r>
      <w:r>
        <w:t>.</w:t>
      </w:r>
      <w:r>
        <w:tab/>
        <w:t>Lodging returns under special tax return arrangement</w:t>
      </w:r>
      <w:bookmarkEnd w:id="91"/>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92" w:name="_Toc390071158"/>
      <w:r>
        <w:rPr>
          <w:rStyle w:val="CharSectno"/>
        </w:rPr>
        <w:t>53</w:t>
      </w:r>
      <w:r>
        <w:t>.</w:t>
      </w:r>
      <w:r>
        <w:tab/>
        <w:t>Amendment or cancellation of arrangement</w:t>
      </w:r>
      <w:bookmarkEnd w:id="92"/>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93" w:name="_Toc390071159"/>
      <w:r>
        <w:rPr>
          <w:rStyle w:val="CharDivNo"/>
        </w:rPr>
        <w:t>Division 3</w:t>
      </w:r>
      <w:r>
        <w:t xml:space="preserve"> — </w:t>
      </w:r>
      <w:r>
        <w:rPr>
          <w:rStyle w:val="CharDivText"/>
        </w:rPr>
        <w:t>Refunds of tax</w:t>
      </w:r>
      <w:bookmarkEnd w:id="93"/>
    </w:p>
    <w:p>
      <w:pPr>
        <w:pStyle w:val="Heading5"/>
      </w:pPr>
      <w:bookmarkStart w:id="94" w:name="_Toc390071160"/>
      <w:r>
        <w:rPr>
          <w:rStyle w:val="CharSectno"/>
        </w:rPr>
        <w:t>54</w:t>
      </w:r>
      <w:r>
        <w:t>.</w:t>
      </w:r>
      <w:r>
        <w:tab/>
        <w:t>Power to make refund</w:t>
      </w:r>
      <w:bookmarkEnd w:id="94"/>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rPr>
          <w:ins w:id="95" w:author="svcMRProcess" w:date="2018-09-09T10:15:00Z"/>
        </w:rPr>
      </w:pPr>
      <w:bookmarkStart w:id="96" w:name="_Toc390071161"/>
      <w:ins w:id="97" w:author="svcMRProcess" w:date="2018-09-09T10:15:00Z">
        <w:r>
          <w:rPr>
            <w:rStyle w:val="CharSectno"/>
          </w:rPr>
          <w:t>55A</w:t>
        </w:r>
        <w:r>
          <w:t>.</w:t>
        </w:r>
        <w:r>
          <w:tab/>
          <w:t>Unused credit</w:t>
        </w:r>
        <w:bookmarkEnd w:id="96"/>
      </w:ins>
    </w:p>
    <w:p>
      <w:pPr>
        <w:pStyle w:val="Subsection"/>
        <w:rPr>
          <w:ins w:id="98" w:author="svcMRProcess" w:date="2018-09-09T10:15:00Z"/>
        </w:rPr>
      </w:pPr>
      <w:ins w:id="99" w:author="svcMRProcess" w:date="2018-09-09T10:15:00Z">
        <w:r>
          <w:tab/>
          <w:t>(1)</w:t>
        </w:r>
        <w:r>
          <w:tab/>
          <w:t>If an amount credited against a taxpayer’s future tax liabilities under section 54(2) is not debited against those liabilities within 2 years after the credit arose the Commissioner may —</w:t>
        </w:r>
      </w:ins>
    </w:p>
    <w:p>
      <w:pPr>
        <w:pStyle w:val="Indenta"/>
        <w:rPr>
          <w:ins w:id="100" w:author="svcMRProcess" w:date="2018-09-09T10:15:00Z"/>
        </w:rPr>
      </w:pPr>
      <w:ins w:id="101" w:author="svcMRProcess" w:date="2018-09-09T10:15:00Z">
        <w:r>
          <w:tab/>
          <w:t>(a)</w:t>
        </w:r>
        <w:r>
          <w:tab/>
          <w:t>if the amount is less than the prescribed amount, write off the credit; or</w:t>
        </w:r>
      </w:ins>
    </w:p>
    <w:p>
      <w:pPr>
        <w:pStyle w:val="Indenta"/>
        <w:rPr>
          <w:ins w:id="102" w:author="svcMRProcess" w:date="2018-09-09T10:15:00Z"/>
        </w:rPr>
      </w:pPr>
      <w:ins w:id="103" w:author="svcMRProcess" w:date="2018-09-09T10:15:00Z">
        <w:r>
          <w:tab/>
          <w:t>(b)</w:t>
        </w:r>
        <w:r>
          <w:tab/>
          <w:t xml:space="preserve">otherwise, pay the amount to the Treasurer to be dealt with as prescribed retained money in accordance with the </w:t>
        </w:r>
        <w:r>
          <w:rPr>
            <w:i/>
            <w:iCs/>
          </w:rPr>
          <w:t>Unclaimed Money Act 1990</w:t>
        </w:r>
        <w:r>
          <w:t xml:space="preserve"> section 9(1)(r)(ii).</w:t>
        </w:r>
      </w:ins>
    </w:p>
    <w:p>
      <w:pPr>
        <w:pStyle w:val="Subsection"/>
        <w:rPr>
          <w:ins w:id="104" w:author="svcMRProcess" w:date="2018-09-09T10:15:00Z"/>
        </w:rPr>
      </w:pPr>
      <w:ins w:id="105" w:author="svcMRProcess" w:date="2018-09-09T10:15:00Z">
        <w:r>
          <w:tab/>
          <w:t>(2)</w:t>
        </w:r>
        <w:r>
          <w:tab/>
          <w:t>If a credit is written off under subsection (1)(a) —</w:t>
        </w:r>
      </w:ins>
    </w:p>
    <w:p>
      <w:pPr>
        <w:pStyle w:val="Indenta"/>
        <w:rPr>
          <w:ins w:id="106" w:author="svcMRProcess" w:date="2018-09-09T10:15:00Z"/>
        </w:rPr>
      </w:pPr>
      <w:ins w:id="107" w:author="svcMRProcess" w:date="2018-09-09T10:15:00Z">
        <w:r>
          <w:tab/>
          <w:t>(a)</w:t>
        </w:r>
        <w:r>
          <w:tab/>
          <w:t>the amount written off is to be credited to the Consolidated Account; and</w:t>
        </w:r>
      </w:ins>
    </w:p>
    <w:p>
      <w:pPr>
        <w:pStyle w:val="Indenta"/>
        <w:rPr>
          <w:ins w:id="108" w:author="svcMRProcess" w:date="2018-09-09T10:15:00Z"/>
        </w:rPr>
      </w:pPr>
      <w:ins w:id="109" w:author="svcMRProcess" w:date="2018-09-09T10:15:00Z">
        <w:r>
          <w:tab/>
          <w:t>(b)</w:t>
        </w:r>
        <w:r>
          <w:tab/>
          <w:t xml:space="preserve">the </w:t>
        </w:r>
        <w:r>
          <w:rPr>
            <w:i/>
          </w:rPr>
          <w:t>Unclaimed Money Act 1990</w:t>
        </w:r>
        <w:r>
          <w:t xml:space="preserve"> does not apply to or in relation to that amount.</w:t>
        </w:r>
      </w:ins>
    </w:p>
    <w:p>
      <w:pPr>
        <w:pStyle w:val="Subsection"/>
        <w:rPr>
          <w:ins w:id="110" w:author="svcMRProcess" w:date="2018-09-09T10:15:00Z"/>
        </w:rPr>
      </w:pPr>
      <w:ins w:id="111" w:author="svcMRProcess" w:date="2018-09-09T10:15:00Z">
        <w:r>
          <w:tab/>
          <w:t>(3)</w:t>
        </w:r>
        <w:r>
          <w:tab/>
          <w:t>If a credit is written off under subsection (1)(a) and within 5 years after the credit arose the taxpayer requests payment of the written off amount, the Commissioner must pay that amount to the taxpayer.</w:t>
        </w:r>
      </w:ins>
    </w:p>
    <w:p>
      <w:pPr>
        <w:pStyle w:val="Footnotesection"/>
        <w:rPr>
          <w:ins w:id="112" w:author="svcMRProcess" w:date="2018-09-09T10:15:00Z"/>
        </w:rPr>
      </w:pPr>
      <w:ins w:id="113" w:author="svcMRProcess" w:date="2018-09-09T10:15:00Z">
        <w:r>
          <w:tab/>
          <w:t>[Section 55A inserted by No. 31 of 2008 s. 25.]</w:t>
        </w:r>
      </w:ins>
    </w:p>
    <w:p>
      <w:pPr>
        <w:pStyle w:val="Heading5"/>
      </w:pPr>
      <w:bookmarkStart w:id="114" w:name="_Toc390071162"/>
      <w:r>
        <w:rPr>
          <w:rStyle w:val="CharSectno"/>
        </w:rPr>
        <w:t>55</w:t>
      </w:r>
      <w:r>
        <w:t>.</w:t>
      </w:r>
      <w:r>
        <w:tab/>
        <w:t>Refund to be passed on in certain cases</w:t>
      </w:r>
      <w:bookmarkEnd w:id="114"/>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Heading3"/>
        <w:spacing w:before="280"/>
      </w:pPr>
      <w:bookmarkStart w:id="115" w:name="_Toc390071163"/>
      <w:r>
        <w:rPr>
          <w:rStyle w:val="CharDivNo"/>
        </w:rPr>
        <w:t>Division 4</w:t>
      </w:r>
      <w:r>
        <w:t xml:space="preserve"> — </w:t>
      </w:r>
      <w:r>
        <w:rPr>
          <w:rStyle w:val="CharDivText"/>
        </w:rPr>
        <w:t>Power to waive or write off liability</w:t>
      </w:r>
      <w:bookmarkEnd w:id="115"/>
    </w:p>
    <w:p>
      <w:pPr>
        <w:pStyle w:val="Heading5"/>
        <w:spacing w:before="240"/>
      </w:pPr>
      <w:bookmarkStart w:id="116" w:name="_Toc390071164"/>
      <w:r>
        <w:rPr>
          <w:rStyle w:val="CharSectno"/>
        </w:rPr>
        <w:t>56</w:t>
      </w:r>
      <w:r>
        <w:t>.</w:t>
      </w:r>
      <w:r>
        <w:tab/>
        <w:t>Waiver of tax</w:t>
      </w:r>
      <w:bookmarkEnd w:id="116"/>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117" w:name="_Toc390071165"/>
      <w:r>
        <w:rPr>
          <w:rStyle w:val="CharSectno"/>
        </w:rPr>
        <w:t>57</w:t>
      </w:r>
      <w:r>
        <w:t>.</w:t>
      </w:r>
      <w:r>
        <w:tab/>
        <w:t>Writing off tax liability</w:t>
      </w:r>
      <w:bookmarkEnd w:id="117"/>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118" w:name="_Toc390071166"/>
      <w:r>
        <w:rPr>
          <w:rStyle w:val="CharSectno"/>
        </w:rPr>
        <w:t>58</w:t>
      </w:r>
      <w:r>
        <w:t>.</w:t>
      </w:r>
      <w:r>
        <w:tab/>
        <w:t>Powers subject to</w:t>
      </w:r>
      <w:r>
        <w:rPr>
          <w:i/>
        </w:rPr>
        <w:t xml:space="preserve"> Financial Management Act 2006</w:t>
      </w:r>
      <w:bookmarkEnd w:id="11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119" w:name="_Toc390071167"/>
      <w:r>
        <w:rPr>
          <w:rStyle w:val="CharPartNo"/>
        </w:rPr>
        <w:t>Part 6</w:t>
      </w:r>
      <w:r>
        <w:t xml:space="preserve"> — </w:t>
      </w:r>
      <w:r>
        <w:rPr>
          <w:rStyle w:val="CharPartText"/>
        </w:rPr>
        <w:t>Recovery of tax</w:t>
      </w:r>
      <w:bookmarkEnd w:id="119"/>
    </w:p>
    <w:p>
      <w:pPr>
        <w:pStyle w:val="Heading3"/>
      </w:pPr>
      <w:bookmarkStart w:id="120" w:name="_Toc390071168"/>
      <w:r>
        <w:rPr>
          <w:rStyle w:val="CharDivNo"/>
        </w:rPr>
        <w:t>Division 1</w:t>
      </w:r>
      <w:r>
        <w:t xml:space="preserve"> — </w:t>
      </w:r>
      <w:r>
        <w:rPr>
          <w:rStyle w:val="CharDivText"/>
        </w:rPr>
        <w:t>Recovery generally</w:t>
      </w:r>
      <w:bookmarkEnd w:id="120"/>
    </w:p>
    <w:p>
      <w:pPr>
        <w:pStyle w:val="Heading5"/>
      </w:pPr>
      <w:bookmarkStart w:id="121" w:name="_Toc390071169"/>
      <w:r>
        <w:rPr>
          <w:rStyle w:val="CharSectno"/>
        </w:rPr>
        <w:t>60</w:t>
      </w:r>
      <w:r>
        <w:t>.</w:t>
      </w:r>
      <w:r>
        <w:tab/>
        <w:t>Recovery of unpaid tax</w:t>
      </w:r>
      <w:bookmarkEnd w:id="121"/>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22" w:name="_Toc390071170"/>
      <w:r>
        <w:rPr>
          <w:rStyle w:val="CharSectno"/>
        </w:rPr>
        <w:t>61</w:t>
      </w:r>
      <w:r>
        <w:t>.</w:t>
      </w:r>
      <w:r>
        <w:tab/>
        <w:t>Power of court to order payment of tax</w:t>
      </w:r>
      <w:bookmarkEnd w:id="122"/>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23" w:name="_Toc390071171"/>
      <w:r>
        <w:rPr>
          <w:rStyle w:val="CharSectno"/>
        </w:rPr>
        <w:t>62</w:t>
      </w:r>
      <w:r>
        <w:t>.</w:t>
      </w:r>
      <w:r>
        <w:tab/>
        <w:t>Recovery of costs and interest</w:t>
      </w:r>
      <w:bookmarkEnd w:id="123"/>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124" w:name="_Toc390071172"/>
      <w:r>
        <w:rPr>
          <w:rStyle w:val="CharSectno"/>
        </w:rPr>
        <w:t>63</w:t>
      </w:r>
      <w:r>
        <w:t>.</w:t>
      </w:r>
      <w:r>
        <w:tab/>
        <w:t>Recovery of tax in cases of joint liability</w:t>
      </w:r>
      <w:bookmarkEnd w:id="124"/>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25" w:name="_Toc390071173"/>
      <w:r>
        <w:rPr>
          <w:rStyle w:val="CharSectno"/>
        </w:rPr>
        <w:t>64</w:t>
      </w:r>
      <w:r>
        <w:t>.</w:t>
      </w:r>
      <w:r>
        <w:tab/>
        <w:t>Notice of administrator’s appointment</w:t>
      </w:r>
      <w:bookmarkEnd w:id="125"/>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26" w:name="_Toc390071174"/>
      <w:r>
        <w:rPr>
          <w:rStyle w:val="CharSectno"/>
        </w:rPr>
        <w:t>65</w:t>
      </w:r>
      <w:r>
        <w:t>.</w:t>
      </w:r>
      <w:r>
        <w:tab/>
        <w:t>Power to garnishee</w:t>
      </w:r>
      <w:bookmarkEnd w:id="126"/>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27" w:name="_Toc390071175"/>
      <w:r>
        <w:rPr>
          <w:rStyle w:val="CharSectno"/>
        </w:rPr>
        <w:t>66</w:t>
      </w:r>
      <w:r>
        <w:t>.</w:t>
      </w:r>
      <w:r>
        <w:tab/>
        <w:t>Recovery from partnerships</w:t>
      </w:r>
      <w:bookmarkEnd w:id="127"/>
    </w:p>
    <w:p>
      <w:pPr>
        <w:pStyle w:val="Subsection"/>
      </w:pPr>
      <w:r>
        <w:tab/>
      </w:r>
      <w:r>
        <w:tab/>
        <w:t>If a tax liability is incurred by or on behalf of a partnership, the tax is recoverable jointly and severally from any one or more of the partners.</w:t>
      </w:r>
    </w:p>
    <w:p>
      <w:pPr>
        <w:pStyle w:val="Heading5"/>
      </w:pPr>
      <w:bookmarkStart w:id="128" w:name="_Toc390071176"/>
      <w:r>
        <w:rPr>
          <w:rStyle w:val="CharSectno"/>
        </w:rPr>
        <w:t>67</w:t>
      </w:r>
      <w:r>
        <w:t>.</w:t>
      </w:r>
      <w:r>
        <w:tab/>
        <w:t>Recovery from directors of body corporate</w:t>
      </w:r>
      <w:bookmarkEnd w:id="12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29" w:name="_Toc390071177"/>
      <w:r>
        <w:rPr>
          <w:rStyle w:val="CharSectno"/>
        </w:rPr>
        <w:t>68</w:t>
      </w:r>
      <w:r>
        <w:t>.</w:t>
      </w:r>
      <w:r>
        <w:tab/>
        <w:t>Director of body corporate may apply</w:t>
      </w:r>
      <w:bookmarkEnd w:id="129"/>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30" w:name="_Toc390071178"/>
      <w:r>
        <w:rPr>
          <w:rStyle w:val="CharSectno"/>
        </w:rPr>
        <w:t>69</w:t>
      </w:r>
      <w:r>
        <w:t>.</w:t>
      </w:r>
      <w:r>
        <w:tab/>
        <w:t>Determination of application where there is a dispute</w:t>
      </w:r>
      <w:bookmarkEnd w:id="130"/>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31" w:name="_Toc390071179"/>
      <w:r>
        <w:rPr>
          <w:rStyle w:val="CharSectno"/>
        </w:rPr>
        <w:t>70</w:t>
      </w:r>
      <w:r>
        <w:t>.</w:t>
      </w:r>
      <w:r>
        <w:tab/>
        <w:t>Setting aside demand on other grounds</w:t>
      </w:r>
      <w:bookmarkEnd w:id="13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32" w:name="_Toc390071180"/>
      <w:r>
        <w:rPr>
          <w:rStyle w:val="CharSectno"/>
        </w:rPr>
        <w:t>71</w:t>
      </w:r>
      <w:r>
        <w:t>.</w:t>
      </w:r>
      <w:r>
        <w:tab/>
        <w:t>Effect of order setting aside notice</w:t>
      </w:r>
      <w:bookmarkEnd w:id="132"/>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33" w:name="_Toc390071181"/>
      <w:r>
        <w:rPr>
          <w:rStyle w:val="CharSectno"/>
        </w:rPr>
        <w:t>72</w:t>
      </w:r>
      <w:r>
        <w:t>.</w:t>
      </w:r>
      <w:r>
        <w:tab/>
        <w:t>Dismissal of application</w:t>
      </w:r>
      <w:bookmarkEnd w:id="133"/>
    </w:p>
    <w:p>
      <w:pPr>
        <w:pStyle w:val="Subsection"/>
      </w:pPr>
      <w:r>
        <w:tab/>
      </w:r>
      <w:r>
        <w:tab/>
        <w:t>Unless the court makes, on an application under section 68, an order under section 69 or 70, the court is to dismiss the application.</w:t>
      </w:r>
    </w:p>
    <w:p>
      <w:pPr>
        <w:pStyle w:val="Heading5"/>
      </w:pPr>
      <w:bookmarkStart w:id="134" w:name="_Toc390071182"/>
      <w:r>
        <w:rPr>
          <w:rStyle w:val="CharSectno"/>
        </w:rPr>
        <w:t>73</w:t>
      </w:r>
      <w:r>
        <w:t>.</w:t>
      </w:r>
      <w:r>
        <w:tab/>
        <w:t>Order subject to conditions</w:t>
      </w:r>
      <w:bookmarkEnd w:id="134"/>
    </w:p>
    <w:p>
      <w:pPr>
        <w:pStyle w:val="Subsection"/>
      </w:pPr>
      <w:r>
        <w:tab/>
      </w:r>
      <w:r>
        <w:tab/>
        <w:t>An order under section 69 or 70 may be made subject to conditions.</w:t>
      </w:r>
    </w:p>
    <w:p>
      <w:pPr>
        <w:pStyle w:val="Heading5"/>
      </w:pPr>
      <w:bookmarkStart w:id="135" w:name="_Toc390071183"/>
      <w:bookmarkStart w:id="136" w:name="_Toc390071263"/>
      <w:r>
        <w:rPr>
          <w:rStyle w:val="CharSectno"/>
        </w:rPr>
        <w:t>74</w:t>
      </w:r>
      <w:r>
        <w:t>.</w:t>
      </w:r>
      <w:r>
        <w:tab/>
        <w:t>Costs where applicant successful</w:t>
      </w:r>
      <w:bookmarkEnd w:id="135"/>
      <w:bookmarkEnd w:id="13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37" w:name="_Toc390071184"/>
      <w:bookmarkStart w:id="138" w:name="_Toc390071264"/>
      <w:r>
        <w:rPr>
          <w:rStyle w:val="CharSectno"/>
        </w:rPr>
        <w:t>75</w:t>
      </w:r>
      <w:r>
        <w:t>.</w:t>
      </w:r>
      <w:r>
        <w:tab/>
        <w:t>Period of remedying default</w:t>
      </w:r>
      <w:bookmarkEnd w:id="137"/>
      <w:bookmarkEnd w:id="138"/>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39" w:name="_Toc390071185"/>
      <w:bookmarkStart w:id="140" w:name="_Toc390071265"/>
      <w:r>
        <w:rPr>
          <w:rStyle w:val="CharDivNo"/>
        </w:rPr>
        <w:t>Division 2</w:t>
      </w:r>
      <w:r>
        <w:t xml:space="preserve"> — </w:t>
      </w:r>
      <w:r>
        <w:rPr>
          <w:rStyle w:val="CharDivText"/>
        </w:rPr>
        <w:t>Charges on land</w:t>
      </w:r>
      <w:bookmarkEnd w:id="139"/>
      <w:bookmarkEnd w:id="140"/>
    </w:p>
    <w:p>
      <w:pPr>
        <w:pStyle w:val="Heading5"/>
        <w:rPr>
          <w:ins w:id="141" w:author="svcMRProcess" w:date="2018-09-09T10:15:00Z"/>
        </w:rPr>
      </w:pPr>
      <w:bookmarkStart w:id="142" w:name="_Toc390071186"/>
      <w:ins w:id="143" w:author="svcMRProcess" w:date="2018-09-09T10:15:00Z">
        <w:r>
          <w:rPr>
            <w:rStyle w:val="CharSectno"/>
          </w:rPr>
          <w:t>76A</w:t>
        </w:r>
        <w:r>
          <w:t>.</w:t>
        </w:r>
        <w:r>
          <w:tab/>
          <w:t>Meaning of terms used in this Division</w:t>
        </w:r>
        <w:bookmarkEnd w:id="142"/>
      </w:ins>
    </w:p>
    <w:p>
      <w:pPr>
        <w:pStyle w:val="Subsection"/>
        <w:rPr>
          <w:ins w:id="144" w:author="svcMRProcess" w:date="2018-09-09T10:15:00Z"/>
        </w:rPr>
      </w:pPr>
      <w:ins w:id="145" w:author="svcMRProcess" w:date="2018-09-09T10:15:00Z">
        <w:r>
          <w:tab/>
          <w:t>(1)</w:t>
        </w:r>
        <w:r>
          <w:tab/>
          <w:t>In this Division —</w:t>
        </w:r>
      </w:ins>
    </w:p>
    <w:p>
      <w:pPr>
        <w:pStyle w:val="Defstart"/>
        <w:rPr>
          <w:ins w:id="146" w:author="svcMRProcess" w:date="2018-09-09T10:15:00Z"/>
        </w:rPr>
      </w:pPr>
      <w:ins w:id="147" w:author="svcMRProcess" w:date="2018-09-09T10:15:00Z">
        <w:r>
          <w:rPr>
            <w:b/>
          </w:rPr>
          <w:tab/>
          <w:t>“</w:t>
        </w:r>
        <w:r>
          <w:rPr>
            <w:rStyle w:val="CharDefText"/>
          </w:rPr>
          <w:t>land</w:t>
        </w:r>
        <w:r>
          <w:rPr>
            <w:b/>
          </w:rPr>
          <w:t>”</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ins>
    </w:p>
    <w:p>
      <w:pPr>
        <w:pStyle w:val="Defstart"/>
        <w:rPr>
          <w:ins w:id="148" w:author="svcMRProcess" w:date="2018-09-09T10:15:00Z"/>
        </w:rPr>
      </w:pPr>
      <w:ins w:id="149" w:author="svcMRProcess" w:date="2018-09-09T10:15:00Z">
        <w:r>
          <w:rPr>
            <w:b/>
          </w:rPr>
          <w:tab/>
          <w:t>“</w:t>
        </w:r>
        <w:r>
          <w:rPr>
            <w:rStyle w:val="CharDefText"/>
          </w:rPr>
          <w:t>lodge</w:t>
        </w:r>
        <w:r>
          <w:rPr>
            <w:b/>
          </w:rPr>
          <w:t>”</w:t>
        </w:r>
        <w:r>
          <w:t xml:space="preserve"> means lodge or deliver for registration under a relevant land Act;</w:t>
        </w:r>
      </w:ins>
    </w:p>
    <w:p>
      <w:pPr>
        <w:pStyle w:val="Defstart"/>
        <w:rPr>
          <w:ins w:id="150" w:author="svcMRProcess" w:date="2018-09-09T10:15:00Z"/>
        </w:rPr>
      </w:pPr>
      <w:ins w:id="151" w:author="svcMRProcess" w:date="2018-09-09T10:15:00Z">
        <w:r>
          <w:rPr>
            <w:b/>
          </w:rPr>
          <w:tab/>
          <w:t>“</w:t>
        </w:r>
        <w:r>
          <w:rPr>
            <w:rStyle w:val="CharDefText"/>
          </w:rPr>
          <w:t>mining tenement</w:t>
        </w:r>
        <w:r>
          <w:rPr>
            <w:b/>
          </w:rPr>
          <w:t>”</w:t>
        </w:r>
        <w:r>
          <w:t xml:space="preserve"> has the meaning given in the </w:t>
        </w:r>
        <w:r>
          <w:rPr>
            <w:i/>
            <w:iCs/>
          </w:rPr>
          <w:t>Mining Act 1978</w:t>
        </w:r>
        <w:r>
          <w:t xml:space="preserve"> section 8(1);</w:t>
        </w:r>
      </w:ins>
    </w:p>
    <w:p>
      <w:pPr>
        <w:pStyle w:val="Defstart"/>
        <w:rPr>
          <w:ins w:id="152" w:author="svcMRProcess" w:date="2018-09-09T10:15:00Z"/>
        </w:rPr>
      </w:pPr>
      <w:ins w:id="153" w:author="svcMRProcess" w:date="2018-09-09T10:15:00Z">
        <w:r>
          <w:rPr>
            <w:b/>
          </w:rPr>
          <w:tab/>
          <w:t>“</w:t>
        </w:r>
        <w:r>
          <w:rPr>
            <w:rStyle w:val="CharDefText"/>
          </w:rPr>
          <w:t>real property</w:t>
        </w:r>
        <w:r>
          <w:rPr>
            <w:b/>
          </w:rPr>
          <w:t>”</w:t>
        </w:r>
        <w:r>
          <w:t xml:space="preserve"> means real property in respect of which an instrument may be lodged under the </w:t>
        </w:r>
        <w:r>
          <w:rPr>
            <w:i/>
          </w:rPr>
          <w:t>Registration of Deeds Act 1856</w:t>
        </w:r>
        <w:r>
          <w:t xml:space="preserve">; </w:t>
        </w:r>
      </w:ins>
    </w:p>
    <w:p>
      <w:pPr>
        <w:pStyle w:val="Defstart"/>
        <w:rPr>
          <w:ins w:id="154" w:author="svcMRProcess" w:date="2018-09-09T10:15:00Z"/>
        </w:rPr>
      </w:pPr>
      <w:ins w:id="155" w:author="svcMRProcess" w:date="2018-09-09T10:15:00Z">
        <w:r>
          <w:rPr>
            <w:b/>
          </w:rPr>
          <w:tab/>
          <w:t>“</w:t>
        </w:r>
        <w:r>
          <w:rPr>
            <w:rStyle w:val="CharDefText"/>
          </w:rPr>
          <w:t>register</w:t>
        </w:r>
        <w:r>
          <w:rPr>
            <w:b/>
          </w:rPr>
          <w:t>”</w:t>
        </w:r>
        <w:r>
          <w:t xml:space="preserve"> means register against land under a relevant land Act;</w:t>
        </w:r>
      </w:ins>
    </w:p>
    <w:p>
      <w:pPr>
        <w:pStyle w:val="Defstart"/>
        <w:rPr>
          <w:ins w:id="156" w:author="svcMRProcess" w:date="2018-09-09T10:15:00Z"/>
        </w:rPr>
      </w:pPr>
      <w:ins w:id="157" w:author="svcMRProcess" w:date="2018-09-09T10:15:00Z">
        <w:r>
          <w:tab/>
        </w:r>
        <w:r>
          <w:rPr>
            <w:b/>
          </w:rPr>
          <w:t>“</w:t>
        </w:r>
        <w:r>
          <w:rPr>
            <w:rStyle w:val="CharDefText"/>
          </w:rPr>
          <w:t>relevant land Act</w:t>
        </w:r>
        <w:r>
          <w:rPr>
            <w:b/>
            <w:bCs/>
          </w:rPr>
          <w:t>”</w:t>
        </w:r>
        <w:r>
          <w:t xml:space="preserve"> means —</w:t>
        </w:r>
      </w:ins>
    </w:p>
    <w:p>
      <w:pPr>
        <w:pStyle w:val="Defpara"/>
        <w:rPr>
          <w:ins w:id="158" w:author="svcMRProcess" w:date="2018-09-09T10:15:00Z"/>
        </w:rPr>
      </w:pPr>
      <w:ins w:id="159" w:author="svcMRProcess" w:date="2018-09-09T10:15:00Z">
        <w:r>
          <w:tab/>
          <w:t>(a)</w:t>
        </w:r>
        <w:r>
          <w:tab/>
          <w:t xml:space="preserve">in relation to TLA land, the </w:t>
        </w:r>
        <w:r>
          <w:rPr>
            <w:i/>
          </w:rPr>
          <w:t>Transfer of Land Act 1893</w:t>
        </w:r>
        <w:r>
          <w:t>;</w:t>
        </w:r>
      </w:ins>
    </w:p>
    <w:p>
      <w:pPr>
        <w:pStyle w:val="Defpara"/>
        <w:rPr>
          <w:ins w:id="160" w:author="svcMRProcess" w:date="2018-09-09T10:15:00Z"/>
        </w:rPr>
      </w:pPr>
      <w:ins w:id="161" w:author="svcMRProcess" w:date="2018-09-09T10:15:00Z">
        <w:r>
          <w:tab/>
          <w:t>(b)</w:t>
        </w:r>
        <w:r>
          <w:tab/>
          <w:t xml:space="preserve">in relation to a mining tenement, the </w:t>
        </w:r>
        <w:r>
          <w:rPr>
            <w:i/>
          </w:rPr>
          <w:t>Mining Act 1978</w:t>
        </w:r>
        <w:r>
          <w:t>;</w:t>
        </w:r>
      </w:ins>
    </w:p>
    <w:p>
      <w:pPr>
        <w:pStyle w:val="Defpara"/>
        <w:rPr>
          <w:ins w:id="162" w:author="svcMRProcess" w:date="2018-09-09T10:15:00Z"/>
        </w:rPr>
      </w:pPr>
      <w:ins w:id="163" w:author="svcMRProcess" w:date="2018-09-09T10:15:00Z">
        <w:r>
          <w:tab/>
          <w:t>(c)</w:t>
        </w:r>
        <w:r>
          <w:tab/>
          <w:t xml:space="preserve">in relation to real property, the </w:t>
        </w:r>
        <w:r>
          <w:rPr>
            <w:i/>
          </w:rPr>
          <w:t>Registration of Deeds Act 1856</w:t>
        </w:r>
        <w:r>
          <w:t>;</w:t>
        </w:r>
      </w:ins>
    </w:p>
    <w:p>
      <w:pPr>
        <w:pStyle w:val="Defstart"/>
        <w:rPr>
          <w:ins w:id="164" w:author="svcMRProcess" w:date="2018-09-09T10:15:00Z"/>
        </w:rPr>
      </w:pPr>
      <w:ins w:id="165" w:author="svcMRProcess" w:date="2018-09-09T10:15:00Z">
        <w:r>
          <w:rPr>
            <w:b/>
          </w:rPr>
          <w:tab/>
          <w:t>“</w:t>
        </w:r>
        <w:r>
          <w:rPr>
            <w:rStyle w:val="CharDefText"/>
          </w:rPr>
          <w:t>TLA land</w:t>
        </w:r>
        <w:r>
          <w:rPr>
            <w:b/>
          </w:rPr>
          <w:t>”</w:t>
        </w:r>
        <w:r>
          <w:t xml:space="preserve"> means land that is under the operation of the </w:t>
        </w:r>
        <w:r>
          <w:rPr>
            <w:i/>
            <w:iCs/>
          </w:rPr>
          <w:t>Transfer of Land Act 1893</w:t>
        </w:r>
        <w:r>
          <w:t>.</w:t>
        </w:r>
      </w:ins>
    </w:p>
    <w:p>
      <w:pPr>
        <w:pStyle w:val="Subsection"/>
        <w:rPr>
          <w:ins w:id="166" w:author="svcMRProcess" w:date="2018-09-09T10:15:00Z"/>
        </w:rPr>
      </w:pPr>
      <w:ins w:id="167" w:author="svcMRProcess" w:date="2018-09-09T10:15:00Z">
        <w:r>
          <w:tab/>
          <w:t>(2)</w:t>
        </w:r>
        <w:r>
          <w:tab/>
          <w:t xml:space="preserve">In this Division a reference to tax of a particular kind is to be read as including — </w:t>
        </w:r>
      </w:ins>
    </w:p>
    <w:p>
      <w:pPr>
        <w:pStyle w:val="Indenta"/>
        <w:rPr>
          <w:ins w:id="168" w:author="svcMRProcess" w:date="2018-09-09T10:15:00Z"/>
        </w:rPr>
      </w:pPr>
      <w:ins w:id="169" w:author="svcMRProcess" w:date="2018-09-09T10:15:00Z">
        <w:r>
          <w:tab/>
          <w:t>(a)</w:t>
        </w:r>
        <w:r>
          <w:tab/>
          <w:t xml:space="preserve">penalty tax that is payable in relation to tax of that kind; and </w:t>
        </w:r>
      </w:ins>
    </w:p>
    <w:p>
      <w:pPr>
        <w:pStyle w:val="Indenta"/>
        <w:rPr>
          <w:ins w:id="170" w:author="svcMRProcess" w:date="2018-09-09T10:15:00Z"/>
        </w:rPr>
      </w:pPr>
      <w:ins w:id="171" w:author="svcMRProcess" w:date="2018-09-09T10:15:00Z">
        <w:r>
          <w:tab/>
          <w:t>(b)</w:t>
        </w:r>
        <w:r>
          <w:tab/>
          <w:t>interest payable under a tax payment arrangement in relation to tax of that kind; and</w:t>
        </w:r>
      </w:ins>
    </w:p>
    <w:p>
      <w:pPr>
        <w:pStyle w:val="Indenta"/>
        <w:rPr>
          <w:ins w:id="172" w:author="svcMRProcess" w:date="2018-09-09T10:15:00Z"/>
        </w:rPr>
      </w:pPr>
      <w:ins w:id="173" w:author="svcMRProcess" w:date="2018-09-09T10:15:00Z">
        <w:r>
          <w:tab/>
          <w:t>(c)</w:t>
        </w:r>
        <w:r>
          <w:tab/>
          <w:t xml:space="preserve">costs of the kinds referred to in section 62(a), (b) and (d) that are payable in relation to tax of that kind. </w:t>
        </w:r>
      </w:ins>
    </w:p>
    <w:p>
      <w:pPr>
        <w:pStyle w:val="Footnotesection"/>
        <w:rPr>
          <w:ins w:id="174" w:author="svcMRProcess" w:date="2018-09-09T10:15:00Z"/>
        </w:rPr>
      </w:pPr>
      <w:ins w:id="175" w:author="svcMRProcess" w:date="2018-09-09T10:15:00Z">
        <w:r>
          <w:tab/>
          <w:t>[Section 76A inserted by No. 31 of 2008 s. 4.]</w:t>
        </w:r>
      </w:ins>
    </w:p>
    <w:p>
      <w:pPr>
        <w:pStyle w:val="Heading5"/>
      </w:pPr>
      <w:bookmarkStart w:id="176" w:name="_Toc390071187"/>
      <w:bookmarkStart w:id="177" w:name="_Toc390071266"/>
      <w:r>
        <w:rPr>
          <w:rStyle w:val="CharSectno"/>
        </w:rPr>
        <w:t>76</w:t>
      </w:r>
      <w:r>
        <w:t>.</w:t>
      </w:r>
      <w:r>
        <w:tab/>
        <w:t>Charge on land to secure land tax</w:t>
      </w:r>
      <w:bookmarkEnd w:id="176"/>
      <w:bookmarkEnd w:id="177"/>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del w:id="178" w:author="svcMRProcess" w:date="2018-09-09T10:15:00Z">
        <w:r>
          <w:delText xml:space="preserve"> under section 83</w:delText>
        </w:r>
      </w:del>
      <w:r>
        <w:t>.</w:t>
      </w:r>
    </w:p>
    <w:p>
      <w:pPr>
        <w:pStyle w:val="Subsection"/>
      </w:pPr>
      <w:r>
        <w:tab/>
        <w:t>(2)</w:t>
      </w:r>
      <w:r>
        <w:tab/>
        <w:t xml:space="preserve">If the land tax is not paid by the due date, the Commissioner may lodge a memorial </w:t>
      </w:r>
      <w:del w:id="179" w:author="svcMRProcess" w:date="2018-09-09T10:15:00Z">
        <w:r>
          <w:delText>of</w:delText>
        </w:r>
      </w:del>
      <w:ins w:id="180" w:author="svcMRProcess" w:date="2018-09-09T10:15:00Z">
        <w:r>
          <w:t>for registration against</w:t>
        </w:r>
      </w:ins>
      <w:r>
        <w:t xml:space="preserve"> the </w:t>
      </w:r>
      <w:del w:id="181" w:author="svcMRProcess" w:date="2018-09-09T10:15:00Z">
        <w:r>
          <w:delText>charge with the Registrar of Titles</w:delText>
        </w:r>
      </w:del>
      <w:ins w:id="182" w:author="svcMRProcess" w:date="2018-09-09T10:15:00Z">
        <w:r>
          <w:t>land</w:t>
        </w:r>
      </w:ins>
      <w:r>
        <w:t>.</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 xml:space="preserve">If there is a disposition of the land before the tax is paid, the new owner becomes </w:t>
      </w:r>
      <w:ins w:id="183" w:author="svcMRProcess" w:date="2018-09-09T10:15:00Z">
        <w:r>
          <w:t xml:space="preserve">jointly </w:t>
        </w:r>
      </w:ins>
      <w:r>
        <w:t>liable</w:t>
      </w:r>
      <w:ins w:id="184" w:author="svcMRProcess" w:date="2018-09-09T10:15:00Z">
        <w:r>
          <w:t xml:space="preserve"> with the taxpayer</w:t>
        </w:r>
      </w:ins>
      <w:r>
        <w:t xml:space="preserv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rPr>
          <w:ins w:id="185" w:author="svcMRProcess" w:date="2018-09-09T10:15:00Z"/>
        </w:rPr>
      </w:pPr>
      <w:ins w:id="186" w:author="svcMRProcess" w:date="2018-09-09T10:15:00Z">
        <w:r>
          <w:tab/>
          <w:t>[Section 76 amended by No. 31 of 2008 s. 5 and 26.]</w:t>
        </w:r>
      </w:ins>
    </w:p>
    <w:p>
      <w:pPr>
        <w:pStyle w:val="Heading5"/>
        <w:spacing w:before="240"/>
      </w:pPr>
      <w:bookmarkStart w:id="187" w:name="_Toc390071188"/>
      <w:bookmarkStart w:id="188" w:name="_Toc390071267"/>
      <w:r>
        <w:rPr>
          <w:rStyle w:val="CharSectno"/>
        </w:rPr>
        <w:t>77</w:t>
      </w:r>
      <w:r>
        <w:t>.</w:t>
      </w:r>
      <w:r>
        <w:tab/>
        <w:t>Charge on land to secure stamp duty</w:t>
      </w:r>
      <w:bookmarkEnd w:id="187"/>
      <w:bookmarkEnd w:id="188"/>
    </w:p>
    <w:p>
      <w:pPr>
        <w:pStyle w:val="Subsection"/>
      </w:pPr>
      <w:r>
        <w:tab/>
        <w:t>(1)</w:t>
      </w:r>
      <w:r>
        <w:tab/>
        <w:t xml:space="preserve">If stamp duty payable under item 4, 10, 14A, 15, 17 or 19 of the Second Schedule to the </w:t>
      </w:r>
      <w:r>
        <w:rPr>
          <w:i/>
        </w:rPr>
        <w:t>Stamp Act 1921</w:t>
      </w:r>
      <w:r>
        <w:t xml:space="preserve"> on an instrument in relation to land </w:t>
      </w:r>
      <w:del w:id="189" w:author="svcMRProcess" w:date="2018-09-09T10:15:00Z">
        <w:r>
          <w:delText>as defined in section 76 of that Act</w:delText>
        </w:r>
        <w:r>
          <w:rPr>
            <w:i/>
          </w:rPr>
          <w:delText xml:space="preserve"> </w:delText>
        </w:r>
      </w:del>
      <w:r>
        <w:t xml:space="preserve">is not paid by the due date because it is taken not to be paid under subsection (5), the Commissioner may lodge a memorial </w:t>
      </w:r>
      <w:del w:id="190" w:author="svcMRProcess" w:date="2018-09-09T10:15:00Z">
        <w:r>
          <w:delText xml:space="preserve">with the Registrar of Titles </w:delText>
        </w:r>
      </w:del>
      <w:r>
        <w:t>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t>
      </w:r>
      <w:del w:id="191" w:author="svcMRProcess" w:date="2018-09-09T10:15:00Z">
        <w:r>
          <w:delText xml:space="preserve">with the Registrar of Titles </w:delText>
        </w:r>
      </w:del>
      <w:r>
        <w:t>to create a charge on the land for the unpaid stamp duty.</w:t>
      </w:r>
    </w:p>
    <w:p>
      <w:pPr>
        <w:pStyle w:val="Subsection"/>
      </w:pPr>
      <w:r>
        <w:tab/>
        <w:t>(2)</w:t>
      </w:r>
      <w:r>
        <w:tab/>
        <w:t xml:space="preserve">If stamp duty payable under Part IIIBA of the </w:t>
      </w:r>
      <w:r>
        <w:rPr>
          <w:i/>
        </w:rPr>
        <w:t>Stamp Act 1921</w:t>
      </w:r>
      <w:r>
        <w:t xml:space="preserve"> in relation to land </w:t>
      </w:r>
      <w:del w:id="192" w:author="svcMRProcess" w:date="2018-09-09T10:15:00Z">
        <w:r>
          <w:delText xml:space="preserve">as defined in section 76 of that Act </w:delText>
        </w:r>
      </w:del>
      <w:r>
        <w:t xml:space="preserve">is not paid by the due date, the Commissioner may lodge a memorial </w:t>
      </w:r>
      <w:del w:id="193" w:author="svcMRProcess" w:date="2018-09-09T10:15:00Z">
        <w:r>
          <w:delText xml:space="preserve">with the Registrar of Titles </w:delText>
        </w:r>
      </w:del>
      <w:r>
        <w:t xml:space="preserve">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w:t>
      </w:r>
      <w:del w:id="194" w:author="svcMRProcess" w:date="2018-09-09T10:15:00Z">
        <w:r>
          <w:delText xml:space="preserve">as defined in section 76 of that Act, </w:delText>
        </w:r>
      </w:del>
      <w:r>
        <w:t>then, at any time after the assessment is made, the Commissioner may lodge a memorial</w:t>
      </w:r>
      <w:del w:id="195" w:author="svcMRProcess" w:date="2018-09-09T10:15:00Z">
        <w:r>
          <w:delText xml:space="preserve"> with the Registrar of Titles</w:delText>
        </w:r>
      </w:del>
      <w:r>
        <w:t xml:space="preserve">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The charge arises on the land referred to in subsection (1), (</w:t>
      </w:r>
      <w:ins w:id="196" w:author="svcMRProcess" w:date="2018-09-09T10:15:00Z">
        <w:r>
          <w:t>1a), (</w:t>
        </w:r>
      </w:ins>
      <w:r>
        <w:t>2) or (3) when the memorial is registered</w:t>
      </w:r>
      <w:del w:id="197" w:author="svcMRProcess" w:date="2018-09-09T10:15:00Z">
        <w:r>
          <w:delText xml:space="preserve"> under section 83</w:delText>
        </w:r>
      </w:del>
      <w:r>
        <w:t xml:space="preserve">.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w:t>
      </w:r>
      <w:ins w:id="198" w:author="svcMRProcess" w:date="2018-09-09T10:15:00Z">
        <w:r>
          <w:t>), (1a</w:t>
        </w:r>
      </w:ins>
      <w:r>
        <w:t>) and (2).</w:t>
      </w:r>
    </w:p>
    <w:p>
      <w:pPr>
        <w:pStyle w:val="Subsection"/>
        <w:spacing w:before="180"/>
      </w:pPr>
      <w:r>
        <w:tab/>
        <w:t>(6)</w:t>
      </w:r>
      <w:r>
        <w:tab/>
        <w:t xml:space="preserve">A memorial </w:t>
      </w:r>
      <w:del w:id="199" w:author="svcMRProcess" w:date="2018-09-09T10:15:00Z">
        <w:r>
          <w:delText>under subsection (1) creating</w:delText>
        </w:r>
      </w:del>
      <w:ins w:id="200" w:author="svcMRProcess" w:date="2018-09-09T10:15:00Z">
        <w:r>
          <w:t>to create</w:t>
        </w:r>
      </w:ins>
      <w:r>
        <w:t xml:space="preserve"> a charge on land for stamp duty payable in relation to a transaction cannot be lodged</w:t>
      </w:r>
      <w:ins w:id="201" w:author="svcMRProcess" w:date="2018-09-09T10:15:00Z">
        <w:r>
          <w:t xml:space="preserve"> under subsection (1) or (1a)</w:t>
        </w:r>
      </w:ins>
      <w:r>
        <w:t xml:space="preserve">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w:t>
      </w:r>
      <w:del w:id="202" w:author="svcMRProcess" w:date="2018-09-09T10:15:00Z">
        <w:r>
          <w:delText>11</w:delText>
        </w:r>
      </w:del>
      <w:ins w:id="203" w:author="svcMRProcess" w:date="2018-09-09T10:15:00Z">
        <w:r>
          <w:t>11; No. 31 of 2008 s. 6</w:t>
        </w:r>
      </w:ins>
      <w:r>
        <w:t>.]</w:t>
      </w:r>
    </w:p>
    <w:p>
      <w:pPr>
        <w:pStyle w:val="Heading5"/>
      </w:pPr>
      <w:bookmarkStart w:id="204" w:name="_Toc390071268"/>
      <w:bookmarkStart w:id="205" w:name="_Toc390071189"/>
      <w:r>
        <w:rPr>
          <w:rStyle w:val="CharSectno"/>
        </w:rPr>
        <w:t>78</w:t>
      </w:r>
      <w:r>
        <w:t>.</w:t>
      </w:r>
      <w:r>
        <w:tab/>
      </w:r>
      <w:del w:id="206" w:author="svcMRProcess" w:date="2018-09-09T10:15:00Z">
        <w:r>
          <w:delText>Prohibition</w:delText>
        </w:r>
      </w:del>
      <w:ins w:id="207" w:author="svcMRProcess" w:date="2018-09-09T10:15:00Z">
        <w:r>
          <w:t>Charge</w:t>
        </w:r>
      </w:ins>
      <w:r>
        <w:t xml:space="preserve"> on </w:t>
      </w:r>
      <w:del w:id="208" w:author="svcMRProcess" w:date="2018-09-09T10:15:00Z">
        <w:r>
          <w:delText>dealing with certain charged land</w:delText>
        </w:r>
      </w:del>
      <w:bookmarkEnd w:id="204"/>
      <w:ins w:id="209" w:author="svcMRProcess" w:date="2018-09-09T10:15:00Z">
        <w:r>
          <w:t>subsequent mining tenement</w:t>
        </w:r>
      </w:ins>
      <w:bookmarkEnd w:id="205"/>
    </w:p>
    <w:p>
      <w:pPr>
        <w:pStyle w:val="Subsection"/>
        <w:rPr>
          <w:del w:id="210" w:author="svcMRProcess" w:date="2018-09-09T10:15:00Z"/>
        </w:rPr>
      </w:pPr>
      <w:del w:id="211" w:author="svcMRProcess" w:date="2018-09-09T10:15:00Z">
        <w:r>
          <w:tab/>
          <w:delText>(1)</w:delText>
        </w:r>
        <w:r>
          <w:tab/>
          <w:delTex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delText>
        </w:r>
      </w:del>
    </w:p>
    <w:p>
      <w:pPr>
        <w:pStyle w:val="Subsection"/>
        <w:rPr>
          <w:ins w:id="212" w:author="svcMRProcess" w:date="2018-09-09T10:15:00Z"/>
        </w:rPr>
      </w:pPr>
      <w:del w:id="213" w:author="svcMRProcess" w:date="2018-09-09T10:15:00Z">
        <w:r>
          <w:tab/>
          <w:delText>(2)</w:delText>
        </w:r>
        <w:r>
          <w:tab/>
          <w:delText xml:space="preserve">The </w:delText>
        </w:r>
      </w:del>
      <w:ins w:id="214" w:author="svcMRProcess" w:date="2018-09-09T10:15:00Z">
        <w:r>
          <w:tab/>
        </w:r>
        <w:r>
          <w:tab/>
          <w:t>If —</w:t>
        </w:r>
      </w:ins>
    </w:p>
    <w:p>
      <w:pPr>
        <w:pStyle w:val="Indenta"/>
      </w:pPr>
      <w:ins w:id="215" w:author="svcMRProcess" w:date="2018-09-09T10:15:00Z">
        <w:r>
          <w:tab/>
          <w:t>(a)</w:t>
        </w:r>
        <w:r>
          <w:tab/>
          <w:t xml:space="preserve">a charge arises on a mining tenement as a result of the </w:t>
        </w:r>
      </w:ins>
      <w:r>
        <w:t xml:space="preserve">registration of a memorial </w:t>
      </w:r>
      <w:del w:id="216" w:author="svcMRProcess" w:date="2018-09-09T10:15:00Z">
        <w:r>
          <w:delText xml:space="preserve">that prohibits dealing with land does not — </w:delText>
        </w:r>
      </w:del>
      <w:ins w:id="217" w:author="svcMRProcess" w:date="2018-09-09T10:15:00Z">
        <w:r>
          <w:t>against that tenement; and</w:t>
        </w:r>
      </w:ins>
    </w:p>
    <w:p>
      <w:pPr>
        <w:pStyle w:val="Indenta"/>
        <w:rPr>
          <w:del w:id="218" w:author="svcMRProcess" w:date="2018-09-09T10:15:00Z"/>
        </w:rPr>
      </w:pPr>
      <w:del w:id="219" w:author="svcMRProcess" w:date="2018-09-09T10:15:00Z">
        <w:r>
          <w:tab/>
          <w:delText>(a)</w:delText>
        </w:r>
        <w:r>
          <w:tab/>
          <w:delText>prevent a person from lodging with the Registrar of Titles an instrument relating to a dealing with the land; or</w:delText>
        </w:r>
      </w:del>
    </w:p>
    <w:p>
      <w:pPr>
        <w:pStyle w:val="Indenta"/>
        <w:rPr>
          <w:del w:id="220" w:author="svcMRProcess" w:date="2018-09-09T10:15:00Z"/>
        </w:rPr>
      </w:pPr>
      <w:del w:id="221" w:author="svcMRProcess" w:date="2018-09-09T10:15:00Z">
        <w:r>
          <w:tab/>
          <w:delText>(b)</w:delText>
        </w:r>
        <w:r>
          <w:tab/>
          <w:delText>prevent the Registrar of Titles from accepting an instrument relating to a dealing with the land.</w:delText>
        </w:r>
      </w:del>
    </w:p>
    <w:p>
      <w:pPr>
        <w:pStyle w:val="Indenta"/>
        <w:rPr>
          <w:ins w:id="222" w:author="svcMRProcess" w:date="2018-09-09T10:15:00Z"/>
        </w:rPr>
      </w:pPr>
      <w:del w:id="223" w:author="svcMRProcess" w:date="2018-09-09T10:15:00Z">
        <w:r>
          <w:tab/>
          <w:delText>(3)</w:delText>
        </w:r>
        <w:r>
          <w:tab/>
          <w:delText xml:space="preserve">If a memorial of a charge prohibits dealing with land then, on </w:delText>
        </w:r>
      </w:del>
      <w:ins w:id="224" w:author="svcMRProcess" w:date="2018-09-09T10:15:00Z">
        <w:r>
          <w:tab/>
          <w:t>(b)</w:t>
        </w:r>
        <w:r>
          <w:tab/>
          <w:t xml:space="preserve">under the </w:t>
        </w:r>
        <w:r>
          <w:rPr>
            <w:i/>
          </w:rPr>
          <w:t>Mining Act 1978</w:t>
        </w:r>
        <w:r>
          <w:t xml:space="preserve"> section 103EA(3) a memorial is registered against a later tenement within the meaning given in that section,</w:t>
        </w:r>
      </w:ins>
    </w:p>
    <w:p>
      <w:pPr>
        <w:pStyle w:val="Subsection"/>
      </w:pPr>
      <w:ins w:id="225" w:author="svcMRProcess" w:date="2018-09-09T10:15:00Z">
        <w:r>
          <w:tab/>
        </w:r>
        <w:r>
          <w:tab/>
        </w:r>
      </w:ins>
      <w:r>
        <w:t xml:space="preserve">the registration of </w:t>
      </w:r>
      <w:del w:id="226" w:author="svcMRProcess" w:date="2018-09-09T10:15:00Z">
        <w:r>
          <w:delText>a</w:delText>
        </w:r>
      </w:del>
      <w:ins w:id="227" w:author="svcMRProcess" w:date="2018-09-09T10:15:00Z">
        <w:r>
          <w:t>the</w:t>
        </w:r>
      </w:ins>
      <w:r>
        <w:t xml:space="preserve"> memorial </w:t>
      </w:r>
      <w:del w:id="228" w:author="svcMRProcess" w:date="2018-09-09T10:15:00Z">
        <w:r>
          <w:delText>releasing</w:delText>
        </w:r>
      </w:del>
      <w:ins w:id="229" w:author="svcMRProcess" w:date="2018-09-09T10:15:00Z">
        <w:r>
          <w:t>against the later tenement creates a charge on that later tenement for</w:t>
        </w:r>
      </w:ins>
      <w:r>
        <w:t xml:space="preserve"> the </w:t>
      </w:r>
      <w:del w:id="230" w:author="svcMRProcess" w:date="2018-09-09T10:15:00Z">
        <w:r>
          <w:delText>land from</w:delText>
        </w:r>
      </w:del>
      <w:ins w:id="231" w:author="svcMRProcess" w:date="2018-09-09T10:15:00Z">
        <w:r>
          <w:t>unpaid tax secured by</w:t>
        </w:r>
      </w:ins>
      <w:r>
        <w:t xml:space="preserve"> the charge</w:t>
      </w:r>
      <w:del w:id="232" w:author="svcMRProcess" w:date="2018-09-09T10:15:00Z">
        <w:r>
          <w:delText>, an instrument lodged previously with the Registrar of Titles has effect as if the memorial of the charge had not been registered.</w:delText>
        </w:r>
      </w:del>
      <w:ins w:id="233" w:author="svcMRProcess" w:date="2018-09-09T10:15:00Z">
        <w:r>
          <w:t xml:space="preserve"> referred to in paragraph (a).</w:t>
        </w:r>
      </w:ins>
    </w:p>
    <w:p>
      <w:pPr>
        <w:pStyle w:val="Footnotesection"/>
        <w:rPr>
          <w:ins w:id="234" w:author="svcMRProcess" w:date="2018-09-09T10:15:00Z"/>
        </w:rPr>
      </w:pPr>
      <w:ins w:id="235" w:author="svcMRProcess" w:date="2018-09-09T10:15:00Z">
        <w:r>
          <w:tab/>
          <w:t>[Section 78 inserted by No. 31 of 2008 s. 7.]</w:t>
        </w:r>
      </w:ins>
    </w:p>
    <w:p>
      <w:pPr>
        <w:pStyle w:val="Heading5"/>
        <w:spacing w:before="240"/>
      </w:pPr>
      <w:bookmarkStart w:id="236" w:name="_Toc390071190"/>
      <w:bookmarkStart w:id="237" w:name="_Toc390071269"/>
      <w:r>
        <w:rPr>
          <w:rStyle w:val="CharSectno"/>
        </w:rPr>
        <w:t>79</w:t>
      </w:r>
      <w:r>
        <w:t>.</w:t>
      </w:r>
      <w:r>
        <w:tab/>
        <w:t>Priority of charge</w:t>
      </w:r>
      <w:bookmarkEnd w:id="236"/>
      <w:bookmarkEnd w:id="237"/>
    </w:p>
    <w:p>
      <w:pPr>
        <w:pStyle w:val="Subsection"/>
        <w:spacing w:before="180"/>
      </w:pPr>
      <w:r>
        <w:tab/>
        <w:t>(1)</w:t>
      </w:r>
      <w:r>
        <w:tab/>
      </w:r>
      <w:del w:id="238" w:author="svcMRProcess" w:date="2018-09-09T10:15:00Z">
        <w:r>
          <w:delText>When a memorial of a</w:delText>
        </w:r>
      </w:del>
      <w:ins w:id="239" w:author="svcMRProcess" w:date="2018-09-09T10:15:00Z">
        <w:r>
          <w:t>A</w:t>
        </w:r>
      </w:ins>
      <w:r>
        <w:t xml:space="preserve"> charge </w:t>
      </w:r>
      <w:del w:id="240" w:author="svcMRProcess" w:date="2018-09-09T10:15:00Z">
        <w:r>
          <w:delText>on land is registered</w:delText>
        </w:r>
      </w:del>
      <w:ins w:id="241" w:author="svcMRProcess" w:date="2018-09-09T10:15:00Z">
        <w:r>
          <w:t>arising</w:t>
        </w:r>
      </w:ins>
      <w:r>
        <w:t xml:space="preserve"> under this </w:t>
      </w:r>
      <w:del w:id="242" w:author="svcMRProcess" w:date="2018-09-09T10:15:00Z">
        <w:r>
          <w:delText>Act, the charge</w:delText>
        </w:r>
      </w:del>
      <w:ins w:id="243" w:author="svcMRProcess" w:date="2018-09-09T10:15:00Z">
        <w:r>
          <w:t>Division</w:t>
        </w:r>
      </w:ins>
      <w:r>
        <w:t xml:space="preserve">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rPr>
          <w:ins w:id="244" w:author="svcMRProcess" w:date="2018-09-09T10:15:00Z"/>
        </w:rPr>
      </w:pPr>
      <w:ins w:id="245" w:author="svcMRProcess" w:date="2018-09-09T10:15:00Z">
        <w:r>
          <w:tab/>
          <w:t>[Section 79 amended by No. 31 of 2008 s. 8.]</w:t>
        </w:r>
      </w:ins>
    </w:p>
    <w:p>
      <w:pPr>
        <w:pStyle w:val="Heading5"/>
        <w:spacing w:before="240"/>
      </w:pPr>
      <w:bookmarkStart w:id="246" w:name="_Toc390071191"/>
      <w:bookmarkStart w:id="247" w:name="_Toc390071270"/>
      <w:r>
        <w:rPr>
          <w:rStyle w:val="CharSectno"/>
        </w:rPr>
        <w:t>80</w:t>
      </w:r>
      <w:r>
        <w:t>.</w:t>
      </w:r>
      <w:r>
        <w:tab/>
        <w:t>Certificate of land tax secured by charge</w:t>
      </w:r>
      <w:bookmarkEnd w:id="246"/>
      <w:bookmarkEnd w:id="247"/>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248" w:name="_Toc390071271"/>
      <w:bookmarkStart w:id="249" w:name="_Toc390071192"/>
      <w:r>
        <w:rPr>
          <w:rStyle w:val="CharSectno"/>
        </w:rPr>
        <w:t>81</w:t>
      </w:r>
      <w:r>
        <w:t>.</w:t>
      </w:r>
      <w:r>
        <w:tab/>
      </w:r>
      <w:del w:id="250" w:author="svcMRProcess" w:date="2018-09-09T10:15:00Z">
        <w:r>
          <w:delText>Release</w:delText>
        </w:r>
      </w:del>
      <w:ins w:id="251" w:author="svcMRProcess" w:date="2018-09-09T10:15:00Z">
        <w:r>
          <w:t>Withdrawal</w:t>
        </w:r>
      </w:ins>
      <w:r>
        <w:t xml:space="preserve"> of </w:t>
      </w:r>
      <w:del w:id="252" w:author="svcMRProcess" w:date="2018-09-09T10:15:00Z">
        <w:r>
          <w:delText>land from charge</w:delText>
        </w:r>
      </w:del>
      <w:bookmarkEnd w:id="248"/>
      <w:ins w:id="253" w:author="svcMRProcess" w:date="2018-09-09T10:15:00Z">
        <w:r>
          <w:t>memorial to be given when tax paid</w:t>
        </w:r>
      </w:ins>
      <w:bookmarkEnd w:id="249"/>
    </w:p>
    <w:p>
      <w:pPr>
        <w:pStyle w:val="Subsection"/>
        <w:rPr>
          <w:ins w:id="254" w:author="svcMRProcess" w:date="2018-09-09T10:15:00Z"/>
        </w:rPr>
      </w:pPr>
      <w:r>
        <w:tab/>
        <w:t>(1)</w:t>
      </w:r>
      <w:r>
        <w:tab/>
        <w:t xml:space="preserve">If a memorial </w:t>
      </w:r>
      <w:del w:id="255" w:author="svcMRProcess" w:date="2018-09-09T10:15:00Z">
        <w:r>
          <w:delText xml:space="preserve">of a charge on land </w:delText>
        </w:r>
      </w:del>
      <w:r>
        <w:t xml:space="preserve">is </w:t>
      </w:r>
      <w:del w:id="256" w:author="svcMRProcess" w:date="2018-09-09T10:15:00Z">
        <w:r>
          <w:delText>registered, then, on payment of the amount secured by the charge</w:delText>
        </w:r>
      </w:del>
      <w:ins w:id="257" w:author="svcMRProcess" w:date="2018-09-09T10:15:00Z">
        <w:r>
          <w:t>lodged under section 76</w:t>
        </w:r>
      </w:ins>
      <w:r>
        <w:t xml:space="preserve">, the Commissioner must </w:t>
      </w:r>
      <w:del w:id="258" w:author="svcMRProcess" w:date="2018-09-09T10:15:00Z">
        <w:r>
          <w:delText>serve on</w:delText>
        </w:r>
      </w:del>
      <w:ins w:id="259" w:author="svcMRProcess" w:date="2018-09-09T10:15:00Z">
        <w:r>
          <w:t>give a withdrawal of memorial to</w:t>
        </w:r>
      </w:ins>
      <w:r>
        <w:t xml:space="preserve"> the taxpayer </w:t>
      </w:r>
      <w:del w:id="260" w:author="svcMRProcess" w:date="2018-09-09T10:15:00Z">
        <w:r>
          <w:delText>an instrument releasing</w:delText>
        </w:r>
      </w:del>
      <w:ins w:id="261" w:author="svcMRProcess" w:date="2018-09-09T10:15:00Z">
        <w:r>
          <w:t>on payment of —</w:t>
        </w:r>
      </w:ins>
    </w:p>
    <w:p>
      <w:pPr>
        <w:pStyle w:val="Indenta"/>
        <w:rPr>
          <w:ins w:id="262" w:author="svcMRProcess" w:date="2018-09-09T10:15:00Z"/>
        </w:rPr>
      </w:pPr>
      <w:ins w:id="263" w:author="svcMRProcess" w:date="2018-09-09T10:15:00Z">
        <w:r>
          <w:tab/>
          <w:t>(a)</w:t>
        </w:r>
        <w:r>
          <w:tab/>
          <w:t>the land tax that was unpaid at the time the memorial was lodged; and</w:t>
        </w:r>
      </w:ins>
    </w:p>
    <w:p>
      <w:pPr>
        <w:pStyle w:val="Indenta"/>
      </w:pPr>
      <w:ins w:id="264" w:author="svcMRProcess" w:date="2018-09-09T10:15:00Z">
        <w:r>
          <w:tab/>
          <w:t>(b)</w:t>
        </w:r>
        <w:r>
          <w:tab/>
          <w:t>any land tax (including any amounts of the kinds referred to in section 76A(2)) that has subsequently become payable in relation to</w:t>
        </w:r>
      </w:ins>
      <w:r>
        <w:t xml:space="preserve"> the land </w:t>
      </w:r>
      <w:del w:id="265" w:author="svcMRProcess" w:date="2018-09-09T10:15:00Z">
        <w:r>
          <w:delText>from the charge.</w:delText>
        </w:r>
      </w:del>
      <w:ins w:id="266" w:author="svcMRProcess" w:date="2018-09-09T10:15:00Z">
        <w:r>
          <w:t>(whether or not the due date for payment of that tax has arrived).</w:t>
        </w:r>
      </w:ins>
    </w:p>
    <w:p>
      <w:pPr>
        <w:pStyle w:val="Subsection"/>
      </w:pPr>
      <w:r>
        <w:tab/>
        <w:t>(2)</w:t>
      </w:r>
      <w:r>
        <w:tab/>
        <w:t xml:space="preserve">However, if land tax is assessed in relation to land comprising a number of separate lots or parcels, the Commissioner is not obliged to </w:t>
      </w:r>
      <w:del w:id="267" w:author="svcMRProcess" w:date="2018-09-09T10:15:00Z">
        <w:r>
          <w:delText>release</w:delText>
        </w:r>
      </w:del>
      <w:ins w:id="268" w:author="svcMRProcess" w:date="2018-09-09T10:15:00Z">
        <w:r>
          <w:t>give a withdrawal of memorial for</w:t>
        </w:r>
      </w:ins>
      <w:r>
        <w:t xml:space="preserve"> any lot or parcel</w:t>
      </w:r>
      <w:del w:id="269" w:author="svcMRProcess" w:date="2018-09-09T10:15:00Z">
        <w:r>
          <w:delText xml:space="preserve"> from the charge</w:delText>
        </w:r>
      </w:del>
      <w:r>
        <w:t xml:space="preserve"> unless the whole of the land tax is paid.</w:t>
      </w:r>
    </w:p>
    <w:p>
      <w:pPr>
        <w:pStyle w:val="Heading5"/>
        <w:rPr>
          <w:del w:id="270" w:author="svcMRProcess" w:date="2018-09-09T10:15:00Z"/>
        </w:rPr>
      </w:pPr>
      <w:bookmarkStart w:id="271" w:name="_Toc390071272"/>
      <w:del w:id="272" w:author="svcMRProcess" w:date="2018-09-09T10:15:00Z">
        <w:r>
          <w:rPr>
            <w:rStyle w:val="CharSectno"/>
          </w:rPr>
          <w:delText>82</w:delText>
        </w:r>
        <w:r>
          <w:delText>.</w:delText>
        </w:r>
        <w:r>
          <w:tab/>
          <w:delText>Form of memorial</w:delText>
        </w:r>
        <w:bookmarkEnd w:id="271"/>
      </w:del>
    </w:p>
    <w:p>
      <w:pPr>
        <w:pStyle w:val="Subsection"/>
        <w:rPr>
          <w:ins w:id="273" w:author="svcMRProcess" w:date="2018-09-09T10:15:00Z"/>
        </w:rPr>
      </w:pPr>
      <w:ins w:id="274" w:author="svcMRProcess" w:date="2018-09-09T10:15:00Z">
        <w:r>
          <w:tab/>
          <w:t>(3)</w:t>
        </w:r>
        <w:r>
          <w:tab/>
          <w:t xml:space="preserve">If a memorial is lodged under section 77, the Commissioner must give a withdrawal of memorial to the taxpayer on payment of — </w:t>
        </w:r>
      </w:ins>
    </w:p>
    <w:p>
      <w:pPr>
        <w:pStyle w:val="Indenta"/>
        <w:rPr>
          <w:ins w:id="275" w:author="svcMRProcess" w:date="2018-09-09T10:15:00Z"/>
        </w:rPr>
      </w:pPr>
      <w:ins w:id="276" w:author="svcMRProcess" w:date="2018-09-09T10:15:00Z">
        <w:r>
          <w:tab/>
          <w:t>(a)</w:t>
        </w:r>
        <w:r>
          <w:tab/>
          <w:t>the tax secured by the charge created by the registration of the memorial; and</w:t>
        </w:r>
      </w:ins>
    </w:p>
    <w:p>
      <w:pPr>
        <w:pStyle w:val="Indenta"/>
        <w:rPr>
          <w:ins w:id="277" w:author="svcMRProcess" w:date="2018-09-09T10:15:00Z"/>
        </w:rPr>
      </w:pPr>
      <w:ins w:id="278" w:author="svcMRProcess" w:date="2018-09-09T10:15:00Z">
        <w:r>
          <w:tab/>
          <w:t>(b)</w:t>
        </w:r>
        <w:r>
          <w:tab/>
          <w:t xml:space="preserve">any amounts of the kinds referred to in section 76A(2) that have subsequently become payable in relation to that tax. </w:t>
        </w:r>
      </w:ins>
    </w:p>
    <w:p>
      <w:pPr>
        <w:pStyle w:val="Subsection"/>
        <w:rPr>
          <w:ins w:id="279" w:author="svcMRProcess" w:date="2018-09-09T10:15:00Z"/>
        </w:rPr>
      </w:pPr>
      <w:ins w:id="280" w:author="svcMRProcess" w:date="2018-09-09T10:15:00Z">
        <w:r>
          <w:tab/>
          <w:t>(4)</w:t>
        </w:r>
        <w:r>
          <w:tab/>
          <w:t>A taxpayer given a withdrawal of memorial may lodge it for registration against the land.</w:t>
        </w:r>
      </w:ins>
    </w:p>
    <w:p>
      <w:pPr>
        <w:pStyle w:val="Subsection"/>
        <w:rPr>
          <w:ins w:id="281" w:author="svcMRProcess" w:date="2018-09-09T10:15:00Z"/>
        </w:rPr>
      </w:pPr>
      <w:ins w:id="282" w:author="svcMRProcess" w:date="2018-09-09T10:15:00Z">
        <w:r>
          <w:tab/>
          <w:t>(5)</w:t>
        </w:r>
        <w:r>
          <w:tab/>
          <w:t>If a memorial is lodged under this Division, the Commissioner —</w:t>
        </w:r>
      </w:ins>
    </w:p>
    <w:p>
      <w:pPr>
        <w:pStyle w:val="Indenta"/>
        <w:rPr>
          <w:ins w:id="283" w:author="svcMRProcess" w:date="2018-09-09T10:15:00Z"/>
        </w:rPr>
      </w:pPr>
      <w:ins w:id="284" w:author="svcMRProcess" w:date="2018-09-09T10:15:00Z">
        <w:r>
          <w:tab/>
          <w:t>(a)</w:t>
        </w:r>
        <w:r>
          <w:tab/>
          <w:t>may lodge a withdrawal of memorial at any time whether or not the relevant tax has been paid; and</w:t>
        </w:r>
      </w:ins>
    </w:p>
    <w:p>
      <w:pPr>
        <w:pStyle w:val="Indenta"/>
        <w:rPr>
          <w:ins w:id="285" w:author="svcMRProcess" w:date="2018-09-09T10:15:00Z"/>
        </w:rPr>
      </w:pPr>
      <w:ins w:id="286" w:author="svcMRProcess" w:date="2018-09-09T10:15:00Z">
        <w:r>
          <w:tab/>
          <w:t>(b)</w:t>
        </w:r>
        <w:r>
          <w:tab/>
          <w:t>must lodge a withdrawal of memorial when the land is sold in accordance with an order made under section 85.</w:t>
        </w:r>
      </w:ins>
    </w:p>
    <w:p>
      <w:pPr>
        <w:pStyle w:val="Footnotesection"/>
        <w:rPr>
          <w:ins w:id="287" w:author="svcMRProcess" w:date="2018-09-09T10:15:00Z"/>
        </w:rPr>
      </w:pPr>
      <w:ins w:id="288" w:author="svcMRProcess" w:date="2018-09-09T10:15:00Z">
        <w:r>
          <w:tab/>
          <w:t>[Section 81 inserted by No. 31 of 2008 s. 9.]</w:t>
        </w:r>
      </w:ins>
    </w:p>
    <w:p>
      <w:pPr>
        <w:pStyle w:val="Heading5"/>
        <w:rPr>
          <w:ins w:id="289" w:author="svcMRProcess" w:date="2018-09-09T10:15:00Z"/>
        </w:rPr>
      </w:pPr>
      <w:bookmarkStart w:id="290" w:name="_Toc390071193"/>
      <w:ins w:id="291" w:author="svcMRProcess" w:date="2018-09-09T10:15:00Z">
        <w:r>
          <w:rPr>
            <w:rStyle w:val="CharSectno"/>
          </w:rPr>
          <w:t>82</w:t>
        </w:r>
        <w:r>
          <w:t>.</w:t>
        </w:r>
        <w:r>
          <w:tab/>
          <w:t>Memorials affecting TLA land or real property</w:t>
        </w:r>
        <w:bookmarkEnd w:id="290"/>
      </w:ins>
    </w:p>
    <w:p>
      <w:pPr>
        <w:pStyle w:val="Subsection"/>
        <w:rPr>
          <w:ins w:id="292" w:author="svcMRProcess" w:date="2018-09-09T10:15:00Z"/>
        </w:rPr>
      </w:pPr>
      <w:r>
        <w:tab/>
        <w:t>(1)</w:t>
      </w:r>
      <w:r>
        <w:tab/>
      </w:r>
      <w:del w:id="293" w:author="svcMRProcess" w:date="2018-09-09T10:15:00Z">
        <w:r>
          <w:delText xml:space="preserve">The </w:delText>
        </w:r>
      </w:del>
      <w:ins w:id="294" w:author="svcMRProcess" w:date="2018-09-09T10:15:00Z">
        <w:r>
          <w:t xml:space="preserve">In this section — </w:t>
        </w:r>
      </w:ins>
    </w:p>
    <w:p>
      <w:pPr>
        <w:pStyle w:val="Defstart"/>
        <w:rPr>
          <w:ins w:id="295" w:author="svcMRProcess" w:date="2018-09-09T10:15:00Z"/>
        </w:rPr>
      </w:pPr>
      <w:ins w:id="296" w:author="svcMRProcess" w:date="2018-09-09T10:15:00Z">
        <w:r>
          <w:rPr>
            <w:b/>
          </w:rPr>
          <w:tab/>
          <w:t>“</w:t>
        </w:r>
        <w:r>
          <w:rPr>
            <w:rStyle w:val="CharDefText"/>
          </w:rPr>
          <w:t>instrument</w:t>
        </w:r>
        <w:r>
          <w:rPr>
            <w:b/>
          </w:rPr>
          <w:t>” </w:t>
        </w:r>
        <w:r>
          <w:rPr>
            <w:bCs/>
          </w:rPr>
          <w:t xml:space="preserve">— </w:t>
        </w:r>
      </w:ins>
    </w:p>
    <w:p>
      <w:pPr>
        <w:pStyle w:val="Defpara"/>
        <w:rPr>
          <w:ins w:id="297" w:author="svcMRProcess" w:date="2018-09-09T10:15:00Z"/>
        </w:rPr>
      </w:pPr>
      <w:ins w:id="298" w:author="svcMRProcess" w:date="2018-09-09T10:15:00Z">
        <w:r>
          <w:tab/>
          <w:t>(a)</w:t>
        </w:r>
        <w:r>
          <w:tab/>
          <w:t xml:space="preserve">in relation to TLA land, has the meaning given in the </w:t>
        </w:r>
        <w:r>
          <w:rPr>
            <w:i/>
            <w:iCs/>
          </w:rPr>
          <w:t>Transfer of Land Act 1893</w:t>
        </w:r>
        <w:r>
          <w:t xml:space="preserve"> section 4; and</w:t>
        </w:r>
      </w:ins>
    </w:p>
    <w:p>
      <w:pPr>
        <w:pStyle w:val="Defpara"/>
        <w:rPr>
          <w:ins w:id="299" w:author="svcMRProcess" w:date="2018-09-09T10:15:00Z"/>
        </w:rPr>
      </w:pPr>
      <w:ins w:id="300" w:author="svcMRProcess" w:date="2018-09-09T10:15:00Z">
        <w:r>
          <w:tab/>
          <w:t>(b)</w:t>
        </w:r>
        <w:r>
          <w:tab/>
          <w:t>in relation to real property, means a judgment, deed, conveyance or instrument in writing;</w:t>
        </w:r>
      </w:ins>
    </w:p>
    <w:p>
      <w:pPr>
        <w:pStyle w:val="Defstart"/>
      </w:pPr>
      <w:ins w:id="301" w:author="svcMRProcess" w:date="2018-09-09T10:15:00Z">
        <w:r>
          <w:rPr>
            <w:b/>
          </w:rPr>
          <w:tab/>
          <w:t>“</w:t>
        </w:r>
      </w:ins>
      <w:r>
        <w:rPr>
          <w:rStyle w:val="CharDefText"/>
        </w:rPr>
        <w:t>Registrar</w:t>
      </w:r>
      <w:del w:id="302" w:author="svcMRProcess" w:date="2018-09-09T10:15:00Z">
        <w:r>
          <w:delText xml:space="preserve"> of Titles may approve the form of memorials lodged under this Act.</w:delText>
        </w:r>
      </w:del>
      <w:ins w:id="303" w:author="svcMRProcess" w:date="2018-09-09T10:15:00Z">
        <w:r>
          <w:rPr>
            <w:b/>
          </w:rPr>
          <w:t>”</w:t>
        </w:r>
        <w:r>
          <w:t xml:space="preserve"> means — </w:t>
        </w:r>
      </w:ins>
    </w:p>
    <w:p>
      <w:pPr>
        <w:pStyle w:val="Defpara"/>
        <w:rPr>
          <w:ins w:id="304" w:author="svcMRProcess" w:date="2018-09-09T10:15:00Z"/>
        </w:rPr>
      </w:pPr>
      <w:ins w:id="305" w:author="svcMRProcess" w:date="2018-09-09T10:15:00Z">
        <w:r>
          <w:tab/>
          <w:t>(a)</w:t>
        </w:r>
        <w:r>
          <w:tab/>
          <w:t>in relation to TLA land, the Registrar of Titles; and</w:t>
        </w:r>
      </w:ins>
    </w:p>
    <w:p>
      <w:pPr>
        <w:pStyle w:val="Defpara"/>
        <w:rPr>
          <w:ins w:id="306" w:author="svcMRProcess" w:date="2018-09-09T10:15:00Z"/>
        </w:rPr>
      </w:pPr>
      <w:ins w:id="307" w:author="svcMRProcess" w:date="2018-09-09T10:15:00Z">
        <w:r>
          <w:tab/>
          <w:t>(b)</w:t>
        </w:r>
        <w:r>
          <w:tab/>
          <w:t xml:space="preserve">in relation to real property, the Registrar of Deeds and Transfers. </w:t>
        </w:r>
      </w:ins>
    </w:p>
    <w:p>
      <w:pPr>
        <w:pStyle w:val="Subsection"/>
      </w:pPr>
      <w:r>
        <w:tab/>
        <w:t>(2)</w:t>
      </w:r>
      <w:r>
        <w:tab/>
        <w:t xml:space="preserve">A memorial </w:t>
      </w:r>
      <w:del w:id="308" w:author="svcMRProcess" w:date="2018-09-09T10:15:00Z">
        <w:r>
          <w:delText>must</w:delText>
        </w:r>
      </w:del>
      <w:ins w:id="309" w:author="svcMRProcess" w:date="2018-09-09T10:15:00Z">
        <w:r>
          <w:t>or withdrawal of memorial affecting TLA land or real property is to</w:t>
        </w:r>
      </w:ins>
      <w:r>
        <w:t xml:space="preserve"> be</w:t>
      </w:r>
      <w:ins w:id="310" w:author="svcMRProcess" w:date="2018-09-09T10:15:00Z">
        <w:r>
          <w:t xml:space="preserve"> lodged</w:t>
        </w:r>
      </w:ins>
      <w:r>
        <w:t xml:space="preserve"> in a form approved by the Registrar</w:t>
      </w:r>
      <w:del w:id="311" w:author="svcMRProcess" w:date="2018-09-09T10:15:00Z">
        <w:r>
          <w:delText xml:space="preserve"> of Titles</w:delText>
        </w:r>
      </w:del>
      <w:r>
        <w:t>.</w:t>
      </w:r>
    </w:p>
    <w:p>
      <w:pPr>
        <w:pStyle w:val="Heading5"/>
        <w:rPr>
          <w:del w:id="312" w:author="svcMRProcess" w:date="2018-09-09T10:15:00Z"/>
        </w:rPr>
      </w:pPr>
      <w:bookmarkStart w:id="313" w:name="_Toc390071273"/>
      <w:del w:id="314" w:author="svcMRProcess" w:date="2018-09-09T10:15:00Z">
        <w:r>
          <w:rPr>
            <w:rStyle w:val="CharSectno"/>
          </w:rPr>
          <w:delText>83</w:delText>
        </w:r>
        <w:r>
          <w:delText>.</w:delText>
        </w:r>
        <w:r>
          <w:tab/>
          <w:delText>Registration of memorials and releases</w:delText>
        </w:r>
        <w:bookmarkEnd w:id="313"/>
      </w:del>
    </w:p>
    <w:p>
      <w:pPr>
        <w:pStyle w:val="Subsection"/>
      </w:pPr>
      <w:del w:id="315" w:author="svcMRProcess" w:date="2018-09-09T10:15:00Z">
        <w:r>
          <w:tab/>
          <w:delText>(1</w:delText>
        </w:r>
      </w:del>
      <w:ins w:id="316" w:author="svcMRProcess" w:date="2018-09-09T10:15:00Z">
        <w:r>
          <w:tab/>
          <w:t>(3</w:t>
        </w:r>
      </w:ins>
      <w:r>
        <w:t>)</w:t>
      </w:r>
      <w:r>
        <w:tab/>
        <w:t xml:space="preserve">When a memorial </w:t>
      </w:r>
      <w:ins w:id="317" w:author="svcMRProcess" w:date="2018-09-09T10:15:00Z">
        <w:r>
          <w:t xml:space="preserve">or withdrawal of memorial affecting TLA land or real property </w:t>
        </w:r>
      </w:ins>
      <w:r>
        <w:t xml:space="preserve">is lodged </w:t>
      </w:r>
      <w:del w:id="318" w:author="svcMRProcess" w:date="2018-09-09T10:15:00Z">
        <w:r>
          <w:delText xml:space="preserve">under this Act, </w:delText>
        </w:r>
      </w:del>
      <w:r>
        <w:t>the Registrar</w:t>
      </w:r>
      <w:del w:id="319" w:author="svcMRProcess" w:date="2018-09-09T10:15:00Z">
        <w:r>
          <w:delText xml:space="preserve"> of Titles</w:delText>
        </w:r>
      </w:del>
      <w:r>
        <w:t xml:space="preserve"> must register it</w:t>
      </w:r>
      <w:ins w:id="320" w:author="svcMRProcess" w:date="2018-09-09T10:15:00Z">
        <w:r>
          <w:t xml:space="preserve"> against the land</w:t>
        </w:r>
      </w:ins>
      <w:r>
        <w:t>.</w:t>
      </w:r>
    </w:p>
    <w:p>
      <w:pPr>
        <w:pStyle w:val="Subsection"/>
        <w:rPr>
          <w:ins w:id="321" w:author="svcMRProcess" w:date="2018-09-09T10:15:00Z"/>
        </w:rPr>
      </w:pPr>
      <w:r>
        <w:tab/>
        <w:t>(</w:t>
      </w:r>
      <w:del w:id="322" w:author="svcMRProcess" w:date="2018-09-09T10:15:00Z">
        <w:r>
          <w:delText>2)</w:delText>
        </w:r>
        <w:r>
          <w:tab/>
          <w:delText>On the application</w:delText>
        </w:r>
      </w:del>
      <w:ins w:id="323" w:author="svcMRProcess" w:date="2018-09-09T10:15:00Z">
        <w:r>
          <w:t>4)</w:t>
        </w:r>
        <w:r>
          <w:tab/>
          <w:t>A memorial affecting TLA land or real property takes effect when it is registered and ceases to have effect when a withdrawal</w:t>
        </w:r>
      </w:ins>
      <w:r>
        <w:t xml:space="preserve"> of the </w:t>
      </w:r>
      <w:del w:id="324" w:author="svcMRProcess" w:date="2018-09-09T10:15:00Z">
        <w:r>
          <w:delText>owner of the land accompanied by an instrument of release issued under section 81(1),</w:delText>
        </w:r>
      </w:del>
      <w:ins w:id="325" w:author="svcMRProcess" w:date="2018-09-09T10:15:00Z">
        <w:r>
          <w:t>memorial is registered.</w:t>
        </w:r>
      </w:ins>
    </w:p>
    <w:p>
      <w:pPr>
        <w:pStyle w:val="Subsection"/>
        <w:rPr>
          <w:ins w:id="326" w:author="svcMRProcess" w:date="2018-09-09T10:15:00Z"/>
        </w:rPr>
      </w:pPr>
      <w:ins w:id="327" w:author="svcMRProcess" w:date="2018-09-09T10:15:00Z">
        <w:r>
          <w:tab/>
          <w:t>(5)</w:t>
        </w:r>
        <w:r>
          <w:tab/>
          <w:t>While a memorial registered against TLA land or real property is in effect</w:t>
        </w:r>
      </w:ins>
      <w:r>
        <w:t xml:space="preserve"> the Registrar </w:t>
      </w:r>
      <w:del w:id="328" w:author="svcMRProcess" w:date="2018-09-09T10:15:00Z">
        <w:r>
          <w:delText xml:space="preserve">of Titles </w:delText>
        </w:r>
      </w:del>
      <w:r>
        <w:t xml:space="preserve">must </w:t>
      </w:r>
      <w:ins w:id="329" w:author="svcMRProcess" w:date="2018-09-09T10:15:00Z">
        <w:r>
          <w:t xml:space="preserve">not </w:t>
        </w:r>
      </w:ins>
      <w:r>
        <w:t xml:space="preserve">register </w:t>
      </w:r>
      <w:del w:id="330" w:author="svcMRProcess" w:date="2018-09-09T10:15:00Z">
        <w:r>
          <w:delText xml:space="preserve">the release of </w:delText>
        </w:r>
      </w:del>
      <w:ins w:id="331" w:author="svcMRProcess" w:date="2018-09-09T10:15:00Z">
        <w:r>
          <w:t>any instrument affecting the land without the consent of the Commissioner.</w:t>
        </w:r>
      </w:ins>
    </w:p>
    <w:p>
      <w:pPr>
        <w:pStyle w:val="Subsection"/>
        <w:rPr>
          <w:ins w:id="332" w:author="svcMRProcess" w:date="2018-09-09T10:15:00Z"/>
        </w:rPr>
      </w:pPr>
      <w:ins w:id="333" w:author="svcMRProcess" w:date="2018-09-09T10:15:00Z">
        <w:r>
          <w:tab/>
          <w:t>(6)</w:t>
        </w:r>
        <w:r>
          <w:tab/>
          <w:t xml:space="preserve">Subsection (5) does not prevent a person lodging, or </w:t>
        </w:r>
      </w:ins>
      <w:r>
        <w:t xml:space="preserve">the </w:t>
      </w:r>
      <w:del w:id="334" w:author="svcMRProcess" w:date="2018-09-09T10:15:00Z">
        <w:r>
          <w:delText>land from</w:delText>
        </w:r>
      </w:del>
      <w:ins w:id="335" w:author="svcMRProcess" w:date="2018-09-09T10:15:00Z">
        <w:r>
          <w:t>Registrar accepting, an instrument for registration.</w:t>
        </w:r>
      </w:ins>
    </w:p>
    <w:p>
      <w:pPr>
        <w:pStyle w:val="Subsection"/>
      </w:pPr>
      <w:ins w:id="336" w:author="svcMRProcess" w:date="2018-09-09T10:15:00Z">
        <w:r>
          <w:tab/>
          <w:t>(7)</w:t>
        </w:r>
        <w:r>
          <w:tab/>
          <w:t>If an instrument is accepted for registration but not registered because a memorial is in effect, when</w:t>
        </w:r>
      </w:ins>
      <w:r>
        <w:t xml:space="preserve"> the </w:t>
      </w:r>
      <w:del w:id="337" w:author="svcMRProcess" w:date="2018-09-09T10:15:00Z">
        <w:r>
          <w:delText>charge</w:delText>
        </w:r>
      </w:del>
      <w:ins w:id="338" w:author="svcMRProcess" w:date="2018-09-09T10:15:00Z">
        <w:r>
          <w:t>memorial ceases to have effect the instrument has effect as if the memorial had not been registered</w:t>
        </w:r>
      </w:ins>
      <w:r>
        <w:t>.</w:t>
      </w:r>
    </w:p>
    <w:p>
      <w:pPr>
        <w:pStyle w:val="Footnotesection"/>
        <w:rPr>
          <w:ins w:id="339" w:author="svcMRProcess" w:date="2018-09-09T10:15:00Z"/>
        </w:rPr>
      </w:pPr>
      <w:ins w:id="340" w:author="svcMRProcess" w:date="2018-09-09T10:15:00Z">
        <w:r>
          <w:tab/>
          <w:t>[Section 82 inserted by No. 31 of 2008 s. 9.]</w:t>
        </w:r>
      </w:ins>
    </w:p>
    <w:p>
      <w:pPr>
        <w:pStyle w:val="Heading5"/>
        <w:rPr>
          <w:ins w:id="341" w:author="svcMRProcess" w:date="2018-09-09T10:15:00Z"/>
        </w:rPr>
      </w:pPr>
      <w:bookmarkStart w:id="342" w:name="_Toc390071194"/>
      <w:ins w:id="343" w:author="svcMRProcess" w:date="2018-09-09T10:15:00Z">
        <w:r>
          <w:rPr>
            <w:rStyle w:val="CharSectno"/>
          </w:rPr>
          <w:t>83</w:t>
        </w:r>
        <w:r>
          <w:t>.</w:t>
        </w:r>
        <w:r>
          <w:tab/>
          <w:t>Memorials affecting mining tenements</w:t>
        </w:r>
        <w:bookmarkEnd w:id="342"/>
      </w:ins>
    </w:p>
    <w:p>
      <w:pPr>
        <w:pStyle w:val="Subsection"/>
        <w:rPr>
          <w:ins w:id="344" w:author="svcMRProcess" w:date="2018-09-09T10:15:00Z"/>
        </w:rPr>
      </w:pPr>
      <w:ins w:id="345" w:author="svcMRProcess" w:date="2018-09-09T10:15:00Z">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ins>
    </w:p>
    <w:p>
      <w:pPr>
        <w:pStyle w:val="Footnotesection"/>
        <w:rPr>
          <w:ins w:id="346" w:author="svcMRProcess" w:date="2018-09-09T10:15:00Z"/>
        </w:rPr>
      </w:pPr>
      <w:ins w:id="347" w:author="svcMRProcess" w:date="2018-09-09T10:15:00Z">
        <w:r>
          <w:tab/>
          <w:t>[Section 83 inserted by No. 31 of 2008 s. 9.]</w:t>
        </w:r>
      </w:ins>
    </w:p>
    <w:p>
      <w:pPr>
        <w:pStyle w:val="Heading5"/>
      </w:pPr>
      <w:bookmarkStart w:id="348" w:name="_Toc390071195"/>
      <w:bookmarkStart w:id="349" w:name="_Toc390071274"/>
      <w:r>
        <w:rPr>
          <w:rStyle w:val="CharSectno"/>
        </w:rPr>
        <w:t>84</w:t>
      </w:r>
      <w:r>
        <w:t>.</w:t>
      </w:r>
      <w:r>
        <w:tab/>
        <w:t>Notification of mortgagees</w:t>
      </w:r>
      <w:bookmarkEnd w:id="348"/>
      <w:bookmarkEnd w:id="349"/>
    </w:p>
    <w:p>
      <w:pPr>
        <w:pStyle w:val="Subsection"/>
      </w:pPr>
      <w:r>
        <w:tab/>
      </w:r>
      <w:r>
        <w:tab/>
        <w:t xml:space="preserve">When a memorial </w:t>
      </w:r>
      <w:del w:id="350" w:author="svcMRProcess" w:date="2018-09-09T10:15:00Z">
        <w:r>
          <w:delText>in relation to land</w:delText>
        </w:r>
      </w:del>
      <w:ins w:id="351" w:author="svcMRProcess" w:date="2018-09-09T10:15:00Z">
        <w:r>
          <w:t>lodged under this Division</w:t>
        </w:r>
      </w:ins>
      <w:r>
        <w:t xml:space="preserve"> is registered, the Commissioner must notify all mortgagees who hold registered mortgages over the land of the registration of the memorial (but failure to do so does not invalidate the registration of the memorial).</w:t>
      </w:r>
    </w:p>
    <w:p>
      <w:pPr>
        <w:pStyle w:val="Footnotesection"/>
        <w:rPr>
          <w:ins w:id="352" w:author="svcMRProcess" w:date="2018-09-09T10:15:00Z"/>
        </w:rPr>
      </w:pPr>
      <w:ins w:id="353" w:author="svcMRProcess" w:date="2018-09-09T10:15:00Z">
        <w:r>
          <w:tab/>
          <w:t>[Section 84 amended by No. 31 of 2008 s. 10.]</w:t>
        </w:r>
      </w:ins>
    </w:p>
    <w:p>
      <w:pPr>
        <w:pStyle w:val="Heading5"/>
      </w:pPr>
      <w:bookmarkStart w:id="354" w:name="_Toc390071196"/>
      <w:bookmarkStart w:id="355" w:name="_Toc390071275"/>
      <w:r>
        <w:rPr>
          <w:rStyle w:val="CharSectno"/>
        </w:rPr>
        <w:t>85</w:t>
      </w:r>
      <w:r>
        <w:t>.</w:t>
      </w:r>
      <w:r>
        <w:tab/>
        <w:t>Orders for sale of land</w:t>
      </w:r>
      <w:bookmarkEnd w:id="354"/>
      <w:bookmarkEnd w:id="355"/>
    </w:p>
    <w:p>
      <w:pPr>
        <w:pStyle w:val="Subsection"/>
        <w:rPr>
          <w:ins w:id="356" w:author="svcMRProcess" w:date="2018-09-09T10:15:00Z"/>
        </w:rPr>
      </w:pPr>
      <w:r>
        <w:tab/>
        <w:t>(1)</w:t>
      </w:r>
      <w:r>
        <w:tab/>
        <w:t xml:space="preserve">If </w:t>
      </w:r>
      <w:del w:id="357" w:author="svcMRProcess" w:date="2018-09-09T10:15:00Z">
        <w:r>
          <w:delText>tax on land</w:delText>
        </w:r>
      </w:del>
      <w:ins w:id="358" w:author="svcMRProcess" w:date="2018-09-09T10:15:00Z">
        <w:r>
          <w:t>all</w:t>
        </w:r>
      </w:ins>
      <w:r>
        <w:t xml:space="preserve"> or </w:t>
      </w:r>
      <w:del w:id="359" w:author="svcMRProcess" w:date="2018-09-09T10:15:00Z">
        <w:r>
          <w:delText>property</w:delText>
        </w:r>
      </w:del>
      <w:ins w:id="360" w:author="svcMRProcess" w:date="2018-09-09T10:15:00Z">
        <w:r>
          <w:t>part of the land tax for an assessment year</w:t>
        </w:r>
      </w:ins>
      <w:r>
        <w:t xml:space="preserve"> remains unpaid </w:t>
      </w:r>
      <w:del w:id="361" w:author="svcMRProcess" w:date="2018-09-09T10:15:00Z">
        <w:r>
          <w:delText xml:space="preserve">for </w:delText>
        </w:r>
      </w:del>
      <w:ins w:id="362" w:author="svcMRProcess" w:date="2018-09-09T10:15:00Z">
        <w:r>
          <w:t xml:space="preserve">at the expiry of </w:t>
        </w:r>
      </w:ins>
      <w:r>
        <w:t xml:space="preserve">18 months </w:t>
      </w:r>
      <w:del w:id="363" w:author="svcMRProcess" w:date="2018-09-09T10:15:00Z">
        <w:r>
          <w:delText xml:space="preserve">or more </w:delText>
        </w:r>
      </w:del>
      <w:r>
        <w:t xml:space="preserve">after the </w:t>
      </w:r>
      <w:del w:id="364" w:author="svcMRProcess" w:date="2018-09-09T10:15:00Z">
        <w:r>
          <w:delText>registration of the charge on the land or property,</w:delText>
        </w:r>
      </w:del>
      <w:ins w:id="365" w:author="svcMRProcess" w:date="2018-09-09T10:15:00Z">
        <w:r>
          <w:t>due date for payment of that tax</w:t>
        </w:r>
      </w:ins>
      <w:r>
        <w:t xml:space="preserve"> the Commissioner may apply to the Supreme Court for an order for the sale of </w:t>
      </w:r>
      <w:del w:id="366" w:author="svcMRProcess" w:date="2018-09-09T10:15:00Z">
        <w:r>
          <w:delText>the land (</w:delText>
        </w:r>
      </w:del>
      <w:ins w:id="367" w:author="svcMRProcess" w:date="2018-09-09T10:15:00Z">
        <w:r>
          <w:t xml:space="preserve">all </w:t>
        </w:r>
      </w:ins>
      <w:r>
        <w:t>or part of the land</w:t>
      </w:r>
      <w:del w:id="368" w:author="svcMRProcess" w:date="2018-09-09T10:15:00Z">
        <w:r>
          <w:delText>) so that</w:delText>
        </w:r>
      </w:del>
      <w:ins w:id="369" w:author="svcMRProcess" w:date="2018-09-09T10:15:00Z">
        <w:r>
          <w:t>.</w:t>
        </w:r>
      </w:ins>
    </w:p>
    <w:p>
      <w:pPr>
        <w:pStyle w:val="Subsection"/>
      </w:pPr>
      <w:ins w:id="370" w:author="svcMRProcess" w:date="2018-09-09T10:15:00Z">
        <w:r>
          <w:tab/>
          <w:t>(2A)</w:t>
        </w:r>
        <w:r>
          <w:tab/>
          <w:t>If a charge has arisen under section 77 and any of the tax secured by</w:t>
        </w:r>
      </w:ins>
      <w:r>
        <w:t xml:space="preserve"> the </w:t>
      </w:r>
      <w:del w:id="371" w:author="svcMRProcess" w:date="2018-09-09T10:15:00Z">
        <w:r>
          <w:delText>proceeds of</w:delText>
        </w:r>
      </w:del>
      <w:ins w:id="372" w:author="svcMRProcess" w:date="2018-09-09T10:15:00Z">
        <w:r>
          <w:t>charge remains unpaid at the expiry of 18 months after the charge arose the Commissioner may apply to the Supreme Court for an order for the</w:t>
        </w:r>
      </w:ins>
      <w:r>
        <w:t xml:space="preserve"> sale </w:t>
      </w:r>
      <w:del w:id="373" w:author="svcMRProcess" w:date="2018-09-09T10:15:00Z">
        <w:r>
          <w:delText>may be applied towards satisfaction of the outstanding tax liability</w:delText>
        </w:r>
      </w:del>
      <w:ins w:id="374" w:author="svcMRProcess" w:date="2018-09-09T10:15:00Z">
        <w:r>
          <w:t>of all or part of the land</w:t>
        </w:r>
      </w:ins>
      <w:r>
        <w:t>.</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ins w:id="375" w:author="svcMRProcess" w:date="2018-09-09T10:15:00Z">
        <w:r>
          <w:t xml:space="preserve"> and</w:t>
        </w:r>
      </w:ins>
    </w:p>
    <w:p>
      <w:pPr>
        <w:pStyle w:val="Indenta"/>
      </w:pPr>
      <w:r>
        <w:tab/>
        <w:t>(b)</w:t>
      </w:r>
      <w:r>
        <w:tab/>
        <w:t>authorising an officer of the court to execute documents, and to do anything else necessary, for the sale and conveyance of the land;</w:t>
      </w:r>
      <w:ins w:id="376" w:author="svcMRProcess" w:date="2018-09-09T10:15:00Z">
        <w:r>
          <w:t xml:space="preserve"> and</w:t>
        </w:r>
      </w:ins>
    </w:p>
    <w:p>
      <w:pPr>
        <w:pStyle w:val="Indenta"/>
        <w:rPr>
          <w:del w:id="377" w:author="svcMRProcess" w:date="2018-09-09T10:15:00Z"/>
        </w:rPr>
      </w:pPr>
      <w:del w:id="378" w:author="svcMRProcess" w:date="2018-09-09T10:15:00Z">
        <w:r>
          <w:tab/>
          <w:delText>(c)</w:delText>
        </w:r>
        <w:r>
          <w:tab/>
          <w:delText>authorising the Registrar of Titles to register a transfer to a purchaser without requiring the duplicate (if any) of the certificate of title or of any other document;</w:delText>
        </w:r>
      </w:del>
    </w:p>
    <w:p>
      <w:pPr>
        <w:pStyle w:val="Indenta"/>
        <w:rPr>
          <w:ins w:id="379" w:author="svcMRProcess" w:date="2018-09-09T10:15:00Z"/>
        </w:rPr>
      </w:pPr>
      <w:ins w:id="380" w:author="svcMRProcess" w:date="2018-09-09T10:15:00Z">
        <w:r>
          <w:tab/>
          <w:t>(c)</w:t>
        </w:r>
        <w:r>
          <w:tab/>
          <w:t>directing a person who is responsible under a relevant land Act for registering documents to register any documents and to do anything else necessary to give effect to the sale; and</w:t>
        </w:r>
      </w:ins>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w:t>
      </w:r>
      <w:ins w:id="381" w:author="svcMRProcess" w:date="2018-09-09T10:15:00Z">
        <w:r>
          <w:t xml:space="preserve"> and</w:t>
        </w:r>
      </w:ins>
    </w:p>
    <w:p>
      <w:pPr>
        <w:pStyle w:val="Indenta"/>
      </w:pPr>
      <w:r>
        <w:tab/>
        <w:t>(b)</w:t>
      </w:r>
      <w:r>
        <w:tab/>
        <w:t>secondly, in payment of costs of proceedings so far as those costs are, by order of the court, to be paid out of the proceeds of sale;</w:t>
      </w:r>
      <w:ins w:id="382" w:author="svcMRProcess" w:date="2018-09-09T10:15:00Z">
        <w:r>
          <w:t xml:space="preserve"> and</w:t>
        </w:r>
      </w:ins>
    </w:p>
    <w:p>
      <w:pPr>
        <w:pStyle w:val="Indenta"/>
        <w:rPr>
          <w:ins w:id="383" w:author="svcMRProcess" w:date="2018-09-09T10:15:00Z"/>
        </w:rPr>
      </w:pPr>
      <w:r>
        <w:tab/>
        <w:t>(c)</w:t>
      </w:r>
      <w:r>
        <w:tab/>
        <w:t xml:space="preserve">thirdly, in discharge of </w:t>
      </w:r>
      <w:ins w:id="384" w:author="svcMRProcess" w:date="2018-09-09T10:15:00Z">
        <w:r>
          <w:t>—</w:t>
        </w:r>
      </w:ins>
    </w:p>
    <w:p>
      <w:pPr>
        <w:pStyle w:val="Indenti"/>
        <w:rPr>
          <w:ins w:id="385" w:author="svcMRProcess" w:date="2018-09-09T10:15:00Z"/>
        </w:rPr>
      </w:pPr>
      <w:ins w:id="386" w:author="svcMRProcess" w:date="2018-09-09T10:15:00Z">
        <w:r>
          <w:tab/>
          <w:t>(i)</w:t>
        </w:r>
        <w:r>
          <w:tab/>
          <w:t xml:space="preserve">if </w:t>
        </w:r>
      </w:ins>
      <w:r>
        <w:t xml:space="preserve">the </w:t>
      </w:r>
      <w:del w:id="387" w:author="svcMRProcess" w:date="2018-09-09T10:15:00Z">
        <w:r>
          <w:delText>outstanding</w:delText>
        </w:r>
      </w:del>
      <w:ins w:id="388" w:author="svcMRProcess" w:date="2018-09-09T10:15:00Z">
        <w:r>
          <w:t>application was made under subsection (1) — all land</w:t>
        </w:r>
      </w:ins>
      <w:r>
        <w:t xml:space="preserve"> tax </w:t>
      </w:r>
      <w:del w:id="389" w:author="svcMRProcess" w:date="2018-09-09T10:15:00Z">
        <w:r>
          <w:delText>liability</w:delText>
        </w:r>
      </w:del>
      <w:ins w:id="390" w:author="svcMRProcess" w:date="2018-09-09T10:15:00Z">
        <w:r>
          <w:t>payable for the land (whether or not the due date for payment of that tax has arrived); or</w:t>
        </w:r>
      </w:ins>
    </w:p>
    <w:p>
      <w:pPr>
        <w:pStyle w:val="Indenti"/>
      </w:pPr>
      <w:ins w:id="391" w:author="svcMRProcess" w:date="2018-09-09T10:15:00Z">
        <w:r>
          <w:tab/>
          <w:t>(ii)</w:t>
        </w:r>
        <w:r>
          <w:tab/>
          <w:t>if the application was made under subsection (2A) — all unpaid tax</w:t>
        </w:r>
      </w:ins>
      <w:r>
        <w:t xml:space="preserve"> secured by the charge;</w:t>
      </w:r>
    </w:p>
    <w:p>
      <w:pPr>
        <w:pStyle w:val="Indenta"/>
        <w:rPr>
          <w:ins w:id="392" w:author="svcMRProcess" w:date="2018-09-09T10:15:00Z"/>
        </w:rPr>
      </w:pPr>
      <w:ins w:id="393" w:author="svcMRProcess" w:date="2018-09-09T10:15:00Z">
        <w:r>
          <w:tab/>
        </w:r>
        <w:r>
          <w:tab/>
          <w:t>and</w:t>
        </w:r>
      </w:ins>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rPr>
          <w:ins w:id="394" w:author="svcMRProcess" w:date="2018-09-09T10:15:00Z"/>
        </w:rPr>
      </w:pPr>
      <w:ins w:id="395" w:author="svcMRProcess" w:date="2018-09-09T10:15:00Z">
        <w:r>
          <w:tab/>
          <w:t>[Section 85 amended by No. 31 of 2008 s. 11.]</w:t>
        </w:r>
      </w:ins>
    </w:p>
    <w:p>
      <w:pPr>
        <w:pStyle w:val="Heading5"/>
      </w:pPr>
      <w:bookmarkStart w:id="396" w:name="_Toc390071197"/>
      <w:bookmarkStart w:id="397" w:name="_Toc390071276"/>
      <w:r>
        <w:rPr>
          <w:rStyle w:val="CharSectno"/>
        </w:rPr>
        <w:t>86</w:t>
      </w:r>
      <w:r>
        <w:t>.</w:t>
      </w:r>
      <w:r>
        <w:tab/>
        <w:t>Means of enforcement not limited to charge</w:t>
      </w:r>
      <w:bookmarkEnd w:id="396"/>
      <w:bookmarkEnd w:id="397"/>
    </w:p>
    <w:p>
      <w:pPr>
        <w:pStyle w:val="Subsection"/>
      </w:pPr>
      <w:r>
        <w:rPr>
          <w:b/>
        </w:rPr>
        <w:tab/>
      </w:r>
      <w:r>
        <w:rPr>
          <w:b/>
        </w:rPr>
        <w:tab/>
      </w:r>
      <w:r>
        <w:t xml:space="preserve">The existence </w:t>
      </w:r>
      <w:ins w:id="398" w:author="svcMRProcess" w:date="2018-09-09T10:15:00Z">
        <w:r>
          <w:t xml:space="preserve">of a charge </w:t>
        </w:r>
      </w:ins>
      <w:r>
        <w:t xml:space="preserve">or registration of a </w:t>
      </w:r>
      <w:del w:id="399" w:author="svcMRProcess" w:date="2018-09-09T10:15:00Z">
        <w:r>
          <w:delText>charge</w:delText>
        </w:r>
      </w:del>
      <w:ins w:id="400" w:author="svcMRProcess" w:date="2018-09-09T10:15:00Z">
        <w:r>
          <w:t>memorial</w:t>
        </w:r>
      </w:ins>
      <w:r>
        <w:t xml:space="preserve"> under this Division does not affect the Commissioner’s discretion to proceed for recovery of the outstanding tax in proceedings unrelated to the charge.</w:t>
      </w:r>
    </w:p>
    <w:p>
      <w:pPr>
        <w:pStyle w:val="Footnotesection"/>
        <w:rPr>
          <w:ins w:id="401" w:author="svcMRProcess" w:date="2018-09-09T10:15:00Z"/>
        </w:rPr>
      </w:pPr>
      <w:ins w:id="402" w:author="svcMRProcess" w:date="2018-09-09T10:15:00Z">
        <w:r>
          <w:tab/>
          <w:t>[Section 86 amended by No. 31 of 2008 s. 12.]</w:t>
        </w:r>
      </w:ins>
    </w:p>
    <w:p>
      <w:pPr>
        <w:pStyle w:val="Heading2"/>
      </w:pPr>
      <w:bookmarkStart w:id="403" w:name="_Toc390071198"/>
      <w:bookmarkStart w:id="404" w:name="_Toc390071277"/>
      <w:r>
        <w:rPr>
          <w:rStyle w:val="CharPartNo"/>
        </w:rPr>
        <w:t>Part 7</w:t>
      </w:r>
      <w:r>
        <w:rPr>
          <w:rStyle w:val="CharDivNo"/>
        </w:rPr>
        <w:t xml:space="preserve"> </w:t>
      </w:r>
      <w:r>
        <w:t>—</w:t>
      </w:r>
      <w:r>
        <w:rPr>
          <w:rStyle w:val="CharDivText"/>
        </w:rPr>
        <w:t xml:space="preserve"> </w:t>
      </w:r>
      <w:r>
        <w:rPr>
          <w:rStyle w:val="CharPartText"/>
        </w:rPr>
        <w:t>Tax records</w:t>
      </w:r>
      <w:bookmarkEnd w:id="403"/>
      <w:bookmarkEnd w:id="404"/>
    </w:p>
    <w:p>
      <w:pPr>
        <w:pStyle w:val="Heading5"/>
      </w:pPr>
      <w:bookmarkStart w:id="405" w:name="_Toc390071199"/>
      <w:bookmarkStart w:id="406" w:name="_Toc390071278"/>
      <w:r>
        <w:rPr>
          <w:rStyle w:val="CharSectno"/>
        </w:rPr>
        <w:t>87</w:t>
      </w:r>
      <w:r>
        <w:t>.</w:t>
      </w:r>
      <w:r>
        <w:tab/>
        <w:t>How long tax records are to be kept</w:t>
      </w:r>
      <w:bookmarkEnd w:id="405"/>
      <w:bookmarkEnd w:id="406"/>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407" w:name="_Toc390071200"/>
      <w:bookmarkStart w:id="408" w:name="_Toc390071279"/>
      <w:r>
        <w:rPr>
          <w:rStyle w:val="CharSectno"/>
        </w:rPr>
        <w:t>88</w:t>
      </w:r>
      <w:r>
        <w:t>.</w:t>
      </w:r>
      <w:r>
        <w:tab/>
        <w:t>Form of tax records</w:t>
      </w:r>
      <w:bookmarkEnd w:id="407"/>
      <w:bookmarkEnd w:id="40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409" w:name="_Toc390071201"/>
      <w:bookmarkStart w:id="410" w:name="_Toc390071280"/>
      <w:r>
        <w:rPr>
          <w:rStyle w:val="CharSectno"/>
        </w:rPr>
        <w:t>89</w:t>
      </w:r>
      <w:r>
        <w:t>.</w:t>
      </w:r>
      <w:r>
        <w:tab/>
        <w:t>Where tax records are to be kept</w:t>
      </w:r>
      <w:bookmarkEnd w:id="409"/>
      <w:bookmarkEnd w:id="410"/>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411" w:name="_Toc390071202"/>
      <w:bookmarkStart w:id="412" w:name="_Toc390071281"/>
      <w:r>
        <w:rPr>
          <w:rStyle w:val="CharSectno"/>
        </w:rPr>
        <w:t>90</w:t>
      </w:r>
      <w:r>
        <w:t>.</w:t>
      </w:r>
      <w:r>
        <w:tab/>
        <w:t>Failure to keep proper tax records</w:t>
      </w:r>
      <w:bookmarkEnd w:id="411"/>
      <w:bookmarkEnd w:id="412"/>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413" w:name="_Toc390071203"/>
      <w:bookmarkStart w:id="414" w:name="_Toc390071282"/>
      <w:r>
        <w:rPr>
          <w:rStyle w:val="CharSectno"/>
        </w:rPr>
        <w:t>91</w:t>
      </w:r>
      <w:r>
        <w:t>.</w:t>
      </w:r>
      <w:r>
        <w:tab/>
        <w:t>General and specific exemptions</w:t>
      </w:r>
      <w:bookmarkEnd w:id="413"/>
      <w:bookmarkEnd w:id="414"/>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415" w:name="_Toc390071204"/>
      <w:bookmarkStart w:id="416" w:name="_Toc390071283"/>
      <w:r>
        <w:rPr>
          <w:rStyle w:val="CharPartNo"/>
        </w:rPr>
        <w:t>Part 8</w:t>
      </w:r>
      <w:r>
        <w:t xml:space="preserve"> — </w:t>
      </w:r>
      <w:r>
        <w:rPr>
          <w:rStyle w:val="CharPartText"/>
        </w:rPr>
        <w:t>Investigations</w:t>
      </w:r>
      <w:bookmarkEnd w:id="415"/>
      <w:bookmarkEnd w:id="416"/>
    </w:p>
    <w:p>
      <w:pPr>
        <w:pStyle w:val="Heading3"/>
      </w:pPr>
      <w:bookmarkStart w:id="417" w:name="_Toc390071205"/>
      <w:bookmarkStart w:id="418" w:name="_Toc390071284"/>
      <w:r>
        <w:rPr>
          <w:rStyle w:val="CharDivNo"/>
        </w:rPr>
        <w:t>Division 1</w:t>
      </w:r>
      <w:r>
        <w:t xml:space="preserve"> — </w:t>
      </w:r>
      <w:r>
        <w:rPr>
          <w:rStyle w:val="CharDivText"/>
        </w:rPr>
        <w:t>Investigations</w:t>
      </w:r>
      <w:bookmarkEnd w:id="417"/>
      <w:bookmarkEnd w:id="418"/>
    </w:p>
    <w:p>
      <w:pPr>
        <w:pStyle w:val="Heading5"/>
      </w:pPr>
      <w:bookmarkStart w:id="419" w:name="_Toc390071206"/>
      <w:bookmarkStart w:id="420" w:name="_Toc390071285"/>
      <w:r>
        <w:rPr>
          <w:rStyle w:val="CharSectno"/>
        </w:rPr>
        <w:t>92</w:t>
      </w:r>
      <w:r>
        <w:t>.</w:t>
      </w:r>
      <w:r>
        <w:tab/>
        <w:t>Investigations</w:t>
      </w:r>
      <w:bookmarkEnd w:id="419"/>
      <w:bookmarkEnd w:id="420"/>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421" w:name="_Toc390071207"/>
      <w:bookmarkStart w:id="422" w:name="_Toc390071286"/>
      <w:r>
        <w:rPr>
          <w:rStyle w:val="CharSectno"/>
        </w:rPr>
        <w:t>93</w:t>
      </w:r>
      <w:r>
        <w:t>.</w:t>
      </w:r>
      <w:r>
        <w:tab/>
        <w:t>Investigations for the purposes of recognised revenue laws</w:t>
      </w:r>
      <w:bookmarkEnd w:id="421"/>
      <w:bookmarkEnd w:id="422"/>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423" w:name="_Toc390071208"/>
      <w:bookmarkStart w:id="424" w:name="_Toc390071287"/>
      <w:r>
        <w:rPr>
          <w:rStyle w:val="CharDivNo"/>
        </w:rPr>
        <w:t>Division 2</w:t>
      </w:r>
      <w:r>
        <w:t xml:space="preserve"> — </w:t>
      </w:r>
      <w:r>
        <w:rPr>
          <w:rStyle w:val="CharDivText"/>
        </w:rPr>
        <w:t>Obtaining tax records and other information</w:t>
      </w:r>
      <w:bookmarkEnd w:id="423"/>
      <w:bookmarkEnd w:id="424"/>
    </w:p>
    <w:p>
      <w:pPr>
        <w:pStyle w:val="Heading5"/>
      </w:pPr>
      <w:bookmarkStart w:id="425" w:name="_Toc390071209"/>
      <w:bookmarkStart w:id="426" w:name="_Toc390071288"/>
      <w:r>
        <w:rPr>
          <w:rStyle w:val="CharSectno"/>
        </w:rPr>
        <w:t>94</w:t>
      </w:r>
      <w:r>
        <w:t>.</w:t>
      </w:r>
      <w:r>
        <w:tab/>
        <w:t>Requirements to provide information and tax records</w:t>
      </w:r>
      <w:bookmarkEnd w:id="425"/>
      <w:bookmarkEnd w:id="426"/>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427" w:name="_Toc390071210"/>
      <w:bookmarkStart w:id="428" w:name="_Toc390071289"/>
      <w:r>
        <w:rPr>
          <w:rStyle w:val="CharSectno"/>
        </w:rPr>
        <w:t>95</w:t>
      </w:r>
      <w:r>
        <w:t>.</w:t>
      </w:r>
      <w:r>
        <w:tab/>
        <w:t>Power to require person to attend for examination</w:t>
      </w:r>
      <w:bookmarkEnd w:id="427"/>
      <w:bookmarkEnd w:id="428"/>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29" w:name="_Toc390071211"/>
      <w:bookmarkStart w:id="430" w:name="_Toc390071290"/>
      <w:r>
        <w:rPr>
          <w:rStyle w:val="CharSectno"/>
        </w:rPr>
        <w:t>96</w:t>
      </w:r>
      <w:r>
        <w:t>.</w:t>
      </w:r>
      <w:r>
        <w:tab/>
        <w:t>Power to retain documents</w:t>
      </w:r>
      <w:bookmarkEnd w:id="429"/>
      <w:bookmarkEnd w:id="430"/>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431" w:name="_Toc390071212"/>
      <w:bookmarkStart w:id="432" w:name="_Toc390071291"/>
      <w:r>
        <w:rPr>
          <w:rStyle w:val="CharSectno"/>
        </w:rPr>
        <w:t>97</w:t>
      </w:r>
      <w:r>
        <w:t>.</w:t>
      </w:r>
      <w:r>
        <w:tab/>
        <w:t>Recording examination proceedings</w:t>
      </w:r>
      <w:bookmarkEnd w:id="431"/>
      <w:bookmarkEnd w:id="432"/>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433" w:name="_Toc390071213"/>
      <w:bookmarkStart w:id="434" w:name="_Toc390071292"/>
      <w:r>
        <w:rPr>
          <w:rStyle w:val="CharDivNo"/>
        </w:rPr>
        <w:t>Division 3</w:t>
      </w:r>
      <w:r>
        <w:t xml:space="preserve"> — </w:t>
      </w:r>
      <w:r>
        <w:rPr>
          <w:rStyle w:val="CharDivText"/>
        </w:rPr>
        <w:t>Access to premises</w:t>
      </w:r>
      <w:bookmarkEnd w:id="433"/>
      <w:bookmarkEnd w:id="434"/>
    </w:p>
    <w:p>
      <w:pPr>
        <w:pStyle w:val="Heading5"/>
      </w:pPr>
      <w:bookmarkStart w:id="435" w:name="_Toc390071214"/>
      <w:bookmarkStart w:id="436" w:name="_Toc390071293"/>
      <w:r>
        <w:rPr>
          <w:rStyle w:val="CharSectno"/>
        </w:rPr>
        <w:t>98</w:t>
      </w:r>
      <w:r>
        <w:t>.</w:t>
      </w:r>
      <w:r>
        <w:tab/>
        <w:t>Entry of premises</w:t>
      </w:r>
      <w:bookmarkEnd w:id="435"/>
      <w:bookmarkEnd w:id="436"/>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437" w:name="_Toc390071215"/>
      <w:bookmarkStart w:id="438" w:name="_Toc390071294"/>
      <w:r>
        <w:rPr>
          <w:rStyle w:val="CharSectno"/>
        </w:rPr>
        <w:t>99</w:t>
      </w:r>
      <w:r>
        <w:t>.</w:t>
      </w:r>
      <w:r>
        <w:tab/>
        <w:t>Powers of investigator while on premises</w:t>
      </w:r>
      <w:bookmarkEnd w:id="437"/>
      <w:bookmarkEnd w:id="438"/>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439" w:name="_Toc390071216"/>
      <w:bookmarkStart w:id="440" w:name="_Toc390071295"/>
      <w:r>
        <w:rPr>
          <w:rStyle w:val="CharSectno"/>
        </w:rPr>
        <w:t>100</w:t>
      </w:r>
      <w:r>
        <w:t>.</w:t>
      </w:r>
      <w:r>
        <w:tab/>
        <w:t>Warrants to enter premises</w:t>
      </w:r>
      <w:bookmarkEnd w:id="439"/>
      <w:bookmarkEnd w:id="440"/>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441" w:name="_Toc390071217"/>
      <w:bookmarkStart w:id="442" w:name="_Toc390071296"/>
      <w:r>
        <w:rPr>
          <w:rStyle w:val="CharSectno"/>
        </w:rPr>
        <w:t>101</w:t>
      </w:r>
      <w:r>
        <w:t>.</w:t>
      </w:r>
      <w:r>
        <w:tab/>
        <w:t>Use of force</w:t>
      </w:r>
      <w:bookmarkEnd w:id="441"/>
      <w:bookmarkEnd w:id="442"/>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43" w:name="_Toc390071218"/>
      <w:bookmarkStart w:id="444" w:name="_Toc390071297"/>
      <w:r>
        <w:rPr>
          <w:rStyle w:val="CharDivNo"/>
        </w:rPr>
        <w:t>Division 4</w:t>
      </w:r>
      <w:r>
        <w:t xml:space="preserve"> — </w:t>
      </w:r>
      <w:r>
        <w:rPr>
          <w:rStyle w:val="CharDivText"/>
        </w:rPr>
        <w:t>General provisions</w:t>
      </w:r>
      <w:bookmarkEnd w:id="443"/>
      <w:bookmarkEnd w:id="444"/>
    </w:p>
    <w:p>
      <w:pPr>
        <w:pStyle w:val="Heading5"/>
      </w:pPr>
      <w:bookmarkStart w:id="445" w:name="_Toc390071219"/>
      <w:bookmarkStart w:id="446" w:name="_Toc390071298"/>
      <w:r>
        <w:rPr>
          <w:rStyle w:val="CharSectno"/>
        </w:rPr>
        <w:t>102</w:t>
      </w:r>
      <w:r>
        <w:t>.</w:t>
      </w:r>
      <w:r>
        <w:tab/>
        <w:t>Complying with information requirements</w:t>
      </w:r>
      <w:bookmarkEnd w:id="445"/>
      <w:bookmarkEnd w:id="446"/>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47" w:name="_Toc390071220"/>
      <w:bookmarkStart w:id="448" w:name="_Toc390071299"/>
      <w:r>
        <w:rPr>
          <w:rStyle w:val="CharSectno"/>
        </w:rPr>
        <w:t>103</w:t>
      </w:r>
      <w:r>
        <w:t>.</w:t>
      </w:r>
      <w:r>
        <w:tab/>
        <w:t>Legal professional privilege</w:t>
      </w:r>
      <w:bookmarkEnd w:id="447"/>
      <w:bookmarkEnd w:id="44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49" w:name="_Toc390071221"/>
      <w:bookmarkStart w:id="450" w:name="_Toc390071300"/>
      <w:r>
        <w:rPr>
          <w:rStyle w:val="CharSectno"/>
        </w:rPr>
        <w:t>104</w:t>
      </w:r>
      <w:r>
        <w:t>.</w:t>
      </w:r>
      <w:r>
        <w:tab/>
        <w:t>Interaction with other Acts</w:t>
      </w:r>
      <w:bookmarkEnd w:id="449"/>
      <w:bookmarkEnd w:id="450"/>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51" w:name="_Toc390071222"/>
      <w:bookmarkStart w:id="452" w:name="_Toc390071301"/>
      <w:r>
        <w:rPr>
          <w:rStyle w:val="CharPartNo"/>
        </w:rPr>
        <w:t>Part 9</w:t>
      </w:r>
      <w:r>
        <w:rPr>
          <w:rStyle w:val="CharDivNo"/>
        </w:rPr>
        <w:t xml:space="preserve"> </w:t>
      </w:r>
      <w:r>
        <w:t>—</w:t>
      </w:r>
      <w:r>
        <w:rPr>
          <w:rStyle w:val="CharDivText"/>
        </w:rPr>
        <w:t xml:space="preserve"> </w:t>
      </w:r>
      <w:r>
        <w:rPr>
          <w:rStyle w:val="CharPartText"/>
        </w:rPr>
        <w:t>Offences</w:t>
      </w:r>
      <w:bookmarkEnd w:id="451"/>
      <w:bookmarkEnd w:id="452"/>
    </w:p>
    <w:p>
      <w:pPr>
        <w:pStyle w:val="Heading5"/>
        <w:spacing w:before="240"/>
      </w:pPr>
      <w:bookmarkStart w:id="453" w:name="_Toc390071223"/>
      <w:bookmarkStart w:id="454" w:name="_Toc390071302"/>
      <w:r>
        <w:rPr>
          <w:rStyle w:val="CharSectno"/>
        </w:rPr>
        <w:t>105</w:t>
      </w:r>
      <w:r>
        <w:t>.</w:t>
      </w:r>
      <w:r>
        <w:tab/>
        <w:t>General penalty provision</w:t>
      </w:r>
      <w:bookmarkEnd w:id="453"/>
      <w:bookmarkEnd w:id="454"/>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455" w:name="_Toc390071224"/>
      <w:bookmarkStart w:id="456" w:name="_Toc390071303"/>
      <w:r>
        <w:rPr>
          <w:rStyle w:val="CharSectno"/>
        </w:rPr>
        <w:t>106</w:t>
      </w:r>
      <w:r>
        <w:t>.</w:t>
      </w:r>
      <w:r>
        <w:tab/>
        <w:t>Evasion of tax</w:t>
      </w:r>
      <w:bookmarkEnd w:id="455"/>
      <w:bookmarkEnd w:id="456"/>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457" w:name="_Toc390071225"/>
      <w:bookmarkStart w:id="458" w:name="_Toc390071304"/>
      <w:r>
        <w:rPr>
          <w:rStyle w:val="CharSectno"/>
        </w:rPr>
        <w:t>107</w:t>
      </w:r>
      <w:r>
        <w:t>.</w:t>
      </w:r>
      <w:r>
        <w:tab/>
        <w:t>False or misleading information</w:t>
      </w:r>
      <w:bookmarkEnd w:id="457"/>
      <w:bookmarkEnd w:id="458"/>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59" w:name="_Toc390071226"/>
      <w:bookmarkStart w:id="460" w:name="_Toc390071305"/>
      <w:r>
        <w:rPr>
          <w:rStyle w:val="CharSectno"/>
        </w:rPr>
        <w:t>108</w:t>
      </w:r>
      <w:r>
        <w:t>.</w:t>
      </w:r>
      <w:r>
        <w:tab/>
        <w:t>Obstructing or misleading an investigator</w:t>
      </w:r>
      <w:bookmarkEnd w:id="459"/>
      <w:bookmarkEnd w:id="46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61" w:name="_Toc390071227"/>
      <w:bookmarkStart w:id="462" w:name="_Toc390071306"/>
      <w:r>
        <w:rPr>
          <w:rStyle w:val="CharSectno"/>
        </w:rPr>
        <w:t>109</w:t>
      </w:r>
      <w:r>
        <w:t>.</w:t>
      </w:r>
      <w:r>
        <w:tab/>
        <w:t>Offence by body corporate</w:t>
      </w:r>
      <w:bookmarkEnd w:id="461"/>
      <w:bookmarkEnd w:id="46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463" w:name="_Toc390071228"/>
      <w:bookmarkStart w:id="464" w:name="_Toc390071307"/>
      <w:r>
        <w:rPr>
          <w:rStyle w:val="CharSectno"/>
        </w:rPr>
        <w:t>110</w:t>
      </w:r>
      <w:r>
        <w:t>.</w:t>
      </w:r>
      <w:r>
        <w:tab/>
        <w:t>Criminal penalties not to affect civil liabilities</w:t>
      </w:r>
      <w:bookmarkEnd w:id="463"/>
      <w:bookmarkEnd w:id="46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65" w:name="_Toc390071229"/>
      <w:bookmarkStart w:id="466" w:name="_Toc390071308"/>
      <w:r>
        <w:rPr>
          <w:rStyle w:val="CharSectno"/>
        </w:rPr>
        <w:t>111</w:t>
      </w:r>
      <w:r>
        <w:t>.</w:t>
      </w:r>
      <w:r>
        <w:tab/>
        <w:t>Time for commencing prosecutions</w:t>
      </w:r>
      <w:bookmarkEnd w:id="465"/>
      <w:bookmarkEnd w:id="466"/>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67" w:name="_Toc390071230"/>
      <w:bookmarkStart w:id="468" w:name="_Toc390071309"/>
      <w:r>
        <w:rPr>
          <w:rStyle w:val="CharSectno"/>
        </w:rPr>
        <w:t>112</w:t>
      </w:r>
      <w:r>
        <w:t>.</w:t>
      </w:r>
      <w:r>
        <w:tab/>
        <w:t>Authority required for prosecution</w:t>
      </w:r>
      <w:bookmarkEnd w:id="467"/>
      <w:bookmarkEnd w:id="468"/>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469" w:name="_Toc390071231"/>
      <w:bookmarkStart w:id="470" w:name="_Toc390071310"/>
      <w:r>
        <w:rPr>
          <w:rStyle w:val="CharSectno"/>
        </w:rPr>
        <w:t>113</w:t>
      </w:r>
      <w:r>
        <w:t>.</w:t>
      </w:r>
      <w:r>
        <w:tab/>
        <w:t>General defence</w:t>
      </w:r>
      <w:bookmarkEnd w:id="469"/>
      <w:bookmarkEnd w:id="47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471" w:name="_Toc390071232"/>
      <w:bookmarkStart w:id="472" w:name="_Toc390071311"/>
      <w:r>
        <w:rPr>
          <w:rStyle w:val="CharPartNo"/>
        </w:rPr>
        <w:t>Part 10</w:t>
      </w:r>
      <w:r>
        <w:t xml:space="preserve"> — </w:t>
      </w:r>
      <w:r>
        <w:rPr>
          <w:rStyle w:val="CharPartText"/>
        </w:rPr>
        <w:t>Miscellaneous</w:t>
      </w:r>
      <w:bookmarkEnd w:id="471"/>
      <w:bookmarkEnd w:id="472"/>
    </w:p>
    <w:p>
      <w:pPr>
        <w:pStyle w:val="Heading3"/>
      </w:pPr>
      <w:bookmarkStart w:id="473" w:name="_Toc390071233"/>
      <w:bookmarkStart w:id="474" w:name="_Toc390071312"/>
      <w:r>
        <w:rPr>
          <w:rStyle w:val="CharDivNo"/>
        </w:rPr>
        <w:t>Division 1</w:t>
      </w:r>
      <w:r>
        <w:t xml:space="preserve"> — </w:t>
      </w:r>
      <w:r>
        <w:rPr>
          <w:rStyle w:val="CharDivText"/>
        </w:rPr>
        <w:t>Confidentiality</w:t>
      </w:r>
      <w:bookmarkEnd w:id="473"/>
      <w:bookmarkEnd w:id="474"/>
    </w:p>
    <w:p>
      <w:pPr>
        <w:pStyle w:val="Heading5"/>
      </w:pPr>
      <w:bookmarkStart w:id="475" w:name="_Toc390071234"/>
      <w:bookmarkStart w:id="476" w:name="_Toc390071313"/>
      <w:r>
        <w:rPr>
          <w:rStyle w:val="CharSectno"/>
        </w:rPr>
        <w:t>114</w:t>
      </w:r>
      <w:r>
        <w:t>.</w:t>
      </w:r>
      <w:r>
        <w:tab/>
        <w:t>Confidentiality</w:t>
      </w:r>
      <w:bookmarkEnd w:id="475"/>
      <w:bookmarkEnd w:id="47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rPr>
          <w:del w:id="477" w:author="svcMRProcess" w:date="2018-09-09T10:15:00Z"/>
        </w:rPr>
      </w:pPr>
      <w:del w:id="478" w:author="svcMRProcess" w:date="2018-09-09T10:15:00Z">
        <w:r>
          <w:tab/>
          <w:delText>[(f)</w:delText>
        </w:r>
        <w:r>
          <w:tab/>
          <w:delText>deleted]</w:delText>
        </w:r>
      </w:del>
    </w:p>
    <w:p>
      <w:pPr>
        <w:pStyle w:val="Indenta"/>
        <w:rPr>
          <w:ins w:id="479" w:author="svcMRProcess" w:date="2018-09-09T10:15:00Z"/>
        </w:rPr>
      </w:pPr>
      <w:ins w:id="480" w:author="svcMRProcess" w:date="2018-09-09T10:15:00Z">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ins>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ins w:id="481" w:author="svcMRProcess" w:date="2018-09-09T10:15:00Z">
        <w:r>
          <w:t>; No. 31 of 2008 s. 27</w:t>
        </w:r>
      </w:ins>
      <w:r>
        <w:t>.]</w:t>
      </w:r>
    </w:p>
    <w:p>
      <w:pPr>
        <w:pStyle w:val="Heading3"/>
      </w:pPr>
      <w:bookmarkStart w:id="482" w:name="_Toc390071235"/>
      <w:bookmarkStart w:id="483" w:name="_Toc390071314"/>
      <w:r>
        <w:rPr>
          <w:rStyle w:val="CharDivNo"/>
        </w:rPr>
        <w:t>Division 2</w:t>
      </w:r>
      <w:r>
        <w:t xml:space="preserve"> — </w:t>
      </w:r>
      <w:r>
        <w:rPr>
          <w:rStyle w:val="CharDivText"/>
        </w:rPr>
        <w:t>Service of documents</w:t>
      </w:r>
      <w:bookmarkEnd w:id="482"/>
      <w:bookmarkEnd w:id="483"/>
    </w:p>
    <w:p>
      <w:pPr>
        <w:pStyle w:val="Heading5"/>
      </w:pPr>
      <w:bookmarkStart w:id="484" w:name="_Toc390071236"/>
      <w:bookmarkStart w:id="485" w:name="_Toc390071315"/>
      <w:r>
        <w:rPr>
          <w:rStyle w:val="CharSectno"/>
        </w:rPr>
        <w:t>115</w:t>
      </w:r>
      <w:r>
        <w:t>.</w:t>
      </w:r>
      <w:r>
        <w:tab/>
        <w:t>Service on the Commissioner</w:t>
      </w:r>
      <w:bookmarkEnd w:id="484"/>
      <w:bookmarkEnd w:id="485"/>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486" w:name="_Toc390071237"/>
      <w:bookmarkStart w:id="487" w:name="_Toc390071316"/>
      <w:r>
        <w:rPr>
          <w:rStyle w:val="CharSectno"/>
        </w:rPr>
        <w:t>116</w:t>
      </w:r>
      <w:r>
        <w:t>.</w:t>
      </w:r>
      <w:r>
        <w:tab/>
        <w:t>Service on agent or representative of taxpayer</w:t>
      </w:r>
      <w:bookmarkEnd w:id="486"/>
      <w:bookmarkEnd w:id="487"/>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488" w:name="_Toc390071238"/>
      <w:bookmarkStart w:id="489" w:name="_Toc390071317"/>
      <w:r>
        <w:rPr>
          <w:rStyle w:val="CharSectno"/>
        </w:rPr>
        <w:t>117</w:t>
      </w:r>
      <w:r>
        <w:t>.</w:t>
      </w:r>
      <w:r>
        <w:tab/>
        <w:t>Method of service by Commissioner</w:t>
      </w:r>
      <w:bookmarkEnd w:id="488"/>
      <w:bookmarkEnd w:id="489"/>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490" w:name="_Toc390071239"/>
      <w:bookmarkStart w:id="491" w:name="_Toc390071318"/>
      <w:r>
        <w:rPr>
          <w:rStyle w:val="CharSectno"/>
        </w:rPr>
        <w:t>118</w:t>
      </w:r>
      <w:r>
        <w:t>.</w:t>
      </w:r>
      <w:r>
        <w:tab/>
        <w:t>Non</w:t>
      </w:r>
      <w:r>
        <w:noBreakHyphen/>
        <w:t>exclusivity of this Division</w:t>
      </w:r>
      <w:bookmarkEnd w:id="490"/>
      <w:bookmarkEnd w:id="491"/>
    </w:p>
    <w:p>
      <w:pPr>
        <w:pStyle w:val="Subsection"/>
      </w:pPr>
      <w:r>
        <w:tab/>
      </w:r>
      <w:r>
        <w:tab/>
        <w:t>The provisions of this Division are in addition to, and do not derogate from, other provisions of an enactment for facilitating service.</w:t>
      </w:r>
    </w:p>
    <w:p>
      <w:pPr>
        <w:pStyle w:val="Heading3"/>
      </w:pPr>
      <w:bookmarkStart w:id="492" w:name="_Toc390071240"/>
      <w:bookmarkStart w:id="493" w:name="_Toc390071319"/>
      <w:r>
        <w:rPr>
          <w:rStyle w:val="CharDivNo"/>
        </w:rPr>
        <w:t>Division 3</w:t>
      </w:r>
      <w:r>
        <w:t xml:space="preserve"> — </w:t>
      </w:r>
      <w:r>
        <w:rPr>
          <w:rStyle w:val="CharDivText"/>
        </w:rPr>
        <w:t>Evidentiary provisions</w:t>
      </w:r>
      <w:bookmarkEnd w:id="492"/>
      <w:bookmarkEnd w:id="493"/>
    </w:p>
    <w:p>
      <w:pPr>
        <w:pStyle w:val="Heading5"/>
      </w:pPr>
      <w:bookmarkStart w:id="494" w:name="_Toc390071241"/>
      <w:bookmarkStart w:id="495" w:name="_Toc390071320"/>
      <w:r>
        <w:rPr>
          <w:rStyle w:val="CharSectno"/>
        </w:rPr>
        <w:t>119</w:t>
      </w:r>
      <w:r>
        <w:t>.</w:t>
      </w:r>
      <w:r>
        <w:tab/>
        <w:t>Evidentiary value of assessment notice</w:t>
      </w:r>
      <w:bookmarkEnd w:id="494"/>
      <w:bookmarkEnd w:id="495"/>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496" w:name="_Toc390071242"/>
      <w:bookmarkStart w:id="497" w:name="_Toc390071321"/>
      <w:r>
        <w:rPr>
          <w:rStyle w:val="CharSectno"/>
        </w:rPr>
        <w:t>120</w:t>
      </w:r>
      <w:r>
        <w:t>.</w:t>
      </w:r>
      <w:r>
        <w:tab/>
        <w:t>Evidentiary status of copies and reproductions of documents</w:t>
      </w:r>
      <w:bookmarkEnd w:id="496"/>
      <w:bookmarkEnd w:id="49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498" w:name="_Toc390071243"/>
      <w:bookmarkStart w:id="499" w:name="_Toc390071322"/>
      <w:r>
        <w:rPr>
          <w:rStyle w:val="CharSectno"/>
        </w:rPr>
        <w:t>121</w:t>
      </w:r>
      <w:r>
        <w:t>.</w:t>
      </w:r>
      <w:r>
        <w:tab/>
        <w:t>Evidentiary certificates</w:t>
      </w:r>
      <w:bookmarkEnd w:id="498"/>
      <w:bookmarkEnd w:id="499"/>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500" w:name="_Toc390071244"/>
      <w:bookmarkStart w:id="501" w:name="_Toc390071323"/>
      <w:r>
        <w:rPr>
          <w:rStyle w:val="CharSectno"/>
        </w:rPr>
        <w:t>122</w:t>
      </w:r>
      <w:r>
        <w:t>.</w:t>
      </w:r>
      <w:r>
        <w:tab/>
        <w:t>Extracts from register of delegates</w:t>
      </w:r>
      <w:bookmarkEnd w:id="500"/>
      <w:bookmarkEnd w:id="50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502" w:name="_Toc390071245"/>
      <w:bookmarkStart w:id="503" w:name="_Toc390071324"/>
      <w:r>
        <w:rPr>
          <w:rStyle w:val="CharSectno"/>
        </w:rPr>
        <w:t>123</w:t>
      </w:r>
      <w:r>
        <w:t>.</w:t>
      </w:r>
      <w:r>
        <w:tab/>
        <w:t>Averments in charges</w:t>
      </w:r>
      <w:bookmarkEnd w:id="502"/>
      <w:bookmarkEnd w:id="503"/>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504" w:name="_Toc390071246"/>
      <w:bookmarkStart w:id="505" w:name="_Toc390071325"/>
      <w:r>
        <w:rPr>
          <w:rStyle w:val="CharSectno"/>
        </w:rPr>
        <w:t>124</w:t>
      </w:r>
      <w:r>
        <w:t>.</w:t>
      </w:r>
      <w:r>
        <w:tab/>
        <w:t>Presumption of regularity</w:t>
      </w:r>
      <w:bookmarkEnd w:id="504"/>
      <w:bookmarkEnd w:id="505"/>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506" w:name="_Toc390071247"/>
      <w:bookmarkStart w:id="507" w:name="_Toc390071326"/>
      <w:r>
        <w:rPr>
          <w:rStyle w:val="CharDivNo"/>
        </w:rPr>
        <w:t>Division 4</w:t>
      </w:r>
      <w:r>
        <w:t xml:space="preserve"> — </w:t>
      </w:r>
      <w:r>
        <w:rPr>
          <w:rStyle w:val="CharDivText"/>
        </w:rPr>
        <w:t>Exemption from personal liability</w:t>
      </w:r>
      <w:bookmarkEnd w:id="506"/>
      <w:bookmarkEnd w:id="507"/>
    </w:p>
    <w:p>
      <w:pPr>
        <w:pStyle w:val="Heading5"/>
      </w:pPr>
      <w:bookmarkStart w:id="508" w:name="_Toc390071248"/>
      <w:bookmarkStart w:id="509" w:name="_Toc390071327"/>
      <w:r>
        <w:rPr>
          <w:rStyle w:val="CharSectno"/>
        </w:rPr>
        <w:t>125</w:t>
      </w:r>
      <w:r>
        <w:t>.</w:t>
      </w:r>
      <w:r>
        <w:tab/>
        <w:t>Exemption from personal liability</w:t>
      </w:r>
      <w:bookmarkEnd w:id="508"/>
      <w:bookmarkEnd w:id="509"/>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510" w:name="_Toc390071249"/>
      <w:bookmarkStart w:id="511" w:name="_Toc390071328"/>
      <w:r>
        <w:rPr>
          <w:rStyle w:val="CharDivNo"/>
        </w:rPr>
        <w:t>Division 5</w:t>
      </w:r>
      <w:r>
        <w:t xml:space="preserve"> — </w:t>
      </w:r>
      <w:r>
        <w:rPr>
          <w:rStyle w:val="CharDivText"/>
        </w:rPr>
        <w:t>Regulations</w:t>
      </w:r>
      <w:bookmarkEnd w:id="510"/>
      <w:bookmarkEnd w:id="511"/>
    </w:p>
    <w:p>
      <w:pPr>
        <w:pStyle w:val="Heading5"/>
      </w:pPr>
      <w:bookmarkStart w:id="512" w:name="_Toc390071250"/>
      <w:bookmarkStart w:id="513" w:name="_Toc390071329"/>
      <w:r>
        <w:rPr>
          <w:rStyle w:val="CharSectno"/>
        </w:rPr>
        <w:t>126</w:t>
      </w:r>
      <w:r>
        <w:t>.</w:t>
      </w:r>
      <w:r>
        <w:tab/>
        <w:t>Regulations</w:t>
      </w:r>
      <w:bookmarkEnd w:id="512"/>
      <w:bookmarkEnd w:id="51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514" w:name="_Toc390071251"/>
      <w:bookmarkStart w:id="515" w:name="_Toc390071330"/>
      <w:r>
        <w:rPr>
          <w:rStyle w:val="CharSectno"/>
        </w:rPr>
        <w:t>127</w:t>
      </w:r>
      <w:r>
        <w:t>.</w:t>
      </w:r>
      <w:r>
        <w:tab/>
        <w:t>Practices</w:t>
      </w:r>
      <w:bookmarkEnd w:id="514"/>
      <w:bookmarkEnd w:id="515"/>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3"/>
        <w:rPr>
          <w:ins w:id="516" w:author="svcMRProcess" w:date="2018-09-09T10:15:00Z"/>
        </w:rPr>
      </w:pPr>
      <w:bookmarkStart w:id="517" w:name="_Toc390071252"/>
      <w:ins w:id="518" w:author="svcMRProcess" w:date="2018-09-09T10:15:00Z">
        <w:r>
          <w:rPr>
            <w:rStyle w:val="CharDivNo"/>
          </w:rPr>
          <w:t>Division 6</w:t>
        </w:r>
        <w:r>
          <w:t> — </w:t>
        </w:r>
        <w:r>
          <w:rPr>
            <w:rStyle w:val="CharDivText"/>
          </w:rPr>
          <w:t>Early operation of certain amendments to taxation Acts</w:t>
        </w:r>
        <w:bookmarkEnd w:id="517"/>
      </w:ins>
    </w:p>
    <w:p>
      <w:pPr>
        <w:pStyle w:val="Footnoteheading"/>
        <w:rPr>
          <w:ins w:id="519" w:author="svcMRProcess" w:date="2018-09-09T10:15:00Z"/>
        </w:rPr>
      </w:pPr>
      <w:ins w:id="520" w:author="svcMRProcess" w:date="2018-09-09T10:15:00Z">
        <w:r>
          <w:tab/>
          <w:t>[Heading inserted by No. 31 of 2008 s. 28.]</w:t>
        </w:r>
      </w:ins>
    </w:p>
    <w:p>
      <w:pPr>
        <w:pStyle w:val="Heading5"/>
        <w:rPr>
          <w:ins w:id="521" w:author="svcMRProcess" w:date="2018-09-09T10:15:00Z"/>
        </w:rPr>
      </w:pPr>
      <w:bookmarkStart w:id="522" w:name="_Toc390071253"/>
      <w:ins w:id="523" w:author="svcMRProcess" w:date="2018-09-09T10:15:00Z">
        <w:r>
          <w:rPr>
            <w:rStyle w:val="CharSectno"/>
          </w:rPr>
          <w:t>129</w:t>
        </w:r>
        <w:r>
          <w:t>.</w:t>
        </w:r>
        <w:r>
          <w:tab/>
          <w:t>Meaning of terms in this Division</w:t>
        </w:r>
        <w:bookmarkEnd w:id="522"/>
      </w:ins>
    </w:p>
    <w:p>
      <w:pPr>
        <w:pStyle w:val="Subsection"/>
        <w:rPr>
          <w:ins w:id="524" w:author="svcMRProcess" w:date="2018-09-09T10:15:00Z"/>
        </w:rPr>
      </w:pPr>
      <w:ins w:id="525" w:author="svcMRProcess" w:date="2018-09-09T10:15:00Z">
        <w:r>
          <w:tab/>
          <w:t>(1)</w:t>
        </w:r>
        <w:r>
          <w:tab/>
          <w:t xml:space="preserve">In this Division — </w:t>
        </w:r>
      </w:ins>
    </w:p>
    <w:p>
      <w:pPr>
        <w:pStyle w:val="Defstart"/>
        <w:rPr>
          <w:ins w:id="526" w:author="svcMRProcess" w:date="2018-09-09T10:15:00Z"/>
        </w:rPr>
      </w:pPr>
      <w:ins w:id="527" w:author="svcMRProcess" w:date="2018-09-09T10:15:00Z">
        <w:r>
          <w:rPr>
            <w:b/>
          </w:rPr>
          <w:tab/>
          <w:t>“</w:t>
        </w:r>
        <w:r>
          <w:rPr>
            <w:rStyle w:val="CharDefText"/>
          </w:rPr>
          <w:t>amending Bill</w:t>
        </w:r>
        <w:r>
          <w:rPr>
            <w:b/>
          </w:rPr>
          <w:t>”</w:t>
        </w:r>
        <w:r>
          <w:t>, in relation to a determination notice, means a Bill provisions of which are determined by the notice to be pre</w:t>
        </w:r>
        <w:r>
          <w:noBreakHyphen/>
          <w:t xml:space="preserve">enactment provisions; </w:t>
        </w:r>
      </w:ins>
    </w:p>
    <w:p>
      <w:pPr>
        <w:pStyle w:val="Defstart"/>
        <w:rPr>
          <w:ins w:id="528" w:author="svcMRProcess" w:date="2018-09-09T10:15:00Z"/>
        </w:rPr>
      </w:pPr>
      <w:ins w:id="529" w:author="svcMRProcess" w:date="2018-09-09T10:15:00Z">
        <w:r>
          <w:rPr>
            <w:b/>
          </w:rPr>
          <w:tab/>
          <w:t>“</w:t>
        </w:r>
        <w:r>
          <w:rPr>
            <w:rStyle w:val="CharDefText"/>
          </w:rPr>
          <w:t>determination notice</w:t>
        </w:r>
        <w:r>
          <w:rPr>
            <w:b/>
          </w:rPr>
          <w:t>”</w:t>
        </w:r>
        <w:r>
          <w:t xml:space="preserve"> means a notice made under section 130; </w:t>
        </w:r>
      </w:ins>
    </w:p>
    <w:p>
      <w:pPr>
        <w:pStyle w:val="Defstart"/>
        <w:rPr>
          <w:ins w:id="530" w:author="svcMRProcess" w:date="2018-09-09T10:15:00Z"/>
        </w:rPr>
      </w:pPr>
      <w:ins w:id="531" w:author="svcMRProcess" w:date="2018-09-09T10:15:00Z">
        <w:r>
          <w:rPr>
            <w:b/>
          </w:rPr>
          <w:tab/>
          <w:t>“</w:t>
        </w:r>
        <w:r>
          <w:rPr>
            <w:rStyle w:val="CharDefText"/>
          </w:rPr>
          <w:t>tax threshold</w:t>
        </w:r>
        <w:r>
          <w:rPr>
            <w:b/>
          </w:rPr>
          <w:t>”</w:t>
        </w:r>
        <w:r>
          <w:t xml:space="preserve"> means an amount, value or level above, from, up to or below which — </w:t>
        </w:r>
      </w:ins>
    </w:p>
    <w:p>
      <w:pPr>
        <w:pStyle w:val="Defpara"/>
        <w:rPr>
          <w:ins w:id="532" w:author="svcMRProcess" w:date="2018-09-09T10:15:00Z"/>
        </w:rPr>
      </w:pPr>
      <w:ins w:id="533" w:author="svcMRProcess" w:date="2018-09-09T10:15:00Z">
        <w:r>
          <w:tab/>
          <w:t>(a)</w:t>
        </w:r>
        <w:r>
          <w:tab/>
          <w:t>tax is or is not payable; or</w:t>
        </w:r>
      </w:ins>
    </w:p>
    <w:p>
      <w:pPr>
        <w:pStyle w:val="Defpara"/>
        <w:rPr>
          <w:ins w:id="534" w:author="svcMRProcess" w:date="2018-09-09T10:15:00Z"/>
        </w:rPr>
      </w:pPr>
      <w:ins w:id="535" w:author="svcMRProcess" w:date="2018-09-09T10:15:00Z">
        <w:r>
          <w:tab/>
          <w:t>(b)</w:t>
        </w:r>
        <w:r>
          <w:tab/>
          <w:t xml:space="preserve">a particular rate of tax applies; or </w:t>
        </w:r>
      </w:ins>
    </w:p>
    <w:p>
      <w:pPr>
        <w:pStyle w:val="Defpara"/>
        <w:rPr>
          <w:ins w:id="536" w:author="svcMRProcess" w:date="2018-09-09T10:15:00Z"/>
        </w:rPr>
      </w:pPr>
      <w:ins w:id="537" w:author="svcMRProcess" w:date="2018-09-09T10:15:00Z">
        <w:r>
          <w:tab/>
          <w:t>(c)</w:t>
        </w:r>
        <w:r>
          <w:tab/>
          <w:t xml:space="preserve">a concession or exemption does or does not apply; </w:t>
        </w:r>
      </w:ins>
    </w:p>
    <w:p>
      <w:pPr>
        <w:pStyle w:val="Defstart"/>
        <w:rPr>
          <w:ins w:id="538" w:author="svcMRProcess" w:date="2018-09-09T10:15:00Z"/>
        </w:rPr>
      </w:pPr>
      <w:ins w:id="539" w:author="svcMRProcess" w:date="2018-09-09T10:15:00Z">
        <w:r>
          <w:rPr>
            <w:b/>
          </w:rPr>
          <w:tab/>
          <w:t>“</w:t>
        </w:r>
        <w:r>
          <w:rPr>
            <w:rStyle w:val="CharDefText"/>
          </w:rPr>
          <w:t>taxation Act</w:t>
        </w:r>
        <w:r>
          <w:rPr>
            <w:b/>
          </w:rPr>
          <w:t>”</w:t>
        </w:r>
        <w:r>
          <w:t xml:space="preserve"> includes the </w:t>
        </w:r>
        <w:r>
          <w:rPr>
            <w:i/>
            <w:iCs/>
          </w:rPr>
          <w:t>First Home Owner Grant Act 2000</w:t>
        </w:r>
        <w:r>
          <w:t>.</w:t>
        </w:r>
      </w:ins>
    </w:p>
    <w:p>
      <w:pPr>
        <w:pStyle w:val="Subsection"/>
        <w:rPr>
          <w:ins w:id="540" w:author="svcMRProcess" w:date="2018-09-09T10:15:00Z"/>
        </w:rPr>
      </w:pPr>
      <w:ins w:id="541" w:author="svcMRProcess" w:date="2018-09-09T10:15:00Z">
        <w:r>
          <w:tab/>
          <w:t>(2)</w:t>
        </w:r>
        <w:r>
          <w:tab/>
          <w:t xml:space="preserve">For the purposes of this Division a Bill is </w:t>
        </w:r>
        <w:r>
          <w:rPr>
            <w:b/>
          </w:rPr>
          <w:t>“</w:t>
        </w:r>
        <w:r>
          <w:rPr>
            <w:rStyle w:val="CharDefText"/>
          </w:rPr>
          <w:t>before</w:t>
        </w:r>
        <w:r>
          <w:rPr>
            <w:b/>
          </w:rPr>
          <w:t>”</w:t>
        </w:r>
        <w:r>
          <w:t xml:space="preserve"> a House of Parliament if the second reading of the Bill in that House has been moved but the Bill has not been passed by the House. </w:t>
        </w:r>
      </w:ins>
    </w:p>
    <w:p>
      <w:pPr>
        <w:pStyle w:val="Footnotesection"/>
        <w:rPr>
          <w:ins w:id="542" w:author="svcMRProcess" w:date="2018-09-09T10:15:00Z"/>
        </w:rPr>
      </w:pPr>
      <w:ins w:id="543" w:author="svcMRProcess" w:date="2018-09-09T10:15:00Z">
        <w:r>
          <w:tab/>
          <w:t>[Section 129 inserted by No. 31 of 2008 s. 28.]</w:t>
        </w:r>
      </w:ins>
    </w:p>
    <w:p>
      <w:pPr>
        <w:pStyle w:val="Heading5"/>
        <w:rPr>
          <w:ins w:id="544" w:author="svcMRProcess" w:date="2018-09-09T10:15:00Z"/>
        </w:rPr>
      </w:pPr>
      <w:bookmarkStart w:id="545" w:name="_Toc390071254"/>
      <w:ins w:id="546" w:author="svcMRProcess" w:date="2018-09-09T10:15:00Z">
        <w:r>
          <w:rPr>
            <w:rStyle w:val="CharSectno"/>
          </w:rPr>
          <w:t>130</w:t>
        </w:r>
        <w:r>
          <w:t>.</w:t>
        </w:r>
        <w:r>
          <w:tab/>
          <w:t>Determination of pre</w:t>
        </w:r>
        <w:r>
          <w:noBreakHyphen/>
          <w:t>enactment provisions</w:t>
        </w:r>
        <w:bookmarkEnd w:id="545"/>
      </w:ins>
    </w:p>
    <w:p>
      <w:pPr>
        <w:pStyle w:val="Subsection"/>
        <w:rPr>
          <w:ins w:id="547" w:author="svcMRProcess" w:date="2018-09-09T10:15:00Z"/>
        </w:rPr>
      </w:pPr>
      <w:ins w:id="548" w:author="svcMRProcess" w:date="2018-09-09T10:15:00Z">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ins>
    </w:p>
    <w:p>
      <w:pPr>
        <w:pStyle w:val="Subsection"/>
        <w:rPr>
          <w:ins w:id="549" w:author="svcMRProcess" w:date="2018-09-09T10:15:00Z"/>
        </w:rPr>
      </w:pPr>
      <w:ins w:id="550" w:author="svcMRProcess" w:date="2018-09-09T10:15:00Z">
        <w:r>
          <w:tab/>
          <w:t>(2)</w:t>
        </w:r>
        <w:r>
          <w:tab/>
          <w:t>The Minister may determine provisions of a Bill to be pre</w:t>
        </w:r>
        <w:r>
          <w:noBreakHyphen/>
          <w:t xml:space="preserve">enactment provisions if, and only if, they would — </w:t>
        </w:r>
      </w:ins>
    </w:p>
    <w:p>
      <w:pPr>
        <w:pStyle w:val="Indenta"/>
        <w:rPr>
          <w:ins w:id="551" w:author="svcMRProcess" w:date="2018-09-09T10:15:00Z"/>
        </w:rPr>
      </w:pPr>
      <w:ins w:id="552" w:author="svcMRProcess" w:date="2018-09-09T10:15:00Z">
        <w:r>
          <w:tab/>
          <w:t>(a)</w:t>
        </w:r>
        <w:r>
          <w:tab/>
          <w:t xml:space="preserve">amend a taxation Act to do one or more of the following — </w:t>
        </w:r>
      </w:ins>
    </w:p>
    <w:p>
      <w:pPr>
        <w:pStyle w:val="Indenti"/>
        <w:rPr>
          <w:ins w:id="553" w:author="svcMRProcess" w:date="2018-09-09T10:15:00Z"/>
        </w:rPr>
      </w:pPr>
      <w:ins w:id="554" w:author="svcMRProcess" w:date="2018-09-09T10:15:00Z">
        <w:r>
          <w:tab/>
          <w:t>(i)</w:t>
        </w:r>
        <w:r>
          <w:tab/>
          <w:t xml:space="preserve">reduce an amount or rate of tax (including by reducing it to zero); </w:t>
        </w:r>
      </w:ins>
    </w:p>
    <w:p>
      <w:pPr>
        <w:pStyle w:val="Indenti"/>
        <w:rPr>
          <w:ins w:id="555" w:author="svcMRProcess" w:date="2018-09-09T10:15:00Z"/>
        </w:rPr>
      </w:pPr>
      <w:ins w:id="556" w:author="svcMRProcess" w:date="2018-09-09T10:15:00Z">
        <w:r>
          <w:tab/>
          <w:t>(ii)</w:t>
        </w:r>
        <w:r>
          <w:tab/>
          <w:t xml:space="preserve">change or remove a tax threshold; </w:t>
        </w:r>
      </w:ins>
    </w:p>
    <w:p>
      <w:pPr>
        <w:pStyle w:val="Indenti"/>
        <w:rPr>
          <w:ins w:id="557" w:author="svcMRProcess" w:date="2018-09-09T10:15:00Z"/>
        </w:rPr>
      </w:pPr>
      <w:ins w:id="558" w:author="svcMRProcess" w:date="2018-09-09T10:15:00Z">
        <w:r>
          <w:tab/>
          <w:t>(iii)</w:t>
        </w:r>
        <w:r>
          <w:tab/>
          <w:t xml:space="preserve">expand the class of persons, acts, matters or things in respect of whom or which a concession or exemption applies; </w:t>
        </w:r>
      </w:ins>
    </w:p>
    <w:p>
      <w:pPr>
        <w:pStyle w:val="Indenti"/>
        <w:rPr>
          <w:ins w:id="559" w:author="svcMRProcess" w:date="2018-09-09T10:15:00Z"/>
        </w:rPr>
      </w:pPr>
      <w:ins w:id="560" w:author="svcMRProcess" w:date="2018-09-09T10:15:00Z">
        <w:r>
          <w:tab/>
          <w:t>(iv)</w:t>
        </w:r>
        <w:r>
          <w:tab/>
          <w:t xml:space="preserve">introduce a concession or exemption; </w:t>
        </w:r>
      </w:ins>
    </w:p>
    <w:p>
      <w:pPr>
        <w:pStyle w:val="Indenti"/>
        <w:rPr>
          <w:ins w:id="561" w:author="svcMRProcess" w:date="2018-09-09T10:15:00Z"/>
        </w:rPr>
      </w:pPr>
      <w:ins w:id="562" w:author="svcMRProcess" w:date="2018-09-09T10:15:00Z">
        <w:r>
          <w:tab/>
          <w:t>(v)</w:t>
        </w:r>
        <w:r>
          <w:tab/>
          <w:t xml:space="preserve">effect a change that will have the same effect as making an amendment of a kind described in subparagraphs (i) to (iv); </w:t>
        </w:r>
      </w:ins>
    </w:p>
    <w:p>
      <w:pPr>
        <w:pStyle w:val="Indenta"/>
        <w:rPr>
          <w:ins w:id="563" w:author="svcMRProcess" w:date="2018-09-09T10:15:00Z"/>
        </w:rPr>
      </w:pPr>
      <w:ins w:id="564" w:author="svcMRProcess" w:date="2018-09-09T10:15:00Z">
        <w:r>
          <w:tab/>
        </w:r>
        <w:r>
          <w:tab/>
          <w:t>or</w:t>
        </w:r>
      </w:ins>
    </w:p>
    <w:p>
      <w:pPr>
        <w:pStyle w:val="Indenta"/>
        <w:rPr>
          <w:ins w:id="565" w:author="svcMRProcess" w:date="2018-09-09T10:15:00Z"/>
        </w:rPr>
      </w:pPr>
      <w:ins w:id="566" w:author="svcMRProcess" w:date="2018-09-09T10:15:00Z">
        <w:r>
          <w:tab/>
          <w:t>(b)</w:t>
        </w:r>
        <w:r>
          <w:tab/>
          <w:t>amend a taxation Act to make amendments necessary or convenient to be made for the purpose of giving effect to an amendment of a kind described in paragraph (a); or</w:t>
        </w:r>
      </w:ins>
    </w:p>
    <w:p>
      <w:pPr>
        <w:pStyle w:val="Indenta"/>
        <w:rPr>
          <w:ins w:id="567" w:author="svcMRProcess" w:date="2018-09-09T10:15:00Z"/>
        </w:rPr>
      </w:pPr>
      <w:ins w:id="568" w:author="svcMRProcess" w:date="2018-09-09T10:15:00Z">
        <w:r>
          <w:tab/>
          <w:t>(c)</w:t>
        </w:r>
        <w:r>
          <w:tab/>
          <w:t xml:space="preserve">make provision for the commencement or application of amendments of the kind described in paragraphs (a) and (b) or for transitional matters relating to them. </w:t>
        </w:r>
      </w:ins>
    </w:p>
    <w:p>
      <w:pPr>
        <w:pStyle w:val="Footnotesection"/>
        <w:rPr>
          <w:ins w:id="569" w:author="svcMRProcess" w:date="2018-09-09T10:15:00Z"/>
        </w:rPr>
      </w:pPr>
      <w:ins w:id="570" w:author="svcMRProcess" w:date="2018-09-09T10:15:00Z">
        <w:r>
          <w:tab/>
          <w:t>[Section 130 inserted by No. 31 of 2008 s. 28.]</w:t>
        </w:r>
      </w:ins>
    </w:p>
    <w:p>
      <w:pPr>
        <w:pStyle w:val="Heading5"/>
        <w:rPr>
          <w:ins w:id="571" w:author="svcMRProcess" w:date="2018-09-09T10:15:00Z"/>
        </w:rPr>
      </w:pPr>
      <w:bookmarkStart w:id="572" w:name="_Toc390071255"/>
      <w:ins w:id="573" w:author="svcMRProcess" w:date="2018-09-09T10:15:00Z">
        <w:r>
          <w:rPr>
            <w:rStyle w:val="CharSectno"/>
          </w:rPr>
          <w:t>131</w:t>
        </w:r>
        <w:r>
          <w:t>.</w:t>
        </w:r>
        <w:r>
          <w:tab/>
          <w:t>Duration of determination notice</w:t>
        </w:r>
        <w:bookmarkEnd w:id="572"/>
      </w:ins>
    </w:p>
    <w:p>
      <w:pPr>
        <w:pStyle w:val="Subsection"/>
        <w:rPr>
          <w:ins w:id="574" w:author="svcMRProcess" w:date="2018-09-09T10:15:00Z"/>
        </w:rPr>
      </w:pPr>
      <w:ins w:id="575" w:author="svcMRProcess" w:date="2018-09-09T10:15:00Z">
        <w:r>
          <w:tab/>
          <w:t>(1)</w:t>
        </w:r>
        <w:r>
          <w:tab/>
          <w:t xml:space="preserve">A determination notice comes into force on the day on which it is published in the </w:t>
        </w:r>
        <w:r>
          <w:rPr>
            <w:i/>
            <w:iCs/>
          </w:rPr>
          <w:t>Gazette</w:t>
        </w:r>
        <w:r>
          <w:t>.</w:t>
        </w:r>
      </w:ins>
    </w:p>
    <w:p>
      <w:pPr>
        <w:pStyle w:val="Subsection"/>
        <w:rPr>
          <w:ins w:id="576" w:author="svcMRProcess" w:date="2018-09-09T10:15:00Z"/>
        </w:rPr>
      </w:pPr>
      <w:ins w:id="577" w:author="svcMRProcess" w:date="2018-09-09T10:15:00Z">
        <w:r>
          <w:tab/>
          <w:t>(2)</w:t>
        </w:r>
        <w:r>
          <w:tab/>
          <w:t xml:space="preserve">A determination notice ceases to be in force at the end of the day on which the first of the following occurs — </w:t>
        </w:r>
      </w:ins>
    </w:p>
    <w:p>
      <w:pPr>
        <w:pStyle w:val="Indenta"/>
        <w:rPr>
          <w:ins w:id="578" w:author="svcMRProcess" w:date="2018-09-09T10:15:00Z"/>
        </w:rPr>
      </w:pPr>
      <w:ins w:id="579" w:author="svcMRProcess" w:date="2018-09-09T10:15:00Z">
        <w:r>
          <w:tab/>
          <w:t>(a)</w:t>
        </w:r>
        <w:r>
          <w:tab/>
          <w:t xml:space="preserve">the amending Bill (whether or not it has been amended in Parliament) receives the Royal Assent; </w:t>
        </w:r>
      </w:ins>
    </w:p>
    <w:p>
      <w:pPr>
        <w:pStyle w:val="Indenta"/>
        <w:rPr>
          <w:ins w:id="580" w:author="svcMRProcess" w:date="2018-09-09T10:15:00Z"/>
        </w:rPr>
      </w:pPr>
      <w:ins w:id="581" w:author="svcMRProcess" w:date="2018-09-09T10:15:00Z">
        <w:r>
          <w:tab/>
          <w:t>(b)</w:t>
        </w:r>
        <w:r>
          <w:tab/>
          <w:t xml:space="preserve">the notice is revoked by the Minister by notice published in the </w:t>
        </w:r>
        <w:r>
          <w:rPr>
            <w:i/>
            <w:iCs/>
          </w:rPr>
          <w:t>Gazette</w:t>
        </w:r>
        <w:r>
          <w:t xml:space="preserve">; </w:t>
        </w:r>
      </w:ins>
    </w:p>
    <w:p>
      <w:pPr>
        <w:pStyle w:val="Indenta"/>
        <w:rPr>
          <w:ins w:id="582" w:author="svcMRProcess" w:date="2018-09-09T10:15:00Z"/>
        </w:rPr>
      </w:pPr>
      <w:ins w:id="583" w:author="svcMRProcess" w:date="2018-09-09T10:15:00Z">
        <w:r>
          <w:tab/>
          <w:t>(c)</w:t>
        </w:r>
        <w:r>
          <w:tab/>
          <w:t xml:space="preserve">the period of 6 months from the day on which the notice came into force expires; </w:t>
        </w:r>
      </w:ins>
    </w:p>
    <w:p>
      <w:pPr>
        <w:pStyle w:val="Indenta"/>
        <w:rPr>
          <w:ins w:id="584" w:author="svcMRProcess" w:date="2018-09-09T10:15:00Z"/>
        </w:rPr>
      </w:pPr>
      <w:ins w:id="585" w:author="svcMRProcess" w:date="2018-09-09T10:15:00Z">
        <w:r>
          <w:tab/>
          <w:t>(d)</w:t>
        </w:r>
        <w:r>
          <w:tab/>
          <w:t xml:space="preserve">the amending Bill is defeated in either House of Parliament; </w:t>
        </w:r>
      </w:ins>
    </w:p>
    <w:p>
      <w:pPr>
        <w:pStyle w:val="Indenta"/>
        <w:rPr>
          <w:ins w:id="586" w:author="svcMRProcess" w:date="2018-09-09T10:15:00Z"/>
        </w:rPr>
      </w:pPr>
      <w:ins w:id="587" w:author="svcMRProcess" w:date="2018-09-09T10:15:00Z">
        <w:r>
          <w:tab/>
          <w:t>(e)</w:t>
        </w:r>
        <w:r>
          <w:tab/>
          <w:t>the Legislative Assembly expires or is dissolved before the amending Bill has been passed by both Houses of Parliament;</w:t>
        </w:r>
      </w:ins>
    </w:p>
    <w:p>
      <w:pPr>
        <w:pStyle w:val="Indenta"/>
        <w:rPr>
          <w:ins w:id="588" w:author="svcMRProcess" w:date="2018-09-09T10:15:00Z"/>
        </w:rPr>
      </w:pPr>
      <w:ins w:id="589" w:author="svcMRProcess" w:date="2018-09-09T10:15:00Z">
        <w:r>
          <w:tab/>
          <w:t>(f)</w:t>
        </w:r>
        <w:r>
          <w:tab/>
          <w:t xml:space="preserve">the determination notice ceases to have effect under the </w:t>
        </w:r>
        <w:r>
          <w:rPr>
            <w:i/>
          </w:rPr>
          <w:t>Interpretation Act 1984</w:t>
        </w:r>
        <w:r>
          <w:t xml:space="preserve"> section 42(2) as applied by subsection (4).</w:t>
        </w:r>
      </w:ins>
    </w:p>
    <w:p>
      <w:pPr>
        <w:pStyle w:val="Subsection"/>
        <w:rPr>
          <w:ins w:id="590" w:author="svcMRProcess" w:date="2018-09-09T10:15:00Z"/>
        </w:rPr>
      </w:pPr>
      <w:ins w:id="591" w:author="svcMRProcess" w:date="2018-09-09T10:15:00Z">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ins>
    </w:p>
    <w:p>
      <w:pPr>
        <w:pStyle w:val="Subsection"/>
        <w:rPr>
          <w:ins w:id="592" w:author="svcMRProcess" w:date="2018-09-09T10:15:00Z"/>
        </w:rPr>
      </w:pPr>
      <w:ins w:id="593" w:author="svcMRProcess" w:date="2018-09-09T10:15:00Z">
        <w:r>
          <w:tab/>
          <w:t>(4)</w:t>
        </w:r>
        <w:r>
          <w:tab/>
          <w:t xml:space="preserve">The </w:t>
        </w:r>
        <w:r>
          <w:rPr>
            <w:i/>
          </w:rPr>
          <w:t>Interpretation Act 1984</w:t>
        </w:r>
        <w:r>
          <w:t xml:space="preserve"> section 42(1), (2), (3) and (5) apply to a determination notice as if the notice were regulations.</w:t>
        </w:r>
      </w:ins>
    </w:p>
    <w:p>
      <w:pPr>
        <w:pStyle w:val="Footnotesection"/>
        <w:rPr>
          <w:ins w:id="594" w:author="svcMRProcess" w:date="2018-09-09T10:15:00Z"/>
        </w:rPr>
      </w:pPr>
      <w:ins w:id="595" w:author="svcMRProcess" w:date="2018-09-09T10:15:00Z">
        <w:r>
          <w:tab/>
          <w:t>[Section 131 inserted by No. 31 of 2008 s. 28.]</w:t>
        </w:r>
      </w:ins>
    </w:p>
    <w:p>
      <w:pPr>
        <w:pStyle w:val="Heading5"/>
        <w:rPr>
          <w:ins w:id="596" w:author="svcMRProcess" w:date="2018-09-09T10:15:00Z"/>
        </w:rPr>
      </w:pPr>
      <w:bookmarkStart w:id="597" w:name="_Toc390071256"/>
      <w:ins w:id="598" w:author="svcMRProcess" w:date="2018-09-09T10:15:00Z">
        <w:r>
          <w:rPr>
            <w:rStyle w:val="CharSectno"/>
          </w:rPr>
          <w:t>132</w:t>
        </w:r>
        <w:r>
          <w:t>.</w:t>
        </w:r>
        <w:r>
          <w:tab/>
          <w:t>Amendment and replacement of determination notice</w:t>
        </w:r>
        <w:bookmarkEnd w:id="597"/>
      </w:ins>
    </w:p>
    <w:p>
      <w:pPr>
        <w:pStyle w:val="Subsection"/>
        <w:rPr>
          <w:ins w:id="599" w:author="svcMRProcess" w:date="2018-09-09T10:15:00Z"/>
        </w:rPr>
      </w:pPr>
      <w:ins w:id="600" w:author="svcMRProcess" w:date="2018-09-09T10:15:00Z">
        <w:r>
          <w:tab/>
          <w:t>(1)</w:t>
        </w:r>
        <w:r>
          <w:tab/>
          <w:t xml:space="preserve">The Minister may, by notice published in the </w:t>
        </w:r>
        <w:r>
          <w:rPr>
            <w:i/>
            <w:iCs/>
          </w:rPr>
          <w:t>Gazette</w:t>
        </w:r>
        <w:r>
          <w:t>, amend a determination notice but only for the purpose of correcting —</w:t>
        </w:r>
      </w:ins>
    </w:p>
    <w:p>
      <w:pPr>
        <w:pStyle w:val="Indenta"/>
        <w:rPr>
          <w:ins w:id="601" w:author="svcMRProcess" w:date="2018-09-09T10:15:00Z"/>
        </w:rPr>
      </w:pPr>
      <w:ins w:id="602" w:author="svcMRProcess" w:date="2018-09-09T10:15:00Z">
        <w:r>
          <w:tab/>
          <w:t>(a)</w:t>
        </w:r>
        <w:r>
          <w:tab/>
          <w:t>a clerical mistake; or</w:t>
        </w:r>
      </w:ins>
    </w:p>
    <w:p>
      <w:pPr>
        <w:pStyle w:val="Indenta"/>
        <w:rPr>
          <w:ins w:id="603" w:author="svcMRProcess" w:date="2018-09-09T10:15:00Z"/>
        </w:rPr>
      </w:pPr>
      <w:ins w:id="604" w:author="svcMRProcess" w:date="2018-09-09T10:15:00Z">
        <w:r>
          <w:tab/>
          <w:t>(b)</w:t>
        </w:r>
        <w:r>
          <w:tab/>
          <w:t>an accidental slip or omission; or</w:t>
        </w:r>
      </w:ins>
    </w:p>
    <w:p>
      <w:pPr>
        <w:pStyle w:val="Indenta"/>
        <w:rPr>
          <w:ins w:id="605" w:author="svcMRProcess" w:date="2018-09-09T10:15:00Z"/>
        </w:rPr>
      </w:pPr>
      <w:ins w:id="606" w:author="svcMRProcess" w:date="2018-09-09T10:15:00Z">
        <w:r>
          <w:tab/>
          <w:t>(c)</w:t>
        </w:r>
        <w:r>
          <w:tab/>
          <w:t xml:space="preserve">an error in the way in which the amending Bill or a provision of the Bill is referred to. </w:t>
        </w:r>
      </w:ins>
    </w:p>
    <w:p>
      <w:pPr>
        <w:pStyle w:val="Subsection"/>
        <w:rPr>
          <w:ins w:id="607" w:author="svcMRProcess" w:date="2018-09-09T10:15:00Z"/>
        </w:rPr>
      </w:pPr>
      <w:ins w:id="608" w:author="svcMRProcess" w:date="2018-09-09T10:15:00Z">
        <w:r>
          <w:tab/>
          <w:t>(2)</w:t>
        </w:r>
        <w:r>
          <w:tab/>
          <w:t>The Minister cannot determine a provision of a Bill to be a pre</w:t>
        </w:r>
        <w:r>
          <w:noBreakHyphen/>
          <w:t>enactment provision more than once.</w:t>
        </w:r>
      </w:ins>
    </w:p>
    <w:p>
      <w:pPr>
        <w:pStyle w:val="Subsection"/>
        <w:rPr>
          <w:ins w:id="609" w:author="svcMRProcess" w:date="2018-09-09T10:15:00Z"/>
        </w:rPr>
      </w:pPr>
      <w:ins w:id="610" w:author="svcMRProcess" w:date="2018-09-09T10:15:00Z">
        <w:r>
          <w:tab/>
          <w:t>(3)</w:t>
        </w:r>
        <w:r>
          <w:tab/>
          <w:t xml:space="preserve">If — </w:t>
        </w:r>
      </w:ins>
    </w:p>
    <w:p>
      <w:pPr>
        <w:pStyle w:val="Indenta"/>
        <w:rPr>
          <w:ins w:id="611" w:author="svcMRProcess" w:date="2018-09-09T10:15:00Z"/>
        </w:rPr>
      </w:pPr>
      <w:ins w:id="612" w:author="svcMRProcess" w:date="2018-09-09T10:15:00Z">
        <w:r>
          <w:tab/>
          <w:t>(a)</w:t>
        </w:r>
        <w:r>
          <w:tab/>
          <w:t>a determination notice (</w:t>
        </w:r>
        <w:r>
          <w:rPr>
            <w:b/>
          </w:rPr>
          <w:t>“</w:t>
        </w:r>
        <w:r>
          <w:rPr>
            <w:rStyle w:val="CharDefText"/>
          </w:rPr>
          <w:t>original notice</w:t>
        </w:r>
        <w:r>
          <w:rPr>
            <w:b/>
          </w:rPr>
          <w:t>”</w:t>
        </w:r>
        <w:r>
          <w:t>) was made in respect of provisions of a Bill while it was before the Legislative Assembly; and</w:t>
        </w:r>
      </w:ins>
    </w:p>
    <w:p>
      <w:pPr>
        <w:pStyle w:val="Indenta"/>
        <w:rPr>
          <w:ins w:id="613" w:author="svcMRProcess" w:date="2018-09-09T10:15:00Z"/>
        </w:rPr>
      </w:pPr>
      <w:ins w:id="614" w:author="svcMRProcess" w:date="2018-09-09T10:15:00Z">
        <w:r>
          <w:tab/>
          <w:t>(b)</w:t>
        </w:r>
        <w:r>
          <w:tab/>
          <w:t>the Bill was amended by the Legislative Assembly; and</w:t>
        </w:r>
      </w:ins>
    </w:p>
    <w:p>
      <w:pPr>
        <w:pStyle w:val="Indenta"/>
        <w:rPr>
          <w:ins w:id="615" w:author="svcMRProcess" w:date="2018-09-09T10:15:00Z"/>
        </w:rPr>
      </w:pPr>
      <w:ins w:id="616" w:author="svcMRProcess" w:date="2018-09-09T10:15:00Z">
        <w:r>
          <w:tab/>
          <w:t>(c)</w:t>
        </w:r>
        <w:r>
          <w:tab/>
          <w:t xml:space="preserve">the Bill is before the Legislative Council, </w:t>
        </w:r>
      </w:ins>
    </w:p>
    <w:p>
      <w:pPr>
        <w:pStyle w:val="Subsection"/>
        <w:rPr>
          <w:ins w:id="617" w:author="svcMRProcess" w:date="2018-09-09T10:15:00Z"/>
        </w:rPr>
      </w:pPr>
      <w:ins w:id="618" w:author="svcMRProcess" w:date="2018-09-09T10:15:00Z">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ins>
    </w:p>
    <w:p>
      <w:pPr>
        <w:pStyle w:val="Subsection"/>
        <w:rPr>
          <w:ins w:id="619" w:author="svcMRProcess" w:date="2018-09-09T10:15:00Z"/>
        </w:rPr>
      </w:pPr>
      <w:ins w:id="620" w:author="svcMRProcess" w:date="2018-09-09T10:15:00Z">
        <w:r>
          <w:tab/>
          <w:t>(4)</w:t>
        </w:r>
        <w:r>
          <w:tab/>
          <w:t xml:space="preserve">In relation to a replacement determination notice the reference in section 131(2)(c) to the day on which the notice came into force is taken to be a reference to the day on which the original notice came into force. </w:t>
        </w:r>
      </w:ins>
    </w:p>
    <w:p>
      <w:pPr>
        <w:pStyle w:val="Footnotesection"/>
        <w:rPr>
          <w:ins w:id="621" w:author="svcMRProcess" w:date="2018-09-09T10:15:00Z"/>
        </w:rPr>
      </w:pPr>
      <w:ins w:id="622" w:author="svcMRProcess" w:date="2018-09-09T10:15:00Z">
        <w:r>
          <w:tab/>
          <w:t>[Section 132 inserted by No. 31 of 2008 s. 28.]</w:t>
        </w:r>
      </w:ins>
    </w:p>
    <w:p>
      <w:pPr>
        <w:pStyle w:val="Heading5"/>
        <w:rPr>
          <w:ins w:id="623" w:author="svcMRProcess" w:date="2018-09-09T10:15:00Z"/>
        </w:rPr>
      </w:pPr>
      <w:bookmarkStart w:id="624" w:name="_Toc390071257"/>
      <w:ins w:id="625" w:author="svcMRProcess" w:date="2018-09-09T10:15:00Z">
        <w:r>
          <w:rPr>
            <w:rStyle w:val="CharSectno"/>
          </w:rPr>
          <w:t>133</w:t>
        </w:r>
        <w:r>
          <w:t>.</w:t>
        </w:r>
        <w:r>
          <w:tab/>
          <w:t>Effect of pre</w:t>
        </w:r>
        <w:r>
          <w:noBreakHyphen/>
          <w:t>enactment provisions</w:t>
        </w:r>
        <w:bookmarkEnd w:id="624"/>
      </w:ins>
    </w:p>
    <w:p>
      <w:pPr>
        <w:pStyle w:val="Subsection"/>
        <w:rPr>
          <w:ins w:id="626" w:author="svcMRProcess" w:date="2018-09-09T10:15:00Z"/>
        </w:rPr>
      </w:pPr>
      <w:ins w:id="627" w:author="svcMRProcess" w:date="2018-09-09T10:15:00Z">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ins>
    </w:p>
    <w:p>
      <w:pPr>
        <w:pStyle w:val="Subsection"/>
        <w:rPr>
          <w:ins w:id="628" w:author="svcMRProcess" w:date="2018-09-09T10:15:00Z"/>
        </w:rPr>
      </w:pPr>
      <w:ins w:id="629" w:author="svcMRProcess" w:date="2018-09-09T10:15:00Z">
        <w:r>
          <w:tab/>
          <w:t>(2)</w:t>
        </w:r>
        <w:r>
          <w:tab/>
          <w:t xml:space="preserve">However, if the amount of tax payable by a taxpayer under an Act as affected by subsection (1) is greater than the amount of tax that would be payable if the determination notice was not in force (the </w:t>
        </w:r>
        <w:r>
          <w:rPr>
            <w:b/>
          </w:rPr>
          <w:t>“</w:t>
        </w:r>
        <w:r>
          <w:rPr>
            <w:rStyle w:val="CharDefText"/>
          </w:rPr>
          <w:t>unaffected amount</w:t>
        </w:r>
        <w:r>
          <w:rPr>
            <w:b/>
          </w:rPr>
          <w:t>”</w:t>
        </w:r>
        <w:r>
          <w:t>), the amount of tax payable is reduced to the unaffected amount.</w:t>
        </w:r>
      </w:ins>
    </w:p>
    <w:p>
      <w:pPr>
        <w:pStyle w:val="Footnotesection"/>
        <w:rPr>
          <w:ins w:id="630" w:author="svcMRProcess" w:date="2018-09-09T10:15:00Z"/>
        </w:rPr>
      </w:pPr>
      <w:ins w:id="631" w:author="svcMRProcess" w:date="2018-09-09T10:15:00Z">
        <w:r>
          <w:tab/>
          <w:t>[Section 133 inserted by No. 31 of 2008 s. 28.]</w:t>
        </w:r>
      </w:ins>
    </w:p>
    <w:p>
      <w:pPr>
        <w:pStyle w:val="Heading5"/>
        <w:rPr>
          <w:ins w:id="632" w:author="svcMRProcess" w:date="2018-09-09T10:15:00Z"/>
        </w:rPr>
      </w:pPr>
      <w:bookmarkStart w:id="633" w:name="_Toc390071258"/>
      <w:ins w:id="634" w:author="svcMRProcess" w:date="2018-09-09T10:15:00Z">
        <w:r>
          <w:rPr>
            <w:rStyle w:val="CharSectno"/>
          </w:rPr>
          <w:t>134</w:t>
        </w:r>
        <w:r>
          <w:t>.</w:t>
        </w:r>
        <w:r>
          <w:tab/>
          <w:t>Review of Division</w:t>
        </w:r>
        <w:bookmarkEnd w:id="633"/>
      </w:ins>
    </w:p>
    <w:p>
      <w:pPr>
        <w:pStyle w:val="Subsection"/>
        <w:rPr>
          <w:ins w:id="635" w:author="svcMRProcess" w:date="2018-09-09T10:15:00Z"/>
        </w:rPr>
      </w:pPr>
      <w:ins w:id="636" w:author="svcMRProcess" w:date="2018-09-09T10:15:00Z">
        <w:r>
          <w:tab/>
          <w:t>(1)</w:t>
        </w:r>
        <w:r>
          <w:tab/>
          <w:t>The Minister is to carry out a review of the operation and effectiveness of this Division as soon as is practicable after —</w:t>
        </w:r>
      </w:ins>
    </w:p>
    <w:p>
      <w:pPr>
        <w:pStyle w:val="Indenta"/>
        <w:rPr>
          <w:ins w:id="637" w:author="svcMRProcess" w:date="2018-09-09T10:15:00Z"/>
        </w:rPr>
      </w:pPr>
      <w:ins w:id="638" w:author="svcMRProcess" w:date="2018-09-09T10:15:00Z">
        <w:r>
          <w:tab/>
          <w:t>(a)</w:t>
        </w:r>
        <w:r>
          <w:tab/>
          <w:t xml:space="preserve">the fifth anniversary of the commencement of the </w:t>
        </w:r>
        <w:r>
          <w:rPr>
            <w:i/>
          </w:rPr>
          <w:t>Revenue Laws Amendment Act (No. 2) 2008</w:t>
        </w:r>
        <w:r>
          <w:t xml:space="preserve"> section 28; and</w:t>
        </w:r>
      </w:ins>
    </w:p>
    <w:p>
      <w:pPr>
        <w:pStyle w:val="Indenta"/>
        <w:rPr>
          <w:ins w:id="639" w:author="svcMRProcess" w:date="2018-09-09T10:15:00Z"/>
        </w:rPr>
      </w:pPr>
      <w:ins w:id="640" w:author="svcMRProcess" w:date="2018-09-09T10:15:00Z">
        <w:r>
          <w:tab/>
          <w:t>(b)</w:t>
        </w:r>
        <w:r>
          <w:tab/>
          <w:t>the expiry of each 5 yearly interval after that anniversary.</w:t>
        </w:r>
      </w:ins>
    </w:p>
    <w:p>
      <w:pPr>
        <w:pStyle w:val="Subsection"/>
        <w:rPr>
          <w:ins w:id="641" w:author="svcMRProcess" w:date="2018-09-09T10:15:00Z"/>
        </w:rPr>
      </w:pPr>
      <w:ins w:id="642" w:author="svcMRProcess" w:date="2018-09-09T10:15:00Z">
        <w:r>
          <w:tab/>
          <w:t>(2)</w:t>
        </w:r>
        <w:r>
          <w:tab/>
          <w:t>The Minister is to prepare a report based on the review and, as soon as is practicable after the report is prepared (and in any event not more than 12 months after the relevant anniversary), cause it to be laid before each House of Parliament.</w:t>
        </w:r>
      </w:ins>
    </w:p>
    <w:p>
      <w:pPr>
        <w:pStyle w:val="Footnotesection"/>
        <w:rPr>
          <w:ins w:id="643" w:author="svcMRProcess" w:date="2018-09-09T10:15:00Z"/>
        </w:rPr>
      </w:pPr>
      <w:ins w:id="644" w:author="svcMRProcess" w:date="2018-09-09T10:15:00Z">
        <w:r>
          <w:tab/>
          <w:t>[Section 134 inserted by No. 31 of 2008 s. 28.]</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45" w:name="_Toc390071259"/>
      <w:bookmarkStart w:id="646" w:name="_Toc390071331"/>
      <w:r>
        <w:rPr>
          <w:rStyle w:val="CharSchNo"/>
        </w:rPr>
        <w:t>Glossary</w:t>
      </w:r>
      <w:bookmarkEnd w:id="645"/>
      <w:bookmarkEnd w:id="646"/>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47" w:name="_Toc390071260"/>
      <w:bookmarkStart w:id="648" w:name="_Toc390071332"/>
      <w:r>
        <w:t>Notes</w:t>
      </w:r>
      <w:bookmarkEnd w:id="647"/>
      <w:bookmarkEnd w:id="648"/>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649" w:name="_Toc390071261"/>
      <w:bookmarkStart w:id="650" w:name="_Toc390071333"/>
      <w:r>
        <w:t>Compilation table</w:t>
      </w:r>
      <w:bookmarkEnd w:id="649"/>
      <w:bookmarkEnd w:id="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 Jun 2007 (see s. 2(b))</w:t>
            </w:r>
          </w:p>
        </w:tc>
      </w:tr>
      <w:tr>
        <w:trPr>
          <w:cantSplit/>
        </w:trPr>
        <w:tc>
          <w:tcPr>
            <w:tcW w:w="7088" w:type="dxa"/>
            <w:gridSpan w:val="4"/>
          </w:tcPr>
          <w:p>
            <w:pPr>
              <w:pStyle w:val="nTable"/>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rPr>
          <w:ins w:id="651" w:author="svcMRProcess" w:date="2018-09-09T10:15:00Z"/>
        </w:trPr>
        <w:tc>
          <w:tcPr>
            <w:tcW w:w="2268" w:type="dxa"/>
            <w:tcBorders>
              <w:bottom w:val="single" w:sz="4" w:space="0" w:color="auto"/>
            </w:tcBorders>
          </w:tcPr>
          <w:p>
            <w:pPr>
              <w:pStyle w:val="nTable"/>
              <w:rPr>
                <w:ins w:id="652" w:author="svcMRProcess" w:date="2018-09-09T10:15:00Z"/>
                <w:iCs/>
                <w:snapToGrid w:val="0"/>
                <w:sz w:val="19"/>
              </w:rPr>
            </w:pPr>
            <w:ins w:id="653" w:author="svcMRProcess" w:date="2018-09-09T10:15:00Z">
              <w:r>
                <w:rPr>
                  <w:i/>
                  <w:snapToGrid w:val="0"/>
                  <w:sz w:val="19"/>
                </w:rPr>
                <w:t>Revenue Laws Amendment Act (No. 2) 2008</w:t>
              </w:r>
              <w:r>
                <w:rPr>
                  <w:iCs/>
                  <w:snapToGrid w:val="0"/>
                  <w:sz w:val="19"/>
                </w:rPr>
                <w:t xml:space="preserve"> Pt. 2 Div. 1 and Pt. 3 Div. 1 and 2</w:t>
              </w:r>
            </w:ins>
          </w:p>
        </w:tc>
        <w:tc>
          <w:tcPr>
            <w:tcW w:w="1134" w:type="dxa"/>
            <w:tcBorders>
              <w:bottom w:val="single" w:sz="4" w:space="0" w:color="auto"/>
            </w:tcBorders>
          </w:tcPr>
          <w:p>
            <w:pPr>
              <w:pStyle w:val="nTable"/>
              <w:spacing w:after="60"/>
              <w:rPr>
                <w:ins w:id="654" w:author="svcMRProcess" w:date="2018-09-09T10:15:00Z"/>
                <w:snapToGrid w:val="0"/>
                <w:sz w:val="19"/>
              </w:rPr>
            </w:pPr>
            <w:ins w:id="655" w:author="svcMRProcess" w:date="2018-09-09T10:15:00Z">
              <w:r>
                <w:rPr>
                  <w:snapToGrid w:val="0"/>
                  <w:sz w:val="19"/>
                </w:rPr>
                <w:t>31 of 2008</w:t>
              </w:r>
            </w:ins>
          </w:p>
        </w:tc>
        <w:tc>
          <w:tcPr>
            <w:tcW w:w="1134" w:type="dxa"/>
            <w:tcBorders>
              <w:bottom w:val="single" w:sz="4" w:space="0" w:color="auto"/>
            </w:tcBorders>
          </w:tcPr>
          <w:p>
            <w:pPr>
              <w:pStyle w:val="nTable"/>
              <w:rPr>
                <w:ins w:id="656" w:author="svcMRProcess" w:date="2018-09-09T10:15:00Z"/>
                <w:snapToGrid w:val="0"/>
                <w:sz w:val="19"/>
              </w:rPr>
            </w:pPr>
            <w:ins w:id="657" w:author="svcMRProcess" w:date="2018-09-09T10:15:00Z">
              <w:r>
                <w:rPr>
                  <w:snapToGrid w:val="0"/>
                  <w:sz w:val="19"/>
                </w:rPr>
                <w:t>27 Jun 2008</w:t>
              </w:r>
            </w:ins>
          </w:p>
        </w:tc>
        <w:tc>
          <w:tcPr>
            <w:tcW w:w="2552" w:type="dxa"/>
            <w:tcBorders>
              <w:bottom w:val="single" w:sz="4" w:space="0" w:color="auto"/>
            </w:tcBorders>
          </w:tcPr>
          <w:p>
            <w:pPr>
              <w:pStyle w:val="nTable"/>
              <w:rPr>
                <w:ins w:id="658" w:author="svcMRProcess" w:date="2018-09-09T10:15:00Z"/>
                <w:sz w:val="19"/>
              </w:rPr>
            </w:pPr>
            <w:ins w:id="659" w:author="svcMRProcess" w:date="2018-09-09T10:15:00Z">
              <w:r>
                <w:rPr>
                  <w:sz w:val="19"/>
                </w:rPr>
                <w:t>28 Jun 2008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0" w:name="_Toc390071262"/>
      <w:bookmarkStart w:id="661" w:name="_Toc390071334"/>
      <w:r>
        <w:t>Provisions that have not come into operation</w:t>
      </w:r>
      <w:bookmarkEnd w:id="660"/>
      <w:bookmarkEnd w:id="6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4" w:space="0" w:color="auto"/>
            </w:tcBorders>
          </w:tcPr>
          <w:p>
            <w:pPr>
              <w:pStyle w:val="nTable"/>
              <w:spacing w:after="40"/>
              <w:rPr>
                <w:sz w:val="19"/>
              </w:rPr>
            </w:pPr>
            <w:r>
              <w:rPr>
                <w:sz w:val="19"/>
              </w:rPr>
              <w:t>1 of 2003</w:t>
            </w:r>
            <w:r>
              <w:rPr>
                <w:sz w:val="19"/>
              </w:rPr>
              <w:br/>
              <w:t>(as amended by No. 55 of 2004</w:t>
            </w:r>
            <w:ins w:id="662" w:author="svcMRProcess" w:date="2018-09-09T10:15:00Z">
              <w:r>
                <w:rPr>
                  <w:sz w:val="19"/>
                </w:rPr>
                <w:t>; No. 31 of 2008 s. 24</w:t>
              </w:r>
            </w:ins>
            <w:r>
              <w:rPr>
                <w:sz w:val="19"/>
              </w:rPr>
              <w:t>)</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c>
          <w:tcPr>
            <w:tcW w:w="2268" w:type="dxa"/>
          </w:tcPr>
          <w:p>
            <w:pPr>
              <w:pStyle w:val="nTable"/>
              <w:spacing w:before="10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11</w:t>
            </w:r>
          </w:p>
        </w:tc>
        <w:tc>
          <w:tcPr>
            <w:tcW w:w="1134" w:type="dxa"/>
          </w:tcPr>
          <w:p>
            <w:pPr>
              <w:pStyle w:val="nTable"/>
              <w:spacing w:before="100"/>
              <w:rPr>
                <w:snapToGrid w:val="0"/>
                <w:sz w:val="19"/>
              </w:rPr>
            </w:pPr>
            <w:r>
              <w:rPr>
                <w:snapToGrid w:val="0"/>
                <w:sz w:val="19"/>
              </w:rPr>
              <w:t>24 of 2007</w:t>
            </w:r>
          </w:p>
        </w:tc>
        <w:tc>
          <w:tcPr>
            <w:tcW w:w="1134" w:type="dxa"/>
          </w:tcPr>
          <w:p>
            <w:pPr>
              <w:pStyle w:val="nTable"/>
              <w:spacing w:before="100"/>
              <w:rPr>
                <w:sz w:val="19"/>
              </w:rPr>
            </w:pPr>
            <w:r>
              <w:rPr>
                <w:snapToGrid w:val="0"/>
                <w:sz w:val="19"/>
              </w:rPr>
              <w:t>12 Oct 2007</w:t>
            </w:r>
          </w:p>
        </w:tc>
        <w:tc>
          <w:tcPr>
            <w:tcW w:w="2552" w:type="dxa"/>
          </w:tcPr>
          <w:p>
            <w:pPr>
              <w:pStyle w:val="nTable"/>
              <w:spacing w:before="100"/>
              <w:rPr>
                <w:snapToGrid w:val="0"/>
                <w:sz w:val="19"/>
              </w:rPr>
            </w:pPr>
            <w:r>
              <w:rPr>
                <w:snapToGrid w:val="0"/>
                <w:sz w:val="19"/>
              </w:rPr>
              <w:t>To be proclaimed (s. 2(2))</w:t>
            </w:r>
          </w:p>
        </w:tc>
      </w:tr>
      <w:tr>
        <w:tc>
          <w:tcPr>
            <w:tcW w:w="2268" w:type="dxa"/>
          </w:tcPr>
          <w:p>
            <w:pPr>
              <w:pStyle w:val="nTable"/>
              <w:keepNext/>
              <w:keepLines/>
              <w:spacing w:before="100"/>
              <w:rPr>
                <w:i/>
                <w:snapToGrid w:val="0"/>
                <w:sz w:val="19"/>
              </w:rPr>
            </w:pPr>
            <w:r>
              <w:rPr>
                <w:i/>
                <w:sz w:val="19"/>
              </w:rPr>
              <w:t>Duties Legislation Amendment Act 2008</w:t>
            </w:r>
            <w:r>
              <w:rPr>
                <w:iCs/>
                <w:sz w:val="19"/>
              </w:rPr>
              <w:t xml:space="preserve"> Pt. 2 Div. 3 </w:t>
            </w:r>
            <w:r>
              <w:rPr>
                <w:iCs/>
                <w:sz w:val="19"/>
                <w:vertAlign w:val="superscript"/>
              </w:rPr>
              <w:t>12</w:t>
            </w:r>
          </w:p>
        </w:tc>
        <w:tc>
          <w:tcPr>
            <w:tcW w:w="1134" w:type="dxa"/>
          </w:tcPr>
          <w:p>
            <w:pPr>
              <w:pStyle w:val="nTable"/>
              <w:spacing w:before="100"/>
              <w:rPr>
                <w:snapToGrid w:val="0"/>
                <w:sz w:val="19"/>
              </w:rPr>
            </w:pPr>
            <w:r>
              <w:rPr>
                <w:sz w:val="19"/>
              </w:rPr>
              <w:t>12 of 2008</w:t>
            </w:r>
          </w:p>
        </w:tc>
        <w:tc>
          <w:tcPr>
            <w:tcW w:w="1134" w:type="dxa"/>
          </w:tcPr>
          <w:p>
            <w:pPr>
              <w:pStyle w:val="nTable"/>
              <w:spacing w:before="100"/>
              <w:rPr>
                <w:snapToGrid w:val="0"/>
                <w:sz w:val="19"/>
              </w:rPr>
            </w:pPr>
            <w:r>
              <w:rPr>
                <w:sz w:val="19"/>
              </w:rPr>
              <w:t>14 Apr 2008</w:t>
            </w:r>
          </w:p>
        </w:tc>
        <w:tc>
          <w:tcPr>
            <w:tcW w:w="2552" w:type="dxa"/>
          </w:tcPr>
          <w:p>
            <w:pPr>
              <w:pStyle w:val="nTable"/>
              <w:spacing w:before="100"/>
              <w:rPr>
                <w:snapToGrid w:val="0"/>
                <w:sz w:val="19"/>
              </w:rPr>
            </w:pPr>
            <w:r>
              <w:rPr>
                <w:sz w:val="19"/>
              </w:rPr>
              <w:t>1 Jul 2008 (see s. 2(d))</w:t>
            </w:r>
          </w:p>
        </w:tc>
      </w:tr>
      <w:tr>
        <w:trPr>
          <w:ins w:id="663" w:author="svcMRProcess" w:date="2018-09-09T10:15:00Z"/>
        </w:trPr>
        <w:tc>
          <w:tcPr>
            <w:tcW w:w="2268" w:type="dxa"/>
            <w:tcBorders>
              <w:bottom w:val="single" w:sz="4" w:space="0" w:color="auto"/>
            </w:tcBorders>
          </w:tcPr>
          <w:p>
            <w:pPr>
              <w:pStyle w:val="nTable"/>
              <w:rPr>
                <w:ins w:id="664" w:author="svcMRProcess" w:date="2018-09-09T10:15:00Z"/>
                <w:iCs/>
                <w:snapToGrid w:val="0"/>
                <w:sz w:val="19"/>
                <w:vertAlign w:val="superscript"/>
              </w:rPr>
            </w:pPr>
            <w:ins w:id="665" w:author="svcMRProcess" w:date="2018-09-09T10:15:00Z">
              <w:r>
                <w:rPr>
                  <w:i/>
                  <w:snapToGrid w:val="0"/>
                  <w:sz w:val="19"/>
                </w:rPr>
                <w:t>Revenue Laws Amendment Act (No. 2) 2008</w:t>
              </w:r>
              <w:r>
                <w:rPr>
                  <w:iCs/>
                  <w:snapToGrid w:val="0"/>
                  <w:sz w:val="19"/>
                </w:rPr>
                <w:t xml:space="preserve"> Pt. 3 Div. 3 </w:t>
              </w:r>
              <w:r>
                <w:rPr>
                  <w:iCs/>
                  <w:snapToGrid w:val="0"/>
                  <w:sz w:val="19"/>
                  <w:vertAlign w:val="superscript"/>
                </w:rPr>
                <w:t>13</w:t>
              </w:r>
            </w:ins>
          </w:p>
        </w:tc>
        <w:tc>
          <w:tcPr>
            <w:tcW w:w="1134" w:type="dxa"/>
            <w:tcBorders>
              <w:bottom w:val="single" w:sz="4" w:space="0" w:color="auto"/>
            </w:tcBorders>
          </w:tcPr>
          <w:p>
            <w:pPr>
              <w:pStyle w:val="nTable"/>
              <w:spacing w:after="60"/>
              <w:rPr>
                <w:ins w:id="666" w:author="svcMRProcess" w:date="2018-09-09T10:15:00Z"/>
                <w:snapToGrid w:val="0"/>
                <w:sz w:val="19"/>
              </w:rPr>
            </w:pPr>
            <w:ins w:id="667" w:author="svcMRProcess" w:date="2018-09-09T10:15:00Z">
              <w:r>
                <w:rPr>
                  <w:snapToGrid w:val="0"/>
                  <w:sz w:val="19"/>
                </w:rPr>
                <w:t>31 of 2008</w:t>
              </w:r>
            </w:ins>
          </w:p>
        </w:tc>
        <w:tc>
          <w:tcPr>
            <w:tcW w:w="1134" w:type="dxa"/>
            <w:tcBorders>
              <w:bottom w:val="single" w:sz="4" w:space="0" w:color="auto"/>
            </w:tcBorders>
          </w:tcPr>
          <w:p>
            <w:pPr>
              <w:pStyle w:val="nTable"/>
              <w:rPr>
                <w:ins w:id="668" w:author="svcMRProcess" w:date="2018-09-09T10:15:00Z"/>
                <w:snapToGrid w:val="0"/>
                <w:sz w:val="19"/>
              </w:rPr>
            </w:pPr>
            <w:ins w:id="669" w:author="svcMRProcess" w:date="2018-09-09T10:15:00Z">
              <w:r>
                <w:rPr>
                  <w:snapToGrid w:val="0"/>
                  <w:sz w:val="19"/>
                </w:rPr>
                <w:t>27 Jun 2008</w:t>
              </w:r>
            </w:ins>
          </w:p>
        </w:tc>
        <w:tc>
          <w:tcPr>
            <w:tcW w:w="2552" w:type="dxa"/>
            <w:tcBorders>
              <w:bottom w:val="single" w:sz="4" w:space="0" w:color="auto"/>
            </w:tcBorders>
          </w:tcPr>
          <w:p>
            <w:pPr>
              <w:pStyle w:val="nTable"/>
              <w:rPr>
                <w:ins w:id="670" w:author="svcMRProcess" w:date="2018-09-09T10:15:00Z"/>
                <w:sz w:val="19"/>
              </w:rPr>
            </w:pPr>
            <w:ins w:id="671" w:author="svcMRProcess" w:date="2018-09-09T10:15:00Z">
              <w:r>
                <w:rPr>
                  <w:sz w:val="19"/>
                </w:rPr>
                <w:t>To be proclaimed (see s. 2(d))</w:t>
              </w:r>
            </w:ins>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w:t>
      </w:r>
      <w:del w:id="672" w:author="svcMRProcess" w:date="2018-09-09T10:15:00Z">
        <w:r>
          <w:delText xml:space="preserve">in writing </w:delText>
        </w:r>
      </w:del>
      <w:r>
        <w:t xml:space="preserve">of the decision, apply to the State </w:t>
      </w:r>
      <w:r>
        <w:rPr>
          <w:snapToGrid w:val="0"/>
        </w:rPr>
        <w:t>Administrative Tribunal</w:t>
      </w:r>
      <w:r>
        <w:t xml:space="preserve"> for a review of the decision.</w:t>
      </w:r>
    </w:p>
    <w:p>
      <w:pPr>
        <w:pStyle w:val="nzMiscellaneousBody"/>
        <w:tabs>
          <w:tab w:val="left" w:pos="1418"/>
        </w:tabs>
        <w:ind w:left="1440" w:hanging="873"/>
        <w:rPr>
          <w:i/>
        </w:rPr>
      </w:pPr>
      <w:r>
        <w:tab/>
      </w:r>
      <w:r>
        <w:rPr>
          <w:i/>
        </w:rPr>
        <w:t>[Section 34 amended by No. 55 of 2004 s. 1171</w:t>
      </w:r>
      <w:ins w:id="673" w:author="svcMRProcess" w:date="2018-09-09T10:15:00Z">
        <w:r>
          <w:rPr>
            <w:i/>
          </w:rPr>
          <w:t>; No. 31 of 2008 s. 24</w:t>
        </w:r>
      </w:ins>
      <w:r>
        <w:rPr>
          <w:i/>
        </w:rPr>
        <w:t>.]</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3</w:t>
      </w:r>
      <w:r>
        <w:rPr>
          <w:snapToGrid w:val="0"/>
        </w:rPr>
        <w:t xml:space="preserve"> had not come into operation.  It reads as follows:</w:t>
      </w:r>
    </w:p>
    <w:p>
      <w:pPr>
        <w:pStyle w:val="MiscOpen"/>
      </w:pPr>
      <w:r>
        <w:t>“</w:t>
      </w:r>
    </w:p>
    <w:p>
      <w:pPr>
        <w:pStyle w:val="nzHeading2"/>
      </w:pPr>
      <w:r>
        <w:rPr>
          <w:rStyle w:val="CharPartNo"/>
        </w:rPr>
        <w:t>Part 2</w:t>
      </w:r>
      <w:r>
        <w:t> — </w:t>
      </w:r>
      <w:r>
        <w:rPr>
          <w:rStyle w:val="CharPartText"/>
        </w:rPr>
        <w:t>Amendments</w:t>
      </w:r>
    </w:p>
    <w:p>
      <w:pPr>
        <w:pStyle w:val="nzHeading3"/>
      </w:pPr>
      <w:r>
        <w:rPr>
          <w:rStyle w:val="CharDivNo"/>
        </w:rPr>
        <w:t>Division 3</w:t>
      </w:r>
      <w:r>
        <w:t> — </w:t>
      </w:r>
      <w:r>
        <w:rPr>
          <w:rStyle w:val="CharDivText"/>
          <w:i/>
          <w:iCs/>
        </w:rPr>
        <w:t xml:space="preserve">Taxation Administration Act 2003 </w:t>
      </w:r>
      <w:r>
        <w:rPr>
          <w:rStyle w:val="CharDivText"/>
        </w:rPr>
        <w:t>amended</w:t>
      </w:r>
    </w:p>
    <w:p>
      <w:pPr>
        <w:pStyle w:val="nzHeading5"/>
        <w:rPr>
          <w:snapToGrid w:val="0"/>
        </w:rPr>
      </w:pPr>
      <w:r>
        <w:rPr>
          <w:rStyle w:val="CharSectno"/>
        </w:rPr>
        <w:t>33</w:t>
      </w:r>
      <w:r>
        <w:rPr>
          <w:snapToGrid w:val="0"/>
        </w:rPr>
        <w:t>.</w:t>
      </w:r>
      <w:r>
        <w:rPr>
          <w:snapToGrid w:val="0"/>
        </w:rPr>
        <w:tab/>
        <w:t>The Act amended in this Division</w:t>
      </w:r>
    </w:p>
    <w:p>
      <w:pPr>
        <w:pStyle w:val="nzSubsection"/>
      </w:pPr>
      <w:r>
        <w:tab/>
      </w:r>
      <w:r>
        <w:tab/>
        <w:t xml:space="preserve">The amendments in this Division are to the </w:t>
      </w:r>
      <w:r>
        <w:rPr>
          <w:i/>
        </w:rPr>
        <w:t>Taxation Administration Act 2003</w:t>
      </w:r>
      <w:r>
        <w:t>.</w:t>
      </w:r>
    </w:p>
    <w:p>
      <w:pPr>
        <w:pStyle w:val="nzHeading5"/>
      </w:pPr>
      <w:r>
        <w:rPr>
          <w:rStyle w:val="CharSectno"/>
        </w:rPr>
        <w:t>34</w:t>
      </w:r>
      <w:r>
        <w:t>.</w:t>
      </w:r>
      <w:r>
        <w:tab/>
        <w:t>Section 3 amended</w:t>
      </w:r>
    </w:p>
    <w:p>
      <w:pPr>
        <w:pStyle w:val="nzSubsection"/>
      </w:pPr>
      <w:r>
        <w:tab/>
      </w:r>
      <w:r>
        <w:tab/>
        <w:t>After section 3(1)(c) the following paragraph is inserted —</w:t>
      </w:r>
    </w:p>
    <w:p>
      <w:pPr>
        <w:pStyle w:val="nzSubsection"/>
      </w:pPr>
      <w:r>
        <w:tab/>
      </w:r>
      <w:r>
        <w:tab/>
        <w:t xml:space="preserve">“    </w:t>
      </w:r>
      <w:r>
        <w:tab/>
        <w:t>(ca)</w:t>
      </w:r>
      <w:r>
        <w:tab/>
        <w:t xml:space="preserve">the </w:t>
      </w:r>
      <w:r>
        <w:rPr>
          <w:i/>
          <w:iCs/>
        </w:rPr>
        <w:t>Duties Act 2008</w:t>
      </w:r>
      <w:r>
        <w:t>;    ”.</w:t>
      </w:r>
    </w:p>
    <w:p>
      <w:pPr>
        <w:pStyle w:val="nzHeading5"/>
      </w:pPr>
      <w:r>
        <w:rPr>
          <w:rStyle w:val="CharSectno"/>
        </w:rPr>
        <w:t>35</w:t>
      </w:r>
      <w:r>
        <w:t>.</w:t>
      </w:r>
      <w:r>
        <w:tab/>
        <w:t>Section 18 amended</w:t>
      </w:r>
    </w:p>
    <w:p>
      <w:pPr>
        <w:pStyle w:val="nzSubsection"/>
      </w:pPr>
      <w:r>
        <w:tab/>
      </w:r>
      <w:r>
        <w:tab/>
        <w:t xml:space="preserve">Section 18(3) is repealed and the following subsection is inserted instead — </w:t>
      </w:r>
    </w:p>
    <w:p>
      <w:pPr>
        <w:pStyle w:val="MiscOpen"/>
        <w:spacing w:before="60"/>
        <w:ind w:left="601"/>
      </w:pPr>
      <w:r>
        <w:t xml:space="preserve">“    </w:t>
      </w:r>
    </w:p>
    <w:p>
      <w:pPr>
        <w:pStyle w:val="nzSubsection"/>
      </w:pPr>
      <w:r>
        <w:tab/>
        <w:t>(3)</w:t>
      </w:r>
      <w:r>
        <w:tab/>
        <w:t xml:space="preserve">If tax payable on — </w:t>
      </w:r>
    </w:p>
    <w:p>
      <w:pPr>
        <w:pStyle w:val="nzIndenta"/>
      </w:pPr>
      <w:r>
        <w:tab/>
        <w:t>(a)</w:t>
      </w:r>
      <w:r>
        <w:tab/>
        <w:t>an instrument; or</w:t>
      </w:r>
    </w:p>
    <w:p>
      <w:pPr>
        <w:pStyle w:val="nzIndenta"/>
        <w:keepNext/>
        <w:keepLines/>
      </w:pPr>
      <w:r>
        <w:tab/>
        <w:t>(b)</w:t>
      </w:r>
      <w:r>
        <w:tab/>
        <w:t>a transaction or event that an instrument effects or records,</w:t>
      </w:r>
    </w:p>
    <w:p>
      <w:pPr>
        <w:pStyle w:val="nz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MiscClose"/>
      </w:pPr>
      <w:r>
        <w:t xml:space="preserve">    ”.</w:t>
      </w:r>
    </w:p>
    <w:p>
      <w:pPr>
        <w:pStyle w:val="nzHeading5"/>
      </w:pPr>
      <w:r>
        <w:rPr>
          <w:rStyle w:val="CharSectno"/>
        </w:rPr>
        <w:t>36</w:t>
      </w:r>
      <w:r>
        <w:t>.</w:t>
      </w:r>
      <w:r>
        <w:tab/>
        <w:t>Section 20 amended</w:t>
      </w:r>
    </w:p>
    <w:p>
      <w:pPr>
        <w:pStyle w:val="nzSubsection"/>
      </w:pPr>
      <w:r>
        <w:tab/>
        <w:t>(1)</w:t>
      </w:r>
      <w:r>
        <w:tab/>
        <w:t>Section 20(2) is amended as follows:</w:t>
      </w:r>
    </w:p>
    <w:p>
      <w:pPr>
        <w:pStyle w:val="nzIndenta"/>
      </w:pPr>
      <w:r>
        <w:tab/>
        <w:t>(a)</w:t>
      </w:r>
      <w:r>
        <w:tab/>
        <w:t xml:space="preserve">by deleting “on an instrument required to be lodged under a taxation Act, but the instrument has not been lodged as required” and inserting instead — </w:t>
      </w:r>
    </w:p>
    <w:p>
      <w:pPr>
        <w:pStyle w:val="MiscOpen"/>
        <w:spacing w:before="40"/>
        <w:ind w:left="879"/>
      </w:pPr>
      <w:r>
        <w:t xml:space="preserve">“    </w:t>
      </w:r>
    </w:p>
    <w:p>
      <w:pPr>
        <w:pStyle w:val="nzSubsection"/>
      </w:pPr>
      <w:r>
        <w:tab/>
      </w:r>
      <w:r>
        <w:tab/>
        <w:t>but an instrument has not been lodged as required under a taxation Act</w:t>
      </w:r>
    </w:p>
    <w:p>
      <w:pPr>
        <w:pStyle w:val="MiscClose"/>
      </w:pPr>
      <w:r>
        <w:t xml:space="preserve">    ”;</w:t>
      </w:r>
    </w:p>
    <w:p>
      <w:pPr>
        <w:pStyle w:val="nzIndenta"/>
      </w:pPr>
      <w:r>
        <w:tab/>
        <w:t>(b)</w:t>
      </w:r>
      <w:r>
        <w:tab/>
        <w:t>in paragraph (b) by deleting “if a copy of the instrument is not available —”.</w:t>
      </w:r>
    </w:p>
    <w:p>
      <w:pPr>
        <w:pStyle w:val="nzSubsection"/>
      </w:pPr>
      <w:r>
        <w:tab/>
        <w:t>(2)</w:t>
      </w:r>
      <w:r>
        <w:tab/>
        <w:t xml:space="preserve">Section 20(3) is repealed and the following subsection is inserted instead — </w:t>
      </w:r>
    </w:p>
    <w:p>
      <w:pPr>
        <w:pStyle w:val="MiscOpen"/>
        <w:ind w:left="600"/>
      </w:pPr>
      <w:r>
        <w:t xml:space="preserve">“    </w:t>
      </w:r>
    </w:p>
    <w:p>
      <w:pPr>
        <w:pStyle w:val="nzSubsection"/>
      </w:pPr>
      <w:r>
        <w:tab/>
        <w:t>(3)</w:t>
      </w:r>
      <w:r>
        <w:tab/>
        <w:t>A memorandum created under subsection (1)(a) or (2)(b) is taken to be the instrument and to have been lodged by the person required to lodge it under the taxation Act.</w:t>
      </w:r>
    </w:p>
    <w:p>
      <w:pPr>
        <w:pStyle w:val="MiscClose"/>
      </w:pPr>
      <w:r>
        <w:t xml:space="preserve">    ”.</w:t>
      </w:r>
    </w:p>
    <w:p>
      <w:pPr>
        <w:pStyle w:val="nzSubsection"/>
      </w:pPr>
      <w:r>
        <w:tab/>
        <w:t>(3)</w:t>
      </w:r>
      <w:r>
        <w:tab/>
        <w:t xml:space="preserve">Section 20(4) is amended by deleting “, (2)(b) or (3)” and inserting instead — </w:t>
      </w:r>
    </w:p>
    <w:p>
      <w:pPr>
        <w:pStyle w:val="nzSubsection"/>
      </w:pPr>
      <w:r>
        <w:tab/>
      </w:r>
      <w:r>
        <w:tab/>
        <w:t>“    or (2)(b)    ”.</w:t>
      </w:r>
    </w:p>
    <w:p>
      <w:pPr>
        <w:pStyle w:val="nzSubsection"/>
      </w:pPr>
      <w:r>
        <w:tab/>
        <w:t>(4)</w:t>
      </w:r>
      <w:r>
        <w:tab/>
        <w:t xml:space="preserve">Section 20(5) and (6) are repealed and the following subsections are inserted instead — </w:t>
      </w:r>
    </w:p>
    <w:p>
      <w:pPr>
        <w:pStyle w:val="MiscOpen"/>
        <w:ind w:left="600"/>
      </w:pPr>
      <w:r>
        <w:t xml:space="preserve">“    </w:t>
      </w:r>
    </w:p>
    <w:p>
      <w:pPr>
        <w:pStyle w:val="nzSubsection"/>
      </w:pPr>
      <w:r>
        <w:tab/>
        <w:t>(5)</w:t>
      </w:r>
      <w:r>
        <w:tab/>
        <w:t>The copy or memorandum may be endorsed to indicate the payment of tax.</w:t>
      </w:r>
    </w:p>
    <w:p>
      <w:pPr>
        <w:pStyle w:val="nzSubsection"/>
      </w:pPr>
      <w:r>
        <w:tab/>
        <w:t>(6)</w:t>
      </w:r>
      <w:r>
        <w:tab/>
        <w:t>The validity of an assessment and the liability to pay tax do not depend on the availability of an instrument or a copy of an instrument, or on the creation of a memorandum of an instrument.</w:t>
      </w:r>
    </w:p>
    <w:p>
      <w:pPr>
        <w:pStyle w:val="MiscClose"/>
      </w:pPr>
      <w:r>
        <w:t xml:space="preserve">    ”.</w:t>
      </w:r>
    </w:p>
    <w:p>
      <w:pPr>
        <w:pStyle w:val="nzHeading5"/>
      </w:pPr>
      <w:r>
        <w:rPr>
          <w:rStyle w:val="CharSectno"/>
        </w:rPr>
        <w:t>37</w:t>
      </w:r>
      <w:r>
        <w:t>.</w:t>
      </w:r>
      <w:r>
        <w:tab/>
        <w:t>Section 23 amended</w:t>
      </w:r>
    </w:p>
    <w:p>
      <w:pPr>
        <w:pStyle w:val="nzSubsection"/>
      </w:pPr>
      <w:r>
        <w:tab/>
      </w:r>
      <w:r>
        <w:tab/>
        <w:t xml:space="preserve">Section 23(2) is amended by deleting paragraph (b) and “or” after it and inserting instead — </w:t>
      </w:r>
    </w:p>
    <w:p>
      <w:pPr>
        <w:pStyle w:val="MiscOpen"/>
        <w:ind w:left="1340"/>
      </w:pPr>
      <w:r>
        <w:t xml:space="preserve">“    </w:t>
      </w:r>
    </w:p>
    <w:p>
      <w:pPr>
        <w:pStyle w:val="nz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MiscClose"/>
      </w:pPr>
      <w:r>
        <w:t xml:space="preserve">    ”.</w:t>
      </w:r>
    </w:p>
    <w:p>
      <w:pPr>
        <w:pStyle w:val="nzHeading5"/>
      </w:pPr>
      <w:r>
        <w:rPr>
          <w:rStyle w:val="CharSectno"/>
        </w:rPr>
        <w:t>38</w:t>
      </w:r>
      <w:r>
        <w:t>.</w:t>
      </w:r>
      <w:r>
        <w:tab/>
        <w:t>Section 24 amended</w:t>
      </w:r>
    </w:p>
    <w:p>
      <w:pPr>
        <w:pStyle w:val="nzSubsection"/>
      </w:pPr>
      <w:r>
        <w:tab/>
      </w:r>
      <w:r>
        <w:tab/>
        <w:t xml:space="preserve">After section 24(1) the following subsection is inserted — </w:t>
      </w:r>
    </w:p>
    <w:p>
      <w:pPr>
        <w:pStyle w:val="MiscOpen"/>
        <w:ind w:left="600"/>
      </w:pPr>
      <w:r>
        <w:t xml:space="preserve">“    </w:t>
      </w:r>
    </w:p>
    <w:p>
      <w:pPr>
        <w:pStyle w:val="nzSubsection"/>
      </w:pPr>
      <w:r>
        <w:tab/>
        <w:t>(1a)</w:t>
      </w:r>
      <w:r>
        <w:tab/>
        <w:t>An assessment notice must set out the date on which it is issued.</w:t>
      </w:r>
    </w:p>
    <w:p>
      <w:pPr>
        <w:pStyle w:val="MiscClose"/>
      </w:pPr>
      <w:r>
        <w:t xml:space="preserve">    ”.</w:t>
      </w:r>
    </w:p>
    <w:p>
      <w:pPr>
        <w:pStyle w:val="nzHeading5"/>
      </w:pPr>
      <w:r>
        <w:rPr>
          <w:rStyle w:val="CharSectno"/>
        </w:rPr>
        <w:t>39</w:t>
      </w:r>
      <w:r>
        <w:t>.</w:t>
      </w:r>
      <w:r>
        <w:tab/>
        <w:t>Section 34 amended</w:t>
      </w:r>
    </w:p>
    <w:p>
      <w:pPr>
        <w:pStyle w:val="nzSubsection"/>
      </w:pPr>
      <w:r>
        <w:tab/>
        <w:t>(1)</w:t>
      </w:r>
      <w:r>
        <w:tab/>
        <w:t>Section 34(1) is amended after paragraph (b) by deleting the full stop and inserting —</w:t>
      </w:r>
    </w:p>
    <w:p>
      <w:pPr>
        <w:pStyle w:val="MiscOpen"/>
        <w:ind w:left="1620"/>
      </w:pPr>
      <w:r>
        <w:t xml:space="preserve">“    </w:t>
      </w:r>
    </w:p>
    <w:p>
      <w:pPr>
        <w:pStyle w:val="nzIndenta"/>
      </w:pPr>
      <w:r>
        <w:tab/>
      </w:r>
      <w:r>
        <w:tab/>
        <w:t>; or</w:t>
      </w:r>
    </w:p>
    <w:p>
      <w:pPr>
        <w:pStyle w:val="nz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nz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MiscClose"/>
      </w:pPr>
      <w:r>
        <w:t xml:space="preserve">    ”.</w:t>
      </w:r>
    </w:p>
    <w:p>
      <w:pPr>
        <w:pStyle w:val="nzSubsection"/>
      </w:pPr>
      <w:r>
        <w:tab/>
        <w:t>(2)</w:t>
      </w:r>
      <w:r>
        <w:tab/>
        <w:t xml:space="preserve">Section 34(2)(b) is deleted and the following paragraph is inserted instead — </w:t>
      </w:r>
    </w:p>
    <w:p>
      <w:pPr>
        <w:pStyle w:val="MiscOpen"/>
        <w:ind w:left="1340"/>
      </w:pPr>
      <w:r>
        <w:t xml:space="preserve">“    </w:t>
      </w:r>
    </w:p>
    <w:p>
      <w:pPr>
        <w:pStyle w:val="nz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MiscClose"/>
      </w:pPr>
      <w:r>
        <w:t xml:space="preserve">    ”.</w:t>
      </w:r>
    </w:p>
    <w:p>
      <w:pPr>
        <w:pStyle w:val="nzHeading5"/>
      </w:pPr>
      <w:r>
        <w:rPr>
          <w:rStyle w:val="CharSectno"/>
        </w:rPr>
        <w:t>40</w:t>
      </w:r>
      <w:r>
        <w:t>.</w:t>
      </w:r>
      <w:r>
        <w:tab/>
        <w:t>Section 36 amended</w:t>
      </w:r>
    </w:p>
    <w:p>
      <w:pPr>
        <w:pStyle w:val="nzSubsection"/>
        <w:spacing w:before="160"/>
      </w:pPr>
      <w:r>
        <w:tab/>
      </w:r>
      <w:r>
        <w:tab/>
        <w:t>Section 36(1)(b) is amended as follows:</w:t>
      </w:r>
    </w:p>
    <w:p>
      <w:pPr>
        <w:pStyle w:val="nzIndenta"/>
      </w:pPr>
      <w:r>
        <w:tab/>
        <w:t>(a)</w:t>
      </w:r>
      <w:r>
        <w:tab/>
        <w:t xml:space="preserve">by deleting “denoted by stamping” and inserting instead — </w:t>
      </w:r>
    </w:p>
    <w:p>
      <w:pPr>
        <w:pStyle w:val="nzIndenta"/>
      </w:pPr>
      <w:r>
        <w:tab/>
      </w:r>
      <w:r>
        <w:tab/>
        <w:t>“    indicated by endorsement    ”;</w:t>
      </w:r>
    </w:p>
    <w:p>
      <w:pPr>
        <w:pStyle w:val="nzIndenta"/>
      </w:pPr>
      <w:r>
        <w:tab/>
        <w:t>(b)</w:t>
      </w:r>
      <w:r>
        <w:tab/>
        <w:t xml:space="preserve">by deleting “stamped” and inserting instead — </w:t>
      </w:r>
    </w:p>
    <w:p>
      <w:pPr>
        <w:pStyle w:val="nzIndenta"/>
      </w:pPr>
      <w:r>
        <w:tab/>
      </w:r>
      <w:r>
        <w:tab/>
        <w:t>“    endorsed    ”.</w:t>
      </w:r>
    </w:p>
    <w:p>
      <w:pPr>
        <w:pStyle w:val="nzHeading5"/>
      </w:pPr>
      <w:r>
        <w:rPr>
          <w:rStyle w:val="CharSectno"/>
        </w:rPr>
        <w:t>41</w:t>
      </w:r>
      <w:r>
        <w:t>.</w:t>
      </w:r>
      <w:r>
        <w:tab/>
        <w:t>Section 43 amended</w:t>
      </w:r>
    </w:p>
    <w:p>
      <w:pPr>
        <w:pStyle w:val="nzSubsection"/>
      </w:pPr>
      <w:r>
        <w:tab/>
      </w:r>
      <w:r>
        <w:tab/>
        <w:t xml:space="preserve">Section 43(2) is amended by inserting before “the </w:t>
      </w:r>
      <w:r>
        <w:rPr>
          <w:i/>
          <w:iCs/>
        </w:rPr>
        <w:t>Pay</w:t>
      </w:r>
      <w:r>
        <w:rPr>
          <w:i/>
          <w:iCs/>
        </w:rPr>
        <w:noBreakHyphen/>
        <w:t>roll</w:t>
      </w:r>
      <w:r>
        <w:t xml:space="preserve">” — </w:t>
      </w:r>
    </w:p>
    <w:p>
      <w:pPr>
        <w:pStyle w:val="nzSubsection"/>
      </w:pPr>
      <w:r>
        <w:tab/>
      </w:r>
      <w:r>
        <w:tab/>
        <w:t xml:space="preserve">“    the </w:t>
      </w:r>
      <w:r>
        <w:rPr>
          <w:i/>
          <w:iCs/>
        </w:rPr>
        <w:t>Duties Act 2008</w:t>
      </w:r>
      <w:r>
        <w:t>,    ”.</w:t>
      </w:r>
    </w:p>
    <w:p>
      <w:pPr>
        <w:pStyle w:val="nzHeading5"/>
      </w:pPr>
      <w:r>
        <w:rPr>
          <w:rStyle w:val="CharSectno"/>
        </w:rPr>
        <w:t>42</w:t>
      </w:r>
      <w:r>
        <w:t>.</w:t>
      </w:r>
      <w:r>
        <w:tab/>
        <w:t>Section 50 amended</w:t>
      </w:r>
    </w:p>
    <w:p>
      <w:pPr>
        <w:pStyle w:val="nzSubsection"/>
        <w:spacing w:before="160"/>
      </w:pPr>
      <w:r>
        <w:tab/>
      </w:r>
      <w:r>
        <w:tab/>
        <w:t>Section 50(1) is amended as follows:</w:t>
      </w:r>
    </w:p>
    <w:p>
      <w:pPr>
        <w:pStyle w:val="nzIndenta"/>
      </w:pPr>
      <w:r>
        <w:tab/>
        <w:t>(a)</w:t>
      </w:r>
      <w:r>
        <w:tab/>
        <w:t xml:space="preserve">by deleting paragraph (d) and inserting instead — </w:t>
      </w:r>
    </w:p>
    <w:p>
      <w:pPr>
        <w:pStyle w:val="MiscOpen"/>
        <w:ind w:left="1340"/>
      </w:pPr>
      <w:r>
        <w:t xml:space="preserve">“    </w:t>
      </w:r>
    </w:p>
    <w:p>
      <w:pPr>
        <w:pStyle w:val="nzIndenta"/>
      </w:pPr>
      <w:r>
        <w:tab/>
        <w:t>(d)</w:t>
      </w:r>
      <w:r>
        <w:tab/>
        <w:t>may provide for the endorsement or certification of instruments to indicate the amount of tax paid or payable under the special tax return arrangement, or to indicate that tax is not payable; and</w:t>
      </w:r>
    </w:p>
    <w:p>
      <w:pPr>
        <w:pStyle w:val="MiscClose"/>
      </w:pPr>
      <w:r>
        <w:t xml:space="preserve">    ”;</w:t>
      </w:r>
    </w:p>
    <w:p>
      <w:pPr>
        <w:pStyle w:val="nzIndenta"/>
      </w:pPr>
      <w:r>
        <w:tab/>
        <w:t>(b)</w:t>
      </w:r>
      <w:r>
        <w:tab/>
        <w:t xml:space="preserve">in paragraph (g) by deleting “cancel a stamp duty certificate issued by the party under the arrangement and issue a replacement certificate to give” and inserting instead — </w:t>
      </w:r>
    </w:p>
    <w:p>
      <w:pPr>
        <w:pStyle w:val="nzIndenta"/>
      </w:pPr>
      <w:r>
        <w:tab/>
      </w:r>
      <w:r>
        <w:tab/>
        <w:t>“    do things for the purpose of giving    ”;</w:t>
      </w:r>
    </w:p>
    <w:p>
      <w:pPr>
        <w:pStyle w:val="nzIndenta"/>
      </w:pPr>
      <w:r>
        <w:tab/>
        <w:t>(c)</w:t>
      </w:r>
      <w:r>
        <w:tab/>
        <w:t xml:space="preserve">after each of paragraphs (a), (b), (c) and (e) by inserting — </w:t>
      </w:r>
    </w:p>
    <w:p>
      <w:pPr>
        <w:pStyle w:val="nzIndenta"/>
      </w:pPr>
      <w:r>
        <w:tab/>
      </w:r>
      <w:r>
        <w:tab/>
        <w:t>“    and    ”.</w:t>
      </w:r>
    </w:p>
    <w:p>
      <w:pPr>
        <w:pStyle w:val="nzHeading5"/>
      </w:pPr>
      <w:r>
        <w:rPr>
          <w:rStyle w:val="CharSectno"/>
        </w:rPr>
        <w:t>43</w:t>
      </w:r>
      <w:r>
        <w:t>.</w:t>
      </w:r>
      <w:r>
        <w:tab/>
        <w:t>Section 51 replaced</w:t>
      </w:r>
    </w:p>
    <w:p>
      <w:pPr>
        <w:pStyle w:val="nzSubsection"/>
        <w:spacing w:before="160"/>
      </w:pPr>
      <w:r>
        <w:tab/>
      </w:r>
      <w:r>
        <w:tab/>
        <w:t xml:space="preserve">Section 51 is repealed and the following section is inserted instead — </w:t>
      </w:r>
    </w:p>
    <w:p>
      <w:pPr>
        <w:pStyle w:val="MiscOpen"/>
        <w:spacing w:before="160"/>
      </w:pPr>
      <w:r>
        <w:t xml:space="preserve">“    </w:t>
      </w:r>
    </w:p>
    <w:p>
      <w:pPr>
        <w:pStyle w:val="nzHeading5"/>
      </w:pPr>
      <w:r>
        <w:t>51.</w:t>
      </w:r>
      <w:r>
        <w:tab/>
        <w:t>Improper endorsement or certification of an instrument</w:t>
      </w:r>
    </w:p>
    <w:p>
      <w:pPr>
        <w:pStyle w:val="nzSubsection"/>
        <w:spacing w:before="160"/>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nzPenstart"/>
      </w:pPr>
      <w:r>
        <w:tab/>
        <w:t>Penalty: $20 000.</w:t>
      </w:r>
    </w:p>
    <w:p>
      <w:pPr>
        <w:pStyle w:val="MiscClose"/>
      </w:pPr>
      <w:r>
        <w:t xml:space="preserve">    ”.</w:t>
      </w:r>
    </w:p>
    <w:p>
      <w:pPr>
        <w:pStyle w:val="nzHeading5"/>
      </w:pPr>
      <w:r>
        <w:rPr>
          <w:rStyle w:val="CharSectno"/>
        </w:rPr>
        <w:t>44</w:t>
      </w:r>
      <w:r>
        <w:t>.</w:t>
      </w:r>
      <w:r>
        <w:tab/>
        <w:t>Section 55 amended</w:t>
      </w:r>
    </w:p>
    <w:p>
      <w:pPr>
        <w:pStyle w:val="nzSubsection"/>
      </w:pPr>
      <w:r>
        <w:tab/>
      </w:r>
      <w:r>
        <w:tab/>
        <w:t xml:space="preserve">After section 55(1)(b) the following paragraph is inserted — </w:t>
      </w:r>
    </w:p>
    <w:p>
      <w:pPr>
        <w:pStyle w:val="MiscOpen"/>
        <w:ind w:left="1340"/>
      </w:pPr>
      <w:r>
        <w:t xml:space="preserve">“    </w:t>
      </w:r>
    </w:p>
    <w:p>
      <w:pPr>
        <w:pStyle w:val="nzIndenta"/>
      </w:pPr>
      <w:r>
        <w:tab/>
        <w:t>(ba)</w:t>
      </w:r>
      <w:r>
        <w:tab/>
        <w:t xml:space="preserve">duty payable under the </w:t>
      </w:r>
      <w:r>
        <w:rPr>
          <w:i/>
          <w:iCs/>
        </w:rPr>
        <w:t>Duties Act 2008</w:t>
      </w:r>
      <w:r>
        <w:t xml:space="preserve"> Chapter 4;</w:t>
      </w:r>
    </w:p>
    <w:p>
      <w:pPr>
        <w:pStyle w:val="MiscClose"/>
      </w:pPr>
      <w:r>
        <w:t xml:space="preserve">    ”.</w:t>
      </w:r>
    </w:p>
    <w:p>
      <w:pPr>
        <w:pStyle w:val="nzHeading5"/>
      </w:pPr>
      <w:r>
        <w:rPr>
          <w:rStyle w:val="CharSectno"/>
        </w:rPr>
        <w:t>45</w:t>
      </w:r>
      <w:r>
        <w:t>.</w:t>
      </w:r>
      <w:r>
        <w:tab/>
        <w:t>Section 77A inserted</w:t>
      </w:r>
    </w:p>
    <w:p>
      <w:pPr>
        <w:pStyle w:val="nzSubsection"/>
      </w:pPr>
      <w:r>
        <w:tab/>
      </w:r>
      <w:r>
        <w:tab/>
        <w:t xml:space="preserve">After section 77 the following section is inserted — </w:t>
      </w:r>
    </w:p>
    <w:p>
      <w:pPr>
        <w:pStyle w:val="MiscOpen"/>
      </w:pPr>
      <w:r>
        <w:t xml:space="preserve">“    </w:t>
      </w:r>
    </w:p>
    <w:p>
      <w:pPr>
        <w:pStyle w:val="nzHeading5"/>
      </w:pPr>
      <w:r>
        <w:t>77A.</w:t>
      </w:r>
      <w:r>
        <w:tab/>
        <w:t>Charge on land to secure transfer duty or landholder duty</w:t>
      </w:r>
    </w:p>
    <w:p>
      <w:pPr>
        <w:pStyle w:val="nzSubsection"/>
      </w:pPr>
      <w:r>
        <w:tab/>
        <w:t>(1)</w:t>
      </w:r>
      <w:r>
        <w:tab/>
        <w:t xml:space="preserve">In this section — </w:t>
      </w:r>
    </w:p>
    <w:p>
      <w:pPr>
        <w:pStyle w:val="nzDefstart"/>
      </w:pPr>
      <w:r>
        <w:rPr>
          <w:b/>
        </w:rPr>
        <w:tab/>
        <w:t>“</w:t>
      </w:r>
      <w:r>
        <w:rPr>
          <w:rStyle w:val="CharDefText"/>
        </w:rPr>
        <w:t>landholder</w:t>
      </w:r>
      <w:r>
        <w:rPr>
          <w:b/>
        </w:rPr>
        <w:t>”</w:t>
      </w:r>
      <w:r>
        <w:t xml:space="preserve"> and </w:t>
      </w:r>
      <w:r>
        <w:rPr>
          <w:b/>
        </w:rPr>
        <w:t>“</w:t>
      </w:r>
      <w:r>
        <w:rPr>
          <w:rStyle w:val="CharDefText"/>
        </w:rPr>
        <w:t>linked entity</w:t>
      </w:r>
      <w:r>
        <w:rPr>
          <w:b/>
        </w:rPr>
        <w:t>”</w:t>
      </w:r>
      <w:r>
        <w:t xml:space="preserve"> have the meanings given in the </w:t>
      </w:r>
      <w:r>
        <w:rPr>
          <w:i/>
          <w:iCs/>
        </w:rPr>
        <w:t>Duties Act 2008</w:t>
      </w:r>
      <w:r>
        <w:t xml:space="preserve"> section 148;</w:t>
      </w:r>
    </w:p>
    <w:p>
      <w:pPr>
        <w:pStyle w:val="nzDefstart"/>
      </w:pPr>
      <w:r>
        <w:rPr>
          <w:b/>
        </w:rPr>
        <w:tab/>
        <w:t>“</w:t>
      </w:r>
      <w:r>
        <w:rPr>
          <w:rStyle w:val="CharDefText"/>
        </w:rPr>
        <w:t>landholder duty</w:t>
      </w:r>
      <w:r>
        <w:rPr>
          <w:b/>
        </w:rPr>
        <w:t>”</w:t>
      </w:r>
      <w:r>
        <w:t xml:space="preserve"> means duty under the </w:t>
      </w:r>
      <w:r>
        <w:rPr>
          <w:i/>
          <w:iCs/>
        </w:rPr>
        <w:t>Duties Act 2008</w:t>
      </w:r>
      <w:r>
        <w:t xml:space="preserve"> Chapter 3;</w:t>
      </w:r>
    </w:p>
    <w:p>
      <w:pPr>
        <w:pStyle w:val="nzDefstart"/>
      </w:pPr>
      <w:r>
        <w:rPr>
          <w:b/>
        </w:rPr>
        <w:tab/>
        <w:t>“</w:t>
      </w:r>
      <w:r>
        <w:rPr>
          <w:rStyle w:val="CharDefText"/>
        </w:rPr>
        <w:t>lodge</w:t>
      </w:r>
      <w:r>
        <w:rPr>
          <w:b/>
        </w:rPr>
        <w:t>”</w:t>
      </w:r>
      <w:r>
        <w:t xml:space="preserve"> means to lodge with the Registrar of Titles;</w:t>
      </w:r>
    </w:p>
    <w:p>
      <w:pPr>
        <w:pStyle w:val="nzDefstart"/>
      </w:pPr>
      <w:r>
        <w:rPr>
          <w:b/>
        </w:rPr>
        <w:tab/>
        <w:t>“</w:t>
      </w:r>
      <w:r>
        <w:rPr>
          <w:rStyle w:val="CharDefText"/>
        </w:rPr>
        <w:t>transfer duty</w:t>
      </w:r>
      <w:r>
        <w:rPr>
          <w:b/>
        </w:rPr>
        <w:t>”</w:t>
      </w:r>
      <w:r>
        <w:t xml:space="preserve"> means duty under the </w:t>
      </w:r>
      <w:r>
        <w:rPr>
          <w:i/>
          <w:iCs/>
        </w:rPr>
        <w:t>Duties Act 2008</w:t>
      </w:r>
      <w:r>
        <w:t xml:space="preserve"> Chapter 2.</w:t>
      </w:r>
    </w:p>
    <w:p>
      <w:pPr>
        <w:pStyle w:val="nzSubsection"/>
      </w:pPr>
      <w:r>
        <w:tab/>
        <w:t>(2)</w:t>
      </w:r>
      <w:r>
        <w:tab/>
        <w:t xml:space="preserve">If transfer duty payable on a transaction in relation to land as defined in the </w:t>
      </w:r>
      <w:r>
        <w:rPr>
          <w:i/>
          <w:iCs/>
        </w:rPr>
        <w:t>Duties Act 2008</w:t>
      </w:r>
      <w:r>
        <w:t xml:space="preserve"> section 3 is not paid by the due date because it is taken not to be paid under subsection (6), the Commissioner may lodge a memorial to create a charge on the land for the unpaid transfer duty.</w:t>
      </w:r>
    </w:p>
    <w:p>
      <w:pPr>
        <w:pStyle w:val="nz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nz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nzSubsection"/>
      </w:pPr>
      <w:r>
        <w:tab/>
        <w:t>(5)</w:t>
      </w:r>
      <w:r>
        <w:tab/>
        <w:t xml:space="preserve">The charge arises on the land when the memorial is registered under section 83. </w:t>
      </w:r>
    </w:p>
    <w:p>
      <w:pPr>
        <w:pStyle w:val="nz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nz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MiscClose"/>
      </w:pPr>
      <w:r>
        <w:t xml:space="preserve">    ”.</w:t>
      </w:r>
    </w:p>
    <w:p>
      <w:pPr>
        <w:pStyle w:val="nzHeading5"/>
      </w:pPr>
      <w:r>
        <w:rPr>
          <w:rStyle w:val="CharSectno"/>
        </w:rPr>
        <w:t>46</w:t>
      </w:r>
      <w:r>
        <w:t>.</w:t>
      </w:r>
      <w:r>
        <w:tab/>
        <w:t>Section 78 amended</w:t>
      </w:r>
    </w:p>
    <w:p>
      <w:pPr>
        <w:pStyle w:val="nzSubsection"/>
      </w:pPr>
      <w:r>
        <w:tab/>
      </w:r>
      <w:r>
        <w:tab/>
        <w:t xml:space="preserve">Section 78(1) is amended by deleting “section 76 or 77” and inserting instead — </w:t>
      </w:r>
    </w:p>
    <w:p>
      <w:pPr>
        <w:pStyle w:val="nzSubsection"/>
      </w:pPr>
      <w:r>
        <w:tab/>
      </w:r>
      <w:r>
        <w:tab/>
        <w:t>“    this Division    ”.</w:t>
      </w:r>
    </w:p>
    <w:p>
      <w:pPr>
        <w:pStyle w:val="nzHeading5"/>
      </w:pPr>
      <w:r>
        <w:rPr>
          <w:rStyle w:val="CharSectno"/>
        </w:rPr>
        <w:t>47</w:t>
      </w:r>
      <w:r>
        <w:t>.</w:t>
      </w:r>
      <w:r>
        <w:tab/>
        <w:t>Section 80 amended</w:t>
      </w:r>
    </w:p>
    <w:p>
      <w:pPr>
        <w:pStyle w:val="nzSubsection"/>
      </w:pPr>
      <w:r>
        <w:tab/>
      </w:r>
      <w:r>
        <w:tab/>
        <w:t>Section 80(1) is amended as follows:</w:t>
      </w:r>
    </w:p>
    <w:p>
      <w:pPr>
        <w:pStyle w:val="nzIndenta"/>
      </w:pPr>
      <w:r>
        <w:tab/>
        <w:t>(a)</w:t>
      </w:r>
      <w:r>
        <w:tab/>
        <w:t xml:space="preserve">in paragraph (a) by deleting “section 76 or 77” and inserting instead — </w:t>
      </w:r>
    </w:p>
    <w:p>
      <w:pPr>
        <w:pStyle w:val="nzIndenta"/>
      </w:pPr>
      <w:r>
        <w:tab/>
      </w:r>
      <w:r>
        <w:tab/>
        <w:t>“    this Division    ”;</w:t>
      </w:r>
    </w:p>
    <w:p>
      <w:pPr>
        <w:pStyle w:val="nzIndenta"/>
      </w:pPr>
      <w:r>
        <w:tab/>
        <w:t>(b)</w:t>
      </w:r>
      <w:r>
        <w:tab/>
        <w:t xml:space="preserve">in paragraph (b)(i) by deleting “land tax or unpaid stamp duty” and inserting instead — </w:t>
      </w:r>
    </w:p>
    <w:p>
      <w:pPr>
        <w:pStyle w:val="nzIndenta"/>
      </w:pPr>
      <w:r>
        <w:tab/>
      </w:r>
      <w:r>
        <w:tab/>
        <w:t>“    tax    ”.</w:t>
      </w:r>
    </w:p>
    <w:p>
      <w:pPr>
        <w:pStyle w:val="nzHeading5"/>
      </w:pPr>
      <w:r>
        <w:rPr>
          <w:rStyle w:val="CharSectno"/>
        </w:rPr>
        <w:t>48</w:t>
      </w:r>
      <w:r>
        <w:t>.</w:t>
      </w:r>
      <w:r>
        <w:tab/>
        <w:t>Section 96 amended</w:t>
      </w:r>
    </w:p>
    <w:p>
      <w:pPr>
        <w:pStyle w:val="nzSubsection"/>
      </w:pPr>
      <w:r>
        <w:tab/>
        <w:t>(1)</w:t>
      </w:r>
      <w:r>
        <w:tab/>
        <w:t xml:space="preserve">Section 96(1)(c) is amended by inserting after “which” — </w:t>
      </w:r>
    </w:p>
    <w:p>
      <w:pPr>
        <w:pStyle w:val="nzSubsection"/>
      </w:pPr>
      <w:r>
        <w:tab/>
      </w:r>
      <w:r>
        <w:tab/>
        <w:t>“    , or which effects or evidences a transaction on which,    ”.</w:t>
      </w:r>
    </w:p>
    <w:p>
      <w:pPr>
        <w:pStyle w:val="nzSubsection"/>
      </w:pPr>
      <w:r>
        <w:tab/>
        <w:t>(2)</w:t>
      </w:r>
      <w:r>
        <w:tab/>
        <w:t xml:space="preserve">Section 96(2) is amended by deleting paragraph (a) and “or” after it and inserting instead — </w:t>
      </w:r>
    </w:p>
    <w:p>
      <w:pPr>
        <w:pStyle w:val="MiscOpen"/>
        <w:ind w:left="1340"/>
      </w:pPr>
      <w:r>
        <w:t xml:space="preserve">“    </w:t>
      </w:r>
    </w:p>
    <w:p>
      <w:pPr>
        <w:pStyle w:val="nzIndenta"/>
      </w:pPr>
      <w:r>
        <w:tab/>
        <w:t>(a)</w:t>
      </w:r>
      <w:r>
        <w:tab/>
        <w:t>in the case of an instrument effecting or evidencing a transaction — a party to the transaction; or</w:t>
      </w:r>
    </w:p>
    <w:p>
      <w:pPr>
        <w:pStyle w:val="MiscClose"/>
      </w:pPr>
      <w:r>
        <w:t xml:space="preserve">    ”.</w:t>
      </w:r>
    </w:p>
    <w:p>
      <w:pPr>
        <w:pStyle w:val="nzHeading5"/>
      </w:pPr>
      <w:r>
        <w:rPr>
          <w:rStyle w:val="CharSectno"/>
        </w:rPr>
        <w:t>49</w:t>
      </w:r>
      <w:r>
        <w:t>.</w:t>
      </w:r>
      <w:r>
        <w:tab/>
        <w:t>Part 10 Division 5 heading amended</w:t>
      </w:r>
    </w:p>
    <w:p>
      <w:pPr>
        <w:pStyle w:val="nzSubsection"/>
      </w:pPr>
      <w:r>
        <w:tab/>
      </w:r>
      <w:r>
        <w:tab/>
        <w:t xml:space="preserve">The heading to Part 10 Division 5 is amended by inserting after “Regulations” — </w:t>
      </w:r>
    </w:p>
    <w:p>
      <w:pPr>
        <w:pStyle w:val="nzSubsection"/>
      </w:pPr>
      <w:r>
        <w:tab/>
      </w:r>
      <w:r>
        <w:tab/>
        <w:t xml:space="preserve">“    </w:t>
      </w:r>
      <w:r>
        <w:rPr>
          <w:b/>
          <w:bCs/>
          <w:sz w:val="26"/>
        </w:rPr>
        <w:t>, practices and forms</w:t>
      </w:r>
      <w:r>
        <w:t xml:space="preserve">    ”.</w:t>
      </w:r>
    </w:p>
    <w:p>
      <w:pPr>
        <w:pStyle w:val="nzHeading5"/>
      </w:pPr>
      <w:r>
        <w:rPr>
          <w:rStyle w:val="CharSectno"/>
        </w:rPr>
        <w:t>50</w:t>
      </w:r>
      <w:r>
        <w:t>.</w:t>
      </w:r>
      <w:r>
        <w:tab/>
        <w:t>Section 128 inserted</w:t>
      </w:r>
    </w:p>
    <w:p>
      <w:pPr>
        <w:pStyle w:val="nzSubsection"/>
      </w:pPr>
      <w:r>
        <w:tab/>
      </w:r>
      <w:r>
        <w:tab/>
        <w:t xml:space="preserve">After section 127 the following section is inserted in Part 10 Division 5 — </w:t>
      </w:r>
    </w:p>
    <w:p>
      <w:pPr>
        <w:pStyle w:val="MiscOpen"/>
      </w:pPr>
      <w:r>
        <w:t xml:space="preserve">“    </w:t>
      </w:r>
    </w:p>
    <w:p>
      <w:pPr>
        <w:pStyle w:val="nzHeading5"/>
      </w:pPr>
      <w:r>
        <w:t>128.</w:t>
      </w:r>
      <w:r>
        <w:tab/>
        <w:t>Forms</w:t>
      </w:r>
    </w:p>
    <w:p>
      <w:pPr>
        <w:pStyle w:val="nzSubsection"/>
      </w:pPr>
      <w:r>
        <w:tab/>
      </w:r>
      <w:r>
        <w:tab/>
        <w:t>A form approved for use under a taxation Act may require information provided in the form to be verified by statutory declaration.</w:t>
      </w:r>
    </w:p>
    <w:p>
      <w:pPr>
        <w:pStyle w:val="MiscClose"/>
      </w:pPr>
      <w:r>
        <w:t xml:space="preserve">    ”.</w:t>
      </w:r>
    </w:p>
    <w:p>
      <w:pPr>
        <w:pStyle w:val="nzHeading5"/>
      </w:pPr>
      <w:r>
        <w:rPr>
          <w:rStyle w:val="CharSectno"/>
        </w:rPr>
        <w:t>51</w:t>
      </w:r>
      <w:r>
        <w:t>.</w:t>
      </w:r>
      <w:r>
        <w:tab/>
        <w:t>Glossary amended</w:t>
      </w:r>
    </w:p>
    <w:p>
      <w:pPr>
        <w:pStyle w:val="nzSubsection"/>
      </w:pPr>
      <w:r>
        <w:tab/>
      </w:r>
      <w:r>
        <w:tab/>
        <w:t>The Glossary is amended as follows:</w:t>
      </w:r>
    </w:p>
    <w:p>
      <w:pPr>
        <w:pStyle w:val="nzIndenta"/>
      </w:pPr>
      <w:r>
        <w:tab/>
        <w:t>(a)</w:t>
      </w:r>
      <w:r>
        <w:tab/>
        <w:t xml:space="preserve">in the definition of “instrument” — </w:t>
      </w:r>
    </w:p>
    <w:p>
      <w:pPr>
        <w:pStyle w:val="nzIndenti"/>
      </w:pPr>
      <w:r>
        <w:tab/>
        <w:t>(i)</w:t>
      </w:r>
      <w:r>
        <w:tab/>
        <w:t>by deleting paragraph (a);</w:t>
      </w:r>
    </w:p>
    <w:p>
      <w:pPr>
        <w:pStyle w:val="nzIndenti"/>
      </w:pPr>
      <w:r>
        <w:tab/>
        <w:t>(ii)</w:t>
      </w:r>
      <w:r>
        <w:tab/>
        <w:t xml:space="preserve">in paragraph (b) by deleting “a statement” and inserting instead — </w:t>
      </w:r>
    </w:p>
    <w:p>
      <w:pPr>
        <w:pStyle w:val="nzIndenti"/>
      </w:pPr>
      <w:r>
        <w:tab/>
      </w:r>
      <w:r>
        <w:tab/>
        <w:t xml:space="preserve">“    </w:t>
      </w:r>
      <w:r>
        <w:rPr>
          <w:sz w:val="22"/>
        </w:rPr>
        <w:t>an instrument,</w:t>
      </w:r>
      <w:r>
        <w:t xml:space="preserve">    ”;</w:t>
      </w:r>
    </w:p>
    <w:p>
      <w:pPr>
        <w:pStyle w:val="nzIndenti"/>
      </w:pPr>
      <w:r>
        <w:tab/>
        <w:t>(iii)</w:t>
      </w:r>
      <w:r>
        <w:tab/>
        <w:t xml:space="preserve">by deleting paragraph (c) and inserting instead — </w:t>
      </w:r>
    </w:p>
    <w:p>
      <w:pPr>
        <w:pStyle w:val="MiscOpen"/>
        <w:ind w:left="1340"/>
      </w:pPr>
      <w:r>
        <w:t xml:space="preserve">“    </w:t>
      </w:r>
    </w:p>
    <w:p>
      <w:pPr>
        <w:pStyle w:val="nzDefpara"/>
      </w:pPr>
      <w:r>
        <w:tab/>
        <w:t>(c)</w:t>
      </w:r>
      <w:r>
        <w:tab/>
        <w:t>a copy or memorandum that is treated under section 20 as if it were an instrument;</w:t>
      </w:r>
    </w:p>
    <w:p>
      <w:pPr>
        <w:pStyle w:val="MiscClose"/>
      </w:pPr>
      <w:r>
        <w:t xml:space="preserve">    ”;</w:t>
      </w:r>
    </w:p>
    <w:p>
      <w:pPr>
        <w:pStyle w:val="nzIndenti"/>
      </w:pPr>
      <w:r>
        <w:tab/>
        <w:t>(iv)</w:t>
      </w:r>
      <w:r>
        <w:tab/>
        <w:t>by deleting paragraph (f);</w:t>
      </w:r>
    </w:p>
    <w:p>
      <w:pPr>
        <w:pStyle w:val="nzIndenta"/>
      </w:pPr>
      <w:r>
        <w:tab/>
        <w:t>(b)</w:t>
      </w:r>
      <w:r>
        <w:tab/>
        <w:t xml:space="preserve">in the definition of “official document” paragraph (b) by deleting “stamped” and inserting instead — </w:t>
      </w:r>
    </w:p>
    <w:p>
      <w:pPr>
        <w:pStyle w:val="nzIndenta"/>
      </w:pPr>
      <w:r>
        <w:tab/>
      </w:r>
      <w:r>
        <w:tab/>
        <w:t xml:space="preserve">“    </w:t>
      </w:r>
      <w:r>
        <w:rPr>
          <w:sz w:val="22"/>
        </w:rPr>
        <w:t>endorsed</w:t>
      </w:r>
      <w:r>
        <w:t xml:space="preserve">    ”;</w:t>
      </w:r>
    </w:p>
    <w:p>
      <w:pPr>
        <w:pStyle w:val="nzIndenta"/>
      </w:pPr>
      <w:r>
        <w:tab/>
        <w:t>(c)</w:t>
      </w:r>
      <w:r>
        <w:tab/>
        <w:t xml:space="preserve">in the definition of “penalty tax” — </w:t>
      </w:r>
    </w:p>
    <w:p>
      <w:pPr>
        <w:pStyle w:val="nzIndenti"/>
      </w:pPr>
      <w:r>
        <w:tab/>
        <w:t>(i)</w:t>
      </w:r>
      <w:r>
        <w:tab/>
        <w:t xml:space="preserve">after paragraph (c) by inserting — </w:t>
      </w:r>
    </w:p>
    <w:p>
      <w:pPr>
        <w:pStyle w:val="MiscOpen"/>
        <w:ind w:left="1580"/>
      </w:pPr>
      <w:r>
        <w:t xml:space="preserve">“    </w:t>
      </w:r>
    </w:p>
    <w:p>
      <w:pPr>
        <w:pStyle w:val="nzDefpara"/>
      </w:pPr>
      <w:r>
        <w:tab/>
      </w:r>
      <w:r>
        <w:tab/>
        <w:t>or</w:t>
      </w:r>
    </w:p>
    <w:p>
      <w:pPr>
        <w:pStyle w:val="nzDefpara"/>
      </w:pPr>
      <w:r>
        <w:tab/>
        <w:t>(d)</w:t>
      </w:r>
      <w:r>
        <w:tab/>
        <w:t xml:space="preserve">penalty tax payable under the </w:t>
      </w:r>
      <w:r>
        <w:rPr>
          <w:i/>
          <w:iCs/>
        </w:rPr>
        <w:t>Duties Act 2008</w:t>
      </w:r>
      <w:r>
        <w:t xml:space="preserve"> section 239(3)(b), 249(4)(b) or 266(2)(b); </w:t>
      </w:r>
    </w:p>
    <w:p>
      <w:pPr>
        <w:pStyle w:val="MiscClose"/>
      </w:pPr>
      <w:r>
        <w:t xml:space="preserve">    ”;</w:t>
      </w:r>
    </w:p>
    <w:p>
      <w:pPr>
        <w:pStyle w:val="nzIndenti"/>
      </w:pPr>
      <w:r>
        <w:tab/>
        <w:t>(ii)</w:t>
      </w:r>
      <w:r>
        <w:tab/>
        <w:t xml:space="preserve">after paragraph (a) by inserting — </w:t>
      </w:r>
    </w:p>
    <w:p>
      <w:pPr>
        <w:pStyle w:val="nzIndenti"/>
      </w:pPr>
      <w:r>
        <w:tab/>
      </w:r>
      <w:r>
        <w:tab/>
        <w:t xml:space="preserve">“    </w:t>
      </w:r>
      <w:r>
        <w:rPr>
          <w:sz w:val="22"/>
        </w:rPr>
        <w:t>or</w:t>
      </w:r>
      <w:r>
        <w:t xml:space="preserve">    ”;</w:t>
      </w:r>
    </w:p>
    <w:p>
      <w:pPr>
        <w:pStyle w:val="nzIndenta"/>
        <w:keepNext/>
        <w:keepLines/>
      </w:pPr>
      <w:r>
        <w:tab/>
        <w:t>(d)</w:t>
      </w:r>
      <w:r>
        <w:tab/>
        <w:t xml:space="preserve">by inserting in the appropriate alphabetical positions — </w:t>
      </w:r>
    </w:p>
    <w:p>
      <w:pPr>
        <w:pStyle w:val="MiscOpen"/>
        <w:ind w:left="880"/>
      </w:pPr>
      <w:r>
        <w:t xml:space="preserve">“    </w:t>
      </w:r>
    </w:p>
    <w:p>
      <w:pPr>
        <w:pStyle w:val="nzDefstart"/>
      </w:pPr>
      <w:r>
        <w:tab/>
      </w:r>
      <w:r>
        <w:rPr>
          <w:b/>
        </w:rPr>
        <w:t>“</w:t>
      </w:r>
      <w:r>
        <w:rPr>
          <w:rStyle w:val="CharDefText"/>
        </w:rPr>
        <w:t>date</w:t>
      </w:r>
      <w:r>
        <w:rPr>
          <w:b/>
        </w:rPr>
        <w:t>”</w:t>
      </w:r>
      <w:r>
        <w:t xml:space="preserve"> of an assessment notice means the date on which it is issued;</w:t>
      </w:r>
    </w:p>
    <w:p>
      <w:pPr>
        <w:pStyle w:val="nzDefstart"/>
      </w:pPr>
      <w:r>
        <w:tab/>
      </w:r>
      <w:r>
        <w:rPr>
          <w:b/>
        </w:rPr>
        <w:t>“</w:t>
      </w:r>
      <w:r>
        <w:rPr>
          <w:rStyle w:val="CharDefText"/>
        </w:rPr>
        <w:t>endorse</w:t>
      </w:r>
      <w:r>
        <w:rPr>
          <w:b/>
        </w:rPr>
        <w:t>”</w:t>
      </w:r>
      <w:r>
        <w:t xml:space="preserve"> includes stamp;</w:t>
      </w:r>
    </w:p>
    <w:p>
      <w:pPr>
        <w:pStyle w:val="MiscClose"/>
      </w:pPr>
      <w:r>
        <w:t xml:space="preserve">    ”.</w:t>
      </w:r>
    </w:p>
    <w:p>
      <w:pPr>
        <w:pStyle w:val="MiscClose"/>
      </w:pPr>
      <w:r>
        <w:t>”.</w:t>
      </w:r>
    </w:p>
    <w:p>
      <w:pPr>
        <w:pStyle w:val="nSubsection"/>
        <w:keepLines/>
        <w:rPr>
          <w:ins w:id="674" w:author="svcMRProcess" w:date="2018-09-09T10:15:00Z"/>
          <w:snapToGrid w:val="0"/>
        </w:rPr>
      </w:pPr>
      <w:ins w:id="675" w:author="svcMRProcess" w:date="2018-09-09T10:15: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ins>
    </w:p>
    <w:p>
      <w:pPr>
        <w:pStyle w:val="MiscOpen"/>
        <w:rPr>
          <w:ins w:id="676" w:author="svcMRProcess" w:date="2018-09-09T10:15:00Z"/>
        </w:rPr>
      </w:pPr>
      <w:ins w:id="677" w:author="svcMRProcess" w:date="2018-09-09T10:15:00Z">
        <w:r>
          <w:t>“</w:t>
        </w:r>
      </w:ins>
    </w:p>
    <w:p>
      <w:pPr>
        <w:pStyle w:val="nzHeading3"/>
        <w:rPr>
          <w:ins w:id="678" w:author="svcMRProcess" w:date="2018-09-09T10:15:00Z"/>
        </w:rPr>
      </w:pPr>
      <w:ins w:id="679" w:author="svcMRProcess" w:date="2018-09-09T10:15:00Z">
        <w:r>
          <w:rPr>
            <w:rStyle w:val="CharDivNo"/>
          </w:rPr>
          <w:t>Division 3</w:t>
        </w:r>
        <w:r>
          <w:t> — </w:t>
        </w:r>
        <w:r>
          <w:rPr>
            <w:rStyle w:val="CharDivText"/>
          </w:rPr>
          <w:t>Amendments to commence on proclamation</w:t>
        </w:r>
      </w:ins>
    </w:p>
    <w:p>
      <w:pPr>
        <w:pStyle w:val="nzHeading5"/>
        <w:rPr>
          <w:ins w:id="680" w:author="svcMRProcess" w:date="2018-09-09T10:15:00Z"/>
        </w:rPr>
      </w:pPr>
      <w:ins w:id="681" w:author="svcMRProcess" w:date="2018-09-09T10:15:00Z">
        <w:r>
          <w:rPr>
            <w:rStyle w:val="CharSectno"/>
          </w:rPr>
          <w:t>29</w:t>
        </w:r>
        <w:r>
          <w:t>.</w:t>
        </w:r>
        <w:r>
          <w:tab/>
          <w:t>Section 20A inserted</w:t>
        </w:r>
      </w:ins>
    </w:p>
    <w:p>
      <w:pPr>
        <w:pStyle w:val="nzSubsection"/>
        <w:rPr>
          <w:ins w:id="682" w:author="svcMRProcess" w:date="2018-09-09T10:15:00Z"/>
        </w:rPr>
      </w:pPr>
      <w:ins w:id="683" w:author="svcMRProcess" w:date="2018-09-09T10:15:00Z">
        <w:r>
          <w:tab/>
        </w:r>
        <w:r>
          <w:tab/>
          <w:t>After section 19 the following section is inserted —</w:t>
        </w:r>
      </w:ins>
    </w:p>
    <w:p>
      <w:pPr>
        <w:pStyle w:val="MiscOpen"/>
        <w:rPr>
          <w:ins w:id="684" w:author="svcMRProcess" w:date="2018-09-09T10:15:00Z"/>
        </w:rPr>
      </w:pPr>
      <w:ins w:id="685" w:author="svcMRProcess" w:date="2018-09-09T10:15:00Z">
        <w:r>
          <w:t xml:space="preserve">“    </w:t>
        </w:r>
      </w:ins>
    </w:p>
    <w:p>
      <w:pPr>
        <w:pStyle w:val="nzHeading5"/>
        <w:rPr>
          <w:ins w:id="686" w:author="svcMRProcess" w:date="2018-09-09T10:15:00Z"/>
        </w:rPr>
      </w:pPr>
      <w:ins w:id="687" w:author="svcMRProcess" w:date="2018-09-09T10:15:00Z">
        <w:r>
          <w:t>20A.</w:t>
        </w:r>
        <w:r>
          <w:tab/>
          <w:t>Compromise assessments</w:t>
        </w:r>
      </w:ins>
    </w:p>
    <w:p>
      <w:pPr>
        <w:pStyle w:val="nzSubsection"/>
        <w:rPr>
          <w:ins w:id="688" w:author="svcMRProcess" w:date="2018-09-09T10:15:00Z"/>
        </w:rPr>
      </w:pPr>
      <w:ins w:id="689" w:author="svcMRProcess" w:date="2018-09-09T10:15:00Z">
        <w:r>
          <w:tab/>
          <w:t>(1)</w:t>
        </w:r>
        <w:r>
          <w:tab/>
          <w:t>If the Commissioner considers it appropriate to do so to avoid undue delay or expense, to settle a dispute or for any other reason, the Commissioner may —</w:t>
        </w:r>
      </w:ins>
    </w:p>
    <w:p>
      <w:pPr>
        <w:pStyle w:val="nzIndenta"/>
        <w:rPr>
          <w:ins w:id="690" w:author="svcMRProcess" w:date="2018-09-09T10:15:00Z"/>
        </w:rPr>
      </w:pPr>
      <w:ins w:id="691" w:author="svcMRProcess" w:date="2018-09-09T10:15:00Z">
        <w:r>
          <w:tab/>
          <w:t>(a)</w:t>
        </w:r>
        <w:r>
          <w:tab/>
          <w:t xml:space="preserve">make a written agreement (a </w:t>
        </w:r>
        <w:r>
          <w:rPr>
            <w:b/>
          </w:rPr>
          <w:t>“</w:t>
        </w:r>
        <w:r>
          <w:rPr>
            <w:rStyle w:val="CharDefText"/>
          </w:rPr>
          <w:t>compromise agreement</w:t>
        </w:r>
        <w:r>
          <w:rPr>
            <w:b/>
          </w:rPr>
          <w:t>”</w:t>
        </w:r>
        <w:r>
          <w:t>) with a taxpayer in relation to the assessment of the taxpayer’s tax liability; and</w:t>
        </w:r>
      </w:ins>
    </w:p>
    <w:p>
      <w:pPr>
        <w:pStyle w:val="nzIndenta"/>
        <w:rPr>
          <w:ins w:id="692" w:author="svcMRProcess" w:date="2018-09-09T10:15:00Z"/>
        </w:rPr>
      </w:pPr>
      <w:ins w:id="693" w:author="svcMRProcess" w:date="2018-09-09T10:15:00Z">
        <w:r>
          <w:tab/>
          <w:t>(b)</w:t>
        </w:r>
        <w:r>
          <w:tab/>
          <w:t>make an assessment in accordance with the compromise agreement.</w:t>
        </w:r>
      </w:ins>
    </w:p>
    <w:p>
      <w:pPr>
        <w:pStyle w:val="nzSubsection"/>
        <w:rPr>
          <w:ins w:id="694" w:author="svcMRProcess" w:date="2018-09-09T10:15:00Z"/>
        </w:rPr>
      </w:pPr>
      <w:ins w:id="695" w:author="svcMRProcess" w:date="2018-09-09T10:15:00Z">
        <w:r>
          <w:tab/>
          <w:t>(2)</w:t>
        </w:r>
        <w:r>
          <w:tab/>
          <w:t>Despite section 16 the Commissioner must not make a reassessment of a compromise assessment unless —</w:t>
        </w:r>
      </w:ins>
    </w:p>
    <w:p>
      <w:pPr>
        <w:pStyle w:val="nzIndenta"/>
        <w:rPr>
          <w:ins w:id="696" w:author="svcMRProcess" w:date="2018-09-09T10:15:00Z"/>
        </w:rPr>
      </w:pPr>
      <w:ins w:id="697" w:author="svcMRProcess" w:date="2018-09-09T10:15:00Z">
        <w:r>
          <w:tab/>
          <w:t>(a)</w:t>
        </w:r>
        <w:r>
          <w:tab/>
          <w:t>the taxpayer has agreed; or</w:t>
        </w:r>
      </w:ins>
    </w:p>
    <w:p>
      <w:pPr>
        <w:pStyle w:val="nzIndenta"/>
        <w:rPr>
          <w:ins w:id="698" w:author="svcMRProcess" w:date="2018-09-09T10:15:00Z"/>
        </w:rPr>
      </w:pPr>
      <w:ins w:id="699" w:author="svcMRProcess" w:date="2018-09-09T10:15:00Z">
        <w:r>
          <w:tab/>
          <w:t>(b)</w:t>
        </w:r>
        <w:r>
          <w:tab/>
          <w:t>the Commissioner is satisfied that the compromise assessment —</w:t>
        </w:r>
      </w:ins>
    </w:p>
    <w:p>
      <w:pPr>
        <w:pStyle w:val="nzIndenti"/>
        <w:rPr>
          <w:ins w:id="700" w:author="svcMRProcess" w:date="2018-09-09T10:15:00Z"/>
        </w:rPr>
      </w:pPr>
      <w:ins w:id="701" w:author="svcMRProcess" w:date="2018-09-09T10:15:00Z">
        <w:r>
          <w:tab/>
          <w:t>(i)</w:t>
        </w:r>
        <w:r>
          <w:tab/>
          <w:t>was procured by fraud; or</w:t>
        </w:r>
      </w:ins>
    </w:p>
    <w:p>
      <w:pPr>
        <w:pStyle w:val="nzIndenti"/>
        <w:rPr>
          <w:ins w:id="702" w:author="svcMRProcess" w:date="2018-09-09T10:15:00Z"/>
        </w:rPr>
      </w:pPr>
      <w:ins w:id="703" w:author="svcMRProcess" w:date="2018-09-09T10:15:00Z">
        <w:r>
          <w:tab/>
          <w:t>(ii)</w:t>
        </w:r>
        <w:r>
          <w:tab/>
          <w:t>was made in consequence of the taxpayer knowingly failing to disclose material information or providing information knowing that it was incorrect, incomplete or misleading.</w:t>
        </w:r>
      </w:ins>
    </w:p>
    <w:p>
      <w:pPr>
        <w:pStyle w:val="nzSubsection"/>
        <w:rPr>
          <w:ins w:id="704" w:author="svcMRProcess" w:date="2018-09-09T10:15:00Z"/>
        </w:rPr>
      </w:pPr>
      <w:ins w:id="705" w:author="svcMRProcess" w:date="2018-09-09T10:15:00Z">
        <w:r>
          <w:tab/>
          <w:t>(3)</w:t>
        </w:r>
        <w:r>
          <w:tab/>
          <w:t>Each of the following are final and not subject to objection or review under Part 4 or to any other form of appeal or review —</w:t>
        </w:r>
      </w:ins>
    </w:p>
    <w:p>
      <w:pPr>
        <w:pStyle w:val="nzIndenta"/>
        <w:rPr>
          <w:ins w:id="706" w:author="svcMRProcess" w:date="2018-09-09T10:15:00Z"/>
        </w:rPr>
      </w:pPr>
      <w:ins w:id="707" w:author="svcMRProcess" w:date="2018-09-09T10:15:00Z">
        <w:r>
          <w:tab/>
          <w:t>(a)</w:t>
        </w:r>
        <w:r>
          <w:tab/>
          <w:t>a decision of the Commissioner under this section to make, or not make, a compromise agreement;</w:t>
        </w:r>
      </w:ins>
    </w:p>
    <w:p>
      <w:pPr>
        <w:pStyle w:val="nzIndenta"/>
        <w:rPr>
          <w:ins w:id="708" w:author="svcMRProcess" w:date="2018-09-09T10:15:00Z"/>
        </w:rPr>
      </w:pPr>
      <w:ins w:id="709" w:author="svcMRProcess" w:date="2018-09-09T10:15:00Z">
        <w:r>
          <w:tab/>
          <w:t>(b)</w:t>
        </w:r>
        <w:r>
          <w:tab/>
          <w:t>a decision of the Commissioner under this section as to the terms of a compromise agreement;</w:t>
        </w:r>
      </w:ins>
    </w:p>
    <w:p>
      <w:pPr>
        <w:pStyle w:val="nzIndenta"/>
        <w:rPr>
          <w:ins w:id="710" w:author="svcMRProcess" w:date="2018-09-09T10:15:00Z"/>
        </w:rPr>
      </w:pPr>
      <w:ins w:id="711" w:author="svcMRProcess" w:date="2018-09-09T10:15:00Z">
        <w:r>
          <w:tab/>
          <w:t>(c)</w:t>
        </w:r>
        <w:r>
          <w:tab/>
          <w:t>a compromise assessment.</w:t>
        </w:r>
      </w:ins>
    </w:p>
    <w:p>
      <w:pPr>
        <w:pStyle w:val="nzSubsection"/>
        <w:rPr>
          <w:ins w:id="712" w:author="svcMRProcess" w:date="2018-09-09T10:15:00Z"/>
        </w:rPr>
      </w:pPr>
      <w:ins w:id="713" w:author="svcMRProcess" w:date="2018-09-09T10:15:00Z">
        <w:r>
          <w:tab/>
          <w:t>(4)</w:t>
        </w:r>
        <w:r>
          <w:tab/>
          <w:t>No action can be brought in any court or tribunal to compel the Commissioner to make a compromise agreement.</w:t>
        </w:r>
      </w:ins>
    </w:p>
    <w:p>
      <w:pPr>
        <w:pStyle w:val="nzSubsection"/>
        <w:rPr>
          <w:ins w:id="714" w:author="svcMRProcess" w:date="2018-09-09T10:15:00Z"/>
        </w:rPr>
      </w:pPr>
      <w:ins w:id="715" w:author="svcMRProcess" w:date="2018-09-09T10:15:00Z">
        <w:r>
          <w:tab/>
          <w:t>(5)</w:t>
        </w:r>
        <w:r>
          <w:tab/>
          <w:t>This section does not limit the Commissioner’s powers under section 19.</w:t>
        </w:r>
      </w:ins>
    </w:p>
    <w:p>
      <w:pPr>
        <w:pStyle w:val="MiscClose"/>
        <w:rPr>
          <w:ins w:id="716" w:author="svcMRProcess" w:date="2018-09-09T10:15:00Z"/>
        </w:rPr>
      </w:pPr>
      <w:ins w:id="717" w:author="svcMRProcess" w:date="2018-09-09T10:15:00Z">
        <w:r>
          <w:t xml:space="preserve">    ”.</w:t>
        </w:r>
      </w:ins>
    </w:p>
    <w:p>
      <w:pPr>
        <w:pStyle w:val="nzHeading5"/>
        <w:rPr>
          <w:ins w:id="718" w:author="svcMRProcess" w:date="2018-09-09T10:15:00Z"/>
        </w:rPr>
      </w:pPr>
      <w:ins w:id="719" w:author="svcMRProcess" w:date="2018-09-09T10:15:00Z">
        <w:r>
          <w:rPr>
            <w:rStyle w:val="CharSectno"/>
          </w:rPr>
          <w:t>30</w:t>
        </w:r>
        <w:r>
          <w:t>.</w:t>
        </w:r>
        <w:r>
          <w:tab/>
          <w:t>Section 34 amended</w:t>
        </w:r>
      </w:ins>
    </w:p>
    <w:p>
      <w:pPr>
        <w:pStyle w:val="nzSubsection"/>
        <w:rPr>
          <w:ins w:id="720" w:author="svcMRProcess" w:date="2018-09-09T10:15:00Z"/>
        </w:rPr>
      </w:pPr>
      <w:ins w:id="721" w:author="svcMRProcess" w:date="2018-09-09T10:15:00Z">
        <w:r>
          <w:tab/>
          <w:t>(1)</w:t>
        </w:r>
        <w:r>
          <w:tab/>
          <w:t>Section 34(1)(a) is amended by inserting after “assessment” —</w:t>
        </w:r>
      </w:ins>
    </w:p>
    <w:p>
      <w:pPr>
        <w:pStyle w:val="nzSubsection"/>
        <w:rPr>
          <w:ins w:id="722" w:author="svcMRProcess" w:date="2018-09-09T10:15:00Z"/>
        </w:rPr>
      </w:pPr>
      <w:ins w:id="723" w:author="svcMRProcess" w:date="2018-09-09T10:15:00Z">
        <w:r>
          <w:tab/>
        </w:r>
        <w:r>
          <w:tab/>
          <w:t>“    , other than a compromise assessment    ”.</w:t>
        </w:r>
      </w:ins>
    </w:p>
    <w:p>
      <w:pPr>
        <w:pStyle w:val="nzSubsection"/>
        <w:rPr>
          <w:ins w:id="724" w:author="svcMRProcess" w:date="2018-09-09T10:15:00Z"/>
        </w:rPr>
      </w:pPr>
      <w:ins w:id="725" w:author="svcMRProcess" w:date="2018-09-09T10:15:00Z">
        <w:r>
          <w:tab/>
          <w:t>(2)</w:t>
        </w:r>
        <w:r>
          <w:tab/>
          <w:t>Section 34(2) is amended by deleting the full stop after paragraph (d) and inserting instead —</w:t>
        </w:r>
      </w:ins>
    </w:p>
    <w:p>
      <w:pPr>
        <w:pStyle w:val="MiscOpen"/>
        <w:ind w:left="1418"/>
        <w:rPr>
          <w:ins w:id="726" w:author="svcMRProcess" w:date="2018-09-09T10:15:00Z"/>
        </w:rPr>
      </w:pPr>
      <w:ins w:id="727" w:author="svcMRProcess" w:date="2018-09-09T10:15:00Z">
        <w:r>
          <w:t xml:space="preserve">“    </w:t>
        </w:r>
      </w:ins>
    </w:p>
    <w:p>
      <w:pPr>
        <w:pStyle w:val="nzIndenta"/>
        <w:rPr>
          <w:ins w:id="728" w:author="svcMRProcess" w:date="2018-09-09T10:15:00Z"/>
        </w:rPr>
      </w:pPr>
      <w:ins w:id="729" w:author="svcMRProcess" w:date="2018-09-09T10:15:00Z">
        <w:r>
          <w:tab/>
        </w:r>
        <w:r>
          <w:tab/>
          <w:t>;</w:t>
        </w:r>
      </w:ins>
    </w:p>
    <w:p>
      <w:pPr>
        <w:pStyle w:val="nzIndenta"/>
        <w:rPr>
          <w:ins w:id="730" w:author="svcMRProcess" w:date="2018-09-09T10:15:00Z"/>
        </w:rPr>
      </w:pPr>
      <w:ins w:id="731" w:author="svcMRProcess" w:date="2018-09-09T10:15:00Z">
        <w:r>
          <w:tab/>
          <w:t>(e)</w:t>
        </w:r>
        <w:r>
          <w:tab/>
          <w:t>a decision which, under section 20A(3), is not subject to objection under this Part.</w:t>
        </w:r>
      </w:ins>
    </w:p>
    <w:p>
      <w:pPr>
        <w:pStyle w:val="MiscClose"/>
        <w:rPr>
          <w:ins w:id="732" w:author="svcMRProcess" w:date="2018-09-09T10:15:00Z"/>
        </w:rPr>
      </w:pPr>
      <w:ins w:id="733" w:author="svcMRProcess" w:date="2018-09-09T10:15:00Z">
        <w:r>
          <w:t xml:space="preserve">    ”.</w:t>
        </w:r>
      </w:ins>
    </w:p>
    <w:p>
      <w:pPr>
        <w:pStyle w:val="nzHeading5"/>
        <w:rPr>
          <w:ins w:id="734" w:author="svcMRProcess" w:date="2018-09-09T10:15:00Z"/>
        </w:rPr>
      </w:pPr>
      <w:ins w:id="735" w:author="svcMRProcess" w:date="2018-09-09T10:15:00Z">
        <w:r>
          <w:rPr>
            <w:rStyle w:val="CharSectno"/>
          </w:rPr>
          <w:t>31</w:t>
        </w:r>
        <w:r>
          <w:t>.</w:t>
        </w:r>
        <w:r>
          <w:tab/>
          <w:t>Glossary amended</w:t>
        </w:r>
      </w:ins>
    </w:p>
    <w:p>
      <w:pPr>
        <w:pStyle w:val="nzSubsection"/>
        <w:rPr>
          <w:ins w:id="736" w:author="svcMRProcess" w:date="2018-09-09T10:15:00Z"/>
        </w:rPr>
      </w:pPr>
      <w:ins w:id="737" w:author="svcMRProcess" w:date="2018-09-09T10:15:00Z">
        <w:r>
          <w:tab/>
        </w:r>
        <w:r>
          <w:tab/>
          <w:t>The Glossary is amended as follows:</w:t>
        </w:r>
      </w:ins>
    </w:p>
    <w:p>
      <w:pPr>
        <w:pStyle w:val="nzIndenta"/>
        <w:rPr>
          <w:ins w:id="738" w:author="svcMRProcess" w:date="2018-09-09T10:15:00Z"/>
        </w:rPr>
      </w:pPr>
      <w:ins w:id="739" w:author="svcMRProcess" w:date="2018-09-09T10:15:00Z">
        <w:r>
          <w:tab/>
          <w:t>(a)</w:t>
        </w:r>
        <w:r>
          <w:tab/>
          <w:t>in the definition of “assessment” by deleting “or a reassessment;” and inserting instead —</w:t>
        </w:r>
      </w:ins>
    </w:p>
    <w:p>
      <w:pPr>
        <w:pStyle w:val="nzIndenta"/>
        <w:rPr>
          <w:ins w:id="740" w:author="svcMRProcess" w:date="2018-09-09T10:15:00Z"/>
        </w:rPr>
      </w:pPr>
      <w:ins w:id="741" w:author="svcMRProcess" w:date="2018-09-09T10:15:00Z">
        <w:r>
          <w:tab/>
        </w:r>
        <w:r>
          <w:tab/>
          <w:t xml:space="preserve">“    </w:t>
        </w:r>
        <w:r>
          <w:rPr>
            <w:sz w:val="22"/>
          </w:rPr>
          <w:t>, a reassessment or a compromise assessment;</w:t>
        </w:r>
        <w:r>
          <w:t xml:space="preserve">    ”;</w:t>
        </w:r>
      </w:ins>
    </w:p>
    <w:p>
      <w:pPr>
        <w:pStyle w:val="nzIndenta"/>
        <w:rPr>
          <w:ins w:id="742" w:author="svcMRProcess" w:date="2018-09-09T10:15:00Z"/>
        </w:rPr>
      </w:pPr>
      <w:ins w:id="743" w:author="svcMRProcess" w:date="2018-09-09T10:15:00Z">
        <w:r>
          <w:tab/>
          <w:t>(b)</w:t>
        </w:r>
        <w:r>
          <w:tab/>
          <w:t>by inserting in the appropriate alphabetical position —</w:t>
        </w:r>
      </w:ins>
    </w:p>
    <w:p>
      <w:pPr>
        <w:pStyle w:val="MiscOpen"/>
        <w:ind w:left="880"/>
        <w:rPr>
          <w:ins w:id="744" w:author="svcMRProcess" w:date="2018-09-09T10:15:00Z"/>
        </w:rPr>
      </w:pPr>
      <w:ins w:id="745" w:author="svcMRProcess" w:date="2018-09-09T10:15:00Z">
        <w:r>
          <w:t xml:space="preserve">“    </w:t>
        </w:r>
      </w:ins>
    </w:p>
    <w:p>
      <w:pPr>
        <w:pStyle w:val="nzDefstart"/>
        <w:rPr>
          <w:ins w:id="746" w:author="svcMRProcess" w:date="2018-09-09T10:15:00Z"/>
        </w:rPr>
      </w:pPr>
      <w:ins w:id="747" w:author="svcMRProcess" w:date="2018-09-09T10:15:00Z">
        <w:r>
          <w:rPr>
            <w:b/>
            <w:sz w:val="22"/>
          </w:rPr>
          <w:tab/>
          <w:t>“</w:t>
        </w:r>
        <w:r>
          <w:rPr>
            <w:rStyle w:val="CharDefText"/>
            <w:sz w:val="22"/>
          </w:rPr>
          <w:t>compromise assessment</w:t>
        </w:r>
        <w:r>
          <w:rPr>
            <w:b/>
            <w:sz w:val="22"/>
          </w:rPr>
          <w:t>”</w:t>
        </w:r>
        <w:r>
          <w:rPr>
            <w:sz w:val="22"/>
          </w:rPr>
          <w:t xml:space="preserve"> means an assessment made in accordance with section 20A;</w:t>
        </w:r>
      </w:ins>
    </w:p>
    <w:p>
      <w:pPr>
        <w:pStyle w:val="MiscClose"/>
        <w:rPr>
          <w:ins w:id="748" w:author="svcMRProcess" w:date="2018-09-09T10:15:00Z"/>
        </w:rPr>
      </w:pPr>
      <w:ins w:id="749" w:author="svcMRProcess" w:date="2018-09-09T10:15:00Z">
        <w:r>
          <w:t xml:space="preserve">    ”.</w:t>
        </w:r>
      </w:ins>
    </w:p>
    <w:p>
      <w:pPr>
        <w:pStyle w:val="MiscClose"/>
        <w:rPr>
          <w:ins w:id="750" w:author="svcMRProcess" w:date="2018-09-09T10:15:00Z"/>
        </w:rPr>
      </w:pPr>
      <w:ins w:id="751" w:author="svcMRProcess" w:date="2018-09-09T10:15: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709"/>
    <w:docVar w:name="WAFER_20140609094709" w:val="RemoveTocBookmarks,RemoveUnusedBookmarks,RemoveLanguageTags,UsedStyles,ResetPageSize"/>
    <w:docVar w:name="WAFER_20140609094709_GUID" w:val="ec199d3b-bfa3-4092-bb27-fc3f45bb02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28652</Words>
  <Characters>137817</Characters>
  <Application>Microsoft Office Word</Application>
  <DocSecurity>0</DocSecurity>
  <Lines>3724</Lines>
  <Paragraphs>2134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164335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02-c0-03 - 02-d0-02</dc:title>
  <dc:subject/>
  <dc:creator/>
  <cp:keywords/>
  <dc:description/>
  <cp:lastModifiedBy>svcMRProcess</cp:lastModifiedBy>
  <cp:revision>2</cp:revision>
  <cp:lastPrinted>2007-08-23T04:21:00Z</cp:lastPrinted>
  <dcterms:created xsi:type="dcterms:W3CDTF">2018-09-09T02:15:00Z</dcterms:created>
  <dcterms:modified xsi:type="dcterms:W3CDTF">2018-09-09T02:15:00Z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6343</vt:i4>
  </property>
  <property fmtid="{D5CDD505-2E9C-101B-9397-08002B2CF9AE}" pid="6" name="ReprintNo">
    <vt:lpwstr>2</vt:lpwstr>
  </property>
  <property fmtid="{D5CDD505-2E9C-101B-9397-08002B2CF9AE}" pid="7" name="ReprintedAsAt">
    <vt:filetime>2007-09-06T16:00:00Z</vt:filetime>
  </property>
  <property fmtid="{D5CDD505-2E9C-101B-9397-08002B2CF9AE}" pid="8" name="FromSuffix">
    <vt:lpwstr>02-c0-03</vt:lpwstr>
  </property>
  <property fmtid="{D5CDD505-2E9C-101B-9397-08002B2CF9AE}" pid="9" name="FromAsAtDate">
    <vt:lpwstr>14 Apr 2008</vt:lpwstr>
  </property>
  <property fmtid="{D5CDD505-2E9C-101B-9397-08002B2CF9AE}" pid="10" name="ToSuffix">
    <vt:lpwstr>02-d0-02</vt:lpwstr>
  </property>
  <property fmtid="{D5CDD505-2E9C-101B-9397-08002B2CF9AE}" pid="11" name="ToAsAtDate">
    <vt:lpwstr>28 Jun 2008</vt:lpwstr>
  </property>
</Properties>
</file>