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11-f0-01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11-g0-03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w:t>
      </w:r>
      <w:bookmarkStart w:id="0" w:name="_GoBack"/>
      <w:bookmarkEnd w:id="0"/>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 w:name="_Toc61156054"/>
      <w:bookmarkStart w:id="2" w:name="_Toc122761290"/>
      <w:bookmarkStart w:id="3" w:name="_Toc202174907"/>
      <w:bookmarkStart w:id="4" w:name="_Toc199754612"/>
      <w:r>
        <w:rPr>
          <w:rStyle w:val="CharSectno"/>
        </w:rPr>
        <w:t>1</w:t>
      </w:r>
      <w:r>
        <w:rPr>
          <w:snapToGrid w:val="0"/>
        </w:rPr>
        <w:t>.</w:t>
      </w:r>
      <w:r>
        <w:rPr>
          <w:snapToGrid w:val="0"/>
        </w:rPr>
        <w:tab/>
        <w:t>Short title and commencement</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5" w:name="_Toc61156055"/>
      <w:bookmarkStart w:id="6" w:name="_Toc122761291"/>
      <w:bookmarkStart w:id="7" w:name="_Toc202174908"/>
      <w:bookmarkStart w:id="8" w:name="_Toc199754613"/>
      <w:r>
        <w:rPr>
          <w:rStyle w:val="CharSectno"/>
        </w:rPr>
        <w:t>2</w:t>
      </w:r>
      <w:r>
        <w:rPr>
          <w:snapToGrid w:val="0"/>
        </w:rPr>
        <w:t>.</w:t>
      </w:r>
      <w:r>
        <w:rPr>
          <w:snapToGrid w:val="0"/>
        </w:rPr>
        <w:tab/>
        <w:t>This Act to be read with the Road Traffic Act</w:t>
      </w:r>
      <w:bookmarkEnd w:id="5"/>
      <w:bookmarkEnd w:id="6"/>
      <w:bookmarkEnd w:id="7"/>
      <w:bookmarkEnd w:id="8"/>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9" w:name="_Toc61156056"/>
      <w:bookmarkStart w:id="10" w:name="_Toc122761292"/>
      <w:bookmarkStart w:id="11" w:name="_Toc202174909"/>
      <w:bookmarkStart w:id="12" w:name="_Toc199754614"/>
      <w:r>
        <w:rPr>
          <w:rStyle w:val="CharSectno"/>
        </w:rPr>
        <w:lastRenderedPageBreak/>
        <w:t>3</w:t>
      </w:r>
      <w:r>
        <w:rPr>
          <w:snapToGrid w:val="0"/>
        </w:rPr>
        <w:t>.</w:t>
      </w:r>
      <w:r>
        <w:rPr>
          <w:snapToGrid w:val="0"/>
        </w:rPr>
        <w:tab/>
        <w:t>Interpretation</w:t>
      </w:r>
      <w:bookmarkEnd w:id="9"/>
      <w:bookmarkEnd w:id="10"/>
      <w:bookmarkEnd w:id="11"/>
      <w:bookmarkEnd w:id="12"/>
    </w:p>
    <w:p>
      <w:pPr>
        <w:pStyle w:val="Subsection"/>
        <w:keepNext/>
        <w:rPr>
          <w:snapToGrid w:val="0"/>
        </w:rPr>
      </w:pPr>
      <w:r>
        <w:rPr>
          <w:snapToGrid w:val="0"/>
        </w:rPr>
        <w:tab/>
        <w:t>(1)</w:t>
      </w:r>
      <w:r>
        <w:rPr>
          <w:snapToGrid w:val="0"/>
        </w:rPr>
        <w:tab/>
        <w:t>In this Act, unless the context requires otherwise —</w:t>
      </w:r>
    </w:p>
    <w:p>
      <w:pPr>
        <w:pStyle w:val="Defstart"/>
      </w:pPr>
      <w:r>
        <w:rPr>
          <w:b/>
        </w:rPr>
        <w:tab/>
      </w:r>
      <w:del w:id="13" w:author="svcMRProcess" w:date="2020-02-18T09:58:00Z">
        <w:r>
          <w:rPr>
            <w:b/>
          </w:rPr>
          <w:delText>“</w:delText>
        </w:r>
      </w:del>
      <w:r>
        <w:rPr>
          <w:rStyle w:val="CharDefText"/>
        </w:rPr>
        <w:t>Commission</w:t>
      </w:r>
      <w:del w:id="14" w:author="svcMRProcess" w:date="2020-02-18T09:58:00Z">
        <w:r>
          <w:rPr>
            <w:b/>
          </w:rPr>
          <w:delText>”</w:delText>
        </w:r>
      </w:del>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r>
      <w:del w:id="15" w:author="svcMRProcess" w:date="2020-02-18T09:58:00Z">
        <w:r>
          <w:rPr>
            <w:b/>
            <w:spacing w:val="-4"/>
          </w:rPr>
          <w:delText>“</w:delText>
        </w:r>
      </w:del>
      <w:r>
        <w:rPr>
          <w:rStyle w:val="CharDefText"/>
          <w:spacing w:val="-4"/>
        </w:rPr>
        <w:t>contract of insurance</w:t>
      </w:r>
      <w:del w:id="16" w:author="svcMRProcess" w:date="2020-02-18T09:58:00Z">
        <w:r>
          <w:rPr>
            <w:b/>
            <w:spacing w:val="-4"/>
          </w:rPr>
          <w:delText>”</w:delText>
        </w:r>
      </w:del>
      <w:r>
        <w:rPr>
          <w:spacing w:val="-4"/>
        </w:rPr>
        <w:t xml:space="preserve"> means a contract of insurance with the Commission and complying with the requirements of this Act;</w:t>
      </w:r>
    </w:p>
    <w:p>
      <w:pPr>
        <w:pStyle w:val="Defstart"/>
      </w:pPr>
      <w:r>
        <w:tab/>
      </w:r>
      <w:del w:id="17" w:author="svcMRProcess" w:date="2020-02-18T09:58:00Z">
        <w:r>
          <w:rPr>
            <w:b/>
          </w:rPr>
          <w:delText>“</w:delText>
        </w:r>
      </w:del>
      <w:r>
        <w:rPr>
          <w:rStyle w:val="CharDefText"/>
        </w:rPr>
        <w:t>Director General</w:t>
      </w:r>
      <w:del w:id="18" w:author="svcMRProcess" w:date="2020-02-18T09:58:00Z">
        <w:r>
          <w:rPr>
            <w:b/>
          </w:rPr>
          <w:delText>”</w:delText>
        </w:r>
      </w:del>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r>
      <w:del w:id="19" w:author="svcMRProcess" w:date="2020-02-18T09:58:00Z">
        <w:r>
          <w:rPr>
            <w:b/>
          </w:rPr>
          <w:delText>“</w:delText>
        </w:r>
      </w:del>
      <w:r>
        <w:rPr>
          <w:rStyle w:val="CharDefText"/>
        </w:rPr>
        <w:t>District Court</w:t>
      </w:r>
      <w:del w:id="20" w:author="svcMRProcess" w:date="2020-02-18T09:58:00Z">
        <w:r>
          <w:rPr>
            <w:b/>
          </w:rPr>
          <w:delText>”</w:delText>
        </w:r>
      </w:del>
      <w:r>
        <w:t xml:space="preserve"> means The District Court of Western Australia established under the </w:t>
      </w:r>
      <w:r>
        <w:rPr>
          <w:i/>
        </w:rPr>
        <w:t>District Court of Western Australia Act 1969</w:t>
      </w:r>
      <w:r>
        <w:t>;</w:t>
      </w:r>
    </w:p>
    <w:p>
      <w:pPr>
        <w:pStyle w:val="Defstart"/>
      </w:pPr>
      <w:r>
        <w:rPr>
          <w:b/>
        </w:rPr>
        <w:tab/>
      </w:r>
      <w:del w:id="21" w:author="svcMRProcess" w:date="2020-02-18T09:58:00Z">
        <w:r>
          <w:rPr>
            <w:b/>
          </w:rPr>
          <w:delText>“</w:delText>
        </w:r>
      </w:del>
      <w:r>
        <w:rPr>
          <w:rStyle w:val="CharDefText"/>
        </w:rPr>
        <w:t>driver</w:t>
      </w:r>
      <w:del w:id="22" w:author="svcMRProcess" w:date="2020-02-18T09:58:00Z">
        <w:r>
          <w:rPr>
            <w:b/>
          </w:rPr>
          <w:delText>”</w:delText>
        </w:r>
      </w:del>
      <w:r>
        <w:t xml:space="preserve"> in relation to a motor vehicle includes any person who is in charge of the motor vehicle;</w:t>
      </w:r>
    </w:p>
    <w:p>
      <w:pPr>
        <w:pStyle w:val="Defstart"/>
      </w:pPr>
      <w:r>
        <w:rPr>
          <w:b/>
        </w:rPr>
        <w:tab/>
      </w:r>
      <w:del w:id="23" w:author="svcMRProcess" w:date="2020-02-18T09:58:00Z">
        <w:r>
          <w:rPr>
            <w:b/>
          </w:rPr>
          <w:delText>“</w:delText>
        </w:r>
      </w:del>
      <w:r>
        <w:rPr>
          <w:rStyle w:val="CharDefText"/>
        </w:rPr>
        <w:t>Fund</w:t>
      </w:r>
      <w:del w:id="24" w:author="svcMRProcess" w:date="2020-02-18T09:58:00Z">
        <w:r>
          <w:rPr>
            <w:b/>
          </w:rPr>
          <w:delText>”</w:delText>
        </w:r>
      </w:del>
      <w:r>
        <w:t xml:space="preserve"> means the Third Party Insurance Fund established under section 16 of the </w:t>
      </w:r>
      <w:r>
        <w:rPr>
          <w:i/>
        </w:rPr>
        <w:t>Insurance Commission of Western Australia Act 1986</w:t>
      </w:r>
      <w:r>
        <w:t>;</w:t>
      </w:r>
    </w:p>
    <w:p>
      <w:pPr>
        <w:pStyle w:val="Defstart"/>
      </w:pPr>
      <w:r>
        <w:rPr>
          <w:b/>
        </w:rPr>
        <w:tab/>
      </w:r>
      <w:del w:id="25" w:author="svcMRProcess" w:date="2020-02-18T09:58:00Z">
        <w:r>
          <w:rPr>
            <w:b/>
          </w:rPr>
          <w:delText>“</w:delText>
        </w:r>
      </w:del>
      <w:r>
        <w:rPr>
          <w:rStyle w:val="CharDefText"/>
        </w:rPr>
        <w:t>insured person</w:t>
      </w:r>
      <w:del w:id="26" w:author="svcMRProcess" w:date="2020-02-18T09:58:00Z">
        <w:r>
          <w:rPr>
            <w:b/>
          </w:rPr>
          <w:delText>”</w:delText>
        </w:r>
      </w:del>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r>
      <w:del w:id="27" w:author="svcMRProcess" w:date="2020-02-18T09:58:00Z">
        <w:r>
          <w:rPr>
            <w:b/>
            <w:spacing w:val="-2"/>
          </w:rPr>
          <w:delText>“</w:delText>
        </w:r>
      </w:del>
      <w:r>
        <w:rPr>
          <w:rStyle w:val="CharDefText"/>
          <w:spacing w:val="-2"/>
        </w:rPr>
        <w:t>Minister</w:t>
      </w:r>
      <w:del w:id="28" w:author="svcMRProcess" w:date="2020-02-18T09:58:00Z">
        <w:r>
          <w:rPr>
            <w:b/>
            <w:spacing w:val="-2"/>
          </w:rPr>
          <w:delText>”</w:delText>
        </w:r>
      </w:del>
      <w:r>
        <w:rPr>
          <w:spacing w:val="-2"/>
        </w:rPr>
        <w:t xml:space="preserve"> means the Minister for the time being charged by the Governor with the administration of this Act;</w:t>
      </w:r>
    </w:p>
    <w:p>
      <w:pPr>
        <w:pStyle w:val="Defstart"/>
      </w:pPr>
      <w:r>
        <w:rPr>
          <w:b/>
        </w:rPr>
        <w:tab/>
      </w:r>
      <w:del w:id="29" w:author="svcMRProcess" w:date="2020-02-18T09:58:00Z">
        <w:r>
          <w:rPr>
            <w:b/>
          </w:rPr>
          <w:delText>“</w:delText>
        </w:r>
      </w:del>
      <w:r>
        <w:rPr>
          <w:rStyle w:val="CharDefText"/>
        </w:rPr>
        <w:t>motor vehicle</w:t>
      </w:r>
      <w:del w:id="30" w:author="svcMRProcess" w:date="2020-02-18T09:58:00Z">
        <w:r>
          <w:rPr>
            <w:b/>
          </w:rPr>
          <w:delText>”</w:delText>
        </w:r>
      </w:del>
      <w:r>
        <w:t xml:space="preserve"> means any vehicle propelled by gas, oil, electricity or any other motive power, not being animal power, required to be licensed, and complying with the requirements necessary for licensing, under the Traffic Act and includes a </w:t>
      </w:r>
      <w:r>
        <w:lastRenderedPageBreak/>
        <w:t>caravan, trailer or semi</w:t>
      </w:r>
      <w:r>
        <w:noBreakHyphen/>
        <w:t>trailer drawn or hauled by a motor vehicle;</w:t>
      </w:r>
    </w:p>
    <w:p>
      <w:pPr>
        <w:pStyle w:val="Defstart"/>
      </w:pPr>
      <w:r>
        <w:rPr>
          <w:b/>
        </w:rPr>
        <w:tab/>
      </w:r>
      <w:del w:id="31" w:author="svcMRProcess" w:date="2020-02-18T09:58:00Z">
        <w:r>
          <w:rPr>
            <w:b/>
          </w:rPr>
          <w:delText>“</w:delText>
        </w:r>
      </w:del>
      <w:r>
        <w:rPr>
          <w:rStyle w:val="CharDefText"/>
        </w:rPr>
        <w:t>owner</w:t>
      </w:r>
      <w:del w:id="32" w:author="svcMRProcess" w:date="2020-02-18T09:58:00Z">
        <w:r>
          <w:rPr>
            <w:b/>
          </w:rPr>
          <w:delText>”</w:delText>
        </w:r>
      </w:del>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del w:id="33" w:author="svcMRProcess" w:date="2020-02-18T09:58:00Z">
        <w:r>
          <w:tab/>
        </w:r>
      </w:del>
      <w:r>
        <w:tab/>
        <w:t xml:space="preserve">Save as aforesaid the term </w:t>
      </w:r>
      <w:del w:id="34" w:author="svcMRProcess" w:date="2020-02-18T09:58:00Z">
        <w:r>
          <w:rPr>
            <w:b/>
          </w:rPr>
          <w:delText>“</w:delText>
        </w:r>
      </w:del>
      <w:r>
        <w:rPr>
          <w:rStyle w:val="CharDefText"/>
        </w:rPr>
        <w:t>owner</w:t>
      </w:r>
      <w:del w:id="35" w:author="svcMRProcess" w:date="2020-02-18T09:58:00Z">
        <w:r>
          <w:rPr>
            <w:b/>
          </w:rPr>
          <w:delText>”</w:delText>
        </w:r>
      </w:del>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del w:id="36" w:author="svcMRProcess" w:date="2020-02-18T09:58:00Z">
        <w:r>
          <w:rPr>
            <w:b/>
          </w:rPr>
          <w:delText>“</w:delText>
        </w:r>
      </w:del>
      <w:r>
        <w:rPr>
          <w:rStyle w:val="CharDefText"/>
        </w:rPr>
        <w:t>policy of insurance</w:t>
      </w:r>
      <w:del w:id="37" w:author="svcMRProcess" w:date="2020-02-18T09:58:00Z">
        <w:r>
          <w:rPr>
            <w:b/>
          </w:rPr>
          <w:delText>”</w:delText>
        </w:r>
      </w:del>
      <w:r>
        <w:t xml:space="preserve"> includes a cover note and/or certificate of insurance which is binding on the insurer;</w:t>
      </w:r>
    </w:p>
    <w:p>
      <w:pPr>
        <w:pStyle w:val="Defstart"/>
      </w:pPr>
      <w:r>
        <w:rPr>
          <w:b/>
        </w:rPr>
        <w:tab/>
      </w:r>
      <w:del w:id="38" w:author="svcMRProcess" w:date="2020-02-18T09:58:00Z">
        <w:r>
          <w:rPr>
            <w:b/>
          </w:rPr>
          <w:delText>“</w:delText>
        </w:r>
      </w:del>
      <w:r>
        <w:rPr>
          <w:rStyle w:val="CharDefText"/>
        </w:rPr>
        <w:t>Traffic Act</w:t>
      </w:r>
      <w:del w:id="39" w:author="svcMRProcess" w:date="2020-02-18T09:58:00Z">
        <w:r>
          <w:rPr>
            <w:b/>
          </w:rPr>
          <w:delText>”</w:delText>
        </w:r>
      </w:del>
      <w:r>
        <w:t xml:space="preserve"> means the </w:t>
      </w:r>
      <w:r>
        <w:rPr>
          <w:i/>
        </w:rPr>
        <w:t>Road Traffic Act 1974</w:t>
      </w:r>
      <w:r>
        <w:t xml:space="preserve"> as amended from time to time and for the time being;</w:t>
      </w:r>
    </w:p>
    <w:p>
      <w:pPr>
        <w:pStyle w:val="Defstart"/>
      </w:pPr>
      <w:r>
        <w:rPr>
          <w:b/>
        </w:rPr>
        <w:tab/>
      </w:r>
      <w:del w:id="40" w:author="svcMRProcess" w:date="2020-02-18T09:58:00Z">
        <w:r>
          <w:rPr>
            <w:b/>
          </w:rPr>
          <w:delText>“</w:delText>
        </w:r>
      </w:del>
      <w:r>
        <w:rPr>
          <w:rStyle w:val="CharDefText"/>
        </w:rPr>
        <w:t>uninsured motor vehicle</w:t>
      </w:r>
      <w:del w:id="41" w:author="svcMRProcess" w:date="2020-02-18T09:58:00Z">
        <w:r>
          <w:rPr>
            <w:b/>
          </w:rPr>
          <w:delText>”</w:delText>
        </w:r>
      </w:del>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del w:id="42" w:author="svcMRProcess" w:date="2020-02-18T09:58:00Z">
        <w:r>
          <w:tab/>
        </w:r>
      </w:del>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43" w:name="_Toc61156057"/>
      <w:bookmarkStart w:id="44" w:name="_Toc122761293"/>
      <w:bookmarkStart w:id="45" w:name="_Toc202174910"/>
      <w:bookmarkStart w:id="46" w:name="_Toc199754615"/>
      <w:r>
        <w:rPr>
          <w:rStyle w:val="CharSectno"/>
        </w:rPr>
        <w:t>3A</w:t>
      </w:r>
      <w:r>
        <w:rPr>
          <w:snapToGrid w:val="0"/>
        </w:rPr>
        <w:t xml:space="preserve">. </w:t>
      </w:r>
      <w:r>
        <w:rPr>
          <w:snapToGrid w:val="0"/>
        </w:rPr>
        <w:tab/>
        <w:t>Application of sections 3C and 3D</w:t>
      </w:r>
      <w:bookmarkEnd w:id="43"/>
      <w:bookmarkEnd w:id="44"/>
      <w:bookmarkEnd w:id="45"/>
      <w:bookmarkEnd w:id="46"/>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47" w:name="_Toc61156058"/>
      <w:bookmarkStart w:id="48" w:name="_Toc122761294"/>
      <w:bookmarkStart w:id="49" w:name="_Toc202174911"/>
      <w:bookmarkStart w:id="50" w:name="_Toc199754616"/>
      <w:r>
        <w:rPr>
          <w:rStyle w:val="CharSectno"/>
        </w:rPr>
        <w:t>3B</w:t>
      </w:r>
      <w:r>
        <w:rPr>
          <w:snapToGrid w:val="0"/>
        </w:rPr>
        <w:t xml:space="preserve">. </w:t>
      </w:r>
      <w:r>
        <w:rPr>
          <w:snapToGrid w:val="0"/>
        </w:rPr>
        <w:tab/>
        <w:t>Limit on powers of courts</w:t>
      </w:r>
      <w:bookmarkEnd w:id="47"/>
      <w:bookmarkEnd w:id="48"/>
      <w:bookmarkEnd w:id="49"/>
      <w:bookmarkEnd w:id="50"/>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51" w:name="_Toc61156059"/>
      <w:bookmarkStart w:id="52" w:name="_Toc122761295"/>
      <w:bookmarkStart w:id="53" w:name="_Toc202174912"/>
      <w:bookmarkStart w:id="54" w:name="_Toc199754617"/>
      <w:r>
        <w:rPr>
          <w:rStyle w:val="CharSectno"/>
        </w:rPr>
        <w:t>3C</w:t>
      </w:r>
      <w:r>
        <w:rPr>
          <w:snapToGrid w:val="0"/>
        </w:rPr>
        <w:t xml:space="preserve">. </w:t>
      </w:r>
      <w:r>
        <w:rPr>
          <w:snapToGrid w:val="0"/>
        </w:rPr>
        <w:tab/>
        <w:t>Restrictions on damages for non</w:t>
      </w:r>
      <w:r>
        <w:rPr>
          <w:snapToGrid w:val="0"/>
        </w:rPr>
        <w:noBreakHyphen/>
        <w:t>pecuniary loss</w:t>
      </w:r>
      <w:bookmarkEnd w:id="51"/>
      <w:bookmarkEnd w:id="52"/>
      <w:bookmarkEnd w:id="53"/>
      <w:bookmarkEnd w:id="54"/>
    </w:p>
    <w:p>
      <w:pPr>
        <w:pStyle w:val="Subsection"/>
        <w:keepNext/>
        <w:rPr>
          <w:snapToGrid w:val="0"/>
        </w:rPr>
      </w:pPr>
      <w:r>
        <w:rPr>
          <w:snapToGrid w:val="0"/>
        </w:rPr>
        <w:tab/>
        <w:t>(1)</w:t>
      </w:r>
      <w:r>
        <w:rPr>
          <w:snapToGrid w:val="0"/>
        </w:rPr>
        <w:tab/>
        <w:t>In this section —</w:t>
      </w:r>
    </w:p>
    <w:p>
      <w:pPr>
        <w:pStyle w:val="Defstart"/>
        <w:ind w:left="1327" w:hanging="1327"/>
      </w:pPr>
      <w:r>
        <w:rPr>
          <w:b/>
        </w:rPr>
        <w:tab/>
      </w:r>
      <w:del w:id="55" w:author="svcMRProcess" w:date="2020-02-18T09:58:00Z">
        <w:r>
          <w:rPr>
            <w:b/>
          </w:rPr>
          <w:delText>“</w:delText>
        </w:r>
      </w:del>
      <w:r>
        <w:rPr>
          <w:rStyle w:val="CharDefText"/>
        </w:rPr>
        <w:t>Amount A</w:t>
      </w:r>
      <w:del w:id="56" w:author="svcMRProcess" w:date="2020-02-18T09:58:00Z">
        <w:r>
          <w:rPr>
            <w:b/>
          </w:rPr>
          <w:delText>”</w:delText>
        </w:r>
      </w:del>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r>
      <w:del w:id="57" w:author="svcMRProcess" w:date="2020-02-18T09:58:00Z">
        <w:r>
          <w:rPr>
            <w:b/>
          </w:rPr>
          <w:delText>“</w:delText>
        </w:r>
      </w:del>
      <w:r>
        <w:rPr>
          <w:rStyle w:val="CharDefText"/>
        </w:rPr>
        <w:t>Amount B</w:t>
      </w:r>
      <w:del w:id="58" w:author="svcMRProcess" w:date="2020-02-18T09:58:00Z">
        <w:r>
          <w:rPr>
            <w:b/>
          </w:rPr>
          <w:delText>”</w:delText>
        </w:r>
      </w:del>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del w:id="59" w:author="svcMRProcess" w:date="2020-02-18T09:58:00Z">
        <w:r>
          <w:rPr>
            <w:b/>
          </w:rPr>
          <w:delText>“</w:delText>
        </w:r>
      </w:del>
      <w:r>
        <w:rPr>
          <w:rStyle w:val="CharDefText"/>
        </w:rPr>
        <w:t>Amount C</w:t>
      </w:r>
      <w:del w:id="60" w:author="svcMRProcess" w:date="2020-02-18T09:58:00Z">
        <w:r>
          <w:rPr>
            <w:b/>
          </w:rPr>
          <w:delText>”</w:delText>
        </w:r>
      </w:del>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del w:id="61" w:author="svcMRProcess" w:date="2020-02-18T09:58:00Z">
        <w:r>
          <w:rPr>
            <w:b/>
          </w:rPr>
          <w:delText>“</w:delText>
        </w:r>
      </w:del>
      <w:r>
        <w:rPr>
          <w:rStyle w:val="CharDefText"/>
        </w:rPr>
        <w:t>non</w:t>
      </w:r>
      <w:r>
        <w:rPr>
          <w:rStyle w:val="CharDefText"/>
        </w:rPr>
        <w:noBreakHyphen/>
        <w:t>pecuniary loss</w:t>
      </w:r>
      <w:del w:id="62" w:author="svcMRProcess" w:date="2020-02-18T09:58:00Z">
        <w:r>
          <w:rPr>
            <w:b/>
          </w:rPr>
          <w:delText>”</w:delText>
        </w:r>
      </w:del>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fillcolor="window">
            <v:imagedata r:id="rId15"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 xml:space="preserve">By operation of this subsection and subsection (9) or (10) each of Amounts A, B and C is recalculated for each financial year with effect from 1 July </w:t>
      </w:r>
      <w:del w:id="63" w:author="svcMRProcess" w:date="2020-02-18T09:58:00Z">
        <w:r>
          <w:rPr>
            <w:snapToGrid w:val="0"/>
          </w:rPr>
          <w:delText>(</w:delText>
        </w:r>
        <w:r>
          <w:rPr>
            <w:b/>
            <w:snapToGrid w:val="0"/>
          </w:rPr>
          <w:delText>“</w:delText>
        </w:r>
      </w:del>
      <w:ins w:id="64" w:author="svcMRProcess" w:date="2020-02-18T09:58:00Z">
        <w:r>
          <w:rPr>
            <w:snapToGrid w:val="0"/>
          </w:rPr>
          <w:t>(</w:t>
        </w:r>
      </w:ins>
      <w:r>
        <w:rPr>
          <w:rStyle w:val="CharDefText"/>
        </w:rPr>
        <w:t>the recalculation date</w:t>
      </w:r>
      <w:del w:id="65" w:author="svcMRProcess" w:date="2020-02-18T09:58:00Z">
        <w:r>
          <w:rPr>
            <w:b/>
            <w:snapToGrid w:val="0"/>
          </w:rPr>
          <w:delText>”</w:delText>
        </w:r>
        <w:r>
          <w:rPr>
            <w:snapToGrid w:val="0"/>
          </w:rPr>
          <w:delText>),</w:delText>
        </w:r>
      </w:del>
      <w:ins w:id="66" w:author="svcMRProcess" w:date="2020-02-18T09:58:00Z">
        <w:r>
          <w:rPr>
            <w:snapToGrid w:val="0"/>
          </w:rPr>
          <w:t>),</w:t>
        </w:r>
      </w:ins>
      <w:r>
        <w:rPr>
          <w:snapToGrid w:val="0"/>
        </w:rPr>
        <w:t xml:space="preserve">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67" w:name="_Toc61156060"/>
      <w:bookmarkStart w:id="68" w:name="_Toc122761296"/>
      <w:bookmarkStart w:id="69" w:name="_Toc202174913"/>
      <w:bookmarkStart w:id="70" w:name="_Toc199754618"/>
      <w:r>
        <w:rPr>
          <w:rStyle w:val="CharSectno"/>
        </w:rPr>
        <w:t>3D</w:t>
      </w:r>
      <w:r>
        <w:rPr>
          <w:snapToGrid w:val="0"/>
        </w:rPr>
        <w:t xml:space="preserve">. </w:t>
      </w:r>
      <w:r>
        <w:rPr>
          <w:snapToGrid w:val="0"/>
        </w:rPr>
        <w:tab/>
        <w:t>Restrictions on damages for provision of home care services</w:t>
      </w:r>
      <w:bookmarkEnd w:id="67"/>
      <w:bookmarkEnd w:id="68"/>
      <w:bookmarkEnd w:id="69"/>
      <w:bookmarkEnd w:id="70"/>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del w:id="71" w:author="svcMRProcess" w:date="2020-02-18T09:58:00Z">
        <w:r>
          <w:rPr>
            <w:b/>
            <w:snapToGrid w:val="0"/>
          </w:rPr>
          <w:delText>“</w:delText>
        </w:r>
      </w:del>
      <w:r>
        <w:rPr>
          <w:rStyle w:val="CharDefText"/>
        </w:rPr>
        <w:t>the relevant quarter</w:t>
      </w:r>
      <w:del w:id="72" w:author="svcMRProcess" w:date="2020-02-18T09:58:00Z">
        <w:r>
          <w:rPr>
            <w:b/>
            <w:snapToGrid w:val="0"/>
          </w:rPr>
          <w:delText>”</w:delText>
        </w:r>
      </w:del>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del w:id="73" w:author="svcMRProcess" w:date="2020-02-18T09:58:00Z">
        <w:r>
          <w:rPr>
            <w:b/>
            <w:snapToGrid w:val="0"/>
          </w:rPr>
          <w:delText>“</w:delText>
        </w:r>
      </w:del>
      <w:r>
        <w:rPr>
          <w:rStyle w:val="CharDefText"/>
        </w:rPr>
        <w:t>Amount D</w:t>
      </w:r>
      <w:del w:id="74" w:author="svcMRProcess" w:date="2020-02-18T09:58:00Z">
        <w:r>
          <w:rPr>
            <w:b/>
            <w:snapToGrid w:val="0"/>
          </w:rPr>
          <w:delText>”</w:delText>
        </w:r>
      </w:del>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 xml:space="preserve">By operation of this subsection and subsection (9) Amount D is recalculated annually with effect from 1 July </w:t>
      </w:r>
      <w:del w:id="75" w:author="svcMRProcess" w:date="2020-02-18T09:58:00Z">
        <w:r>
          <w:rPr>
            <w:snapToGrid w:val="0"/>
          </w:rPr>
          <w:delText>(</w:delText>
        </w:r>
        <w:r>
          <w:rPr>
            <w:b/>
            <w:snapToGrid w:val="0"/>
          </w:rPr>
          <w:delText>“</w:delText>
        </w:r>
      </w:del>
      <w:ins w:id="76" w:author="svcMRProcess" w:date="2020-02-18T09:58:00Z">
        <w:r>
          <w:rPr>
            <w:snapToGrid w:val="0"/>
          </w:rPr>
          <w:t>(</w:t>
        </w:r>
      </w:ins>
      <w:r>
        <w:rPr>
          <w:rStyle w:val="CharDefText"/>
        </w:rPr>
        <w:t>the recalculation date</w:t>
      </w:r>
      <w:del w:id="77" w:author="svcMRProcess" w:date="2020-02-18T09:58:00Z">
        <w:r>
          <w:rPr>
            <w:b/>
            <w:snapToGrid w:val="0"/>
          </w:rPr>
          <w:delText>”</w:delText>
        </w:r>
        <w:r>
          <w:rPr>
            <w:snapToGrid w:val="0"/>
          </w:rPr>
          <w:delText>),</w:delText>
        </w:r>
      </w:del>
      <w:ins w:id="78" w:author="svcMRProcess" w:date="2020-02-18T09:58:00Z">
        <w:r>
          <w:rPr>
            <w:snapToGrid w:val="0"/>
          </w:rPr>
          <w:t>),</w:t>
        </w:r>
      </w:ins>
      <w:r>
        <w:rPr>
          <w:snapToGrid w:val="0"/>
        </w:rPr>
        <w:t xml:space="preserve">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79" w:name="_Toc61156061"/>
      <w:bookmarkStart w:id="80" w:name="_Toc122761297"/>
      <w:bookmarkStart w:id="81" w:name="_Toc202174914"/>
      <w:bookmarkStart w:id="82" w:name="_Toc199754619"/>
      <w:r>
        <w:rPr>
          <w:rStyle w:val="CharSectno"/>
        </w:rPr>
        <w:t>3E</w:t>
      </w:r>
      <w:r>
        <w:rPr>
          <w:snapToGrid w:val="0"/>
        </w:rPr>
        <w:t xml:space="preserve">. </w:t>
      </w:r>
      <w:r>
        <w:rPr>
          <w:snapToGrid w:val="0"/>
        </w:rPr>
        <w:tab/>
        <w:t>Causes of action to which restrictions on damages apply</w:t>
      </w:r>
      <w:bookmarkEnd w:id="79"/>
      <w:bookmarkEnd w:id="80"/>
      <w:bookmarkEnd w:id="81"/>
      <w:bookmarkEnd w:id="82"/>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83" w:name="_Toc202174915"/>
      <w:bookmarkStart w:id="84" w:name="_Toc199754620"/>
      <w:r>
        <w:rPr>
          <w:rStyle w:val="CharSectno"/>
        </w:rPr>
        <w:t>3F</w:t>
      </w:r>
      <w:r>
        <w:t>.</w:t>
      </w:r>
      <w:r>
        <w:tab/>
        <w:t>Restriction on damages for loss relating to earning capacity</w:t>
      </w:r>
      <w:bookmarkEnd w:id="83"/>
      <w:bookmarkEnd w:id="84"/>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85" w:name="_Toc202174916"/>
      <w:bookmarkStart w:id="86" w:name="_Toc199754621"/>
      <w:bookmarkStart w:id="87" w:name="_Toc61156062"/>
      <w:bookmarkStart w:id="88" w:name="_Toc122761298"/>
      <w:r>
        <w:rPr>
          <w:rStyle w:val="CharSectno"/>
        </w:rPr>
        <w:t>3G</w:t>
      </w:r>
      <w:r>
        <w:t>.</w:t>
      </w:r>
      <w:r>
        <w:tab/>
        <w:t>Liability of employers</w:t>
      </w:r>
      <w:bookmarkEnd w:id="85"/>
      <w:bookmarkEnd w:id="86"/>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 xml:space="preserve">2) — </w:t>
      </w:r>
    </w:p>
    <w:p>
      <w:pPr>
        <w:pStyle w:val="Defstart"/>
      </w:pPr>
      <w:r>
        <w:rPr>
          <w:b/>
        </w:rPr>
        <w:tab/>
      </w:r>
      <w:del w:id="89" w:author="svcMRProcess" w:date="2020-02-18T09:58:00Z">
        <w:r>
          <w:rPr>
            <w:b/>
          </w:rPr>
          <w:delText>“</w:delText>
        </w:r>
      </w:del>
      <w:r>
        <w:rPr>
          <w:rStyle w:val="CharDefText"/>
        </w:rPr>
        <w:t>owner</w:t>
      </w:r>
      <w:del w:id="90" w:author="svcMRProcess" w:date="2020-02-18T09:58:00Z">
        <w:r>
          <w:rPr>
            <w:b/>
          </w:rPr>
          <w:delText>”</w:delText>
        </w:r>
      </w:del>
      <w:r>
        <w:t xml:space="preserve"> includes any person for whose negligence the owner is legally responsible.</w:t>
      </w:r>
    </w:p>
    <w:p>
      <w:pPr>
        <w:pStyle w:val="Footnotesection"/>
      </w:pPr>
      <w:r>
        <w:tab/>
        <w:t>[Section 3G inserted by No. 15 of 2006 s. 5.]</w:t>
      </w:r>
    </w:p>
    <w:p>
      <w:pPr>
        <w:pStyle w:val="Ednotesection"/>
      </w:pPr>
      <w:r>
        <w:t>[</w:t>
      </w:r>
      <w:r>
        <w:rPr>
          <w:b/>
        </w:rPr>
        <w:t>3H-3K.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91" w:name="_Toc202174917"/>
      <w:bookmarkStart w:id="92" w:name="_Toc199754622"/>
      <w:r>
        <w:rPr>
          <w:rStyle w:val="CharSectno"/>
        </w:rPr>
        <w:t>3Q</w:t>
      </w:r>
      <w:r>
        <w:rPr>
          <w:snapToGrid w:val="0"/>
        </w:rPr>
        <w:t xml:space="preserve">. </w:t>
      </w:r>
      <w:r>
        <w:rPr>
          <w:snapToGrid w:val="0"/>
        </w:rPr>
        <w:tab/>
        <w:t>Director General’s functions</w:t>
      </w:r>
      <w:bookmarkEnd w:id="87"/>
      <w:bookmarkEnd w:id="88"/>
      <w:bookmarkEnd w:id="91"/>
      <w:bookmarkEnd w:id="92"/>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93" w:name="_Toc61156063"/>
      <w:bookmarkStart w:id="94" w:name="_Toc122761299"/>
      <w:bookmarkStart w:id="95" w:name="_Toc202174918"/>
      <w:bookmarkStart w:id="96" w:name="_Toc199754623"/>
      <w:r>
        <w:rPr>
          <w:rStyle w:val="CharSectno"/>
        </w:rPr>
        <w:t>3QA</w:t>
      </w:r>
      <w:r>
        <w:t>.</w:t>
      </w:r>
      <w:r>
        <w:tab/>
        <w:t>Agreements for performance of functions</w:t>
      </w:r>
      <w:bookmarkEnd w:id="93"/>
      <w:bookmarkEnd w:id="94"/>
      <w:bookmarkEnd w:id="95"/>
      <w:bookmarkEnd w:id="9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97" w:name="_Toc61156064"/>
      <w:bookmarkStart w:id="98" w:name="_Toc122761300"/>
      <w:bookmarkStart w:id="99" w:name="_Toc202174919"/>
      <w:bookmarkStart w:id="100" w:name="_Toc199754624"/>
      <w:r>
        <w:rPr>
          <w:rStyle w:val="CharSectno"/>
        </w:rPr>
        <w:t>3QB</w:t>
      </w:r>
      <w:r>
        <w:t>.</w:t>
      </w:r>
      <w:r>
        <w:tab/>
        <w:t>Delegation</w:t>
      </w:r>
      <w:bookmarkEnd w:id="97"/>
      <w:bookmarkEnd w:id="98"/>
      <w:bookmarkEnd w:id="99"/>
      <w:bookmarkEnd w:id="10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101" w:name="_Toc61156065"/>
      <w:bookmarkStart w:id="102" w:name="_Toc122761301"/>
      <w:bookmarkStart w:id="103" w:name="_Toc202174920"/>
      <w:bookmarkStart w:id="104" w:name="_Toc199754625"/>
      <w:r>
        <w:rPr>
          <w:rStyle w:val="CharSectno"/>
        </w:rPr>
        <w:t>3R</w:t>
      </w:r>
      <w:r>
        <w:rPr>
          <w:snapToGrid w:val="0"/>
        </w:rPr>
        <w:t xml:space="preserve">. </w:t>
      </w:r>
      <w:r>
        <w:rPr>
          <w:snapToGrid w:val="0"/>
        </w:rPr>
        <w:tab/>
        <w:t>Issue of policies of insurance</w:t>
      </w:r>
      <w:bookmarkEnd w:id="101"/>
      <w:bookmarkEnd w:id="102"/>
      <w:bookmarkEnd w:id="103"/>
      <w:bookmarkEnd w:id="104"/>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 xml:space="preserve">ctor General shall pay to the Treasurer at such times as are directed by the Treasurer all amounts of </w:t>
      </w:r>
      <w:del w:id="105" w:author="svcMRProcess" w:date="2020-02-18T09:58:00Z">
        <w:r>
          <w:delText xml:space="preserve">stamp </w:delText>
        </w:r>
      </w:del>
      <w:r>
        <w:t>duty payable</w:t>
      </w:r>
      <w:ins w:id="106" w:author="svcMRProcess" w:date="2020-02-18T09:58:00Z">
        <w:r>
          <w:t xml:space="preserve"> under the </w:t>
        </w:r>
        <w:r>
          <w:rPr>
            <w:i/>
            <w:iCs/>
          </w:rPr>
          <w:t>Duties Act 2008</w:t>
        </w:r>
      </w:ins>
      <w:r>
        <w:t xml:space="preserv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w:t>
      </w:r>
      <w:del w:id="107" w:author="svcMRProcess" w:date="2020-02-18T09:58:00Z">
        <w:r>
          <w:rPr>
            <w:spacing w:val="-2"/>
          </w:rPr>
          <w:delText>4</w:delText>
        </w:r>
      </w:del>
      <w:ins w:id="108" w:author="svcMRProcess" w:date="2020-02-18T09:58:00Z">
        <w:r>
          <w:rPr>
            <w:spacing w:val="-2"/>
          </w:rPr>
          <w:t>4; No. 12 of 2008 s. 52</w:t>
        </w:r>
      </w:ins>
      <w:r>
        <w:rPr>
          <w:spacing w:val="-2"/>
        </w:rPr>
        <w:t>.]</w:t>
      </w:r>
    </w:p>
    <w:p>
      <w:pPr>
        <w:pStyle w:val="Heading5"/>
        <w:rPr>
          <w:snapToGrid w:val="0"/>
        </w:rPr>
      </w:pPr>
      <w:bookmarkStart w:id="109" w:name="_Toc61156066"/>
      <w:bookmarkStart w:id="110" w:name="_Toc122761302"/>
      <w:bookmarkStart w:id="111" w:name="_Toc202174921"/>
      <w:bookmarkStart w:id="112" w:name="_Toc199754626"/>
      <w:r>
        <w:rPr>
          <w:rStyle w:val="CharSectno"/>
        </w:rPr>
        <w:t>3S</w:t>
      </w:r>
      <w:r>
        <w:rPr>
          <w:snapToGrid w:val="0"/>
        </w:rPr>
        <w:t xml:space="preserve">. </w:t>
      </w:r>
      <w:r>
        <w:rPr>
          <w:snapToGrid w:val="0"/>
        </w:rPr>
        <w:tab/>
        <w:t>Further powers of the Commission</w:t>
      </w:r>
      <w:bookmarkEnd w:id="109"/>
      <w:bookmarkEnd w:id="110"/>
      <w:bookmarkEnd w:id="111"/>
      <w:bookmarkEnd w:id="11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113" w:name="_Toc61156067"/>
      <w:bookmarkStart w:id="114" w:name="_Toc122761303"/>
      <w:bookmarkStart w:id="115" w:name="_Toc202174922"/>
      <w:bookmarkStart w:id="116" w:name="_Toc199754627"/>
      <w:r>
        <w:rPr>
          <w:rStyle w:val="CharSectno"/>
        </w:rPr>
        <w:t>3T</w:t>
      </w:r>
      <w:r>
        <w:rPr>
          <w:snapToGrid w:val="0"/>
        </w:rPr>
        <w:t xml:space="preserve">. </w:t>
      </w:r>
      <w:r>
        <w:rPr>
          <w:snapToGrid w:val="0"/>
        </w:rPr>
        <w:tab/>
        <w:t>Premiums</w:t>
      </w:r>
      <w:bookmarkEnd w:id="113"/>
      <w:bookmarkEnd w:id="114"/>
      <w:bookmarkEnd w:id="115"/>
      <w:bookmarkEnd w:id="116"/>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117" w:name="_Toc61156068"/>
      <w:bookmarkStart w:id="118" w:name="_Toc122761304"/>
      <w:bookmarkStart w:id="119" w:name="_Toc202174923"/>
      <w:bookmarkStart w:id="120" w:name="_Toc199754628"/>
      <w:r>
        <w:rPr>
          <w:rStyle w:val="CharSectno"/>
        </w:rPr>
        <w:t>4</w:t>
      </w:r>
      <w:r>
        <w:rPr>
          <w:snapToGrid w:val="0"/>
        </w:rPr>
        <w:t>.</w:t>
      </w:r>
      <w:r>
        <w:rPr>
          <w:snapToGrid w:val="0"/>
        </w:rPr>
        <w:tab/>
        <w:t>Insurance against third party risks</w:t>
      </w:r>
      <w:bookmarkEnd w:id="117"/>
      <w:bookmarkEnd w:id="118"/>
      <w:bookmarkEnd w:id="119"/>
      <w:bookmarkEnd w:id="120"/>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del w:id="121" w:author="svcMRProcess" w:date="2020-02-18T09:58:00Z">
        <w:r>
          <w:rPr>
            <w:b/>
            <w:snapToGrid w:val="0"/>
          </w:rPr>
          <w:delText>“</w:delText>
        </w:r>
      </w:del>
      <w:r>
        <w:rPr>
          <w:rStyle w:val="CharDefText"/>
        </w:rPr>
        <w:t>motor vehicle</w:t>
      </w:r>
      <w:del w:id="122" w:author="svcMRProcess" w:date="2020-02-18T09:58:00Z">
        <w:r>
          <w:rPr>
            <w:b/>
            <w:snapToGrid w:val="0"/>
          </w:rPr>
          <w:delText>”</w:delText>
        </w:r>
      </w:del>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123" w:name="_Toc61156069"/>
      <w:bookmarkStart w:id="124" w:name="_Toc122761305"/>
      <w:bookmarkStart w:id="125" w:name="_Toc202174924"/>
      <w:bookmarkStart w:id="126" w:name="_Toc199754629"/>
      <w:r>
        <w:rPr>
          <w:rStyle w:val="CharSectno"/>
        </w:rPr>
        <w:t>6</w:t>
      </w:r>
      <w:r>
        <w:rPr>
          <w:snapToGrid w:val="0"/>
        </w:rPr>
        <w:t>.</w:t>
      </w:r>
      <w:r>
        <w:rPr>
          <w:snapToGrid w:val="0"/>
        </w:rPr>
        <w:tab/>
        <w:t>Requirements in respect of policies</w:t>
      </w:r>
      <w:bookmarkEnd w:id="123"/>
      <w:bookmarkEnd w:id="124"/>
      <w:bookmarkEnd w:id="125"/>
      <w:bookmarkEnd w:id="126"/>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127" w:name="_Toc61156070"/>
      <w:bookmarkStart w:id="128" w:name="_Toc122761306"/>
      <w:bookmarkStart w:id="129" w:name="_Toc202174925"/>
      <w:bookmarkStart w:id="130" w:name="_Toc199754630"/>
      <w:r>
        <w:rPr>
          <w:rStyle w:val="CharSectno"/>
        </w:rPr>
        <w:t>7</w:t>
      </w:r>
      <w:r>
        <w:rPr>
          <w:snapToGrid w:val="0"/>
        </w:rPr>
        <w:t>.</w:t>
      </w:r>
      <w:r>
        <w:rPr>
          <w:snapToGrid w:val="0"/>
        </w:rPr>
        <w:tab/>
        <w:t>Liability of the Commission</w:t>
      </w:r>
      <w:bookmarkEnd w:id="127"/>
      <w:bookmarkEnd w:id="128"/>
      <w:bookmarkEnd w:id="129"/>
      <w:bookmarkEnd w:id="130"/>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131" w:name="_Toc61156071"/>
      <w:bookmarkStart w:id="132" w:name="_Toc122761307"/>
      <w:bookmarkStart w:id="133" w:name="_Toc202174926"/>
      <w:bookmarkStart w:id="134" w:name="_Toc199754631"/>
      <w:r>
        <w:rPr>
          <w:rStyle w:val="CharSectno"/>
        </w:rPr>
        <w:t>8</w:t>
      </w:r>
      <w:r>
        <w:rPr>
          <w:snapToGrid w:val="0"/>
        </w:rPr>
        <w:t>.</w:t>
      </w:r>
      <w:r>
        <w:rPr>
          <w:snapToGrid w:val="0"/>
        </w:rPr>
        <w:tab/>
        <w:t>Special provisions in relation to uninsured motor vehicles</w:t>
      </w:r>
      <w:bookmarkEnd w:id="131"/>
      <w:bookmarkEnd w:id="132"/>
      <w:bookmarkEnd w:id="133"/>
      <w:bookmarkEnd w:id="13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135" w:name="_Toc61156072"/>
      <w:bookmarkStart w:id="136" w:name="_Toc122761308"/>
      <w:bookmarkStart w:id="137" w:name="_Toc202174927"/>
      <w:bookmarkStart w:id="138" w:name="_Toc199754632"/>
      <w:r>
        <w:rPr>
          <w:rStyle w:val="CharSectno"/>
        </w:rPr>
        <w:t>10</w:t>
      </w:r>
      <w:r>
        <w:rPr>
          <w:snapToGrid w:val="0"/>
        </w:rPr>
        <w:t>.</w:t>
      </w:r>
      <w:r>
        <w:rPr>
          <w:snapToGrid w:val="0"/>
        </w:rPr>
        <w:tab/>
        <w:t>Duties of owner or insured person</w:t>
      </w:r>
      <w:bookmarkEnd w:id="135"/>
      <w:bookmarkEnd w:id="136"/>
      <w:bookmarkEnd w:id="137"/>
      <w:bookmarkEnd w:id="138"/>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139" w:name="_Toc61156073"/>
      <w:bookmarkStart w:id="140" w:name="_Toc122761309"/>
      <w:bookmarkStart w:id="141" w:name="_Toc202174928"/>
      <w:bookmarkStart w:id="142" w:name="_Toc199754633"/>
      <w:r>
        <w:rPr>
          <w:rStyle w:val="CharSectno"/>
        </w:rPr>
        <w:t>11</w:t>
      </w:r>
      <w:r>
        <w:rPr>
          <w:snapToGrid w:val="0"/>
        </w:rPr>
        <w:t>.</w:t>
      </w:r>
      <w:r>
        <w:rPr>
          <w:snapToGrid w:val="0"/>
        </w:rPr>
        <w:tab/>
        <w:t>Power of the Commission to deal with claims against insured persons</w:t>
      </w:r>
      <w:bookmarkEnd w:id="139"/>
      <w:bookmarkEnd w:id="140"/>
      <w:bookmarkEnd w:id="141"/>
      <w:bookmarkEnd w:id="142"/>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143" w:name="_Toc61156074"/>
      <w:bookmarkStart w:id="144" w:name="_Toc122761310"/>
      <w:bookmarkStart w:id="145" w:name="_Toc202174929"/>
      <w:bookmarkStart w:id="146" w:name="_Toc199754634"/>
      <w:r>
        <w:rPr>
          <w:rStyle w:val="CharSectno"/>
        </w:rPr>
        <w:t>12</w:t>
      </w:r>
      <w:r>
        <w:rPr>
          <w:snapToGrid w:val="0"/>
        </w:rPr>
        <w:t>.</w:t>
      </w:r>
      <w:r>
        <w:rPr>
          <w:snapToGrid w:val="0"/>
        </w:rPr>
        <w:tab/>
        <w:t>Emergency treatment</w:t>
      </w:r>
      <w:bookmarkEnd w:id="143"/>
      <w:bookmarkEnd w:id="144"/>
      <w:bookmarkEnd w:id="145"/>
      <w:bookmarkEnd w:id="146"/>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del w:id="147" w:author="svcMRProcess" w:date="2020-02-18T09:58:00Z">
        <w:r>
          <w:rPr>
            <w:b/>
            <w:snapToGrid w:val="0"/>
          </w:rPr>
          <w:delText>“</w:delText>
        </w:r>
      </w:del>
      <w:r>
        <w:rPr>
          <w:rStyle w:val="CharDefText"/>
        </w:rPr>
        <w:t>emergency treatment</w:t>
      </w:r>
      <w:del w:id="148" w:author="svcMRProcess" w:date="2020-02-18T09:58:00Z">
        <w:r>
          <w:rPr>
            <w:b/>
            <w:snapToGrid w:val="0"/>
          </w:rPr>
          <w:delText>”</w:delText>
        </w:r>
      </w:del>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149" w:name="_Toc61156075"/>
      <w:bookmarkStart w:id="150" w:name="_Toc122761311"/>
      <w:bookmarkStart w:id="151" w:name="_Toc202174930"/>
      <w:bookmarkStart w:id="152" w:name="_Toc199754635"/>
      <w:r>
        <w:rPr>
          <w:rStyle w:val="CharSectno"/>
        </w:rPr>
        <w:t>14</w:t>
      </w:r>
      <w:r>
        <w:rPr>
          <w:snapToGrid w:val="0"/>
        </w:rPr>
        <w:t>.</w:t>
      </w:r>
      <w:r>
        <w:rPr>
          <w:snapToGrid w:val="0"/>
        </w:rPr>
        <w:tab/>
        <w:t>Recovery of payment for emergency treatment</w:t>
      </w:r>
      <w:bookmarkEnd w:id="149"/>
      <w:bookmarkEnd w:id="150"/>
      <w:bookmarkEnd w:id="151"/>
      <w:bookmarkEnd w:id="152"/>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153" w:name="_Toc61156076"/>
      <w:bookmarkStart w:id="154" w:name="_Toc122761312"/>
      <w:bookmarkStart w:id="155" w:name="_Toc202174931"/>
      <w:bookmarkStart w:id="156" w:name="_Toc199754636"/>
      <w:r>
        <w:rPr>
          <w:rStyle w:val="CharSectno"/>
        </w:rPr>
        <w:t>15</w:t>
      </w:r>
      <w:r>
        <w:rPr>
          <w:snapToGrid w:val="0"/>
        </w:rPr>
        <w:t>.</w:t>
      </w:r>
      <w:r>
        <w:rPr>
          <w:snapToGrid w:val="0"/>
        </w:rPr>
        <w:tab/>
        <w:t>Right of the Commission against unauthorised drivers</w:t>
      </w:r>
      <w:bookmarkEnd w:id="153"/>
      <w:bookmarkEnd w:id="154"/>
      <w:bookmarkEnd w:id="155"/>
      <w:bookmarkEnd w:id="156"/>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157" w:name="_Toc61156077"/>
      <w:bookmarkStart w:id="158" w:name="_Toc122761313"/>
      <w:bookmarkStart w:id="159" w:name="_Toc202174932"/>
      <w:bookmarkStart w:id="160" w:name="_Toc199754637"/>
      <w:r>
        <w:rPr>
          <w:rStyle w:val="CharSectno"/>
        </w:rPr>
        <w:t>16</w:t>
      </w:r>
      <w:r>
        <w:rPr>
          <w:snapToGrid w:val="0"/>
        </w:rPr>
        <w:t>.</w:t>
      </w:r>
      <w:r>
        <w:rPr>
          <w:snapToGrid w:val="0"/>
        </w:rPr>
        <w:tab/>
        <w:t>Jurisdiction</w:t>
      </w:r>
      <w:bookmarkEnd w:id="157"/>
      <w:bookmarkEnd w:id="158"/>
      <w:bookmarkEnd w:id="159"/>
      <w:bookmarkEnd w:id="160"/>
    </w:p>
    <w:p>
      <w:pPr>
        <w:pStyle w:val="Subsection"/>
        <w:rPr>
          <w:snapToGrid w:val="0"/>
        </w:rPr>
      </w:pPr>
      <w:r>
        <w:rPr>
          <w:snapToGrid w:val="0"/>
        </w:rPr>
        <w:tab/>
        <w:t>(1)</w:t>
      </w:r>
      <w:r>
        <w:rPr>
          <w:snapToGrid w:val="0"/>
        </w:rPr>
        <w:tab/>
        <w:t>In this section —</w:t>
      </w:r>
    </w:p>
    <w:p>
      <w:pPr>
        <w:pStyle w:val="Defstart"/>
      </w:pPr>
      <w:r>
        <w:rPr>
          <w:b/>
        </w:rPr>
        <w:tab/>
      </w:r>
      <w:del w:id="161" w:author="svcMRProcess" w:date="2020-02-18T09:58:00Z">
        <w:r>
          <w:rPr>
            <w:b/>
          </w:rPr>
          <w:delText>“</w:delText>
        </w:r>
      </w:del>
      <w:r>
        <w:rPr>
          <w:rStyle w:val="CharDefText"/>
        </w:rPr>
        <w:t>action or proceedings</w:t>
      </w:r>
      <w:del w:id="162" w:author="svcMRProcess" w:date="2020-02-18T09:58:00Z">
        <w:r>
          <w:rPr>
            <w:b/>
          </w:rPr>
          <w:delText>”</w:delText>
        </w:r>
      </w:del>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del w:id="163" w:author="svcMRProcess" w:date="2020-02-18T09:58:00Z">
        <w:r>
          <w:rPr>
            <w:b/>
          </w:rPr>
          <w:delText>“</w:delText>
        </w:r>
      </w:del>
      <w:r>
        <w:rPr>
          <w:rStyle w:val="CharDefText"/>
        </w:rPr>
        <w:t>court</w:t>
      </w:r>
      <w:del w:id="164" w:author="svcMRProcess" w:date="2020-02-18T09:58:00Z">
        <w:r>
          <w:rPr>
            <w:b/>
          </w:rPr>
          <w:delText>”</w:delText>
        </w:r>
      </w:del>
      <w:r>
        <w:t xml:space="preserve"> means Supreme Court, District Court, or Magistrates Court, as the case may be;</w:t>
      </w:r>
    </w:p>
    <w:p>
      <w:pPr>
        <w:pStyle w:val="Defstart"/>
      </w:pPr>
      <w:r>
        <w:rPr>
          <w:b/>
        </w:rPr>
        <w:tab/>
      </w:r>
      <w:del w:id="165" w:author="svcMRProcess" w:date="2020-02-18T09:58:00Z">
        <w:r>
          <w:rPr>
            <w:b/>
          </w:rPr>
          <w:delText>“</w:delText>
        </w:r>
      </w:del>
      <w:r>
        <w:rPr>
          <w:rStyle w:val="CharDefText"/>
        </w:rPr>
        <w:t>pending action or proceedings</w:t>
      </w:r>
      <w:del w:id="166" w:author="svcMRProcess" w:date="2020-02-18T09:58:00Z">
        <w:r>
          <w:rPr>
            <w:b/>
          </w:rPr>
          <w:delText>”</w:delText>
        </w:r>
      </w:del>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del w:id="167" w:author="svcMRProcess" w:date="2020-02-18T09:58:00Z">
        <w:r>
          <w:rPr>
            <w:b/>
          </w:rPr>
          <w:delText>“</w:delText>
        </w:r>
      </w:del>
      <w:r>
        <w:rPr>
          <w:rStyle w:val="CharDefText"/>
        </w:rPr>
        <w:t>proclaimed date</w:t>
      </w:r>
      <w:del w:id="168" w:author="svcMRProcess" w:date="2020-02-18T09:58:00Z">
        <w:r>
          <w:rPr>
            <w:b/>
          </w:rPr>
          <w:delText>”</w:delText>
        </w:r>
      </w:del>
      <w:r>
        <w:t xml:space="preserve"> means the date on which the </w:t>
      </w:r>
      <w:r>
        <w:rPr>
          <w:i/>
        </w:rPr>
        <w:t>Motor Vehicle (Third Party Insurance) Act Amendment Act 1972</w:t>
      </w:r>
      <w:r>
        <w:t xml:space="preserve"> comes into operation; and</w:t>
      </w:r>
    </w:p>
    <w:p>
      <w:pPr>
        <w:pStyle w:val="Defstart"/>
      </w:pPr>
      <w:r>
        <w:rPr>
          <w:b/>
        </w:rPr>
        <w:tab/>
      </w:r>
      <w:del w:id="169" w:author="svcMRProcess" w:date="2020-02-18T09:58:00Z">
        <w:r>
          <w:rPr>
            <w:b/>
          </w:rPr>
          <w:delText>“</w:delText>
        </w:r>
      </w:del>
      <w:r>
        <w:rPr>
          <w:rStyle w:val="CharDefText"/>
        </w:rPr>
        <w:t>the Tribunal</w:t>
      </w:r>
      <w:del w:id="170" w:author="svcMRProcess" w:date="2020-02-18T09:58:00Z">
        <w:r>
          <w:rPr>
            <w:b/>
          </w:rPr>
          <w:delText>”</w:delText>
        </w:r>
      </w:del>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171" w:name="_Toc61156078"/>
      <w:bookmarkStart w:id="172" w:name="_Toc122761314"/>
      <w:bookmarkStart w:id="173" w:name="_Toc202174933"/>
      <w:bookmarkStart w:id="174" w:name="_Toc199754638"/>
      <w:r>
        <w:rPr>
          <w:rStyle w:val="CharSectno"/>
        </w:rPr>
        <w:t>17</w:t>
      </w:r>
      <w:r>
        <w:rPr>
          <w:snapToGrid w:val="0"/>
        </w:rPr>
        <w:t>.</w:t>
      </w:r>
      <w:r>
        <w:rPr>
          <w:snapToGrid w:val="0"/>
        </w:rPr>
        <w:tab/>
        <w:t>Insurance by visiting motorists</w:t>
      </w:r>
      <w:bookmarkEnd w:id="171"/>
      <w:bookmarkEnd w:id="172"/>
      <w:bookmarkEnd w:id="173"/>
      <w:bookmarkEnd w:id="174"/>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175" w:name="_Toc61156079"/>
      <w:bookmarkStart w:id="176" w:name="_Toc122761315"/>
      <w:bookmarkStart w:id="177" w:name="_Toc202174934"/>
      <w:bookmarkStart w:id="178" w:name="_Toc199754639"/>
      <w:r>
        <w:rPr>
          <w:rStyle w:val="CharSectno"/>
        </w:rPr>
        <w:t>18</w:t>
      </w:r>
      <w:r>
        <w:rPr>
          <w:snapToGrid w:val="0"/>
        </w:rPr>
        <w:t>.</w:t>
      </w:r>
      <w:r>
        <w:rPr>
          <w:snapToGrid w:val="0"/>
        </w:rPr>
        <w:tab/>
        <w:t>Power to suspend or cancel licences</w:t>
      </w:r>
      <w:bookmarkEnd w:id="175"/>
      <w:bookmarkEnd w:id="176"/>
      <w:bookmarkEnd w:id="177"/>
      <w:bookmarkEnd w:id="178"/>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179" w:name="_Toc61156080"/>
      <w:bookmarkStart w:id="180" w:name="_Toc122761316"/>
      <w:bookmarkStart w:id="181" w:name="_Toc202174935"/>
      <w:bookmarkStart w:id="182" w:name="_Toc199754640"/>
      <w:r>
        <w:rPr>
          <w:rStyle w:val="CharSectno"/>
        </w:rPr>
        <w:t>19</w:t>
      </w:r>
      <w:r>
        <w:rPr>
          <w:snapToGrid w:val="0"/>
        </w:rPr>
        <w:t>.</w:t>
      </w:r>
      <w:r>
        <w:rPr>
          <w:snapToGrid w:val="0"/>
        </w:rPr>
        <w:tab/>
        <w:t>Commission not to terminate policy</w:t>
      </w:r>
      <w:bookmarkEnd w:id="179"/>
      <w:bookmarkEnd w:id="180"/>
      <w:bookmarkEnd w:id="181"/>
      <w:bookmarkEnd w:id="182"/>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183" w:name="_Toc61156081"/>
      <w:bookmarkStart w:id="184" w:name="_Toc122761317"/>
      <w:bookmarkStart w:id="185" w:name="_Toc202174936"/>
      <w:bookmarkStart w:id="186" w:name="_Toc199754641"/>
      <w:r>
        <w:rPr>
          <w:rStyle w:val="CharSectno"/>
        </w:rPr>
        <w:t>20</w:t>
      </w:r>
      <w:r>
        <w:rPr>
          <w:snapToGrid w:val="0"/>
        </w:rPr>
        <w:t>.</w:t>
      </w:r>
      <w:r>
        <w:rPr>
          <w:snapToGrid w:val="0"/>
        </w:rPr>
        <w:tab/>
        <w:t>Policy of insurance to continue notwithstanding change of ownership of vehicle</w:t>
      </w:r>
      <w:bookmarkEnd w:id="183"/>
      <w:bookmarkEnd w:id="184"/>
      <w:bookmarkEnd w:id="185"/>
      <w:bookmarkEnd w:id="186"/>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187" w:name="_Toc61156082"/>
      <w:bookmarkStart w:id="188" w:name="_Toc122761318"/>
      <w:bookmarkStart w:id="189" w:name="_Toc202174937"/>
      <w:bookmarkStart w:id="190" w:name="_Toc199754642"/>
      <w:r>
        <w:rPr>
          <w:rStyle w:val="CharSectno"/>
        </w:rPr>
        <w:t>21</w:t>
      </w:r>
      <w:r>
        <w:rPr>
          <w:snapToGrid w:val="0"/>
        </w:rPr>
        <w:t>.</w:t>
      </w:r>
      <w:r>
        <w:rPr>
          <w:snapToGrid w:val="0"/>
        </w:rPr>
        <w:tab/>
        <w:t>Term of policy of insurance deemed to be extended in certain cases</w:t>
      </w:r>
      <w:bookmarkEnd w:id="187"/>
      <w:bookmarkEnd w:id="188"/>
      <w:bookmarkEnd w:id="189"/>
      <w:bookmarkEnd w:id="190"/>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 xml:space="preserve">Nothing in subsection (1) shall operate or be deemed or construed to operate so as to render any policy of insurance aforesaid liable to payment of further </w:t>
      </w:r>
      <w:del w:id="191" w:author="svcMRProcess" w:date="2020-02-18T09:58:00Z">
        <w:r>
          <w:rPr>
            <w:snapToGrid w:val="0"/>
          </w:rPr>
          <w:delText xml:space="preserve">stamp </w:delText>
        </w:r>
      </w:del>
      <w:r>
        <w:rPr>
          <w:snapToGrid w:val="0"/>
        </w:rPr>
        <w:t>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w:t>
      </w:r>
      <w:del w:id="192" w:author="svcMRProcess" w:date="2020-02-18T09:58:00Z">
        <w:r>
          <w:delText>33</w:delText>
        </w:r>
      </w:del>
      <w:ins w:id="193" w:author="svcMRProcess" w:date="2020-02-18T09:58:00Z">
        <w:r>
          <w:t>33; No. 12 of 2008 s. 52</w:t>
        </w:r>
      </w:ins>
      <w:r>
        <w:t>.]</w:t>
      </w:r>
    </w:p>
    <w:p>
      <w:pPr>
        <w:pStyle w:val="Heading5"/>
        <w:rPr>
          <w:snapToGrid w:val="0"/>
        </w:rPr>
      </w:pPr>
      <w:bookmarkStart w:id="194" w:name="_Toc61156083"/>
      <w:bookmarkStart w:id="195" w:name="_Toc122761319"/>
      <w:bookmarkStart w:id="196" w:name="_Toc202174938"/>
      <w:bookmarkStart w:id="197" w:name="_Toc199754643"/>
      <w:r>
        <w:rPr>
          <w:rStyle w:val="CharSectno"/>
        </w:rPr>
        <w:t>22</w:t>
      </w:r>
      <w:r>
        <w:rPr>
          <w:snapToGrid w:val="0"/>
        </w:rPr>
        <w:t>.</w:t>
      </w:r>
      <w:r>
        <w:rPr>
          <w:snapToGrid w:val="0"/>
        </w:rPr>
        <w:tab/>
        <w:t>Provision regarding motor vehicle of employee used by employee in employer’s business</w:t>
      </w:r>
      <w:bookmarkEnd w:id="194"/>
      <w:bookmarkEnd w:id="195"/>
      <w:bookmarkEnd w:id="196"/>
      <w:bookmarkEnd w:id="197"/>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198" w:name="_Toc61156084"/>
      <w:bookmarkStart w:id="199" w:name="_Toc122761320"/>
      <w:bookmarkStart w:id="200" w:name="_Toc202174939"/>
      <w:bookmarkStart w:id="201" w:name="_Toc199754644"/>
      <w:r>
        <w:rPr>
          <w:rStyle w:val="CharSectno"/>
        </w:rPr>
        <w:t>23</w:t>
      </w:r>
      <w:r>
        <w:rPr>
          <w:snapToGrid w:val="0"/>
        </w:rPr>
        <w:t>.</w:t>
      </w:r>
      <w:r>
        <w:rPr>
          <w:snapToGrid w:val="0"/>
        </w:rPr>
        <w:tab/>
        <w:t>Policies to give cover required by amending Acts</w:t>
      </w:r>
      <w:bookmarkEnd w:id="198"/>
      <w:bookmarkEnd w:id="199"/>
      <w:bookmarkEnd w:id="200"/>
      <w:bookmarkEnd w:id="201"/>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202" w:name="_Toc61156085"/>
      <w:bookmarkStart w:id="203" w:name="_Toc122761321"/>
      <w:bookmarkStart w:id="204" w:name="_Toc202174940"/>
      <w:bookmarkStart w:id="205" w:name="_Toc199754645"/>
      <w:r>
        <w:rPr>
          <w:rStyle w:val="CharSectno"/>
        </w:rPr>
        <w:t>24</w:t>
      </w:r>
      <w:r>
        <w:rPr>
          <w:snapToGrid w:val="0"/>
        </w:rPr>
        <w:t>.</w:t>
      </w:r>
      <w:r>
        <w:rPr>
          <w:snapToGrid w:val="0"/>
        </w:rPr>
        <w:tab/>
        <w:t>Reference to issue of policy to extend to renewal of policy</w:t>
      </w:r>
      <w:bookmarkEnd w:id="202"/>
      <w:bookmarkEnd w:id="203"/>
      <w:bookmarkEnd w:id="204"/>
      <w:bookmarkEnd w:id="205"/>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206" w:name="_Toc61156086"/>
      <w:bookmarkStart w:id="207" w:name="_Toc122761322"/>
      <w:bookmarkStart w:id="208" w:name="_Toc202174941"/>
      <w:bookmarkStart w:id="209" w:name="_Toc199754646"/>
      <w:r>
        <w:rPr>
          <w:rStyle w:val="CharSectno"/>
        </w:rPr>
        <w:t>25</w:t>
      </w:r>
      <w:r>
        <w:rPr>
          <w:snapToGrid w:val="0"/>
        </w:rPr>
        <w:t>.</w:t>
      </w:r>
      <w:r>
        <w:rPr>
          <w:snapToGrid w:val="0"/>
        </w:rPr>
        <w:tab/>
        <w:t>Information to be furnished by the Commission</w:t>
      </w:r>
      <w:bookmarkEnd w:id="206"/>
      <w:bookmarkEnd w:id="207"/>
      <w:bookmarkEnd w:id="208"/>
      <w:bookmarkEnd w:id="209"/>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210" w:name="_Toc61156087"/>
      <w:bookmarkStart w:id="211" w:name="_Toc122761323"/>
      <w:bookmarkStart w:id="212" w:name="_Toc202174942"/>
      <w:bookmarkStart w:id="213" w:name="_Toc199754647"/>
      <w:r>
        <w:rPr>
          <w:rStyle w:val="CharSectno"/>
        </w:rPr>
        <w:t>26</w:t>
      </w:r>
      <w:r>
        <w:rPr>
          <w:snapToGrid w:val="0"/>
        </w:rPr>
        <w:t>.</w:t>
      </w:r>
      <w:r>
        <w:rPr>
          <w:snapToGrid w:val="0"/>
        </w:rPr>
        <w:tab/>
        <w:t>Contracting out of liability for negligence</w:t>
      </w:r>
      <w:bookmarkEnd w:id="210"/>
      <w:bookmarkEnd w:id="211"/>
      <w:bookmarkEnd w:id="212"/>
      <w:bookmarkEnd w:id="213"/>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214" w:name="_Toc61156088"/>
      <w:bookmarkStart w:id="215" w:name="_Toc122761324"/>
      <w:bookmarkStart w:id="216" w:name="_Toc202174943"/>
      <w:bookmarkStart w:id="217" w:name="_Toc199754648"/>
      <w:r>
        <w:rPr>
          <w:rStyle w:val="CharSectno"/>
        </w:rPr>
        <w:t>27</w:t>
      </w:r>
      <w:r>
        <w:rPr>
          <w:snapToGrid w:val="0"/>
        </w:rPr>
        <w:t>.</w:t>
      </w:r>
      <w:r>
        <w:rPr>
          <w:snapToGrid w:val="0"/>
        </w:rPr>
        <w:tab/>
        <w:t>Soliciting instructions from persons claiming</w:t>
      </w:r>
      <w:bookmarkEnd w:id="214"/>
      <w:bookmarkEnd w:id="215"/>
      <w:bookmarkEnd w:id="216"/>
      <w:bookmarkEnd w:id="217"/>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218" w:name="_Toc61156089"/>
      <w:bookmarkStart w:id="219" w:name="_Toc122761325"/>
      <w:bookmarkStart w:id="220" w:name="_Toc202174944"/>
      <w:bookmarkStart w:id="221" w:name="_Toc199754649"/>
      <w:r>
        <w:rPr>
          <w:rStyle w:val="CharSectno"/>
        </w:rPr>
        <w:t>27A</w:t>
      </w:r>
      <w:r>
        <w:rPr>
          <w:snapToGrid w:val="0"/>
        </w:rPr>
        <w:t xml:space="preserve">. </w:t>
      </w:r>
      <w:r>
        <w:rPr>
          <w:snapToGrid w:val="0"/>
        </w:rPr>
        <w:tab/>
        <w:t>Costs between solicitor and client</w:t>
      </w:r>
      <w:bookmarkEnd w:id="218"/>
      <w:bookmarkEnd w:id="219"/>
      <w:bookmarkEnd w:id="220"/>
      <w:bookmarkEnd w:id="221"/>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222" w:name="_Toc61156090"/>
      <w:bookmarkStart w:id="223" w:name="_Toc122761326"/>
      <w:bookmarkStart w:id="224" w:name="_Toc202174945"/>
      <w:bookmarkStart w:id="225" w:name="_Toc199754650"/>
      <w:r>
        <w:rPr>
          <w:rStyle w:val="CharSectno"/>
        </w:rPr>
        <w:t>28</w:t>
      </w:r>
      <w:r>
        <w:rPr>
          <w:snapToGrid w:val="0"/>
        </w:rPr>
        <w:t>.</w:t>
      </w:r>
      <w:r>
        <w:rPr>
          <w:snapToGrid w:val="0"/>
        </w:rPr>
        <w:tab/>
        <w:t>Offences: general penalty</w:t>
      </w:r>
      <w:bookmarkEnd w:id="222"/>
      <w:bookmarkEnd w:id="223"/>
      <w:bookmarkEnd w:id="224"/>
      <w:bookmarkEnd w:id="225"/>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226" w:name="_Toc61156091"/>
      <w:bookmarkStart w:id="227" w:name="_Toc122761327"/>
      <w:bookmarkStart w:id="228" w:name="_Toc202174946"/>
      <w:bookmarkStart w:id="229" w:name="_Toc199754651"/>
      <w:r>
        <w:rPr>
          <w:rStyle w:val="CharSectno"/>
        </w:rPr>
        <w:t>29</w:t>
      </w:r>
      <w:r>
        <w:rPr>
          <w:snapToGrid w:val="0"/>
        </w:rPr>
        <w:t>.</w:t>
      </w:r>
      <w:r>
        <w:rPr>
          <w:snapToGrid w:val="0"/>
        </w:rPr>
        <w:tab/>
        <w:t>Notice of claim</w:t>
      </w:r>
      <w:bookmarkEnd w:id="226"/>
      <w:bookmarkEnd w:id="227"/>
      <w:bookmarkEnd w:id="228"/>
      <w:bookmarkEnd w:id="229"/>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del w:id="230" w:author="svcMRProcess" w:date="2020-02-18T09:58:00Z">
        <w:r>
          <w:rPr>
            <w:b/>
            <w:snapToGrid w:val="0"/>
          </w:rPr>
          <w:delText>“</w:delText>
        </w:r>
      </w:del>
      <w:r>
        <w:rPr>
          <w:rStyle w:val="CharDefText"/>
        </w:rPr>
        <w:t>the claimant</w:t>
      </w:r>
      <w:del w:id="231" w:author="svcMRProcess" w:date="2020-02-18T09:58:00Z">
        <w:r>
          <w:rPr>
            <w:b/>
            <w:snapToGrid w:val="0"/>
          </w:rPr>
          <w:delText>”</w:delText>
        </w:r>
        <w:r>
          <w:rPr>
            <w:snapToGrid w:val="0"/>
          </w:rPr>
          <w:delText>)</w:delText>
        </w:r>
      </w:del>
      <w:ins w:id="232" w:author="svcMRProcess" w:date="2020-02-18T09:58:00Z">
        <w:r>
          <w:rPr>
            <w:snapToGrid w:val="0"/>
          </w:rPr>
          <w:t>)</w:t>
        </w:r>
      </w:ins>
      <w:r>
        <w:rPr>
          <w:snapToGrid w:val="0"/>
        </w:rPr>
        <w:t xml:space="preserve">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233" w:name="_Toc61156092"/>
      <w:bookmarkStart w:id="234" w:name="_Toc122761328"/>
      <w:bookmarkStart w:id="235" w:name="_Toc202174947"/>
      <w:bookmarkStart w:id="236" w:name="_Toc199754652"/>
      <w:r>
        <w:rPr>
          <w:rStyle w:val="CharSectno"/>
        </w:rPr>
        <w:t>29A</w:t>
      </w:r>
      <w:r>
        <w:rPr>
          <w:snapToGrid w:val="0"/>
        </w:rPr>
        <w:t xml:space="preserve">. </w:t>
      </w:r>
      <w:r>
        <w:rPr>
          <w:snapToGrid w:val="0"/>
        </w:rPr>
        <w:tab/>
        <w:t>Court may grant leave to proceed</w:t>
      </w:r>
      <w:bookmarkEnd w:id="233"/>
      <w:bookmarkEnd w:id="234"/>
      <w:bookmarkEnd w:id="235"/>
      <w:bookmarkEnd w:id="236"/>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237" w:name="_Toc61156093"/>
      <w:bookmarkStart w:id="238" w:name="_Toc122761329"/>
      <w:bookmarkStart w:id="239" w:name="_Toc202174948"/>
      <w:bookmarkStart w:id="240" w:name="_Toc199754653"/>
      <w:r>
        <w:rPr>
          <w:rStyle w:val="CharSectno"/>
        </w:rPr>
        <w:t>30</w:t>
      </w:r>
      <w:r>
        <w:rPr>
          <w:snapToGrid w:val="0"/>
        </w:rPr>
        <w:t>.</w:t>
      </w:r>
      <w:r>
        <w:rPr>
          <w:snapToGrid w:val="0"/>
        </w:rPr>
        <w:tab/>
        <w:t>Medical examination of injured person</w:t>
      </w:r>
      <w:bookmarkEnd w:id="237"/>
      <w:bookmarkEnd w:id="238"/>
      <w:bookmarkEnd w:id="239"/>
      <w:bookmarkEnd w:id="240"/>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241" w:name="_Toc122761330"/>
      <w:bookmarkStart w:id="242" w:name="_Toc202174949"/>
      <w:bookmarkStart w:id="243" w:name="_Toc199754654"/>
      <w:bookmarkStart w:id="244" w:name="_Toc61156094"/>
      <w:r>
        <w:rPr>
          <w:rStyle w:val="CharSectno"/>
        </w:rPr>
        <w:t>33</w:t>
      </w:r>
      <w:r>
        <w:rPr>
          <w:snapToGrid w:val="0"/>
        </w:rPr>
        <w:t>.</w:t>
      </w:r>
      <w:r>
        <w:rPr>
          <w:snapToGrid w:val="0"/>
        </w:rPr>
        <w:tab/>
        <w:t>Regulations</w:t>
      </w:r>
      <w:bookmarkEnd w:id="241"/>
      <w:bookmarkEnd w:id="242"/>
      <w:bookmarkEnd w:id="243"/>
      <w:r>
        <w:rPr>
          <w:snapToGrid w:val="0"/>
        </w:rPr>
        <w:t xml:space="preserve"> </w:t>
      </w:r>
      <w:bookmarkEnd w:id="244"/>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45" w:name="_Toc116374033"/>
      <w:bookmarkStart w:id="246" w:name="_Toc116374077"/>
      <w:bookmarkStart w:id="247" w:name="_Toc116376090"/>
      <w:bookmarkStart w:id="248" w:name="_Toc119220601"/>
      <w:bookmarkStart w:id="249" w:name="_Toc119315310"/>
      <w:bookmarkStart w:id="250" w:name="_Toc119394129"/>
      <w:bookmarkStart w:id="251" w:name="_Toc119394507"/>
      <w:bookmarkStart w:id="252" w:name="_Toc119731942"/>
      <w:bookmarkStart w:id="253" w:name="_Toc121287989"/>
      <w:bookmarkStart w:id="254" w:name="_Toc122761331"/>
      <w:bookmarkStart w:id="255" w:name="_Toc135714911"/>
      <w:bookmarkStart w:id="256" w:name="_Toc138582071"/>
      <w:bookmarkStart w:id="257" w:name="_Toc139252268"/>
      <w:bookmarkStart w:id="258" w:name="_Toc157925037"/>
      <w:bookmarkStart w:id="259" w:name="_Toc196193634"/>
      <w:bookmarkStart w:id="260" w:name="_Toc199754655"/>
      <w:bookmarkStart w:id="261" w:name="_Toc202174950"/>
      <w:r>
        <w:rPr>
          <w:rStyle w:val="CharSchNo"/>
        </w:rPr>
        <w:t>Schedule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del w:id="262" w:author="svcMRProcess" w:date="2020-02-18T09:58:00Z">
        <w:r>
          <w:rPr>
            <w:b/>
            <w:snapToGrid w:val="0"/>
          </w:rPr>
          <w:delText>“</w:delText>
        </w:r>
      </w:del>
      <w:r>
        <w:rPr>
          <w:rStyle w:val="CharDefText"/>
        </w:rPr>
        <w:t>the Act</w:t>
      </w:r>
      <w:del w:id="263" w:author="svcMRProcess" w:date="2020-02-18T09:58:00Z">
        <w:r>
          <w:rPr>
            <w:b/>
            <w:snapToGrid w:val="0"/>
          </w:rPr>
          <w:delText>”</w:delText>
        </w:r>
        <w:r>
          <w:rPr>
            <w:snapToGrid w:val="0"/>
          </w:rPr>
          <w:delText>,</w:delText>
        </w:r>
      </w:del>
      <w:ins w:id="264" w:author="svcMRProcess" w:date="2020-02-18T09:58:00Z">
        <w:r>
          <w:rPr>
            <w:snapToGrid w:val="0"/>
          </w:rPr>
          <w:t>,</w:t>
        </w:r>
      </w:ins>
      <w:r>
        <w:rPr>
          <w:snapToGrid w:val="0"/>
        </w:rPr>
        <w:t xml:space="preserve">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rPr>
          <w:del w:id="265" w:author="svcMRProcess" w:date="2020-02-18T09:58:00Z"/>
        </w:rPr>
      </w:pPr>
      <w:del w:id="266" w:author="svcMRProcess" w:date="2020-02-18T09:58: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67" w:author="svcMRProcess" w:date="2020-02-18T09:58:00Z"/>
        </w:rPr>
      </w:pPr>
      <w:ins w:id="268" w:author="svcMRProcess" w:date="2020-02-18T09:5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69" w:name="_Toc88885482"/>
      <w:bookmarkStart w:id="270" w:name="_Toc89568317"/>
      <w:bookmarkStart w:id="271" w:name="_Toc92784105"/>
      <w:bookmarkStart w:id="272" w:name="_Toc97018001"/>
      <w:bookmarkStart w:id="273" w:name="_Toc103131569"/>
      <w:bookmarkStart w:id="274" w:name="_Toc103131613"/>
      <w:bookmarkStart w:id="275" w:name="_Toc103131657"/>
      <w:bookmarkStart w:id="276" w:name="_Toc116374034"/>
      <w:bookmarkStart w:id="277" w:name="_Toc116374078"/>
      <w:bookmarkStart w:id="278" w:name="_Toc116376091"/>
      <w:bookmarkStart w:id="279" w:name="_Toc119220602"/>
      <w:bookmarkStart w:id="280" w:name="_Toc119315311"/>
      <w:bookmarkStart w:id="281" w:name="_Toc119394130"/>
      <w:bookmarkStart w:id="282" w:name="_Toc119394508"/>
      <w:bookmarkStart w:id="283" w:name="_Toc119731943"/>
      <w:bookmarkStart w:id="284" w:name="_Toc121287990"/>
      <w:bookmarkStart w:id="285" w:name="_Toc122761332"/>
      <w:bookmarkStart w:id="286" w:name="_Toc135714912"/>
      <w:bookmarkStart w:id="287" w:name="_Toc138582072"/>
      <w:bookmarkStart w:id="288" w:name="_Toc139252269"/>
      <w:bookmarkStart w:id="289" w:name="_Toc157925038"/>
      <w:bookmarkStart w:id="290" w:name="_Toc196193635"/>
      <w:bookmarkStart w:id="291" w:name="_Toc199754656"/>
      <w:bookmarkStart w:id="292" w:name="_Toc202174951"/>
      <w:r>
        <w:t>Notes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3" w:name="_Toc122761333"/>
      <w:bookmarkStart w:id="294" w:name="_Toc202174952"/>
      <w:bookmarkStart w:id="295" w:name="_Toc199754657"/>
      <w:r>
        <w:rPr>
          <w:snapToGrid w:val="0"/>
        </w:rPr>
        <w:t>Compilation table</w:t>
      </w:r>
      <w:bookmarkEnd w:id="293"/>
      <w:bookmarkEnd w:id="294"/>
      <w:bookmarkEnd w:id="295"/>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pacing w:val="6"/>
                <w:sz w:val="19"/>
              </w:rPr>
            </w:pPr>
            <w:r>
              <w:rPr>
                <w:i/>
                <w:snapToGrid w:val="0"/>
                <w:spacing w:val="6"/>
                <w:sz w:val="19"/>
              </w:rPr>
              <w:t>Motor Vehicle (Third Party Insurance) Amendment Act 2006</w:t>
            </w:r>
            <w:r>
              <w:rPr>
                <w:snapToGrid w:val="0"/>
                <w:spacing w:val="6"/>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rPr>
                <w:sz w:val="19"/>
              </w:rPr>
            </w:pPr>
            <w:r>
              <w:rPr>
                <w:sz w:val="19"/>
              </w:rPr>
              <w:t>Act other than s. 5: 17 May 2006 (see s. 2(1));</w:t>
            </w:r>
          </w:p>
          <w:p>
            <w:pPr>
              <w:pStyle w:val="nTable"/>
              <w:spacing w:after="40"/>
              <w:rPr>
                <w:sz w:val="19"/>
              </w:rPr>
            </w:pPr>
            <w:r>
              <w:rPr>
                <w:sz w:val="19"/>
              </w:rPr>
              <w:t xml:space="preserve">s. 5: 1 Jul 2006 (see s. 2(2) and </w:t>
            </w:r>
            <w:r>
              <w:rPr>
                <w:i/>
                <w:sz w:val="19"/>
              </w:rPr>
              <w:t xml:space="preserve">Gazette </w:t>
            </w:r>
            <w:r>
              <w:rPr>
                <w:sz w:val="19"/>
              </w:rPr>
              <w:t>16 Jun 2006 p. 2109)</w:t>
            </w:r>
          </w:p>
        </w:tc>
      </w:tr>
      <w:tr>
        <w:trPr>
          <w:cantSplit/>
        </w:trPr>
        <w:tc>
          <w:tcPr>
            <w:tcW w:w="2268" w:type="dxa"/>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ins w:id="296" w:author="svcMRProcess" w:date="2020-02-18T09:58:00Z"/>
        </w:trPr>
        <w:tc>
          <w:tcPr>
            <w:tcW w:w="2268" w:type="dxa"/>
            <w:tcBorders>
              <w:bottom w:val="single" w:sz="4" w:space="0" w:color="auto"/>
            </w:tcBorders>
          </w:tcPr>
          <w:p>
            <w:pPr>
              <w:pStyle w:val="nTable"/>
              <w:spacing w:after="40"/>
              <w:rPr>
                <w:ins w:id="297" w:author="svcMRProcess" w:date="2020-02-18T09:58:00Z"/>
                <w:i/>
                <w:snapToGrid w:val="0"/>
                <w:sz w:val="19"/>
                <w:lang w:val="en-US"/>
              </w:rPr>
            </w:pPr>
            <w:ins w:id="298" w:author="svcMRProcess" w:date="2020-02-18T09:58:00Z">
              <w:r>
                <w:rPr>
                  <w:i/>
                  <w:sz w:val="19"/>
                </w:rPr>
                <w:t>Duties Legislation Amendment Act 2008</w:t>
              </w:r>
              <w:r>
                <w:rPr>
                  <w:iCs/>
                  <w:sz w:val="19"/>
                </w:rPr>
                <w:t xml:space="preserve"> s. 52 </w:t>
              </w:r>
            </w:ins>
          </w:p>
        </w:tc>
        <w:tc>
          <w:tcPr>
            <w:tcW w:w="1134" w:type="dxa"/>
            <w:tcBorders>
              <w:bottom w:val="single" w:sz="4" w:space="0" w:color="auto"/>
            </w:tcBorders>
          </w:tcPr>
          <w:p>
            <w:pPr>
              <w:pStyle w:val="nTable"/>
              <w:spacing w:after="40"/>
              <w:rPr>
                <w:ins w:id="299" w:author="svcMRProcess" w:date="2020-02-18T09:58:00Z"/>
                <w:snapToGrid w:val="0"/>
                <w:sz w:val="19"/>
                <w:lang w:val="en-US"/>
              </w:rPr>
            </w:pPr>
            <w:ins w:id="300" w:author="svcMRProcess" w:date="2020-02-18T09:58:00Z">
              <w:r>
                <w:rPr>
                  <w:sz w:val="19"/>
                </w:rPr>
                <w:t>12 of 2008</w:t>
              </w:r>
            </w:ins>
          </w:p>
        </w:tc>
        <w:tc>
          <w:tcPr>
            <w:tcW w:w="1134" w:type="dxa"/>
            <w:tcBorders>
              <w:bottom w:val="single" w:sz="4" w:space="0" w:color="auto"/>
            </w:tcBorders>
          </w:tcPr>
          <w:p>
            <w:pPr>
              <w:pStyle w:val="nTable"/>
              <w:spacing w:after="40"/>
              <w:rPr>
                <w:ins w:id="301" w:author="svcMRProcess" w:date="2020-02-18T09:58:00Z"/>
                <w:snapToGrid w:val="0"/>
                <w:sz w:val="19"/>
                <w:lang w:val="en-US"/>
              </w:rPr>
            </w:pPr>
            <w:ins w:id="302" w:author="svcMRProcess" w:date="2020-02-18T09:58:00Z">
              <w:r>
                <w:rPr>
                  <w:sz w:val="19"/>
                </w:rPr>
                <w:t>14 Apr 2008</w:t>
              </w:r>
            </w:ins>
          </w:p>
        </w:tc>
        <w:tc>
          <w:tcPr>
            <w:tcW w:w="2551" w:type="dxa"/>
            <w:tcBorders>
              <w:bottom w:val="single" w:sz="4" w:space="0" w:color="auto"/>
            </w:tcBorders>
          </w:tcPr>
          <w:p>
            <w:pPr>
              <w:pStyle w:val="nTable"/>
              <w:rPr>
                <w:ins w:id="303" w:author="svcMRProcess" w:date="2020-02-18T09:58:00Z"/>
                <w:snapToGrid w:val="0"/>
                <w:sz w:val="19"/>
                <w:lang w:val="en-US"/>
              </w:rPr>
            </w:pPr>
            <w:ins w:id="304" w:author="svcMRProcess" w:date="2020-02-18T09:58:00Z">
              <w:r>
                <w:rPr>
                  <w:sz w:val="19"/>
                </w:rPr>
                <w:t>1 Jul 2008 (see s. 2(d))</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5" w:name="_Toc7405065"/>
      <w:bookmarkStart w:id="306" w:name="_Toc181500909"/>
      <w:bookmarkStart w:id="307" w:name="_Toc193100050"/>
      <w:bookmarkStart w:id="308" w:name="_Toc202174953"/>
      <w:bookmarkStart w:id="309" w:name="_Toc199754658"/>
      <w:r>
        <w:t>Provisions that have not come into operation</w:t>
      </w:r>
      <w:bookmarkEnd w:id="305"/>
      <w:bookmarkEnd w:id="306"/>
      <w:bookmarkEnd w:id="307"/>
      <w:bookmarkEnd w:id="308"/>
      <w:bookmarkEnd w:id="309"/>
    </w:p>
    <w:tbl>
      <w:tblPr>
        <w:tblW w:w="7080" w:type="dxa"/>
        <w:tblInd w:w="416" w:type="dxa"/>
        <w:tblLayout w:type="fixed"/>
        <w:tblCellMar>
          <w:left w:w="56" w:type="dxa"/>
          <w:right w:w="56" w:type="dxa"/>
        </w:tblCellMar>
        <w:tblLook w:val="0000" w:firstRow="0" w:lastRow="0" w:firstColumn="0" w:lastColumn="0" w:noHBand="0" w:noVBand="0"/>
      </w:tblPr>
      <w:tblGrid>
        <w:gridCol w:w="2147"/>
        <w:gridCol w:w="1078"/>
        <w:gridCol w:w="1078"/>
        <w:gridCol w:w="27"/>
        <w:gridCol w:w="2390"/>
        <w:gridCol w:w="360"/>
      </w:tblGrid>
      <w:tr>
        <w:trPr>
          <w:cantSplit/>
          <w:tblHeader/>
        </w:trPr>
        <w:tc>
          <w:tcPr>
            <w:tcW w:w="2230" w:type="dxa"/>
            <w:tcBorders>
              <w:top w:val="single" w:sz="8" w:space="0" w:color="auto"/>
              <w:bottom w:val="single" w:sz="8" w:space="0" w:color="auto"/>
            </w:tcBorders>
          </w:tcPr>
          <w:p>
            <w:pPr>
              <w:pStyle w:val="nTable"/>
              <w:spacing w:after="40"/>
              <w:rPr>
                <w:b/>
                <w:sz w:val="19"/>
              </w:rPr>
            </w:pPr>
            <w:r>
              <w:rPr>
                <w:b/>
                <w:sz w:val="19"/>
              </w:rPr>
              <w:t>Short title</w:t>
            </w:r>
          </w:p>
        </w:tc>
        <w:tc>
          <w:tcPr>
            <w:tcW w:w="1106" w:type="dxa"/>
            <w:tcBorders>
              <w:top w:val="single" w:sz="8" w:space="0" w:color="auto"/>
              <w:bottom w:val="single" w:sz="8" w:space="0" w:color="auto"/>
            </w:tcBorders>
          </w:tcPr>
          <w:p>
            <w:pPr>
              <w:pStyle w:val="nTable"/>
              <w:spacing w:after="40"/>
              <w:rPr>
                <w:b/>
                <w:sz w:val="19"/>
              </w:rPr>
            </w:pPr>
            <w:r>
              <w:rPr>
                <w:b/>
                <w:sz w:val="19"/>
              </w:rPr>
              <w:t>Number and year</w:t>
            </w:r>
          </w:p>
        </w:tc>
        <w:tc>
          <w:tcPr>
            <w:tcW w:w="1162" w:type="dxa"/>
            <w:gridSpan w:val="2"/>
            <w:tcBorders>
              <w:top w:val="single" w:sz="8" w:space="0" w:color="auto"/>
              <w:bottom w:val="single" w:sz="8" w:space="0" w:color="auto"/>
            </w:tcBorders>
          </w:tcPr>
          <w:p>
            <w:pPr>
              <w:pStyle w:val="nTable"/>
              <w:spacing w:after="40"/>
              <w:rPr>
                <w:b/>
                <w:sz w:val="19"/>
              </w:rPr>
            </w:pPr>
            <w:r>
              <w:rPr>
                <w:b/>
                <w:sz w:val="19"/>
              </w:rPr>
              <w:t>Assent</w:t>
            </w:r>
          </w:p>
        </w:tc>
        <w:tc>
          <w:tcPr>
            <w:tcW w:w="25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80" w:type="dxa"/>
          <w:cantSplit/>
          <w:del w:id="310" w:author="svcMRProcess" w:date="2020-02-18T09:58:00Z"/>
        </w:trPr>
        <w:tc>
          <w:tcPr>
            <w:tcW w:w="2268" w:type="dxa"/>
            <w:tcBorders>
              <w:top w:val="single" w:sz="8" w:space="0" w:color="auto"/>
            </w:tcBorders>
          </w:tcPr>
          <w:p>
            <w:pPr>
              <w:pStyle w:val="nTable"/>
              <w:spacing w:after="40"/>
              <w:rPr>
                <w:del w:id="311" w:author="svcMRProcess" w:date="2020-02-18T09:58:00Z"/>
                <w:iCs/>
                <w:sz w:val="19"/>
                <w:vertAlign w:val="superscript"/>
              </w:rPr>
            </w:pPr>
            <w:del w:id="312" w:author="svcMRProcess" w:date="2020-02-18T09:58:00Z">
              <w:r>
                <w:rPr>
                  <w:i/>
                  <w:sz w:val="19"/>
                </w:rPr>
                <w:delText>Duties Legislation Amendment Act 2008</w:delText>
              </w:r>
              <w:r>
                <w:rPr>
                  <w:iCs/>
                  <w:sz w:val="19"/>
                </w:rPr>
                <w:delText xml:space="preserve"> s. 52 </w:delText>
              </w:r>
              <w:r>
                <w:rPr>
                  <w:iCs/>
                  <w:sz w:val="19"/>
                  <w:vertAlign w:val="superscript"/>
                </w:rPr>
                <w:delText>7</w:delText>
              </w:r>
            </w:del>
          </w:p>
        </w:tc>
        <w:tc>
          <w:tcPr>
            <w:tcW w:w="1134" w:type="dxa"/>
            <w:tcBorders>
              <w:top w:val="single" w:sz="8" w:space="0" w:color="auto"/>
            </w:tcBorders>
          </w:tcPr>
          <w:p>
            <w:pPr>
              <w:pStyle w:val="nTable"/>
              <w:spacing w:after="40"/>
              <w:rPr>
                <w:del w:id="313" w:author="svcMRProcess" w:date="2020-02-18T09:58:00Z"/>
                <w:sz w:val="19"/>
              </w:rPr>
            </w:pPr>
            <w:del w:id="314" w:author="svcMRProcess" w:date="2020-02-18T09:58:00Z">
              <w:r>
                <w:rPr>
                  <w:sz w:val="19"/>
                </w:rPr>
                <w:delText>12 of 2008</w:delText>
              </w:r>
            </w:del>
          </w:p>
        </w:tc>
        <w:tc>
          <w:tcPr>
            <w:tcW w:w="1134" w:type="dxa"/>
            <w:tcBorders>
              <w:top w:val="single" w:sz="8" w:space="0" w:color="auto"/>
            </w:tcBorders>
          </w:tcPr>
          <w:p>
            <w:pPr>
              <w:pStyle w:val="nTable"/>
              <w:spacing w:after="40"/>
              <w:rPr>
                <w:del w:id="315" w:author="svcMRProcess" w:date="2020-02-18T09:58:00Z"/>
                <w:sz w:val="19"/>
              </w:rPr>
            </w:pPr>
            <w:del w:id="316" w:author="svcMRProcess" w:date="2020-02-18T09:58:00Z">
              <w:r>
                <w:rPr>
                  <w:sz w:val="19"/>
                </w:rPr>
                <w:delText>14 Apr 2008</w:delText>
              </w:r>
            </w:del>
          </w:p>
        </w:tc>
        <w:tc>
          <w:tcPr>
            <w:tcW w:w="2552" w:type="dxa"/>
            <w:gridSpan w:val="2"/>
            <w:tcBorders>
              <w:top w:val="single" w:sz="8" w:space="0" w:color="auto"/>
            </w:tcBorders>
          </w:tcPr>
          <w:p>
            <w:pPr>
              <w:pStyle w:val="nTable"/>
              <w:spacing w:after="40"/>
              <w:rPr>
                <w:del w:id="317" w:author="svcMRProcess" w:date="2020-02-18T09:58:00Z"/>
                <w:sz w:val="19"/>
              </w:rPr>
            </w:pPr>
            <w:del w:id="318" w:author="svcMRProcess" w:date="2020-02-18T09:58:00Z">
              <w:r>
                <w:rPr>
                  <w:sz w:val="19"/>
                </w:rPr>
                <w:delText>1 Jul 2008 (see s. 2(d))</w:delText>
              </w:r>
            </w:del>
          </w:p>
        </w:tc>
      </w:tr>
      <w:tr>
        <w:trPr>
          <w:cantSplit/>
        </w:trPr>
        <w:tc>
          <w:tcPr>
            <w:tcW w:w="2230" w:type="dxa"/>
            <w:tcBorders>
              <w:top w:val="single" w:sz="8" w:space="0" w:color="auto"/>
              <w:bottom w:val="single" w:sz="8"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682 </w:t>
            </w:r>
            <w:r>
              <w:rPr>
                <w:snapToGrid w:val="0"/>
                <w:sz w:val="19"/>
                <w:vertAlign w:val="superscript"/>
                <w:lang w:val="en-US"/>
              </w:rPr>
              <w:t>8</w:t>
            </w:r>
          </w:p>
        </w:tc>
        <w:tc>
          <w:tcPr>
            <w:tcW w:w="1106" w:type="dxa"/>
            <w:tcBorders>
              <w:top w:val="single" w:sz="8" w:space="0" w:color="auto"/>
              <w:bottom w:val="single" w:sz="8" w:space="0" w:color="auto"/>
            </w:tcBorders>
          </w:tcPr>
          <w:p>
            <w:pPr>
              <w:pStyle w:val="nTable"/>
              <w:spacing w:after="40"/>
              <w:rPr>
                <w:sz w:val="19"/>
              </w:rPr>
            </w:pPr>
            <w:r>
              <w:rPr>
                <w:snapToGrid w:val="0"/>
                <w:sz w:val="19"/>
                <w:lang w:val="en-US"/>
              </w:rPr>
              <w:t>21 of 2008</w:t>
            </w:r>
          </w:p>
        </w:tc>
        <w:tc>
          <w:tcPr>
            <w:tcW w:w="1162" w:type="dxa"/>
            <w:gridSpan w:val="2"/>
            <w:tcBorders>
              <w:top w:val="single" w:sz="8" w:space="0" w:color="auto"/>
              <w:bottom w:val="single" w:sz="8" w:space="0" w:color="auto"/>
            </w:tcBorders>
          </w:tcPr>
          <w:p>
            <w:pPr>
              <w:pStyle w:val="nTable"/>
              <w:spacing w:after="40"/>
              <w:rPr>
                <w:sz w:val="19"/>
              </w:rPr>
            </w:pPr>
            <w:r>
              <w:rPr>
                <w:snapToGrid w:val="0"/>
                <w:sz w:val="19"/>
                <w:lang w:val="en-US"/>
              </w:rPr>
              <w:t>27 May 2008</w:t>
            </w:r>
          </w:p>
        </w:tc>
        <w:tc>
          <w:tcPr>
            <w:tcW w:w="2582" w:type="dxa"/>
            <w:gridSpan w:val="2"/>
            <w:tcBorders>
              <w:top w:val="single" w:sz="8" w:space="0" w:color="auto"/>
              <w:bottom w:val="single" w:sz="8" w:space="0" w:color="auto"/>
            </w:tcBorders>
          </w:tcPr>
          <w:p>
            <w:pPr>
              <w:pStyle w:val="nTable"/>
              <w:spacing w:after="40"/>
              <w:rPr>
                <w:sz w:val="19"/>
              </w:rPr>
            </w:pPr>
            <w:r>
              <w:rPr>
                <w:snapToGrid w:val="0"/>
                <w:sz w:val="19"/>
                <w:lang w:val="en-US"/>
              </w:rPr>
              <w:t>To be proclaimed (see s. 2(b))</w:t>
            </w:r>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 xml:space="preserve">is a savings provision that is of no further effect.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del w:id="319" w:author="svcMRProcess" w:date="2020-02-18T09:58:00Z">
        <w:r>
          <w:rPr>
            <w:b/>
          </w:rPr>
          <w:delText>“</w:delText>
        </w:r>
      </w:del>
      <w:r>
        <w:rPr>
          <w:rStyle w:val="CharDefText"/>
        </w:rPr>
        <w:t>former Director General</w:t>
      </w:r>
      <w:del w:id="320" w:author="svcMRProcess" w:date="2020-02-18T09:58:00Z">
        <w:r>
          <w:rPr>
            <w:b/>
          </w:rPr>
          <w:delText>”</w:delText>
        </w:r>
      </w:del>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del w:id="321" w:author="svcMRProcess" w:date="2020-02-18T09:58:00Z">
        <w:r>
          <w:rPr>
            <w:b/>
          </w:rPr>
          <w:delText>“</w:delText>
        </w:r>
      </w:del>
      <w:r>
        <w:rPr>
          <w:rStyle w:val="CharDefText"/>
        </w:rPr>
        <w:t>former section 15C</w:t>
      </w:r>
      <w:del w:id="322" w:author="svcMRProcess" w:date="2020-02-18T09:58:00Z">
        <w:r>
          <w:rPr>
            <w:b/>
          </w:rPr>
          <w:delText>”</w:delText>
        </w:r>
      </w:del>
      <w:r>
        <w:t xml:space="preserve"> means the </w:t>
      </w:r>
      <w:r>
        <w:rPr>
          <w:i/>
        </w:rPr>
        <w:t>Transport Co</w:t>
      </w:r>
      <w:r>
        <w:rPr>
          <w:i/>
        </w:rPr>
        <w:noBreakHyphen/>
        <w:t>ordination Act 1966</w:t>
      </w:r>
      <w:r>
        <w:t xml:space="preserve"> section 15C as in force before it was repealed by this Act;</w:t>
      </w:r>
    </w:p>
    <w:p>
      <w:pPr>
        <w:pStyle w:val="nzDefstart"/>
      </w:pPr>
      <w:r>
        <w:tab/>
      </w:r>
      <w:del w:id="323" w:author="svcMRProcess" w:date="2020-02-18T09:58:00Z">
        <w:r>
          <w:rPr>
            <w:b/>
          </w:rPr>
          <w:delText>“</w:delText>
        </w:r>
      </w:del>
      <w:r>
        <w:rPr>
          <w:rStyle w:val="CharDefText"/>
        </w:rPr>
        <w:t>new provision</w:t>
      </w:r>
      <w:del w:id="324" w:author="svcMRProcess" w:date="2020-02-18T09:58:00Z">
        <w:r>
          <w:rPr>
            <w:b/>
          </w:rPr>
          <w:delText>”</w:delText>
        </w:r>
      </w:del>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del w:id="325" w:author="svcMRProcess" w:date="2020-02-18T09:58:00Z">
        <w:r>
          <w:rPr>
            <w:b/>
          </w:rPr>
          <w:delText>“</w:delText>
        </w:r>
      </w:del>
      <w:r>
        <w:rPr>
          <w:rStyle w:val="CharDefText"/>
        </w:rPr>
        <w:t>relevant Act</w:t>
      </w:r>
      <w:del w:id="326" w:author="svcMRProcess" w:date="2020-02-18T09:58:00Z">
        <w:r>
          <w:rPr>
            <w:b/>
          </w:rPr>
          <w:delText>”</w:delText>
        </w:r>
      </w:del>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del w:id="327" w:author="svcMRProcess" w:date="2020-02-18T09:58:00Z">
        <w:r>
          <w:rPr>
            <w:b/>
          </w:rPr>
          <w:delText>“</w:delText>
        </w:r>
      </w:del>
      <w:r>
        <w:rPr>
          <w:rStyle w:val="CharDefText"/>
        </w:rPr>
        <w:t>former Director General</w:t>
      </w:r>
      <w:del w:id="328" w:author="svcMRProcess" w:date="2020-02-18T09:58:00Z">
        <w:r>
          <w:rPr>
            <w:b/>
          </w:rPr>
          <w:delText>”</w:delText>
        </w:r>
      </w:del>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del w:id="329" w:author="svcMRProcess" w:date="2020-02-18T09:58:00Z">
        <w:r>
          <w:rPr>
            <w:b/>
          </w:rPr>
          <w:delText>“</w:delText>
        </w:r>
      </w:del>
      <w:r>
        <w:rPr>
          <w:rStyle w:val="CharDefText"/>
        </w:rPr>
        <w:t>former section 18</w:t>
      </w:r>
      <w:del w:id="330" w:author="svcMRProcess" w:date="2020-02-18T09:58:00Z">
        <w:r>
          <w:rPr>
            <w:b/>
          </w:rPr>
          <w:delText>”</w:delText>
        </w:r>
      </w:del>
      <w:r>
        <w:t xml:space="preserve"> means the </w:t>
      </w:r>
      <w:r>
        <w:rPr>
          <w:i/>
        </w:rPr>
        <w:t>Transport Co</w:t>
      </w:r>
      <w:r>
        <w:rPr>
          <w:i/>
        </w:rPr>
        <w:noBreakHyphen/>
        <w:t>ordination Act 1966</w:t>
      </w:r>
      <w:r>
        <w:t xml:space="preserve"> section 18 as in force before it was amended by this Act;</w:t>
      </w:r>
    </w:p>
    <w:p>
      <w:pPr>
        <w:pStyle w:val="nzDefstart"/>
      </w:pPr>
      <w:r>
        <w:tab/>
      </w:r>
      <w:del w:id="331" w:author="svcMRProcess" w:date="2020-02-18T09:58:00Z">
        <w:r>
          <w:rPr>
            <w:b/>
          </w:rPr>
          <w:delText>“</w:delText>
        </w:r>
      </w:del>
      <w:r>
        <w:rPr>
          <w:rStyle w:val="CharDefText"/>
        </w:rPr>
        <w:t>new provision</w:t>
      </w:r>
      <w:del w:id="332" w:author="svcMRProcess" w:date="2020-02-18T09:58:00Z">
        <w:r>
          <w:rPr>
            <w:b/>
          </w:rPr>
          <w:delText>”</w:delText>
        </w:r>
      </w:del>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del w:id="333" w:author="svcMRProcess" w:date="2020-02-18T09:58:00Z">
        <w:r>
          <w:rPr>
            <w:b/>
          </w:rPr>
          <w:delText>“</w:delText>
        </w:r>
      </w:del>
      <w:r>
        <w:rPr>
          <w:rStyle w:val="CharDefText"/>
        </w:rPr>
        <w:t>relevant Act</w:t>
      </w:r>
      <w:del w:id="334" w:author="svcMRProcess" w:date="2020-02-18T09:58:00Z">
        <w:r>
          <w:rPr>
            <w:b/>
          </w:rPr>
          <w:delText>”</w:delText>
        </w:r>
      </w:del>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del w:id="335" w:author="svcMRProcess" w:date="2020-02-18T09:58:00Z">
        <w:r>
          <w:rPr>
            <w:b/>
          </w:rPr>
          <w:delText>“</w:delText>
        </w:r>
      </w:del>
      <w:r>
        <w:rPr>
          <w:rStyle w:val="CharDefText"/>
        </w:rPr>
        <w:t>transitional matter</w:t>
      </w:r>
      <w:del w:id="336" w:author="svcMRProcess" w:date="2020-02-18T09:58:00Z">
        <w:r>
          <w:rPr>
            <w:b/>
          </w:rPr>
          <w:delText>”</w:delText>
        </w:r>
      </w:del>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keepLines/>
        <w:rPr>
          <w:del w:id="337" w:author="svcMRProcess" w:date="2020-02-18T09:58:00Z"/>
          <w:snapToGrid w:val="0"/>
        </w:rPr>
      </w:pPr>
      <w:del w:id="338" w:author="svcMRProcess" w:date="2020-02-18T09:58: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23, </w:delText>
        </w:r>
        <w:r>
          <w:rPr>
            <w:snapToGrid w:val="0"/>
          </w:rPr>
          <w:delText>had not come into operation.  It reads as follows:</w:delText>
        </w:r>
      </w:del>
    </w:p>
    <w:p>
      <w:pPr>
        <w:pStyle w:val="MiscOpen"/>
        <w:rPr>
          <w:del w:id="339" w:author="svcMRProcess" w:date="2020-02-18T09:58:00Z"/>
        </w:rPr>
      </w:pPr>
      <w:del w:id="340" w:author="svcMRProcess" w:date="2020-02-18T09:58:00Z">
        <w:r>
          <w:delText>“</w:delText>
        </w:r>
      </w:del>
    </w:p>
    <w:p>
      <w:pPr>
        <w:pStyle w:val="nzHeading5"/>
        <w:rPr>
          <w:del w:id="341" w:author="svcMRProcess" w:date="2020-02-18T09:58:00Z"/>
          <w:snapToGrid w:val="0"/>
        </w:rPr>
      </w:pPr>
      <w:bookmarkStart w:id="342" w:name="_Toc195421061"/>
      <w:del w:id="343" w:author="svcMRProcess" w:date="2020-02-18T09:58:00Z">
        <w:r>
          <w:rPr>
            <w:rStyle w:val="CharSectno"/>
          </w:rPr>
          <w:delText>52</w:delText>
        </w:r>
        <w:r>
          <w:rPr>
            <w:snapToGrid w:val="0"/>
          </w:rPr>
          <w:delText>.</w:delText>
        </w:r>
        <w:r>
          <w:rPr>
            <w:snapToGrid w:val="0"/>
          </w:rPr>
          <w:tab/>
          <w:delText>Various Acts amended</w:delText>
        </w:r>
        <w:bookmarkEnd w:id="342"/>
      </w:del>
    </w:p>
    <w:p>
      <w:pPr>
        <w:pStyle w:val="nzSubsection"/>
        <w:rPr>
          <w:del w:id="344" w:author="svcMRProcess" w:date="2020-02-18T09:58:00Z"/>
        </w:rPr>
      </w:pPr>
      <w:del w:id="345" w:author="svcMRProcess" w:date="2020-02-18T09:58:00Z">
        <w:r>
          <w:tab/>
        </w:r>
        <w:r>
          <w:tab/>
          <w:delText>Schedule 1 sets out how various Acts listed in that Schedule are to be amended.</w:delText>
        </w:r>
      </w:del>
    </w:p>
    <w:p>
      <w:pPr>
        <w:pStyle w:val="MiscClose"/>
        <w:rPr>
          <w:del w:id="346" w:author="svcMRProcess" w:date="2020-02-18T09:58:00Z"/>
        </w:rPr>
      </w:pPr>
      <w:del w:id="347" w:author="svcMRProcess" w:date="2020-02-18T09:58:00Z">
        <w:r>
          <w:delText>”.</w:delText>
        </w:r>
      </w:del>
    </w:p>
    <w:p>
      <w:pPr>
        <w:pStyle w:val="nSubsection"/>
        <w:keepLines/>
        <w:rPr>
          <w:del w:id="348" w:author="svcMRProcess" w:date="2020-02-18T09:58:00Z"/>
          <w:snapToGrid w:val="0"/>
        </w:rPr>
      </w:pPr>
      <w:del w:id="349" w:author="svcMRProcess" w:date="2020-02-18T09:58:00Z">
        <w:r>
          <w:rPr>
            <w:snapToGrid w:val="0"/>
          </w:rPr>
          <w:tab/>
          <w:delText>Schedule 1 cl. 23 reads as follows:</w:delText>
        </w:r>
      </w:del>
    </w:p>
    <w:p>
      <w:pPr>
        <w:pStyle w:val="MiscOpen"/>
        <w:rPr>
          <w:del w:id="350" w:author="svcMRProcess" w:date="2020-02-18T09:58:00Z"/>
        </w:rPr>
      </w:pPr>
      <w:del w:id="351" w:author="svcMRProcess" w:date="2020-02-18T09:58:00Z">
        <w:r>
          <w:delText>“</w:delText>
        </w:r>
      </w:del>
    </w:p>
    <w:p>
      <w:pPr>
        <w:pStyle w:val="nzHeading2"/>
        <w:rPr>
          <w:del w:id="352" w:author="svcMRProcess" w:date="2020-02-18T09:58:00Z"/>
        </w:rPr>
      </w:pPr>
      <w:bookmarkStart w:id="353" w:name="_Toc183919940"/>
      <w:bookmarkStart w:id="354" w:name="_Toc183921922"/>
      <w:bookmarkStart w:id="355" w:name="_Toc183943149"/>
      <w:bookmarkStart w:id="356" w:name="_Toc195421062"/>
      <w:del w:id="357" w:author="svcMRProcess" w:date="2020-02-18T09:58: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353"/>
        <w:bookmarkEnd w:id="354"/>
        <w:bookmarkEnd w:id="355"/>
        <w:bookmarkEnd w:id="356"/>
      </w:del>
    </w:p>
    <w:p>
      <w:pPr>
        <w:pStyle w:val="nzMiscellaneousBody"/>
        <w:jc w:val="right"/>
        <w:rPr>
          <w:del w:id="358" w:author="svcMRProcess" w:date="2020-02-18T09:58:00Z"/>
        </w:rPr>
      </w:pPr>
      <w:del w:id="359" w:author="svcMRProcess" w:date="2020-02-18T09:58:00Z">
        <w:r>
          <w:delText>[s. 52]</w:delText>
        </w:r>
      </w:del>
    </w:p>
    <w:p>
      <w:pPr>
        <w:pStyle w:val="nzHeading5"/>
        <w:rPr>
          <w:del w:id="360" w:author="svcMRProcess" w:date="2020-02-18T09:58:00Z"/>
        </w:rPr>
      </w:pPr>
      <w:bookmarkStart w:id="361" w:name="_Toc195421085"/>
      <w:del w:id="362" w:author="svcMRProcess" w:date="2020-02-18T09:58:00Z">
        <w:r>
          <w:rPr>
            <w:rStyle w:val="CharSClsNo"/>
          </w:rPr>
          <w:delText>23</w:delText>
        </w:r>
        <w:r>
          <w:delText>.</w:delText>
        </w:r>
        <w:r>
          <w:tab/>
        </w:r>
        <w:r>
          <w:rPr>
            <w:i/>
          </w:rPr>
          <w:delText>Motor Vehicle (Third Party Insurance) Act 1943</w:delText>
        </w:r>
        <w:bookmarkEnd w:id="361"/>
      </w:del>
    </w:p>
    <w:p>
      <w:pPr>
        <w:pStyle w:val="nzSubsection"/>
        <w:rPr>
          <w:del w:id="363" w:author="svcMRProcess" w:date="2020-02-18T09:58:00Z"/>
        </w:rPr>
      </w:pPr>
      <w:del w:id="364" w:author="svcMRProcess" w:date="2020-02-18T09:58:00Z">
        <w:r>
          <w:tab/>
          <w:delText>(1)</w:delText>
        </w:r>
        <w:r>
          <w:tab/>
          <w:delText xml:space="preserve">Section 3R(4)(b) is amended by deleting “stamp duty payable” and inserting instead — </w:delText>
        </w:r>
      </w:del>
    </w:p>
    <w:p>
      <w:pPr>
        <w:pStyle w:val="nzSubsection"/>
        <w:rPr>
          <w:del w:id="365" w:author="svcMRProcess" w:date="2020-02-18T09:58:00Z"/>
        </w:rPr>
      </w:pPr>
      <w:del w:id="366" w:author="svcMRProcess" w:date="2020-02-18T09:58:00Z">
        <w:r>
          <w:tab/>
        </w:r>
        <w:r>
          <w:tab/>
          <w:delText xml:space="preserve">“    </w:delText>
        </w:r>
        <w:r>
          <w:rPr>
            <w:sz w:val="24"/>
          </w:rPr>
          <w:delText xml:space="preserve">duty payable under the </w:delText>
        </w:r>
        <w:r>
          <w:rPr>
            <w:i/>
            <w:iCs/>
            <w:sz w:val="24"/>
          </w:rPr>
          <w:delText>Duties Act 2008</w:delText>
        </w:r>
        <w:r>
          <w:delText xml:space="preserve">    ”.</w:delText>
        </w:r>
      </w:del>
    </w:p>
    <w:p>
      <w:pPr>
        <w:pStyle w:val="nzSubsection"/>
        <w:rPr>
          <w:del w:id="367" w:author="svcMRProcess" w:date="2020-02-18T09:58:00Z"/>
        </w:rPr>
      </w:pPr>
      <w:del w:id="368" w:author="svcMRProcess" w:date="2020-02-18T09:58:00Z">
        <w:r>
          <w:tab/>
          <w:delText>(2)</w:delText>
        </w:r>
        <w:r>
          <w:tab/>
          <w:delText>Section 21(2) is amended by deleting “stamp”.</w:delText>
        </w:r>
      </w:del>
    </w:p>
    <w:p>
      <w:pPr>
        <w:pStyle w:val="MiscClose"/>
        <w:rPr>
          <w:del w:id="369" w:author="svcMRProcess" w:date="2020-02-18T09:58:00Z"/>
        </w:rPr>
      </w:pPr>
      <w:del w:id="370" w:author="svcMRProcess" w:date="2020-02-18T09:58:00Z">
        <w:r>
          <w:delText>”.</w:delText>
        </w:r>
      </w:del>
    </w:p>
    <w:p>
      <w:pPr>
        <w:pStyle w:val="nSubsection"/>
        <w:keepLines/>
        <w:rPr>
          <w:ins w:id="371" w:author="svcMRProcess" w:date="2020-02-18T09:58:00Z"/>
          <w:snapToGrid w:val="0"/>
        </w:rPr>
      </w:pPr>
      <w:ins w:id="372" w:author="svcMRProcess" w:date="2020-02-18T09:58:00Z">
        <w:r>
          <w:rPr>
            <w:snapToGrid w:val="0"/>
            <w:vertAlign w:val="superscript"/>
          </w:rPr>
          <w:t>7</w:t>
        </w:r>
        <w:r>
          <w:rPr>
            <w:snapToGrid w:val="0"/>
            <w:vertAlign w:val="superscript"/>
          </w:rPr>
          <w:tab/>
        </w:r>
        <w:r>
          <w:rPr>
            <w:snapToGrid w:val="0"/>
          </w:rPr>
          <w:t>Footnote no longer applicable.</w:t>
        </w:r>
      </w:ins>
    </w:p>
    <w:p>
      <w:pPr>
        <w:pStyle w:val="nSubsection"/>
        <w:rPr>
          <w:snapToGrid w:val="0"/>
        </w:rPr>
      </w:pPr>
      <w:bookmarkStart w:id="373" w:name="AutoSch"/>
      <w:bookmarkEnd w:id="373"/>
      <w:r>
        <w:rPr>
          <w:snapToGrid w:val="0"/>
          <w:vertAlign w:val="superscript"/>
        </w:rPr>
        <w:t>8</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682</w:t>
      </w:r>
      <w:r>
        <w:rPr>
          <w:snapToGrid w:val="0"/>
        </w:rPr>
        <w:t xml:space="preserve"> had not come into operation.  It reads as follows:</w:t>
      </w:r>
    </w:p>
    <w:p>
      <w:pPr>
        <w:pStyle w:val="MiscOpen"/>
        <w:rPr>
          <w:snapToGrid w:val="0"/>
        </w:rPr>
      </w:pPr>
      <w:r>
        <w:rPr>
          <w:snapToGrid w:val="0"/>
        </w:rPr>
        <w:t>“</w:t>
      </w:r>
    </w:p>
    <w:p>
      <w:pPr>
        <w:pStyle w:val="nzHeading5"/>
      </w:pPr>
      <w:bookmarkStart w:id="374" w:name="_Toc198708659"/>
      <w:r>
        <w:rPr>
          <w:rStyle w:val="CharSectno"/>
        </w:rPr>
        <w:t>682</w:t>
      </w:r>
      <w:r>
        <w:t>.</w:t>
      </w:r>
      <w:r>
        <w:tab/>
      </w:r>
      <w:r>
        <w:rPr>
          <w:i/>
          <w:iCs/>
        </w:rPr>
        <w:t>Motor Vehicle (Third Party Insurance) Act 1943</w:t>
      </w:r>
      <w:r>
        <w:t xml:space="preserve"> amended</w:t>
      </w:r>
      <w:bookmarkEnd w:id="374"/>
    </w:p>
    <w:p>
      <w:pPr>
        <w:pStyle w:val="nzSubsection"/>
      </w:pPr>
      <w:r>
        <w:tab/>
        <w:t>(1)</w:t>
      </w:r>
      <w:r>
        <w:tab/>
        <w:t xml:space="preserve">The amendments in this section are to the </w:t>
      </w:r>
      <w:r>
        <w:rPr>
          <w:i/>
          <w:iCs/>
        </w:rPr>
        <w:t>Motor Vehicle (Third Party Insurance) Act 1943</w:t>
      </w:r>
      <w:r>
        <w:t>.</w:t>
      </w:r>
    </w:p>
    <w:p>
      <w:pPr>
        <w:pStyle w:val="nz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MiscClose"/>
      </w:pPr>
      <w:r>
        <w:t>”.</w:t>
      </w:r>
    </w:p>
    <w:p/>
    <w:p>
      <w:pPr>
        <w:rPr>
          <w:vertAlign w:val="superscript"/>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16964</Words>
  <Characters>75495</Characters>
  <Application>Microsoft Office Word</Application>
  <DocSecurity>0</DocSecurity>
  <Lines>2097</Lines>
  <Paragraphs>1027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91432</CharactersWithSpaces>
  <SharedDoc>false</SharedDoc>
  <HLinks>
    <vt:vector size="6" baseType="variant">
      <vt:variant>
        <vt:i4>131085</vt:i4>
      </vt:variant>
      <vt:variant>
        <vt:i4>80758</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11-f0-01 - 11-g0-03</dc:title>
  <dc:subject/>
  <dc:creator/>
  <cp:keywords/>
  <dc:description/>
  <cp:lastModifiedBy>svcMRProcess</cp:lastModifiedBy>
  <cp:revision>2</cp:revision>
  <cp:lastPrinted>2005-12-08T06:50:00Z</cp:lastPrinted>
  <dcterms:created xsi:type="dcterms:W3CDTF">2020-02-18T01:58:00Z</dcterms:created>
  <dcterms:modified xsi:type="dcterms:W3CDTF">2020-02-18T01:58:00Z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527</vt:i4>
  </property>
  <property fmtid="{D5CDD505-2E9C-101B-9397-08002B2CF9AE}" pid="6" name="FromSuffix">
    <vt:lpwstr>11-f0-01</vt:lpwstr>
  </property>
  <property fmtid="{D5CDD505-2E9C-101B-9397-08002B2CF9AE}" pid="7" name="FromAsAtDate">
    <vt:lpwstr>27 May 2008</vt:lpwstr>
  </property>
  <property fmtid="{D5CDD505-2E9C-101B-9397-08002B2CF9AE}" pid="8" name="ToSuffix">
    <vt:lpwstr>11-g0-03</vt:lpwstr>
  </property>
  <property fmtid="{D5CDD505-2E9C-101B-9397-08002B2CF9AE}" pid="9" name="ToAsAtDate">
    <vt:lpwstr>01 Jul 2008</vt:lpwstr>
  </property>
</Properties>
</file>