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2007</w:t>
      </w:r>
      <w:r>
        <w:fldChar w:fldCharType="end"/>
      </w:r>
      <w:r>
        <w:t xml:space="preserve">, </w:t>
      </w:r>
      <w:r>
        <w:fldChar w:fldCharType="begin"/>
      </w:r>
      <w:r>
        <w:instrText xml:space="preserve"> DocProperty FromSuffix </w:instrText>
      </w:r>
      <w:r>
        <w:fldChar w:fldCharType="separate"/>
      </w:r>
      <w:r>
        <w:t>06-b0-04</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06-c0-06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type w:val="continuous"/>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Environmental Protection Act 1986</w:t>
      </w:r>
    </w:p>
    <w:p>
      <w:pPr>
        <w:pStyle w:val="NameofActReg"/>
        <w:spacing w:after="480"/>
      </w:pPr>
      <w:r>
        <w:t xml:space="preserve">Environmental Protection Regulations 1987 </w:t>
      </w:r>
    </w:p>
    <w:p>
      <w:pPr>
        <w:pStyle w:val="Heading2"/>
        <w:pageBreakBefore w:val="0"/>
      </w:pPr>
      <w:bookmarkStart w:id="0" w:name="_Toc75588344"/>
      <w:bookmarkStart w:id="1" w:name="_Toc76894891"/>
      <w:bookmarkStart w:id="2" w:name="_Toc85279776"/>
      <w:bookmarkStart w:id="3" w:name="_Toc88903636"/>
      <w:bookmarkStart w:id="4" w:name="_Toc88962225"/>
      <w:bookmarkStart w:id="5" w:name="_Toc94320148"/>
      <w:bookmarkStart w:id="6" w:name="_Toc94330984"/>
      <w:bookmarkStart w:id="7" w:name="_Toc94331096"/>
      <w:bookmarkStart w:id="8" w:name="_Toc94428580"/>
      <w:bookmarkStart w:id="9" w:name="_Toc97455559"/>
      <w:bookmarkStart w:id="10" w:name="_Toc97457350"/>
      <w:bookmarkStart w:id="11" w:name="_Toc97630147"/>
      <w:bookmarkStart w:id="12" w:name="_Toc98053292"/>
      <w:bookmarkStart w:id="13" w:name="_Toc99962278"/>
      <w:bookmarkStart w:id="14" w:name="_Toc122159376"/>
      <w:bookmarkStart w:id="15" w:name="_Toc122232700"/>
      <w:bookmarkStart w:id="16" w:name="_Toc122232876"/>
      <w:bookmarkStart w:id="17" w:name="_Toc147220509"/>
      <w:bookmarkStart w:id="18" w:name="_Toc147223863"/>
      <w:bookmarkStart w:id="19" w:name="_Toc165444898"/>
      <w:bookmarkStart w:id="20" w:name="_Toc170557678"/>
      <w:bookmarkStart w:id="21" w:name="_Toc170795069"/>
      <w:bookmarkStart w:id="22" w:name="_Toc172709169"/>
      <w:bookmarkStart w:id="23" w:name="_Toc172964653"/>
      <w:bookmarkStart w:id="24" w:name="_Toc174158370"/>
      <w:bookmarkStart w:id="25" w:name="_Toc174358923"/>
      <w:bookmarkStart w:id="26" w:name="_Toc174518514"/>
      <w:bookmarkStart w:id="27" w:name="_Toc176170459"/>
      <w:bookmarkStart w:id="28" w:name="_Toc181431018"/>
      <w:bookmarkStart w:id="29" w:name="_Toc181497474"/>
      <w:bookmarkStart w:id="30" w:name="_Toc202254141"/>
      <w:r>
        <w:rPr>
          <w:rStyle w:val="CharPartNo"/>
        </w:rPr>
        <w:t>P</w:t>
      </w:r>
      <w:bookmarkStart w:id="31" w:name="_GoBack"/>
      <w:bookmarkEnd w:id="3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32" w:name="_Toc448822552"/>
      <w:bookmarkStart w:id="33" w:name="_Toc448822678"/>
      <w:bookmarkStart w:id="34" w:name="_Toc503260547"/>
      <w:bookmarkStart w:id="35" w:name="_Toc12076650"/>
      <w:bookmarkStart w:id="36" w:name="_Toc12952166"/>
      <w:bookmarkStart w:id="37" w:name="_Toc122232877"/>
      <w:bookmarkStart w:id="38" w:name="_Toc202254142"/>
      <w:bookmarkStart w:id="39" w:name="_Toc181497475"/>
      <w:r>
        <w:rPr>
          <w:rStyle w:val="CharSectno"/>
        </w:rPr>
        <w:t>1</w:t>
      </w:r>
      <w:r>
        <w:rPr>
          <w:snapToGrid w:val="0"/>
        </w:rPr>
        <w:t xml:space="preserve">. </w:t>
      </w:r>
      <w:r>
        <w:rPr>
          <w:snapToGrid w:val="0"/>
        </w:rPr>
        <w:tab/>
        <w:t>Citation</w:t>
      </w:r>
      <w:bookmarkEnd w:id="32"/>
      <w:bookmarkEnd w:id="33"/>
      <w:bookmarkEnd w:id="34"/>
      <w:bookmarkEnd w:id="35"/>
      <w:bookmarkEnd w:id="36"/>
      <w:bookmarkEnd w:id="37"/>
      <w:bookmarkEnd w:id="38"/>
      <w:bookmarkEnd w:id="39"/>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40" w:name="_Toc448822553"/>
      <w:bookmarkStart w:id="41" w:name="_Toc448822679"/>
      <w:bookmarkStart w:id="42" w:name="_Toc503260548"/>
      <w:bookmarkStart w:id="43" w:name="_Toc12076651"/>
      <w:bookmarkStart w:id="44" w:name="_Toc12952167"/>
      <w:bookmarkStart w:id="45" w:name="_Toc122232878"/>
      <w:bookmarkStart w:id="46" w:name="_Toc202254143"/>
      <w:bookmarkStart w:id="47" w:name="_Toc181497476"/>
      <w:r>
        <w:rPr>
          <w:rStyle w:val="CharSectno"/>
        </w:rPr>
        <w:t>2</w:t>
      </w:r>
      <w:r>
        <w:rPr>
          <w:snapToGrid w:val="0"/>
        </w:rPr>
        <w:t xml:space="preserve">. </w:t>
      </w:r>
      <w:r>
        <w:rPr>
          <w:snapToGrid w:val="0"/>
        </w:rPr>
        <w:tab/>
        <w:t>Commencement</w:t>
      </w:r>
      <w:bookmarkEnd w:id="40"/>
      <w:bookmarkEnd w:id="41"/>
      <w:bookmarkEnd w:id="42"/>
      <w:bookmarkEnd w:id="43"/>
      <w:bookmarkEnd w:id="44"/>
      <w:bookmarkEnd w:id="45"/>
      <w:bookmarkEnd w:id="46"/>
      <w:bookmarkEnd w:id="47"/>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48" w:name="_Toc202254144"/>
      <w:bookmarkStart w:id="49" w:name="_Toc181497477"/>
      <w:bookmarkStart w:id="50" w:name="_Toc75588348"/>
      <w:bookmarkStart w:id="51" w:name="_Toc76894895"/>
      <w:bookmarkStart w:id="52" w:name="_Toc85279780"/>
      <w:bookmarkStart w:id="53" w:name="_Toc88903640"/>
      <w:bookmarkStart w:id="54" w:name="_Toc88962229"/>
      <w:bookmarkStart w:id="55" w:name="_Toc94320152"/>
      <w:bookmarkStart w:id="56" w:name="_Toc94330988"/>
      <w:bookmarkStart w:id="57" w:name="_Toc94331100"/>
      <w:bookmarkStart w:id="58" w:name="_Toc94428584"/>
      <w:bookmarkStart w:id="59" w:name="_Toc97455563"/>
      <w:bookmarkStart w:id="60" w:name="_Toc97457354"/>
      <w:bookmarkStart w:id="61" w:name="_Toc97630151"/>
      <w:bookmarkStart w:id="62" w:name="_Toc98053296"/>
      <w:bookmarkStart w:id="63" w:name="_Toc99962282"/>
      <w:bookmarkStart w:id="64" w:name="_Toc122159380"/>
      <w:bookmarkStart w:id="65" w:name="_Toc122232704"/>
      <w:bookmarkStart w:id="66" w:name="_Toc122232880"/>
      <w:r>
        <w:rPr>
          <w:rStyle w:val="CharSectno"/>
        </w:rPr>
        <w:t>2AA</w:t>
      </w:r>
      <w:r>
        <w:t>.</w:t>
      </w:r>
      <w:r>
        <w:tab/>
        <w:t>Terms used in these regulations</w:t>
      </w:r>
      <w:bookmarkEnd w:id="48"/>
      <w:bookmarkEnd w:id="49"/>
    </w:p>
    <w:p>
      <w:pPr>
        <w:pStyle w:val="Subsection"/>
        <w:spacing w:before="120"/>
      </w:pPr>
      <w:r>
        <w:tab/>
      </w:r>
      <w:r>
        <w:tab/>
        <w:t xml:space="preserve">In these regulations, unless the contrary intention appears — </w:t>
      </w:r>
    </w:p>
    <w:p>
      <w:pPr>
        <w:pStyle w:val="Defstart"/>
      </w:pPr>
      <w:r>
        <w:rPr>
          <w:b/>
        </w:rPr>
        <w:tab/>
      </w:r>
      <w:del w:id="67" w:author="Master Repository Process" w:date="2021-08-01T11:42:00Z">
        <w:r>
          <w:rPr>
            <w:b/>
          </w:rPr>
          <w:delText>“</w:delText>
        </w:r>
      </w:del>
      <w:r>
        <w:rPr>
          <w:rStyle w:val="CharDefText"/>
        </w:rPr>
        <w:t>Departmental library</w:t>
      </w:r>
      <w:del w:id="68" w:author="Master Repository Process" w:date="2021-08-01T11:42:00Z">
        <w:r>
          <w:rPr>
            <w:b/>
          </w:rPr>
          <w:delText>”</w:delText>
        </w:r>
      </w:del>
      <w:r>
        <w:t xml:space="preserve"> means the Department’s library located at The Atrium, 168 St George’s Terrace, Perth, Western Australia;</w:t>
      </w:r>
    </w:p>
    <w:p>
      <w:pPr>
        <w:pStyle w:val="Defstart"/>
      </w:pPr>
      <w:r>
        <w:rPr>
          <w:b/>
        </w:rPr>
        <w:tab/>
      </w:r>
      <w:del w:id="69" w:author="Master Repository Process" w:date="2021-08-01T11:42:00Z">
        <w:r>
          <w:rPr>
            <w:b/>
          </w:rPr>
          <w:delText>“</w:delText>
        </w:r>
      </w:del>
      <w:r>
        <w:rPr>
          <w:rStyle w:val="CharDefText"/>
        </w:rPr>
        <w:t>head office</w:t>
      </w:r>
      <w:del w:id="70" w:author="Master Repository Process" w:date="2021-08-01T11:42:00Z">
        <w:r>
          <w:rPr>
            <w:b/>
          </w:rPr>
          <w:delText>”</w:delText>
        </w:r>
      </w:del>
      <w:r>
        <w:t xml:space="preserve"> means the premises of the Authority at Level 8, The Atrium, 168 St George’s Terrace, Perth, Western Australia.</w:t>
      </w:r>
    </w:p>
    <w:p>
      <w:pPr>
        <w:pStyle w:val="Footnotesection"/>
      </w:pPr>
      <w:r>
        <w:tab/>
        <w:t>[Regulation 2AA inserted in Gazette 29 Sep 2006 p. 4261.]</w:t>
      </w:r>
    </w:p>
    <w:p>
      <w:pPr>
        <w:pStyle w:val="Heading2"/>
      </w:pPr>
      <w:bookmarkStart w:id="71" w:name="_Toc147220514"/>
      <w:bookmarkStart w:id="72" w:name="_Toc147223867"/>
      <w:bookmarkStart w:id="73" w:name="_Toc165444902"/>
      <w:bookmarkStart w:id="74" w:name="_Toc170557682"/>
      <w:bookmarkStart w:id="75" w:name="_Toc170795073"/>
      <w:bookmarkStart w:id="76" w:name="_Toc172709173"/>
      <w:bookmarkStart w:id="77" w:name="_Toc172964657"/>
      <w:bookmarkStart w:id="78" w:name="_Toc174158374"/>
      <w:bookmarkStart w:id="79" w:name="_Toc174358927"/>
      <w:bookmarkStart w:id="80" w:name="_Toc174518518"/>
      <w:bookmarkStart w:id="81" w:name="_Toc176170463"/>
      <w:bookmarkStart w:id="82" w:name="_Toc181431022"/>
      <w:bookmarkStart w:id="83" w:name="_Toc181497478"/>
      <w:bookmarkStart w:id="84" w:name="_Toc202254145"/>
      <w:r>
        <w:rPr>
          <w:rStyle w:val="CharPartNo"/>
        </w:rPr>
        <w:lastRenderedPageBreak/>
        <w:t>Part 2</w:t>
      </w:r>
      <w:r>
        <w:rPr>
          <w:rStyle w:val="CharDivNo"/>
        </w:rPr>
        <w:t> </w:t>
      </w:r>
      <w:r>
        <w:t>—</w:t>
      </w:r>
      <w:r>
        <w:rPr>
          <w:rStyle w:val="CharDivText"/>
        </w:rPr>
        <w:t> </w:t>
      </w:r>
      <w:r>
        <w:rPr>
          <w:rStyle w:val="CharPartText"/>
        </w:rPr>
        <w:t>Administrative matters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85" w:name="_Toc448822555"/>
      <w:bookmarkStart w:id="86" w:name="_Toc448822681"/>
      <w:bookmarkStart w:id="87" w:name="_Toc503260550"/>
      <w:bookmarkStart w:id="88" w:name="_Toc12076653"/>
      <w:bookmarkStart w:id="89" w:name="_Toc12952169"/>
      <w:bookmarkStart w:id="90" w:name="_Toc122232881"/>
      <w:bookmarkStart w:id="91" w:name="_Toc202254146"/>
      <w:bookmarkStart w:id="92" w:name="_Toc181497479"/>
      <w:r>
        <w:rPr>
          <w:rStyle w:val="CharSectno"/>
        </w:rPr>
        <w:t>2A</w:t>
      </w:r>
      <w:r>
        <w:rPr>
          <w:snapToGrid w:val="0"/>
        </w:rPr>
        <w:t>.</w:t>
      </w:r>
      <w:r>
        <w:rPr>
          <w:snapToGrid w:val="0"/>
        </w:rPr>
        <w:tab/>
        <w:t>Public inspection of draft policies</w:t>
      </w:r>
      <w:bookmarkEnd w:id="85"/>
      <w:bookmarkEnd w:id="86"/>
      <w:bookmarkEnd w:id="87"/>
      <w:bookmarkEnd w:id="88"/>
      <w:bookmarkEnd w:id="89"/>
      <w:bookmarkEnd w:id="90"/>
      <w:bookmarkEnd w:id="91"/>
      <w:bookmarkEnd w:id="92"/>
      <w:r>
        <w:rPr>
          <w:snapToGrid w:val="0"/>
        </w:rPr>
        <w:t xml:space="preserve"> </w:t>
      </w:r>
    </w:p>
    <w:p>
      <w:pPr>
        <w:pStyle w:val="Subsection"/>
        <w:spacing w:before="120"/>
        <w:rPr>
          <w:snapToGrid w:val="0"/>
        </w:rPr>
      </w:pPr>
      <w:r>
        <w:rPr>
          <w:snapToGrid w:val="0"/>
        </w:rPr>
        <w:tab/>
      </w:r>
      <w:r>
        <w:rPr>
          <w:snapToGrid w:val="0"/>
        </w:rPr>
        <w:tab/>
        <w:t>For the purposes of section 26(d) of the Act — </w:t>
      </w:r>
    </w:p>
    <w:p>
      <w:pPr>
        <w:pStyle w:val="Indenta"/>
        <w:rPr>
          <w:snapToGrid w:val="0"/>
        </w:rPr>
      </w:pPr>
      <w:r>
        <w:rPr>
          <w:snapToGrid w:val="0"/>
        </w:rPr>
        <w:tab/>
        <w:t>(a)</w:t>
      </w:r>
      <w:r>
        <w:rPr>
          <w:snapToGrid w:val="0"/>
        </w:rPr>
        <w:tab/>
        <w:t>the places at which a draft policy will be available for public inspection are — </w:t>
      </w:r>
    </w:p>
    <w:p>
      <w:pPr>
        <w:pStyle w:val="Indenti"/>
        <w:rPr>
          <w:snapToGrid w:val="0"/>
        </w:rPr>
      </w:pPr>
      <w:r>
        <w:tab/>
        <w:t>(i)</w:t>
      </w:r>
      <w:r>
        <w:tab/>
        <w:t>the Departmental library;</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r>
      <w:r>
        <w:t>the premises of the Department</w:t>
      </w:r>
      <w:r>
        <w:rPr>
          <w:snapToGrid w:val="0"/>
        </w:rPr>
        <w:t xml:space="preserve"> at SGIO Building, Welcome Road, Karratha, Western Australia 6714;</w:t>
      </w:r>
    </w:p>
    <w:p>
      <w:pPr>
        <w:pStyle w:val="Indenti"/>
        <w:rPr>
          <w:snapToGrid w:val="0"/>
        </w:rPr>
      </w:pPr>
      <w:r>
        <w:rPr>
          <w:snapToGrid w:val="0"/>
        </w:rPr>
        <w:tab/>
        <w:t>(iv)</w:t>
      </w:r>
      <w:r>
        <w:rPr>
          <w:snapToGrid w:val="0"/>
        </w:rPr>
        <w:tab/>
      </w:r>
      <w:r>
        <w:t>the premises of the Department</w:t>
      </w:r>
      <w:r>
        <w:rPr>
          <w:snapToGrid w:val="0"/>
        </w:rPr>
        <w:t xml:space="preserve"> at 165, Gilmore Avenue, Kwinana, Western Australia 6167;</w:t>
      </w:r>
    </w:p>
    <w:p>
      <w:pPr>
        <w:pStyle w:val="Indenti"/>
      </w:pPr>
      <w:r>
        <w:tab/>
        <w:t>(v)</w:t>
      </w:r>
      <w:r>
        <w:tab/>
        <w:t>the premises of the Department at 10th</w:t>
      </w:r>
      <w:r>
        <w:rPr>
          <w:vertAlign w:val="superscript"/>
        </w:rPr>
        <w:t> </w:t>
      </w:r>
      <w:r>
        <w:t>Floor, Bunbury Tower, 61 Victoria Street, Bunbury, Western Australia, 6231; and</w:t>
      </w:r>
    </w:p>
    <w:p>
      <w:pPr>
        <w:pStyle w:val="Indenti"/>
        <w:rPr>
          <w:snapToGrid w:val="0"/>
        </w:rPr>
      </w:pPr>
      <w:r>
        <w:tab/>
        <w:t>(vi)</w:t>
      </w:r>
      <w:r>
        <w:tab/>
        <w:t>the premises of the Department at 5 Burges Street, Geraldton, Western Australia, 6530;</w:t>
      </w:r>
    </w:p>
    <w:p>
      <w:pPr>
        <w:pStyle w:val="Indenta"/>
        <w:rPr>
          <w:snapToGrid w:val="0"/>
        </w:rPr>
      </w:pPr>
      <w:r>
        <w:rPr>
          <w:snapToGrid w:val="0"/>
        </w:rPr>
        <w:tab/>
      </w:r>
      <w:r>
        <w:rPr>
          <w:snapToGrid w:val="0"/>
        </w:rPr>
        <w:tab/>
        <w:t>and</w:t>
      </w:r>
    </w:p>
    <w:p>
      <w:pPr>
        <w:pStyle w:val="Indenta"/>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 xml:space="preserve">[Regulation 2A inserted in Gazette 5 May 1989 p. 1379; amended in Gazette 24 Jan 1992 p. 362; 11 Dec 1998 p. 6598; 29 Sep 2006 p. 4261.] </w:t>
      </w:r>
    </w:p>
    <w:p>
      <w:pPr>
        <w:pStyle w:val="Heading5"/>
        <w:spacing w:before="180"/>
        <w:rPr>
          <w:snapToGrid w:val="0"/>
        </w:rPr>
      </w:pPr>
      <w:bookmarkStart w:id="93" w:name="_Toc448822556"/>
      <w:bookmarkStart w:id="94" w:name="_Toc448822682"/>
      <w:bookmarkStart w:id="95" w:name="_Toc503260551"/>
      <w:bookmarkStart w:id="96" w:name="_Toc12076654"/>
      <w:bookmarkStart w:id="97" w:name="_Toc12952170"/>
      <w:bookmarkStart w:id="98" w:name="_Toc122232882"/>
      <w:bookmarkStart w:id="99" w:name="_Toc202254147"/>
      <w:bookmarkStart w:id="100" w:name="_Toc181497480"/>
      <w:r>
        <w:rPr>
          <w:rStyle w:val="CharSectno"/>
        </w:rPr>
        <w:t>2B</w:t>
      </w:r>
      <w:r>
        <w:rPr>
          <w:snapToGrid w:val="0"/>
        </w:rPr>
        <w:t xml:space="preserve">. </w:t>
      </w:r>
      <w:r>
        <w:rPr>
          <w:snapToGrid w:val="0"/>
        </w:rPr>
        <w:tab/>
        <w:t>Inspection of minutes</w:t>
      </w:r>
      <w:bookmarkEnd w:id="93"/>
      <w:bookmarkEnd w:id="94"/>
      <w:bookmarkEnd w:id="95"/>
      <w:bookmarkEnd w:id="96"/>
      <w:bookmarkEnd w:id="97"/>
      <w:bookmarkEnd w:id="98"/>
      <w:bookmarkEnd w:id="99"/>
      <w:bookmarkEnd w:id="100"/>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del w:id="101" w:author="Master Repository Process" w:date="2021-08-01T11:42:00Z">
        <w:r>
          <w:rPr>
            <w:b/>
          </w:rPr>
          <w:delText>“</w:delText>
        </w:r>
      </w:del>
      <w:r>
        <w:rPr>
          <w:rStyle w:val="CharDefText"/>
        </w:rPr>
        <w:t>minute</w:t>
      </w:r>
      <w:del w:id="102" w:author="Master Repository Process" w:date="2021-08-01T11:42:00Z">
        <w:r>
          <w:rPr>
            <w:b/>
          </w:rPr>
          <w:delText>”</w:delText>
        </w:r>
      </w:del>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spacing w:before="120"/>
        <w:rPr>
          <w:snapToGrid w:val="0"/>
        </w:rPr>
      </w:pPr>
      <w:r>
        <w:rPr>
          <w:snapToGrid w:val="0"/>
        </w:rPr>
        <w:tab/>
        <w:t>(3)</w:t>
      </w:r>
      <w:r>
        <w:rPr>
          <w:snapToGrid w:val="0"/>
        </w:rPr>
        <w:tab/>
        <w:t>The Authority may before the expiration of the period referred to in subregulation (2) determine that a particular minute — </w:t>
      </w:r>
    </w:p>
    <w:p>
      <w:pPr>
        <w:pStyle w:val="Indenta"/>
        <w:rPr>
          <w:snapToGrid w:val="0"/>
        </w:rPr>
      </w:pPr>
      <w:r>
        <w:rPr>
          <w:snapToGrid w:val="0"/>
        </w:rPr>
        <w:tab/>
        <w:t>(a)</w:t>
      </w:r>
      <w:r>
        <w:rPr>
          <w:snapToGrid w:val="0"/>
        </w:rPr>
        <w:tab/>
        <w:t>relates to a matter that has yet to be resolved by the Authority; or</w:t>
      </w:r>
    </w:p>
    <w:p>
      <w:pPr>
        <w:pStyle w:val="Indenta"/>
        <w:rPr>
          <w:snapToGrid w:val="0"/>
        </w:rPr>
      </w:pPr>
      <w:r>
        <w:rPr>
          <w:snapToGrid w:val="0"/>
        </w:rPr>
        <w:tab/>
        <w:t>(b)</w:t>
      </w:r>
      <w:r>
        <w:rPr>
          <w:snapToGrid w:val="0"/>
        </w:rPr>
        <w:tab/>
        <w:t>contains information that the Authority considers to be confidential (whether for commercial reasons or otherwise),</w:t>
      </w:r>
    </w:p>
    <w:p>
      <w:pPr>
        <w:pStyle w:val="Subsection"/>
        <w:spacing w:before="120"/>
        <w:rPr>
          <w:snapToGrid w:val="0"/>
        </w:rPr>
      </w:pPr>
      <w:r>
        <w:rPr>
          <w:snapToGrid w:val="0"/>
        </w:rPr>
        <w:tab/>
      </w:r>
      <w:r>
        <w:rPr>
          <w:snapToGrid w:val="0"/>
        </w:rPr>
        <w:tab/>
        <w:t>and stamp the minute accordingly.</w:t>
      </w:r>
    </w:p>
    <w:p>
      <w:pPr>
        <w:pStyle w:val="Subsection"/>
        <w:spacing w:before="120"/>
        <w:rPr>
          <w:snapToGrid w:val="0"/>
        </w:rPr>
      </w:pPr>
      <w:r>
        <w:rPr>
          <w:snapToGrid w:val="0"/>
        </w:rPr>
        <w:tab/>
        <w:t>(4)</w:t>
      </w:r>
      <w:r>
        <w:rPr>
          <w:snapToGrid w:val="0"/>
        </w:rPr>
        <w:tab/>
        <w:t>A minute that is the subject of a determination referred to — </w:t>
      </w:r>
    </w:p>
    <w:p>
      <w:pPr>
        <w:pStyle w:val="Indenta"/>
        <w:rPr>
          <w:snapToGrid w:val="0"/>
        </w:rPr>
      </w:pPr>
      <w:r>
        <w:rPr>
          <w:snapToGrid w:val="0"/>
        </w:rPr>
        <w:tab/>
        <w:t>(a)</w:t>
      </w:r>
      <w:r>
        <w:rPr>
          <w:snapToGrid w:val="0"/>
        </w:rPr>
        <w:tab/>
        <w:t>in subregulation (3)(a) is to be made available for public inspection after the expiration of 12 months from the day on which the minute was made; and</w:t>
      </w:r>
    </w:p>
    <w:p>
      <w:pPr>
        <w:pStyle w:val="Indenta"/>
        <w:rPr>
          <w:snapToGrid w:val="0"/>
        </w:rPr>
      </w:pPr>
      <w:r>
        <w:rPr>
          <w:snapToGrid w:val="0"/>
        </w:rPr>
        <w:tab/>
        <w:t>(b)</w:t>
      </w:r>
      <w:r>
        <w:rPr>
          <w:snapToGrid w:val="0"/>
        </w:rPr>
        <w:tab/>
        <w:t>in subregulation (3)(b) is to be made available for public inspection after the expiration of 5 years from the day on which the minute was made.</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 xml:space="preserve">2; amended in Gazette 11 Dec 1998 p. 6598; 29 Sep 2006 p. 4261.] </w:t>
      </w:r>
    </w:p>
    <w:p>
      <w:pPr>
        <w:pStyle w:val="Heading5"/>
        <w:rPr>
          <w:snapToGrid w:val="0"/>
        </w:rPr>
      </w:pPr>
      <w:bookmarkStart w:id="103" w:name="_Toc448822557"/>
      <w:bookmarkStart w:id="104" w:name="_Toc448822683"/>
      <w:bookmarkStart w:id="105" w:name="_Toc503260552"/>
      <w:bookmarkStart w:id="106" w:name="_Toc12076655"/>
      <w:bookmarkStart w:id="107" w:name="_Toc12952171"/>
      <w:bookmarkStart w:id="108" w:name="_Toc122232883"/>
      <w:bookmarkStart w:id="109" w:name="_Toc202254148"/>
      <w:bookmarkStart w:id="110" w:name="_Toc181497481"/>
      <w:r>
        <w:rPr>
          <w:rStyle w:val="CharSectno"/>
        </w:rPr>
        <w:t>2C</w:t>
      </w:r>
      <w:r>
        <w:rPr>
          <w:snapToGrid w:val="0"/>
        </w:rPr>
        <w:t xml:space="preserve">. </w:t>
      </w:r>
      <w:r>
        <w:rPr>
          <w:snapToGrid w:val="0"/>
        </w:rPr>
        <w:tab/>
        <w:t>Proposals of prescribed class</w:t>
      </w:r>
      <w:bookmarkEnd w:id="103"/>
      <w:bookmarkEnd w:id="104"/>
      <w:bookmarkEnd w:id="105"/>
      <w:bookmarkEnd w:id="106"/>
      <w:bookmarkEnd w:id="107"/>
      <w:bookmarkEnd w:id="108"/>
      <w:bookmarkEnd w:id="109"/>
      <w:bookmarkEnd w:id="110"/>
      <w:r>
        <w:rPr>
          <w:snapToGrid w:val="0"/>
        </w:rPr>
        <w:t xml:space="preserve"> </w:t>
      </w:r>
    </w:p>
    <w:p>
      <w:pPr>
        <w:pStyle w:val="Subsection"/>
        <w:spacing w:before="120"/>
        <w:rPr>
          <w:snapToGrid w:val="0"/>
        </w:rPr>
      </w:pPr>
      <w:r>
        <w:rPr>
          <w:snapToGrid w:val="0"/>
        </w:rPr>
        <w:tab/>
      </w:r>
      <w:r>
        <w:rPr>
          <w:snapToGrid w:val="0"/>
        </w:rPr>
        <w:tab/>
        <w:t>For the purposes of section 38(1) and (3) of the principal Act, a proposal which involves a significant —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 xml:space="preserve">[Regulation 2C inserted in Gazette 11 Oct 1996 p. 5395.] </w:t>
      </w:r>
    </w:p>
    <w:p>
      <w:pPr>
        <w:pStyle w:val="Heading5"/>
        <w:rPr>
          <w:snapToGrid w:val="0"/>
        </w:rPr>
      </w:pPr>
      <w:bookmarkStart w:id="111" w:name="_Toc448822558"/>
      <w:bookmarkStart w:id="112" w:name="_Toc448822684"/>
      <w:bookmarkStart w:id="113" w:name="_Toc503260553"/>
      <w:bookmarkStart w:id="114" w:name="_Toc12076656"/>
      <w:bookmarkStart w:id="115" w:name="_Toc12952172"/>
      <w:bookmarkStart w:id="116" w:name="_Toc122232884"/>
      <w:bookmarkStart w:id="117" w:name="_Toc202254149"/>
      <w:bookmarkStart w:id="118" w:name="_Toc181497482"/>
      <w:r>
        <w:rPr>
          <w:rStyle w:val="CharSectno"/>
        </w:rPr>
        <w:t>3</w:t>
      </w:r>
      <w:r>
        <w:rPr>
          <w:snapToGrid w:val="0"/>
        </w:rPr>
        <w:t>.</w:t>
      </w:r>
      <w:r>
        <w:rPr>
          <w:snapToGrid w:val="0"/>
        </w:rPr>
        <w:tab/>
        <w:t>Public records of proposals</w:t>
      </w:r>
      <w:bookmarkEnd w:id="111"/>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Authority shall in a public record of a proposal kept by it under section 39(1) of the Act set out —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 xml:space="preserve">[Regulation 3 amended in Gazette 24 Jan 1992 p. 362; 11 Dec 1998 p. 6598.] </w:t>
      </w:r>
    </w:p>
    <w:p>
      <w:pPr>
        <w:pStyle w:val="Heading5"/>
      </w:pPr>
      <w:bookmarkStart w:id="119" w:name="_Toc448822559"/>
      <w:bookmarkStart w:id="120" w:name="_Toc448822685"/>
      <w:bookmarkStart w:id="121" w:name="_Toc503260554"/>
      <w:bookmarkStart w:id="122" w:name="_Toc12076657"/>
      <w:bookmarkStart w:id="123" w:name="_Toc12952173"/>
      <w:bookmarkStart w:id="124" w:name="_Toc122232885"/>
      <w:bookmarkStart w:id="125" w:name="_Toc202254150"/>
      <w:bookmarkStart w:id="126" w:name="_Toc181497483"/>
      <w:r>
        <w:rPr>
          <w:rStyle w:val="CharSectno"/>
        </w:rPr>
        <w:t>3A</w:t>
      </w:r>
      <w:r>
        <w:t>.</w:t>
      </w:r>
      <w:r>
        <w:tab/>
        <w:t>Prescribed number of copies of report by Authority</w:t>
      </w:r>
      <w:bookmarkEnd w:id="119"/>
      <w:bookmarkEnd w:id="120"/>
      <w:bookmarkEnd w:id="121"/>
      <w:bookmarkEnd w:id="122"/>
      <w:bookmarkEnd w:id="123"/>
      <w:bookmarkEnd w:id="124"/>
      <w:bookmarkEnd w:id="125"/>
      <w:bookmarkEnd w:id="126"/>
    </w:p>
    <w:p>
      <w:pPr>
        <w:pStyle w:val="Subsection"/>
      </w:pPr>
      <w:r>
        <w:tab/>
      </w:r>
      <w:r>
        <w:tab/>
        <w:t xml:space="preserve">For </w:t>
      </w:r>
      <w:r>
        <w:rPr>
          <w:snapToGrid w:val="0"/>
        </w:rPr>
        <w:t>the</w:t>
      </w:r>
      <w:r>
        <w:t xml:space="preserve"> purposes of section 44(1) of the Act the prescribed number of copies is 4.</w:t>
      </w:r>
    </w:p>
    <w:p>
      <w:pPr>
        <w:pStyle w:val="Footnotesection"/>
      </w:pPr>
      <w:r>
        <w:tab/>
        <w:t>[Regulation 3A inserted in Gazette 11 Dec 1998 p. 6599.]</w:t>
      </w:r>
    </w:p>
    <w:p>
      <w:pPr>
        <w:pStyle w:val="Heading2"/>
      </w:pPr>
      <w:bookmarkStart w:id="127" w:name="_Toc75588354"/>
      <w:bookmarkStart w:id="128" w:name="_Toc76894901"/>
      <w:bookmarkStart w:id="129" w:name="_Toc85279786"/>
      <w:bookmarkStart w:id="130" w:name="_Toc88903646"/>
      <w:bookmarkStart w:id="131" w:name="_Toc88962235"/>
      <w:bookmarkStart w:id="132" w:name="_Toc94320158"/>
      <w:bookmarkStart w:id="133" w:name="_Toc94330994"/>
      <w:bookmarkStart w:id="134" w:name="_Toc94331106"/>
      <w:bookmarkStart w:id="135" w:name="_Toc94428590"/>
      <w:bookmarkStart w:id="136" w:name="_Toc97455569"/>
      <w:bookmarkStart w:id="137" w:name="_Toc97457360"/>
      <w:bookmarkStart w:id="138" w:name="_Toc97630157"/>
      <w:bookmarkStart w:id="139" w:name="_Toc98053302"/>
      <w:bookmarkStart w:id="140" w:name="_Toc99962288"/>
      <w:bookmarkStart w:id="141" w:name="_Toc122159386"/>
      <w:bookmarkStart w:id="142" w:name="_Toc122232710"/>
      <w:bookmarkStart w:id="143" w:name="_Toc122232886"/>
      <w:bookmarkStart w:id="144" w:name="_Toc147220520"/>
      <w:bookmarkStart w:id="145" w:name="_Toc147223873"/>
      <w:bookmarkStart w:id="146" w:name="_Toc165444908"/>
      <w:bookmarkStart w:id="147" w:name="_Toc170557688"/>
      <w:bookmarkStart w:id="148" w:name="_Toc170795079"/>
      <w:bookmarkStart w:id="149" w:name="_Toc172709179"/>
      <w:bookmarkStart w:id="150" w:name="_Toc172964663"/>
      <w:bookmarkStart w:id="151" w:name="_Toc174158380"/>
      <w:bookmarkStart w:id="152" w:name="_Toc174358933"/>
      <w:bookmarkStart w:id="153" w:name="_Toc174518524"/>
      <w:bookmarkStart w:id="154" w:name="_Toc176170469"/>
      <w:bookmarkStart w:id="155" w:name="_Toc181431028"/>
      <w:bookmarkStart w:id="156" w:name="_Toc181497484"/>
      <w:bookmarkStart w:id="157" w:name="_Toc202254151"/>
      <w:r>
        <w:rPr>
          <w:rStyle w:val="CharPartNo"/>
        </w:rPr>
        <w:t>Part 3</w:t>
      </w:r>
      <w:r>
        <w:rPr>
          <w:rStyle w:val="CharDivNo"/>
        </w:rPr>
        <w:t> </w:t>
      </w:r>
      <w:r>
        <w:t>—</w:t>
      </w:r>
      <w:r>
        <w:rPr>
          <w:rStyle w:val="CharDivText"/>
        </w:rPr>
        <w:t> </w:t>
      </w:r>
      <w:r>
        <w:rPr>
          <w:rStyle w:val="CharPartText"/>
        </w:rPr>
        <w:t>Control of pollution generally</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158" w:name="_Toc448822560"/>
      <w:bookmarkStart w:id="159" w:name="_Toc448822686"/>
      <w:bookmarkStart w:id="160" w:name="_Toc503260555"/>
      <w:bookmarkStart w:id="161" w:name="_Toc12076658"/>
      <w:bookmarkStart w:id="162" w:name="_Toc12952174"/>
      <w:bookmarkStart w:id="163" w:name="_Toc122232887"/>
      <w:bookmarkStart w:id="164" w:name="_Toc202254152"/>
      <w:bookmarkStart w:id="165" w:name="_Toc181497485"/>
      <w:r>
        <w:rPr>
          <w:rStyle w:val="CharSectno"/>
        </w:rPr>
        <w:t>4</w:t>
      </w:r>
      <w:r>
        <w:rPr>
          <w:snapToGrid w:val="0"/>
        </w:rPr>
        <w:t>.</w:t>
      </w:r>
      <w:r>
        <w:rPr>
          <w:snapToGrid w:val="0"/>
        </w:rPr>
        <w:tab/>
      </w:r>
      <w:bookmarkEnd w:id="158"/>
      <w:bookmarkEnd w:id="159"/>
      <w:bookmarkEnd w:id="160"/>
      <w:bookmarkEnd w:id="161"/>
      <w:bookmarkEnd w:id="162"/>
      <w:bookmarkEnd w:id="163"/>
      <w:r>
        <w:rPr>
          <w:snapToGrid w:val="0"/>
        </w:rPr>
        <w:t>Terms used in this Part</w:t>
      </w:r>
      <w:bookmarkEnd w:id="164"/>
      <w:bookmarkEnd w:id="165"/>
    </w:p>
    <w:p>
      <w:pPr>
        <w:pStyle w:val="Subsection"/>
        <w:spacing w:before="120"/>
        <w:rPr>
          <w:snapToGrid w:val="0"/>
        </w:rPr>
      </w:pPr>
      <w:r>
        <w:rPr>
          <w:snapToGrid w:val="0"/>
        </w:rPr>
        <w:tab/>
        <w:t>(1)</w:t>
      </w:r>
      <w:r>
        <w:rPr>
          <w:snapToGrid w:val="0"/>
        </w:rPr>
        <w:tab/>
        <w:t>In this Part, unless the contrary intention appears — </w:t>
      </w:r>
    </w:p>
    <w:p>
      <w:pPr>
        <w:pStyle w:val="Defstart"/>
      </w:pPr>
      <w:r>
        <w:rPr>
          <w:b/>
        </w:rPr>
        <w:tab/>
      </w:r>
      <w:del w:id="166" w:author="Master Repository Process" w:date="2021-08-01T11:42:00Z">
        <w:r>
          <w:rPr>
            <w:b/>
          </w:rPr>
          <w:delText>“</w:delText>
        </w:r>
      </w:del>
      <w:r>
        <w:rPr>
          <w:rStyle w:val="CharDefText"/>
        </w:rPr>
        <w:t>best practice criteria</w:t>
      </w:r>
      <w:del w:id="167" w:author="Master Repository Process" w:date="2021-08-01T11:42:00Z">
        <w:r>
          <w:rPr>
            <w:b/>
          </w:rPr>
          <w:delText>”</w:delText>
        </w:r>
      </w:del>
      <w:r>
        <w:t xml:space="preserve"> means criteria specified by the Chief Executive Officer that require the establishment and implementation of — </w:t>
      </w:r>
    </w:p>
    <w:p>
      <w:pPr>
        <w:pStyle w:val="Defpara"/>
      </w:pPr>
      <w:r>
        <w:tab/>
        <w:t>(a)</w:t>
      </w:r>
      <w:r>
        <w:tab/>
        <w:t>an environmental policy;</w:t>
      </w:r>
    </w:p>
    <w:p>
      <w:pPr>
        <w:pStyle w:val="Defpara"/>
      </w:pPr>
      <w:r>
        <w:tab/>
        <w:t>(b)</w:t>
      </w:r>
      <w:r>
        <w:tab/>
        <w:t>environmental performance objectives;</w:t>
      </w:r>
    </w:p>
    <w:p>
      <w:pPr>
        <w:pStyle w:val="Defpara"/>
      </w:pPr>
      <w:r>
        <w:tab/>
        <w:t>(c)</w:t>
      </w:r>
      <w:r>
        <w:tab/>
        <w:t>continual improvement programmes;</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del w:id="168" w:author="Master Repository Process" w:date="2021-08-01T11:42:00Z">
        <w:r>
          <w:rPr>
            <w:b/>
          </w:rPr>
          <w:delText>“</w:delText>
        </w:r>
      </w:del>
      <w:r>
        <w:rPr>
          <w:rStyle w:val="CharDefText"/>
        </w:rPr>
        <w:t>category</w:t>
      </w:r>
      <w:del w:id="169" w:author="Master Repository Process" w:date="2021-08-01T11:42:00Z">
        <w:r>
          <w:rPr>
            <w:b/>
          </w:rPr>
          <w:delText>”</w:delText>
        </w:r>
      </w:del>
      <w:r>
        <w:t xml:space="preserve"> means a category of premises specified in Schedule 1;</w:t>
      </w:r>
    </w:p>
    <w:p>
      <w:pPr>
        <w:pStyle w:val="Defstart"/>
      </w:pPr>
      <w:r>
        <w:rPr>
          <w:b/>
        </w:rPr>
        <w:tab/>
      </w:r>
      <w:del w:id="170" w:author="Master Repository Process" w:date="2021-08-01T11:42:00Z">
        <w:r>
          <w:rPr>
            <w:b/>
          </w:rPr>
          <w:delText>“</w:delText>
        </w:r>
      </w:del>
      <w:r>
        <w:rPr>
          <w:rStyle w:val="CharDefText"/>
        </w:rPr>
        <w:t>licence</w:t>
      </w:r>
      <w:del w:id="171" w:author="Master Repository Process" w:date="2021-08-01T11:42:00Z">
        <w:r>
          <w:rPr>
            <w:b/>
          </w:rPr>
          <w:delText>”</w:delText>
        </w:r>
      </w:del>
      <w:r>
        <w:t xml:space="preserve"> means a licence under Part V of the Act;</w:t>
      </w:r>
    </w:p>
    <w:p>
      <w:pPr>
        <w:pStyle w:val="Defstart"/>
      </w:pPr>
      <w:r>
        <w:rPr>
          <w:b/>
        </w:rPr>
        <w:tab/>
      </w:r>
      <w:del w:id="172" w:author="Master Repository Process" w:date="2021-08-01T11:42:00Z">
        <w:r>
          <w:rPr>
            <w:b/>
          </w:rPr>
          <w:delText>“</w:delText>
        </w:r>
      </w:del>
      <w:r>
        <w:rPr>
          <w:rStyle w:val="CharDefText"/>
        </w:rPr>
        <w:t>licence period</w:t>
      </w:r>
      <w:del w:id="173" w:author="Master Repository Process" w:date="2021-08-01T11:42:00Z">
        <w:r>
          <w:rPr>
            <w:b/>
          </w:rPr>
          <w:delText>”</w:delText>
        </w:r>
      </w:del>
      <w:r>
        <w:t xml:space="preserve"> means —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Next/>
        <w:keepLines/>
        <w:spacing w:before="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spacing w:before="120"/>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32.00</w:t>
            </w:r>
          </w:p>
        </w:tc>
      </w:tr>
      <w:tr>
        <w:tc>
          <w:tcPr>
            <w:tcW w:w="4263" w:type="dxa"/>
          </w:tcPr>
          <w:p>
            <w:pPr>
              <w:pStyle w:val="Table"/>
            </w:pPr>
            <w:r>
              <w:t>Beginning on 1 July 2008 and ending on 30 June 2009</w:t>
            </w:r>
          </w:p>
        </w:tc>
        <w:tc>
          <w:tcPr>
            <w:tcW w:w="1616" w:type="dxa"/>
          </w:tcPr>
          <w:p>
            <w:pPr>
              <w:pStyle w:val="Table"/>
            </w:pPr>
            <w:r>
              <w:br/>
            </w:r>
            <w:r>
              <w:tab/>
              <w:t>35.00</w:t>
            </w:r>
          </w:p>
        </w:tc>
      </w:tr>
      <w:tr>
        <w:tc>
          <w:tcPr>
            <w:tcW w:w="4263" w:type="dxa"/>
          </w:tcPr>
          <w:p>
            <w:pPr>
              <w:pStyle w:val="Table"/>
            </w:pPr>
            <w:r>
              <w:t>Beginning on 1 July 2009 and ending on 30 June 2010</w:t>
            </w:r>
          </w:p>
        </w:tc>
        <w:tc>
          <w:tcPr>
            <w:tcW w:w="1616" w:type="dxa"/>
          </w:tcPr>
          <w:p>
            <w:pPr>
              <w:pStyle w:val="Table"/>
            </w:pPr>
            <w:r>
              <w:br/>
            </w:r>
            <w:r>
              <w:tab/>
              <w:t>36.40</w:t>
            </w:r>
          </w:p>
        </w:tc>
      </w:tr>
      <w:tr>
        <w:tc>
          <w:tcPr>
            <w:tcW w:w="4263" w:type="dxa"/>
          </w:tcPr>
          <w:p>
            <w:pPr>
              <w:pStyle w:val="Table"/>
            </w:pPr>
            <w:r>
              <w:t>Beginning on 1 July 2010 and ending on 30 June 2011</w:t>
            </w:r>
          </w:p>
        </w:tc>
        <w:tc>
          <w:tcPr>
            <w:tcW w:w="1616" w:type="dxa"/>
          </w:tcPr>
          <w:p>
            <w:pPr>
              <w:pStyle w:val="Table"/>
            </w:pPr>
            <w:r>
              <w:br/>
            </w:r>
            <w:r>
              <w:tab/>
              <w:t>37.90</w:t>
            </w:r>
          </w:p>
        </w:tc>
      </w:tr>
      <w:tr>
        <w:tc>
          <w:tcPr>
            <w:tcW w:w="4263" w:type="dxa"/>
          </w:tcPr>
          <w:p>
            <w:pPr>
              <w:pStyle w:val="Table"/>
            </w:pPr>
            <w:r>
              <w:t>Beginning on 1 July 2011 and ending on 30 June 2012</w:t>
            </w:r>
          </w:p>
        </w:tc>
        <w:tc>
          <w:tcPr>
            <w:tcW w:w="1616" w:type="dxa"/>
          </w:tcPr>
          <w:p>
            <w:pPr>
              <w:pStyle w:val="Table"/>
            </w:pPr>
            <w:r>
              <w:br/>
            </w:r>
            <w:r>
              <w:tab/>
              <w:t>39.40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41.00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 xml:space="preserve">41.] </w:t>
      </w:r>
    </w:p>
    <w:p>
      <w:pPr>
        <w:pStyle w:val="Heading5"/>
        <w:rPr>
          <w:snapToGrid w:val="0"/>
        </w:rPr>
      </w:pPr>
      <w:bookmarkStart w:id="174" w:name="_Toc448822561"/>
      <w:bookmarkStart w:id="175" w:name="_Toc448822687"/>
      <w:bookmarkStart w:id="176" w:name="_Toc503260556"/>
      <w:bookmarkStart w:id="177" w:name="_Toc12076659"/>
      <w:bookmarkStart w:id="178" w:name="_Toc12952175"/>
      <w:bookmarkStart w:id="179" w:name="_Toc122232888"/>
      <w:bookmarkStart w:id="180" w:name="_Toc202254153"/>
      <w:bookmarkStart w:id="181" w:name="_Toc181497486"/>
      <w:r>
        <w:rPr>
          <w:rStyle w:val="CharSectno"/>
        </w:rPr>
        <w:t>5</w:t>
      </w:r>
      <w:r>
        <w:rPr>
          <w:snapToGrid w:val="0"/>
        </w:rPr>
        <w:t>.</w:t>
      </w:r>
      <w:r>
        <w:rPr>
          <w:snapToGrid w:val="0"/>
        </w:rPr>
        <w:tab/>
        <w:t>Prescribed premises</w:t>
      </w:r>
      <w:bookmarkEnd w:id="174"/>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 xml:space="preserve">[Regulation 5 inserted in Gazette 13 Sep 1996 p. 4546.] </w:t>
      </w:r>
    </w:p>
    <w:p>
      <w:pPr>
        <w:pStyle w:val="Heading5"/>
        <w:rPr>
          <w:snapToGrid w:val="0"/>
        </w:rPr>
      </w:pPr>
      <w:bookmarkStart w:id="182" w:name="_Toc448822562"/>
      <w:bookmarkStart w:id="183" w:name="_Toc448822688"/>
      <w:bookmarkStart w:id="184" w:name="_Toc503260557"/>
      <w:bookmarkStart w:id="185" w:name="_Toc12076660"/>
      <w:bookmarkStart w:id="186" w:name="_Toc12952176"/>
      <w:bookmarkStart w:id="187" w:name="_Toc122232889"/>
      <w:bookmarkStart w:id="188" w:name="_Toc202254154"/>
      <w:bookmarkStart w:id="189" w:name="_Toc181497487"/>
      <w:r>
        <w:rPr>
          <w:rStyle w:val="CharSectno"/>
        </w:rPr>
        <w:t>5A</w:t>
      </w:r>
      <w:r>
        <w:rPr>
          <w:snapToGrid w:val="0"/>
        </w:rPr>
        <w:t>.</w:t>
      </w:r>
      <w:r>
        <w:rPr>
          <w:snapToGrid w:val="0"/>
        </w:rPr>
        <w:tab/>
        <w:t>Occupier of certain prescribed premises may apply for registration</w:t>
      </w:r>
      <w:bookmarkEnd w:id="182"/>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keepNext/>
        <w:keepLines/>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 xml:space="preserve">12.] </w:t>
      </w:r>
    </w:p>
    <w:p>
      <w:pPr>
        <w:pStyle w:val="Heading5"/>
        <w:rPr>
          <w:snapToGrid w:val="0"/>
        </w:rPr>
      </w:pPr>
      <w:bookmarkStart w:id="190" w:name="_Toc448822563"/>
      <w:bookmarkStart w:id="191" w:name="_Toc448822689"/>
      <w:bookmarkStart w:id="192" w:name="_Toc503260558"/>
      <w:bookmarkStart w:id="193" w:name="_Toc12076661"/>
      <w:bookmarkStart w:id="194" w:name="_Toc12952177"/>
      <w:bookmarkStart w:id="195" w:name="_Toc122232890"/>
      <w:bookmarkStart w:id="196" w:name="_Toc202254155"/>
      <w:bookmarkStart w:id="197" w:name="_Toc181497488"/>
      <w:r>
        <w:rPr>
          <w:rStyle w:val="CharSectno"/>
        </w:rPr>
        <w:t>5B</w:t>
      </w:r>
      <w:r>
        <w:rPr>
          <w:snapToGrid w:val="0"/>
        </w:rPr>
        <w:t>.</w:t>
      </w:r>
      <w:r>
        <w:rPr>
          <w:snapToGrid w:val="0"/>
        </w:rPr>
        <w:tab/>
        <w:t>Registration of premises</w:t>
      </w:r>
      <w:bookmarkEnd w:id="190"/>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An occupier of premises specified in Schedule 2 shall not operate the premises for the purposes described in that Schedule unless the premises are registered under this regulation.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An application for registration is to be — </w:t>
      </w:r>
    </w:p>
    <w:p>
      <w:pPr>
        <w:pStyle w:val="Indenta"/>
        <w:rPr>
          <w:snapToGrid w:val="0"/>
        </w:rPr>
      </w:pPr>
      <w:r>
        <w:rPr>
          <w:snapToGrid w:val="0"/>
        </w:rPr>
        <w:tab/>
        <w:t>(a)</w:t>
      </w:r>
      <w:r>
        <w:rPr>
          <w:snapToGrid w:val="0"/>
        </w:rPr>
        <w:tab/>
        <w:t>in a form approved by the Chief Executive Officer;</w:t>
      </w:r>
    </w:p>
    <w:p>
      <w:pPr>
        <w:pStyle w:val="Indenta"/>
      </w:pPr>
      <w:r>
        <w:tab/>
        <w:t>(ab)</w:t>
      </w:r>
      <w:r>
        <w:tab/>
        <w:t>made by the occupier of the premises;</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Subsection"/>
        <w:keepNext/>
        <w:spacing w:before="120"/>
        <w:rPr>
          <w:snapToGrid w:val="0"/>
        </w:rPr>
      </w:pPr>
      <w:r>
        <w:rPr>
          <w:snapToGrid w:val="0"/>
        </w:rPr>
        <w:tab/>
        <w:t>(6)</w:t>
      </w:r>
      <w:r>
        <w:rPr>
          <w:snapToGrid w:val="0"/>
        </w:rPr>
        <w:tab/>
        <w:t xml:space="preserve">A person who immediately before the commencement of the </w:t>
      </w:r>
      <w:r>
        <w:rPr>
          <w:i/>
          <w:snapToGrid w:val="0"/>
        </w:rPr>
        <w:t>Environmental Protection Amendment Regulations (No. 3) 1996 </w:t>
      </w:r>
      <w:r>
        <w:rPr>
          <w:snapToGrid w:val="0"/>
          <w:vertAlign w:val="superscript"/>
        </w:rPr>
        <w:t>1</w:t>
      </w:r>
      <w:r>
        <w:rPr>
          <w:snapToGrid w:val="0"/>
        </w:rPr>
        <w:t xml:space="preserve"> was the holder of a licence in respect of premises to which subregulation (1) applies is not required to apply for registration of those premises until the expiry of that licence.</w:t>
      </w:r>
    </w:p>
    <w:p>
      <w:pPr>
        <w:pStyle w:val="Footnotesection"/>
        <w:keepLines w:val="0"/>
      </w:pPr>
      <w:r>
        <w:tab/>
        <w:t>[Regulation 5B inserted in Gazette 13 Sep 1996 p. 4546</w:t>
      </w:r>
      <w:r>
        <w:noBreakHyphen/>
        <w:t xml:space="preserve">7; amended in Gazette 11 Dec 1998 p. 6599; 15 Aug 2000 p. 4712.] </w:t>
      </w:r>
    </w:p>
    <w:p>
      <w:pPr>
        <w:pStyle w:val="Heading5"/>
        <w:keepNext w:val="0"/>
        <w:keepLines w:val="0"/>
        <w:rPr>
          <w:snapToGrid w:val="0"/>
        </w:rPr>
      </w:pPr>
      <w:bookmarkStart w:id="198" w:name="_Toc448822564"/>
      <w:bookmarkStart w:id="199" w:name="_Toc448822690"/>
      <w:bookmarkStart w:id="200" w:name="_Toc503260559"/>
      <w:bookmarkStart w:id="201" w:name="_Toc12076662"/>
      <w:bookmarkStart w:id="202" w:name="_Toc12952178"/>
      <w:bookmarkStart w:id="203" w:name="_Toc122232891"/>
      <w:bookmarkStart w:id="204" w:name="_Toc202254156"/>
      <w:bookmarkStart w:id="205" w:name="_Toc181497489"/>
      <w:r>
        <w:rPr>
          <w:rStyle w:val="CharSectno"/>
        </w:rPr>
        <w:t>5C</w:t>
      </w:r>
      <w:r>
        <w:rPr>
          <w:snapToGrid w:val="0"/>
        </w:rPr>
        <w:t>.</w:t>
      </w:r>
      <w:r>
        <w:rPr>
          <w:snapToGrid w:val="0"/>
        </w:rPr>
        <w:tab/>
        <w:t>Works approval fee</w:t>
      </w:r>
      <w:bookmarkEnd w:id="198"/>
      <w:bookmarkEnd w:id="199"/>
      <w:bookmarkEnd w:id="200"/>
      <w:bookmarkEnd w:id="201"/>
      <w:bookmarkEnd w:id="202"/>
      <w:bookmarkEnd w:id="203"/>
      <w:bookmarkEnd w:id="204"/>
      <w:bookmarkEnd w:id="205"/>
      <w:r>
        <w:rPr>
          <w:snapToGrid w:val="0"/>
        </w:rPr>
        <w:t xml:space="preserve"> </w:t>
      </w:r>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 </w:t>
      </w:r>
    </w:p>
    <w:p>
      <w:pPr>
        <w:pStyle w:val="Indenta"/>
        <w:rPr>
          <w:snapToGrid w:val="0"/>
        </w:rPr>
      </w:pPr>
      <w:r>
        <w:rPr>
          <w:snapToGrid w:val="0"/>
        </w:rPr>
        <w:tab/>
        <w:t>(a)</w:t>
      </w:r>
      <w:r>
        <w:rPr>
          <w:snapToGrid w:val="0"/>
        </w:rPr>
        <w:tab/>
        <w:t>the cost of land;</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pPr>
      <w:r>
        <w:tab/>
        <w:t xml:space="preserve">[Regulation 5C inserted in Gazette 13 Sep 1996 p. 4547; amended in Gazette 15 Aug 2000 p. 4712.] </w:t>
      </w:r>
    </w:p>
    <w:p>
      <w:pPr>
        <w:pStyle w:val="Heading5"/>
      </w:pPr>
      <w:bookmarkStart w:id="206" w:name="_Toc503260560"/>
      <w:bookmarkStart w:id="207" w:name="_Toc12076663"/>
      <w:bookmarkStart w:id="208" w:name="_Toc12952179"/>
      <w:bookmarkStart w:id="209" w:name="_Toc122232892"/>
      <w:bookmarkStart w:id="210" w:name="_Toc202254157"/>
      <w:bookmarkStart w:id="211" w:name="_Toc181497490"/>
      <w:bookmarkStart w:id="212" w:name="_Toc448822565"/>
      <w:bookmarkStart w:id="213" w:name="_Toc448822691"/>
      <w:r>
        <w:rPr>
          <w:rStyle w:val="CharSectno"/>
        </w:rPr>
        <w:t>5CA</w:t>
      </w:r>
      <w:r>
        <w:t>.</w:t>
      </w:r>
      <w:r>
        <w:tab/>
        <w:t>Waiver of fee for works approval where best practice criteria met</w:t>
      </w:r>
      <w:bookmarkEnd w:id="206"/>
      <w:bookmarkEnd w:id="207"/>
      <w:bookmarkEnd w:id="208"/>
      <w:bookmarkEnd w:id="209"/>
      <w:bookmarkEnd w:id="210"/>
      <w:bookmarkEnd w:id="211"/>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pPr>
      <w:r>
        <w:tab/>
        <w:t>[Regulation 5CA inserted in Gazette 15 Aug 2000 p. 4713.]</w:t>
      </w:r>
    </w:p>
    <w:p>
      <w:pPr>
        <w:pStyle w:val="Heading5"/>
      </w:pPr>
      <w:bookmarkStart w:id="214" w:name="_Toc122232893"/>
      <w:bookmarkStart w:id="215" w:name="_Toc202254158"/>
      <w:bookmarkStart w:id="216" w:name="_Toc181497491"/>
      <w:bookmarkStart w:id="217" w:name="_Toc503260561"/>
      <w:bookmarkStart w:id="218" w:name="_Toc12076664"/>
      <w:bookmarkStart w:id="219" w:name="_Toc12952180"/>
      <w:r>
        <w:rPr>
          <w:rStyle w:val="CharSectno"/>
        </w:rPr>
        <w:t>5CAA</w:t>
      </w:r>
      <w:r>
        <w:t>.</w:t>
      </w:r>
      <w:r>
        <w:tab/>
        <w:t>Advertising applications for works approvals</w:t>
      </w:r>
      <w:bookmarkEnd w:id="214"/>
      <w:bookmarkEnd w:id="215"/>
      <w:bookmarkEnd w:id="216"/>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keepNext/>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220" w:name="_Toc122232894"/>
      <w:bookmarkStart w:id="221" w:name="_Toc202254159"/>
      <w:bookmarkStart w:id="222" w:name="_Toc181497492"/>
      <w:r>
        <w:rPr>
          <w:rStyle w:val="CharSectno"/>
        </w:rPr>
        <w:t>5CB</w:t>
      </w:r>
      <w:r>
        <w:t>.</w:t>
      </w:r>
      <w:r>
        <w:tab/>
        <w:t>Application for renewal of licence</w:t>
      </w:r>
      <w:bookmarkEnd w:id="220"/>
      <w:bookmarkEnd w:id="221"/>
      <w:bookmarkEnd w:id="222"/>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223" w:name="_Toc122232895"/>
      <w:bookmarkStart w:id="224" w:name="_Toc202254160"/>
      <w:bookmarkStart w:id="225" w:name="_Toc181497493"/>
      <w:r>
        <w:rPr>
          <w:rStyle w:val="CharSectno"/>
        </w:rPr>
        <w:t>5D</w:t>
      </w:r>
      <w:r>
        <w:rPr>
          <w:snapToGrid w:val="0"/>
        </w:rPr>
        <w:t>.</w:t>
      </w:r>
      <w:r>
        <w:rPr>
          <w:snapToGrid w:val="0"/>
        </w:rPr>
        <w:tab/>
        <w:t>Licence fee</w:t>
      </w:r>
      <w:bookmarkEnd w:id="212"/>
      <w:bookmarkEnd w:id="213"/>
      <w:bookmarkEnd w:id="217"/>
      <w:bookmarkEnd w:id="218"/>
      <w:bookmarkEnd w:id="219"/>
      <w:bookmarkEnd w:id="223"/>
      <w:bookmarkEnd w:id="224"/>
      <w:bookmarkEnd w:id="225"/>
      <w:r>
        <w:rPr>
          <w:snapToGrid w:val="0"/>
        </w:rPr>
        <w:t xml:space="preserve"> </w:t>
      </w:r>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 xml:space="preserve">he amount for a financial year is the sum of the paragraph (a) amount and the larger of the paragraph (b) amount and the paragraph (c) amount —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 xml:space="preserve">In this regulation and Schedule 4 — </w:t>
      </w:r>
    </w:p>
    <w:p>
      <w:pPr>
        <w:pStyle w:val="Defstart"/>
      </w:pPr>
      <w:r>
        <w:rPr>
          <w:b/>
        </w:rPr>
        <w:tab/>
      </w:r>
      <w:del w:id="226" w:author="Master Repository Process" w:date="2021-08-01T11:42:00Z">
        <w:r>
          <w:rPr>
            <w:b/>
          </w:rPr>
          <w:delText>“</w:delText>
        </w:r>
      </w:del>
      <w:r>
        <w:rPr>
          <w:rStyle w:val="CharDefText"/>
        </w:rPr>
        <w:t>Part 2 waste</w:t>
      </w:r>
      <w:del w:id="227" w:author="Master Repository Process" w:date="2021-08-01T11:42:00Z">
        <w:r>
          <w:rPr>
            <w:b/>
          </w:rPr>
          <w:delText>”</w:delText>
        </w:r>
      </w:del>
      <w:r>
        <w:t xml:space="preserve"> means waste consisting of — </w:t>
      </w:r>
    </w:p>
    <w:p>
      <w:pPr>
        <w:pStyle w:val="Defpara"/>
      </w:pPr>
      <w:r>
        <w:tab/>
        <w:t>(a)</w:t>
      </w:r>
      <w:r>
        <w:tab/>
        <w:t xml:space="preserve">tailings; </w:t>
      </w:r>
    </w:p>
    <w:p>
      <w:pPr>
        <w:pStyle w:val="Defpara"/>
      </w:pPr>
      <w:r>
        <w:tab/>
        <w:t>(b)</w:t>
      </w:r>
      <w:r>
        <w:tab/>
        <w:t xml:space="preserve">bitterns; </w:t>
      </w:r>
    </w:p>
    <w:p>
      <w:pPr>
        <w:pStyle w:val="Defpara"/>
      </w:pPr>
      <w:r>
        <w:tab/>
        <w:t>(c)</w:t>
      </w:r>
      <w:r>
        <w:tab/>
        <w:t>water to allow mining of ore;</w:t>
      </w:r>
    </w:p>
    <w:p>
      <w:pPr>
        <w:pStyle w:val="Defpara"/>
      </w:pPr>
      <w:r>
        <w:tab/>
        <w:t>(d)</w:t>
      </w:r>
      <w:r>
        <w:tab/>
        <w:t xml:space="preserve">flyash; or </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 xml:space="preserve">5; 13 Dec 2005 p. 5982-3; 22 Jun 2007 p. 2841.] </w:t>
      </w:r>
    </w:p>
    <w:p>
      <w:pPr>
        <w:pStyle w:val="Heading5"/>
      </w:pPr>
      <w:bookmarkStart w:id="228" w:name="_Toc122232896"/>
      <w:bookmarkStart w:id="229" w:name="_Toc202254161"/>
      <w:bookmarkStart w:id="230" w:name="_Toc181497494"/>
      <w:bookmarkStart w:id="231" w:name="_Toc448822566"/>
      <w:bookmarkStart w:id="232" w:name="_Toc448822692"/>
      <w:bookmarkStart w:id="233" w:name="_Toc503260562"/>
      <w:bookmarkStart w:id="234" w:name="_Toc12076665"/>
      <w:bookmarkStart w:id="235" w:name="_Toc12952181"/>
      <w:r>
        <w:rPr>
          <w:rStyle w:val="CharSectno"/>
        </w:rPr>
        <w:t>5DA</w:t>
      </w:r>
      <w:r>
        <w:t>.</w:t>
      </w:r>
      <w:r>
        <w:tab/>
        <w:t>Payment of licence fees</w:t>
      </w:r>
      <w:bookmarkEnd w:id="228"/>
      <w:bookmarkEnd w:id="229"/>
      <w:bookmarkEnd w:id="230"/>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236" w:name="_Toc122232897"/>
      <w:bookmarkStart w:id="237" w:name="_Toc202254162"/>
      <w:bookmarkStart w:id="238" w:name="_Toc181497495"/>
      <w:r>
        <w:rPr>
          <w:rStyle w:val="CharSectno"/>
        </w:rPr>
        <w:t>5E</w:t>
      </w:r>
      <w:r>
        <w:rPr>
          <w:snapToGrid w:val="0"/>
        </w:rPr>
        <w:t>.</w:t>
      </w:r>
      <w:r>
        <w:rPr>
          <w:snapToGrid w:val="0"/>
        </w:rPr>
        <w:tab/>
        <w:t>Determination of amount under Part 3 of Schedule 4</w:t>
      </w:r>
      <w:bookmarkEnd w:id="231"/>
      <w:bookmarkEnd w:id="232"/>
      <w:bookmarkEnd w:id="233"/>
      <w:bookmarkEnd w:id="234"/>
      <w:bookmarkEnd w:id="235"/>
      <w:bookmarkEnd w:id="236"/>
      <w:bookmarkEnd w:id="237"/>
      <w:bookmarkEnd w:id="238"/>
      <w:r>
        <w:rPr>
          <w:snapToGrid w:val="0"/>
        </w:rPr>
        <w:t xml:space="preserve"> </w:t>
      </w:r>
    </w:p>
    <w:p>
      <w:pPr>
        <w:pStyle w:val="Subsection"/>
        <w:spacing w:before="180"/>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spacing w:before="180"/>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spacing w:before="180"/>
        <w:rPr>
          <w:snapToGrid w:val="0"/>
        </w:rPr>
      </w:pPr>
      <w:r>
        <w:rPr>
          <w:snapToGrid w:val="0"/>
        </w:rPr>
        <w:tab/>
        <w:t>(3)</w:t>
      </w:r>
      <w:r>
        <w:rPr>
          <w:snapToGrid w:val="0"/>
        </w:rPr>
        <w:tab/>
        <w:t>If, in respect of an application for a licence, the Chief Executive Officer is satisfied that —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spacing w:before="180"/>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spacing w:before="180"/>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 xml:space="preserve">7; 22 Jun 2007 p. 2841.] </w:t>
      </w:r>
    </w:p>
    <w:p>
      <w:pPr>
        <w:pStyle w:val="Heading5"/>
        <w:spacing w:before="260"/>
        <w:rPr>
          <w:snapToGrid w:val="0"/>
        </w:rPr>
      </w:pPr>
      <w:bookmarkStart w:id="239" w:name="_Toc448822567"/>
      <w:bookmarkStart w:id="240" w:name="_Toc448822693"/>
      <w:bookmarkStart w:id="241" w:name="_Toc503260563"/>
      <w:bookmarkStart w:id="242" w:name="_Toc12076666"/>
      <w:bookmarkStart w:id="243" w:name="_Toc12952182"/>
      <w:bookmarkStart w:id="244" w:name="_Toc122232898"/>
      <w:bookmarkStart w:id="245" w:name="_Toc202254163"/>
      <w:bookmarkStart w:id="246" w:name="_Toc181497496"/>
      <w:r>
        <w:rPr>
          <w:rStyle w:val="CharSectno"/>
        </w:rPr>
        <w:t>5EA</w:t>
      </w:r>
      <w:r>
        <w:rPr>
          <w:snapToGrid w:val="0"/>
        </w:rPr>
        <w:t>.</w:t>
      </w:r>
      <w:r>
        <w:rPr>
          <w:snapToGrid w:val="0"/>
        </w:rPr>
        <w:tab/>
        <w:t>Waiver of fee components where best practice criteria met</w:t>
      </w:r>
      <w:bookmarkEnd w:id="239"/>
      <w:bookmarkEnd w:id="240"/>
      <w:bookmarkEnd w:id="241"/>
      <w:bookmarkEnd w:id="242"/>
      <w:bookmarkEnd w:id="243"/>
      <w:bookmarkEnd w:id="244"/>
      <w:bookmarkEnd w:id="245"/>
      <w:bookmarkEnd w:id="246"/>
      <w:r>
        <w:rPr>
          <w:snapToGrid w:val="0"/>
        </w:rPr>
        <w:t xml:space="preserve"> </w:t>
      </w:r>
    </w:p>
    <w:p>
      <w:pPr>
        <w:pStyle w:val="Subsection"/>
        <w:spacing w:before="200"/>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 xml:space="preserve">[Regulation 5EA inserted in Gazette 12 Sep 1997 p. 5150; amended in Gazette 22 Jun 2004 p. 2147.] </w:t>
      </w:r>
    </w:p>
    <w:p>
      <w:pPr>
        <w:pStyle w:val="Heading5"/>
      </w:pPr>
      <w:bookmarkStart w:id="247" w:name="_Toc503260564"/>
      <w:bookmarkStart w:id="248" w:name="_Toc12076667"/>
      <w:bookmarkStart w:id="249" w:name="_Toc12952183"/>
      <w:bookmarkStart w:id="250" w:name="_Toc122232899"/>
      <w:bookmarkStart w:id="251" w:name="_Toc202254164"/>
      <w:bookmarkStart w:id="252" w:name="_Toc181497497"/>
      <w:bookmarkStart w:id="253" w:name="_Toc448822568"/>
      <w:bookmarkStart w:id="254" w:name="_Toc448822694"/>
      <w:r>
        <w:rPr>
          <w:rStyle w:val="CharSectno"/>
        </w:rPr>
        <w:t>5EB</w:t>
      </w:r>
      <w:r>
        <w:t>.</w:t>
      </w:r>
      <w:r>
        <w:tab/>
        <w:t>Waiver of fee where it would be unreasonable to impose it</w:t>
      </w:r>
      <w:bookmarkEnd w:id="247"/>
      <w:bookmarkEnd w:id="248"/>
      <w:bookmarkEnd w:id="249"/>
      <w:bookmarkEnd w:id="250"/>
      <w:bookmarkEnd w:id="251"/>
      <w:bookmarkEnd w:id="252"/>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 xml:space="preserve">[Regulation 5EB inserted in Gazette 15 Aug 2000 p. 4713.] </w:t>
      </w:r>
    </w:p>
    <w:p>
      <w:pPr>
        <w:pStyle w:val="Heading5"/>
        <w:rPr>
          <w:snapToGrid w:val="0"/>
        </w:rPr>
      </w:pPr>
      <w:bookmarkStart w:id="255" w:name="_Toc503260565"/>
      <w:bookmarkStart w:id="256" w:name="_Toc12076668"/>
      <w:bookmarkStart w:id="257" w:name="_Toc12952184"/>
      <w:bookmarkStart w:id="258" w:name="_Toc122232900"/>
      <w:bookmarkStart w:id="259" w:name="_Toc202254165"/>
      <w:bookmarkStart w:id="260" w:name="_Toc181497498"/>
      <w:r>
        <w:rPr>
          <w:rStyle w:val="CharSectno"/>
        </w:rPr>
        <w:t>5F</w:t>
      </w:r>
      <w:r>
        <w:rPr>
          <w:snapToGrid w:val="0"/>
        </w:rPr>
        <w:t>.</w:t>
      </w:r>
      <w:r>
        <w:rPr>
          <w:snapToGrid w:val="0"/>
        </w:rPr>
        <w:tab/>
        <w:t>Amount payable for harmless discharge onto land</w:t>
      </w:r>
      <w:bookmarkEnd w:id="253"/>
      <w:bookmarkEnd w:id="254"/>
      <w:bookmarkEnd w:id="255"/>
      <w:bookmarkEnd w:id="256"/>
      <w:bookmarkEnd w:id="257"/>
      <w:bookmarkEnd w:id="258"/>
      <w:bookmarkEnd w:id="259"/>
      <w:bookmarkEnd w:id="260"/>
      <w:r>
        <w:rPr>
          <w:snapToGrid w:val="0"/>
        </w:rPr>
        <w:t xml:space="preserve"> </w:t>
      </w:r>
    </w:p>
    <w:p>
      <w:pPr>
        <w:pStyle w:val="Subsection"/>
        <w:spacing w:before="20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pPr>
      <w:r>
        <w:tab/>
        <w:t>[(2)</w:t>
      </w:r>
      <w:r>
        <w:tab/>
      </w:r>
      <w:del w:id="261" w:author="Master Repository Process" w:date="2021-08-01T11:42:00Z">
        <w:r>
          <w:delText>repealed</w:delText>
        </w:r>
      </w:del>
      <w:ins w:id="262" w:author="Master Repository Process" w:date="2021-08-01T11:42:00Z">
        <w:r>
          <w:t>deleted</w:t>
        </w:r>
      </w:ins>
      <w:r>
        <w:t>]</w:t>
      </w:r>
    </w:p>
    <w:p>
      <w:pPr>
        <w:pStyle w:val="Footnotesection"/>
      </w:pPr>
      <w:r>
        <w:tab/>
        <w:t xml:space="preserve">[Regulation 5F inserted in Gazette 13 Sep 1996 p. 4548; amended in Gazette 22 Jun 2004 p. 2147; 22 Jun 2007 p. 2841.] </w:t>
      </w:r>
    </w:p>
    <w:p>
      <w:pPr>
        <w:pStyle w:val="Heading5"/>
      </w:pPr>
      <w:bookmarkStart w:id="263" w:name="_Toc122232901"/>
      <w:bookmarkStart w:id="264" w:name="_Toc202254166"/>
      <w:bookmarkStart w:id="265" w:name="_Toc181497499"/>
      <w:bookmarkStart w:id="266" w:name="_Toc448822570"/>
      <w:bookmarkStart w:id="267" w:name="_Toc448822696"/>
      <w:bookmarkStart w:id="268" w:name="_Toc503260567"/>
      <w:bookmarkStart w:id="269" w:name="_Toc12076670"/>
      <w:bookmarkStart w:id="270" w:name="_Toc12952186"/>
      <w:r>
        <w:rPr>
          <w:rStyle w:val="CharSectno"/>
        </w:rPr>
        <w:t>5G</w:t>
      </w:r>
      <w:r>
        <w:t>.</w:t>
      </w:r>
      <w:r>
        <w:tab/>
        <w:t>Maximum fee</w:t>
      </w:r>
      <w:bookmarkEnd w:id="263"/>
      <w:bookmarkEnd w:id="264"/>
      <w:bookmarkEnd w:id="265"/>
    </w:p>
    <w:p>
      <w:pPr>
        <w:pStyle w:val="Subsection"/>
      </w:pPr>
      <w:r>
        <w:tab/>
        <w:t>(1)</w:t>
      </w:r>
      <w:r>
        <w:tab/>
        <w:t>For the purposes of regulation 5D(1a), the amount for a financial year cannot exceed the maximum amount for the financial year worked out in accordance with this regulation.</w:t>
      </w:r>
    </w:p>
    <w:p>
      <w:pPr>
        <w:pStyle w:val="Subsection"/>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550 000.00</w:t>
            </w:r>
          </w:p>
        </w:tc>
      </w:tr>
      <w:tr>
        <w:tc>
          <w:tcPr>
            <w:tcW w:w="4263" w:type="dxa"/>
          </w:tcPr>
          <w:p>
            <w:pPr>
              <w:pStyle w:val="Table"/>
            </w:pPr>
            <w:r>
              <w:t>Beginning on 1 July 2008 and ending on 30 June 2009</w:t>
            </w:r>
          </w:p>
        </w:tc>
        <w:tc>
          <w:tcPr>
            <w:tcW w:w="1774" w:type="dxa"/>
          </w:tcPr>
          <w:p>
            <w:pPr>
              <w:pStyle w:val="Table"/>
            </w:pPr>
            <w:r>
              <w:br/>
            </w:r>
            <w:r>
              <w:tab/>
              <w:t>650 000.00</w:t>
            </w:r>
          </w:p>
        </w:tc>
      </w:tr>
      <w:tr>
        <w:tc>
          <w:tcPr>
            <w:tcW w:w="4263" w:type="dxa"/>
          </w:tcPr>
          <w:p>
            <w:pPr>
              <w:pStyle w:val="Table"/>
            </w:pPr>
            <w:r>
              <w:t>Beginning on 1 July 2009 and ending on 30 June 2010</w:t>
            </w:r>
          </w:p>
        </w:tc>
        <w:tc>
          <w:tcPr>
            <w:tcW w:w="1774" w:type="dxa"/>
          </w:tcPr>
          <w:p>
            <w:pPr>
              <w:pStyle w:val="Table"/>
            </w:pPr>
            <w:r>
              <w:br/>
            </w:r>
            <w:r>
              <w:tab/>
              <w:t>700 000.00</w:t>
            </w:r>
          </w:p>
        </w:tc>
      </w:tr>
      <w:tr>
        <w:tc>
          <w:tcPr>
            <w:tcW w:w="4263" w:type="dxa"/>
          </w:tcPr>
          <w:p>
            <w:pPr>
              <w:pStyle w:val="Table"/>
            </w:pPr>
            <w:r>
              <w:t>Beginning on 1 July 2010 and ending on 30 June 2011</w:t>
            </w:r>
          </w:p>
        </w:tc>
        <w:tc>
          <w:tcPr>
            <w:tcW w:w="1774" w:type="dxa"/>
          </w:tcPr>
          <w:p>
            <w:pPr>
              <w:pStyle w:val="Table"/>
            </w:pPr>
            <w:r>
              <w:br/>
            </w:r>
            <w:r>
              <w:tab/>
              <w:t>750 000.00</w:t>
            </w:r>
          </w:p>
        </w:tc>
      </w:tr>
      <w:tr>
        <w:tc>
          <w:tcPr>
            <w:tcW w:w="4263" w:type="dxa"/>
          </w:tcPr>
          <w:p>
            <w:pPr>
              <w:pStyle w:val="Table"/>
            </w:pPr>
            <w:r>
              <w:t>Beginning on 1 July 2011 and ending on 30 June 2012</w:t>
            </w:r>
          </w:p>
        </w:tc>
        <w:tc>
          <w:tcPr>
            <w:tcW w:w="1774" w:type="dxa"/>
          </w:tcPr>
          <w:p>
            <w:pPr>
              <w:pStyle w:val="Table"/>
            </w:pPr>
            <w:r>
              <w:br/>
            </w:r>
            <w:r>
              <w:tab/>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Footnotesection"/>
      </w:pPr>
      <w:r>
        <w:tab/>
        <w:t>[Regulation 5G inserted in Gazette 22 Jun 2004 p. 2147</w:t>
      </w:r>
      <w:r>
        <w:noBreakHyphen/>
        <w:t>50; amended in Gazette 22 Jun 2007 p. 2841</w:t>
      </w:r>
      <w:r>
        <w:noBreakHyphen/>
        <w:t xml:space="preserve">3.] </w:t>
      </w:r>
    </w:p>
    <w:p>
      <w:pPr>
        <w:pStyle w:val="Heading5"/>
        <w:rPr>
          <w:snapToGrid w:val="0"/>
        </w:rPr>
      </w:pPr>
      <w:bookmarkStart w:id="271" w:name="_Toc122232902"/>
      <w:bookmarkStart w:id="272" w:name="_Toc202254167"/>
      <w:bookmarkStart w:id="273" w:name="_Toc181497500"/>
      <w:r>
        <w:rPr>
          <w:rStyle w:val="CharSectno"/>
        </w:rPr>
        <w:t>5H</w:t>
      </w:r>
      <w:r>
        <w:rPr>
          <w:snapToGrid w:val="0"/>
        </w:rPr>
        <w:t>.</w:t>
      </w:r>
      <w:r>
        <w:rPr>
          <w:snapToGrid w:val="0"/>
        </w:rPr>
        <w:tab/>
        <w:t>Refunds</w:t>
      </w:r>
      <w:bookmarkEnd w:id="266"/>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If an application for a licence is refused, the Chief Executive Officer is to —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fee paid in respect of a licence comprised an amount determined under regulation 5E(2) or (3); </w:t>
      </w:r>
    </w:p>
    <w:p>
      <w:pPr>
        <w:pStyle w:val="Indenta"/>
      </w:pPr>
      <w:r>
        <w:rPr>
          <w:snapToGrid w:val="0"/>
        </w:rPr>
        <w:tab/>
        <w:t>(b)</w:t>
      </w:r>
      <w:r>
        <w:rPr>
          <w:snapToGrid w:val="0"/>
        </w:rPr>
        <w:tab/>
        <w:t xml:space="preserve">the Chief Executive Officer is satisfied that the quantity of waste discharged from the premises during the term of the licence </w:t>
      </w:r>
      <w:del w:id="274" w:author="Master Repository Process" w:date="2021-08-01T11:42:00Z">
        <w:r>
          <w:rPr>
            <w:snapToGrid w:val="0"/>
          </w:rPr>
          <w:delText>(</w:delText>
        </w:r>
        <w:r>
          <w:rPr>
            <w:b/>
            <w:snapToGrid w:val="0"/>
          </w:rPr>
          <w:delText>“</w:delText>
        </w:r>
      </w:del>
      <w:ins w:id="275" w:author="Master Repository Process" w:date="2021-08-01T11:42:00Z">
        <w:r>
          <w:rPr>
            <w:snapToGrid w:val="0"/>
          </w:rPr>
          <w:t>(</w:t>
        </w:r>
      </w:ins>
      <w:r>
        <w:rPr>
          <w:rStyle w:val="CharDefText"/>
        </w:rPr>
        <w:t>the actual discharge</w:t>
      </w:r>
      <w:del w:id="276" w:author="Master Repository Process" w:date="2021-08-01T11:42:00Z">
        <w:r>
          <w:rPr>
            <w:b/>
            <w:snapToGrid w:val="0"/>
          </w:rPr>
          <w:delText>”</w:delText>
        </w:r>
        <w:r>
          <w:rPr>
            <w:snapToGrid w:val="0"/>
          </w:rPr>
          <w:delText>)</w:delText>
        </w:r>
      </w:del>
      <w:ins w:id="277" w:author="Master Repository Process" w:date="2021-08-01T11:42:00Z">
        <w:r>
          <w:rPr>
            <w:snapToGrid w:val="0"/>
          </w:rPr>
          <w:t>)</w:t>
        </w:r>
      </w:ins>
      <w:r>
        <w:rPr>
          <w:snapToGrid w:val="0"/>
        </w:rPr>
        <w:t xml:space="preserve">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 xml:space="preserve">14; 22 Jun 2004 p. 2150.] </w:t>
      </w:r>
    </w:p>
    <w:p>
      <w:pPr>
        <w:pStyle w:val="Heading5"/>
        <w:rPr>
          <w:snapToGrid w:val="0"/>
        </w:rPr>
      </w:pPr>
      <w:bookmarkStart w:id="278" w:name="_Toc448822571"/>
      <w:bookmarkStart w:id="279" w:name="_Toc448822697"/>
      <w:bookmarkStart w:id="280" w:name="_Toc503260568"/>
      <w:bookmarkStart w:id="281" w:name="_Toc12076671"/>
      <w:bookmarkStart w:id="282" w:name="_Toc12952187"/>
      <w:bookmarkStart w:id="283" w:name="_Toc122232903"/>
      <w:bookmarkStart w:id="284" w:name="_Toc202254168"/>
      <w:bookmarkStart w:id="285" w:name="_Toc181497501"/>
      <w:r>
        <w:rPr>
          <w:rStyle w:val="CharSectno"/>
        </w:rPr>
        <w:t>5I</w:t>
      </w:r>
      <w:r>
        <w:rPr>
          <w:snapToGrid w:val="0"/>
        </w:rPr>
        <w:t>.</w:t>
      </w:r>
      <w:r>
        <w:rPr>
          <w:snapToGrid w:val="0"/>
        </w:rPr>
        <w:tab/>
        <w:t>Certain matters to be determined by Chief Executive Officer</w:t>
      </w:r>
      <w:bookmarkEnd w:id="278"/>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 xml:space="preserve">[Regulation 5I inserted in Gazette 13 Sep 1996 p. 4549.] </w:t>
      </w:r>
    </w:p>
    <w:p>
      <w:pPr>
        <w:pStyle w:val="Heading5"/>
        <w:rPr>
          <w:snapToGrid w:val="0"/>
        </w:rPr>
      </w:pPr>
      <w:bookmarkStart w:id="286" w:name="_Toc448822572"/>
      <w:bookmarkStart w:id="287" w:name="_Toc448822698"/>
      <w:bookmarkStart w:id="288" w:name="_Toc503260569"/>
      <w:bookmarkStart w:id="289" w:name="_Toc12076672"/>
      <w:bookmarkStart w:id="290" w:name="_Toc12952188"/>
      <w:bookmarkStart w:id="291" w:name="_Toc122232904"/>
      <w:bookmarkStart w:id="292" w:name="_Toc202254169"/>
      <w:bookmarkStart w:id="293" w:name="_Toc181497502"/>
      <w:r>
        <w:rPr>
          <w:rStyle w:val="CharSectno"/>
        </w:rPr>
        <w:t>5IA</w:t>
      </w:r>
      <w:r>
        <w:rPr>
          <w:snapToGrid w:val="0"/>
        </w:rPr>
        <w:t>.</w:t>
      </w:r>
      <w:r>
        <w:rPr>
          <w:snapToGrid w:val="0"/>
        </w:rPr>
        <w:tab/>
        <w:t xml:space="preserve">Best practice criteria as condition of </w:t>
      </w:r>
      <w:bookmarkEnd w:id="286"/>
      <w:bookmarkEnd w:id="287"/>
      <w:bookmarkEnd w:id="288"/>
      <w:r>
        <w:rPr>
          <w:snapToGrid w:val="0"/>
        </w:rPr>
        <w:t>licence</w:t>
      </w:r>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 xml:space="preserve">[Regulation 5IA inserted in Gazette 12 Sep 1997 p. 5151.] </w:t>
      </w:r>
    </w:p>
    <w:p>
      <w:pPr>
        <w:pStyle w:val="Heading5"/>
      </w:pPr>
      <w:bookmarkStart w:id="294" w:name="_Toc122232905"/>
      <w:bookmarkStart w:id="295" w:name="_Toc202254170"/>
      <w:bookmarkStart w:id="296" w:name="_Toc181497503"/>
      <w:bookmarkStart w:id="297" w:name="_Toc448822574"/>
      <w:bookmarkStart w:id="298" w:name="_Toc448822700"/>
      <w:bookmarkStart w:id="299" w:name="_Toc503260570"/>
      <w:bookmarkStart w:id="300" w:name="_Toc12076673"/>
      <w:bookmarkStart w:id="301" w:name="_Toc12952189"/>
      <w:r>
        <w:rPr>
          <w:rStyle w:val="CharSectno"/>
        </w:rPr>
        <w:t>5J</w:t>
      </w:r>
      <w:r>
        <w:t>.</w:t>
      </w:r>
      <w:r>
        <w:tab/>
        <w:t>Advertising applications for licences</w:t>
      </w:r>
      <w:bookmarkEnd w:id="294"/>
      <w:bookmarkEnd w:id="295"/>
      <w:bookmarkEnd w:id="296"/>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302" w:name="_Toc122232906"/>
      <w:bookmarkStart w:id="303" w:name="_Toc202254171"/>
      <w:bookmarkStart w:id="304" w:name="_Toc181497504"/>
      <w:r>
        <w:rPr>
          <w:rStyle w:val="CharSectno"/>
        </w:rPr>
        <w:t>5K</w:t>
      </w:r>
      <w:r>
        <w:t>.</w:t>
      </w:r>
      <w:r>
        <w:tab/>
        <w:t>Prescribed details of discharge of waste</w:t>
      </w:r>
      <w:bookmarkEnd w:id="297"/>
      <w:bookmarkEnd w:id="298"/>
      <w:bookmarkEnd w:id="299"/>
      <w:bookmarkEnd w:id="300"/>
      <w:bookmarkEnd w:id="301"/>
      <w:bookmarkEnd w:id="302"/>
      <w:bookmarkEnd w:id="303"/>
      <w:bookmarkEnd w:id="304"/>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w:t>
      </w:r>
    </w:p>
    <w:p>
      <w:pPr>
        <w:pStyle w:val="Indenta"/>
      </w:pPr>
      <w:r>
        <w:tab/>
        <w:t>(b)</w:t>
      </w:r>
      <w:r>
        <w:tab/>
        <w:t>if the discharge of the waste was a result of the operation of equipment or otherwise, the name of the person operating the equipment or otherwise responsible for the discharge of the waste;</w:t>
      </w:r>
    </w:p>
    <w:p>
      <w:pPr>
        <w:pStyle w:val="Indenta"/>
      </w:pPr>
      <w:r>
        <w:tab/>
        <w:t>(c)</w:t>
      </w:r>
      <w:r>
        <w:tab/>
        <w:t>the composition of the waste;</w:t>
      </w:r>
    </w:p>
    <w:p>
      <w:pPr>
        <w:pStyle w:val="Indenta"/>
      </w:pPr>
      <w:r>
        <w:tab/>
        <w:t>(d)</w:t>
      </w:r>
      <w:r>
        <w:tab/>
        <w:t>the quantity of the waste discharged;</w:t>
      </w:r>
    </w:p>
    <w:p>
      <w:pPr>
        <w:pStyle w:val="Indenta"/>
      </w:pPr>
      <w:r>
        <w:tab/>
        <w:t>(e)</w:t>
      </w:r>
      <w:r>
        <w:tab/>
        <w:t>whether or not the discharge caused pollution and, if so, the nature and extent of the pollution;</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305" w:name="_Toc448822575"/>
      <w:bookmarkStart w:id="306" w:name="_Toc448822701"/>
      <w:bookmarkStart w:id="307" w:name="_Toc503260571"/>
      <w:bookmarkStart w:id="308" w:name="_Toc12076674"/>
      <w:bookmarkStart w:id="309" w:name="_Toc12952190"/>
      <w:bookmarkStart w:id="310" w:name="_Toc122232907"/>
      <w:bookmarkStart w:id="311" w:name="_Toc202254172"/>
      <w:bookmarkStart w:id="312" w:name="_Toc181497505"/>
      <w:r>
        <w:rPr>
          <w:rStyle w:val="CharSectno"/>
        </w:rPr>
        <w:t>5L</w:t>
      </w:r>
      <w:r>
        <w:t>.</w:t>
      </w:r>
      <w:r>
        <w:tab/>
        <w:t>Notification of details of discharge of waste</w:t>
      </w:r>
      <w:bookmarkEnd w:id="305"/>
      <w:bookmarkEnd w:id="306"/>
      <w:bookmarkEnd w:id="307"/>
      <w:bookmarkEnd w:id="308"/>
      <w:bookmarkEnd w:id="309"/>
      <w:bookmarkEnd w:id="310"/>
      <w:bookmarkEnd w:id="311"/>
      <w:bookmarkEnd w:id="312"/>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313" w:name="_Toc503260572"/>
      <w:bookmarkStart w:id="314" w:name="_Toc12076675"/>
      <w:bookmarkStart w:id="315" w:name="_Toc12952191"/>
      <w:bookmarkStart w:id="316" w:name="_Toc122232908"/>
      <w:bookmarkStart w:id="317" w:name="_Toc202254173"/>
      <w:bookmarkStart w:id="318" w:name="_Toc181497506"/>
      <w:r>
        <w:rPr>
          <w:rStyle w:val="CharSectno"/>
        </w:rPr>
        <w:t>5M</w:t>
      </w:r>
      <w:r>
        <w:t>.</w:t>
      </w:r>
      <w:r>
        <w:tab/>
        <w:t xml:space="preserve">Notification of changes in information provided for registration or the grant of a works approval or a </w:t>
      </w:r>
      <w:bookmarkEnd w:id="313"/>
      <w:r>
        <w:t>licence</w:t>
      </w:r>
      <w:bookmarkEnd w:id="314"/>
      <w:bookmarkEnd w:id="315"/>
      <w:bookmarkEnd w:id="316"/>
      <w:bookmarkEnd w:id="317"/>
      <w:bookmarkEnd w:id="318"/>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319" w:name="_Toc503260573"/>
      <w:bookmarkStart w:id="320" w:name="_Toc12076676"/>
      <w:bookmarkStart w:id="321" w:name="_Toc12952192"/>
      <w:bookmarkStart w:id="322" w:name="_Toc122232909"/>
      <w:bookmarkStart w:id="323" w:name="_Toc202254174"/>
      <w:bookmarkStart w:id="324" w:name="_Toc181497507"/>
      <w:r>
        <w:rPr>
          <w:rStyle w:val="CharSectno"/>
        </w:rPr>
        <w:t>5N</w:t>
      </w:r>
      <w:r>
        <w:t>.</w:t>
      </w:r>
      <w:r>
        <w:tab/>
        <w:t>Transitional provision (reduced fees)</w:t>
      </w:r>
      <w:bookmarkEnd w:id="319"/>
      <w:bookmarkEnd w:id="320"/>
      <w:bookmarkEnd w:id="321"/>
      <w:bookmarkEnd w:id="322"/>
      <w:bookmarkEnd w:id="323"/>
      <w:bookmarkEnd w:id="324"/>
    </w:p>
    <w:p>
      <w:pPr>
        <w:pStyle w:val="Subsection"/>
      </w:pPr>
      <w:r>
        <w:tab/>
      </w:r>
      <w:r>
        <w:tab/>
        <w:t xml:space="preserve">If a fee prescribed under this Part is paid by a person </w:t>
      </w:r>
      <w:del w:id="325" w:author="Master Repository Process" w:date="2021-08-01T11:42:00Z">
        <w:r>
          <w:delText>(</w:delText>
        </w:r>
        <w:r>
          <w:rPr>
            <w:b/>
          </w:rPr>
          <w:delText>“</w:delText>
        </w:r>
      </w:del>
      <w:ins w:id="326" w:author="Master Repository Process" w:date="2021-08-01T11:42:00Z">
        <w:r>
          <w:t>(</w:t>
        </w:r>
      </w:ins>
      <w:r>
        <w:rPr>
          <w:rStyle w:val="CharDefText"/>
        </w:rPr>
        <w:t>the payer</w:t>
      </w:r>
      <w:del w:id="327" w:author="Master Repository Process" w:date="2021-08-01T11:42:00Z">
        <w:r>
          <w:rPr>
            <w:b/>
          </w:rPr>
          <w:delText>”</w:delText>
        </w:r>
        <w:r>
          <w:delText>)</w:delText>
        </w:r>
      </w:del>
      <w:ins w:id="328" w:author="Master Repository Process" w:date="2021-08-01T11:42:00Z">
        <w:r>
          <w:t>)</w:t>
        </w:r>
      </w:ins>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329" w:name="_Toc503260574"/>
      <w:bookmarkStart w:id="330" w:name="_Toc12076677"/>
      <w:bookmarkStart w:id="331" w:name="_Toc12952193"/>
      <w:bookmarkStart w:id="332" w:name="_Toc122232910"/>
      <w:bookmarkStart w:id="333" w:name="_Toc202254175"/>
      <w:bookmarkStart w:id="334" w:name="_Toc181497508"/>
      <w:r>
        <w:rPr>
          <w:rStyle w:val="CharSectno"/>
        </w:rPr>
        <w:t>5O</w:t>
      </w:r>
      <w:r>
        <w:t>.</w:t>
      </w:r>
      <w:r>
        <w:tab/>
        <w:t>Reduction, waiver, or refund of fees</w:t>
      </w:r>
      <w:bookmarkEnd w:id="329"/>
      <w:bookmarkEnd w:id="330"/>
      <w:bookmarkEnd w:id="331"/>
      <w:bookmarkEnd w:id="332"/>
      <w:bookmarkEnd w:id="333"/>
      <w:bookmarkEnd w:id="334"/>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335" w:name="_Toc75588377"/>
      <w:bookmarkStart w:id="336" w:name="_Toc76894924"/>
      <w:bookmarkStart w:id="337" w:name="_Toc85279809"/>
      <w:bookmarkStart w:id="338" w:name="_Toc88903671"/>
      <w:bookmarkStart w:id="339" w:name="_Toc88962260"/>
      <w:bookmarkStart w:id="340" w:name="_Toc94320183"/>
      <w:bookmarkStart w:id="341" w:name="_Toc94331019"/>
      <w:bookmarkStart w:id="342" w:name="_Toc94331131"/>
      <w:bookmarkStart w:id="343" w:name="_Toc94428615"/>
      <w:bookmarkStart w:id="344" w:name="_Toc97455594"/>
      <w:bookmarkStart w:id="345" w:name="_Toc97457385"/>
      <w:bookmarkStart w:id="346" w:name="_Toc97630182"/>
      <w:bookmarkStart w:id="347" w:name="_Toc98053327"/>
      <w:bookmarkStart w:id="348" w:name="_Toc99962313"/>
      <w:bookmarkStart w:id="349" w:name="_Toc122159411"/>
      <w:bookmarkStart w:id="350" w:name="_Toc122232735"/>
      <w:bookmarkStart w:id="351" w:name="_Toc122232911"/>
      <w:bookmarkStart w:id="352" w:name="_Toc147220545"/>
      <w:bookmarkStart w:id="353" w:name="_Toc147223898"/>
      <w:bookmarkStart w:id="354" w:name="_Toc165444933"/>
      <w:bookmarkStart w:id="355" w:name="_Toc170557713"/>
      <w:bookmarkStart w:id="356" w:name="_Toc170795104"/>
      <w:bookmarkStart w:id="357" w:name="_Toc172709204"/>
      <w:bookmarkStart w:id="358" w:name="_Toc172964688"/>
      <w:bookmarkStart w:id="359" w:name="_Toc174158405"/>
      <w:bookmarkStart w:id="360" w:name="_Toc174358958"/>
      <w:bookmarkStart w:id="361" w:name="_Toc174518549"/>
      <w:bookmarkStart w:id="362" w:name="_Toc176170494"/>
      <w:bookmarkStart w:id="363" w:name="_Toc181431053"/>
      <w:bookmarkStart w:id="364" w:name="_Toc181497509"/>
      <w:bookmarkStart w:id="365" w:name="_Toc202254176"/>
      <w:r>
        <w:rPr>
          <w:rStyle w:val="CharPartNo"/>
        </w:rPr>
        <w:t>Part 4</w:t>
      </w:r>
      <w:r>
        <w:rPr>
          <w:rStyle w:val="CharDivNo"/>
        </w:rPr>
        <w:t> </w:t>
      </w:r>
      <w:r>
        <w:t>—</w:t>
      </w:r>
      <w:r>
        <w:rPr>
          <w:rStyle w:val="CharDivText"/>
        </w:rPr>
        <w:t> </w:t>
      </w:r>
      <w:r>
        <w:rPr>
          <w:rStyle w:val="CharPartText"/>
        </w:rPr>
        <w:t>Audible alarms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66" w:name="_Toc448822576"/>
      <w:bookmarkStart w:id="367" w:name="_Toc448822702"/>
      <w:bookmarkStart w:id="368" w:name="_Toc503260575"/>
      <w:bookmarkStart w:id="369" w:name="_Toc12076678"/>
      <w:bookmarkStart w:id="370" w:name="_Toc12952194"/>
      <w:bookmarkStart w:id="371" w:name="_Toc122232912"/>
      <w:bookmarkStart w:id="372" w:name="_Toc202254177"/>
      <w:bookmarkStart w:id="373" w:name="_Toc181497510"/>
      <w:r>
        <w:rPr>
          <w:rStyle w:val="CharSectno"/>
        </w:rPr>
        <w:t>6</w:t>
      </w:r>
      <w:r>
        <w:rPr>
          <w:snapToGrid w:val="0"/>
        </w:rPr>
        <w:t>.</w:t>
      </w:r>
      <w:r>
        <w:rPr>
          <w:snapToGrid w:val="0"/>
        </w:rPr>
        <w:tab/>
        <w:t>Prescribed periods for audible alarms</w:t>
      </w:r>
      <w:bookmarkEnd w:id="366"/>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For the purposes of section 99(1)(a), the prescribed period is 30 minutes.</w:t>
      </w:r>
    </w:p>
    <w:p>
      <w:pPr>
        <w:pStyle w:val="Heading2"/>
      </w:pPr>
      <w:bookmarkStart w:id="374" w:name="_Toc75588379"/>
      <w:bookmarkStart w:id="375" w:name="_Toc76894926"/>
      <w:bookmarkStart w:id="376" w:name="_Toc85279811"/>
      <w:bookmarkStart w:id="377" w:name="_Toc88903673"/>
      <w:bookmarkStart w:id="378" w:name="_Toc88962262"/>
      <w:bookmarkStart w:id="379" w:name="_Toc94320185"/>
      <w:bookmarkStart w:id="380" w:name="_Toc94331021"/>
      <w:bookmarkStart w:id="381" w:name="_Toc94331133"/>
      <w:bookmarkStart w:id="382" w:name="_Toc94428617"/>
      <w:bookmarkStart w:id="383" w:name="_Toc97455596"/>
      <w:bookmarkStart w:id="384" w:name="_Toc97457387"/>
      <w:bookmarkStart w:id="385" w:name="_Toc97630184"/>
      <w:bookmarkStart w:id="386" w:name="_Toc98053329"/>
      <w:bookmarkStart w:id="387" w:name="_Toc99962315"/>
      <w:bookmarkStart w:id="388" w:name="_Toc122159413"/>
      <w:bookmarkStart w:id="389" w:name="_Toc122232737"/>
      <w:bookmarkStart w:id="390" w:name="_Toc122232913"/>
      <w:bookmarkStart w:id="391" w:name="_Toc147220547"/>
      <w:bookmarkStart w:id="392" w:name="_Toc147223900"/>
      <w:bookmarkStart w:id="393" w:name="_Toc165444935"/>
      <w:bookmarkStart w:id="394" w:name="_Toc170557715"/>
      <w:bookmarkStart w:id="395" w:name="_Toc170795106"/>
      <w:bookmarkStart w:id="396" w:name="_Toc172709206"/>
      <w:bookmarkStart w:id="397" w:name="_Toc172964690"/>
      <w:bookmarkStart w:id="398" w:name="_Toc174158407"/>
      <w:bookmarkStart w:id="399" w:name="_Toc174358960"/>
      <w:bookmarkStart w:id="400" w:name="_Toc174518551"/>
      <w:bookmarkStart w:id="401" w:name="_Toc176170496"/>
      <w:bookmarkStart w:id="402" w:name="_Toc181431055"/>
      <w:bookmarkStart w:id="403" w:name="_Toc181497511"/>
      <w:bookmarkStart w:id="404" w:name="_Toc202254178"/>
      <w:r>
        <w:rPr>
          <w:rStyle w:val="CharPartNo"/>
        </w:rPr>
        <w:t>Part 5</w:t>
      </w:r>
      <w:r>
        <w:rPr>
          <w:rStyle w:val="CharDivNo"/>
        </w:rPr>
        <w:t> </w:t>
      </w:r>
      <w:r>
        <w:t>—</w:t>
      </w:r>
      <w:r>
        <w:rPr>
          <w:rStyle w:val="CharDivText"/>
        </w:rPr>
        <w:t> </w:t>
      </w:r>
      <w:r>
        <w:rPr>
          <w:rStyle w:val="CharPartText"/>
        </w:rPr>
        <w:t>Appeals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405" w:name="_Toc448822577"/>
      <w:bookmarkStart w:id="406" w:name="_Toc448822703"/>
      <w:bookmarkStart w:id="407" w:name="_Toc503260576"/>
      <w:bookmarkStart w:id="408" w:name="_Toc12076679"/>
      <w:bookmarkStart w:id="409" w:name="_Toc12952195"/>
      <w:bookmarkStart w:id="410" w:name="_Toc122232914"/>
      <w:bookmarkStart w:id="411" w:name="_Toc202254179"/>
      <w:bookmarkStart w:id="412" w:name="_Toc181497512"/>
      <w:r>
        <w:rPr>
          <w:rStyle w:val="CharSectno"/>
        </w:rPr>
        <w:t>7</w:t>
      </w:r>
      <w:r>
        <w:rPr>
          <w:snapToGrid w:val="0"/>
        </w:rPr>
        <w:t>.</w:t>
      </w:r>
      <w:r>
        <w:rPr>
          <w:snapToGrid w:val="0"/>
        </w:rPr>
        <w:tab/>
        <w:t>Fees and procedures in respect of appeals</w:t>
      </w:r>
      <w:bookmarkEnd w:id="405"/>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A person lodging an appeal under Part VII of the Act shall — </w:t>
      </w:r>
    </w:p>
    <w:p>
      <w:pPr>
        <w:pStyle w:val="Indenta"/>
        <w:rPr>
          <w:snapToGrid w:val="0"/>
        </w:rPr>
      </w:pPr>
      <w:r>
        <w:rPr>
          <w:snapToGrid w:val="0"/>
        </w:rPr>
        <w:tab/>
        <w:t>(a)</w:t>
      </w:r>
      <w:r>
        <w:rPr>
          <w:snapToGrid w:val="0"/>
        </w:rPr>
        <w:tab/>
        <w:t>sign the appeal and address it to the Minister;</w:t>
      </w:r>
    </w:p>
    <w:p>
      <w:pPr>
        <w:pStyle w:val="Indenta"/>
        <w:rPr>
          <w:snapToGrid w:val="0"/>
        </w:rPr>
      </w:pPr>
      <w:r>
        <w:rPr>
          <w:snapToGrid w:val="0"/>
        </w:rPr>
        <w:tab/>
        <w:t>(b)</w:t>
      </w:r>
      <w:r>
        <w:rPr>
          <w:snapToGrid w:val="0"/>
        </w:rPr>
        <w:tab/>
        <w:t>set out in the appeal —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 </w:t>
      </w:r>
    </w:p>
    <w:p>
      <w:pPr>
        <w:pStyle w:val="Indenti"/>
        <w:rPr>
          <w:snapToGrid w:val="0"/>
        </w:rPr>
      </w:pPr>
      <w:r>
        <w:rPr>
          <w:snapToGrid w:val="0"/>
        </w:rPr>
        <w:tab/>
        <w:t>(i)</w:t>
      </w:r>
      <w:r>
        <w:rPr>
          <w:snapToGrid w:val="0"/>
        </w:rPr>
        <w:tab/>
        <w:t xml:space="preserve">in the case of an appeal lodged under section 100, a fee of $10; </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413" w:name="_Toc448822578"/>
      <w:bookmarkStart w:id="414" w:name="_Toc448822704"/>
      <w:bookmarkStart w:id="415" w:name="_Toc503260577"/>
      <w:bookmarkStart w:id="416" w:name="_Toc12076680"/>
      <w:bookmarkStart w:id="417" w:name="_Toc12952196"/>
      <w:bookmarkStart w:id="418" w:name="_Toc122232915"/>
      <w:bookmarkStart w:id="419" w:name="_Toc202254180"/>
      <w:bookmarkStart w:id="420" w:name="_Toc181497513"/>
      <w:r>
        <w:rPr>
          <w:rStyle w:val="CharSectno"/>
        </w:rPr>
        <w:t>8</w:t>
      </w:r>
      <w:r>
        <w:rPr>
          <w:snapToGrid w:val="0"/>
        </w:rPr>
        <w:t>.</w:t>
      </w:r>
      <w:r>
        <w:rPr>
          <w:snapToGrid w:val="0"/>
        </w:rPr>
        <w:tab/>
        <w:t>Publication of details of decisions on appeal</w:t>
      </w:r>
      <w:bookmarkEnd w:id="413"/>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 xml:space="preserve">[Regulation 8 amended in Gazette 24 Jan 1992 p. 362; 11 Dec 1998 p. 6600.] </w:t>
      </w:r>
    </w:p>
    <w:p>
      <w:pPr>
        <w:pStyle w:val="Heading5"/>
        <w:rPr>
          <w:snapToGrid w:val="0"/>
        </w:rPr>
      </w:pPr>
      <w:bookmarkStart w:id="421" w:name="_Toc448822579"/>
      <w:bookmarkStart w:id="422" w:name="_Toc448822705"/>
      <w:bookmarkStart w:id="423" w:name="_Toc503260578"/>
      <w:bookmarkStart w:id="424" w:name="_Toc12076681"/>
      <w:bookmarkStart w:id="425" w:name="_Toc12952197"/>
      <w:bookmarkStart w:id="426" w:name="_Toc122232916"/>
      <w:bookmarkStart w:id="427" w:name="_Toc202254181"/>
      <w:bookmarkStart w:id="428" w:name="_Toc181497514"/>
      <w:r>
        <w:rPr>
          <w:rStyle w:val="CharSectno"/>
        </w:rPr>
        <w:t>9</w:t>
      </w:r>
      <w:r>
        <w:rPr>
          <w:snapToGrid w:val="0"/>
        </w:rPr>
        <w:t>.</w:t>
      </w:r>
      <w:r>
        <w:rPr>
          <w:snapToGrid w:val="0"/>
        </w:rPr>
        <w:tab/>
        <w:t>Persons to be notified of decisions on appeal</w:t>
      </w:r>
      <w:bookmarkEnd w:id="421"/>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The Minister shall cause to be notified in writing of his decision on an appeal lodged under Part VII of the Act — </w:t>
      </w:r>
    </w:p>
    <w:p>
      <w:pPr>
        <w:pStyle w:val="Indenta"/>
        <w:rPr>
          <w:snapToGrid w:val="0"/>
        </w:rPr>
      </w:pPr>
      <w:r>
        <w:rPr>
          <w:snapToGrid w:val="0"/>
        </w:rPr>
        <w:tab/>
        <w:t>(a)</w:t>
      </w:r>
      <w:r>
        <w:rPr>
          <w:snapToGrid w:val="0"/>
        </w:rPr>
        <w:tab/>
        <w:t>the appellant;</w:t>
      </w:r>
    </w:p>
    <w:p>
      <w:pPr>
        <w:pStyle w:val="Indenta"/>
        <w:rPr>
          <w:snapToGrid w:val="0"/>
        </w:rPr>
      </w:pPr>
      <w:r>
        <w:rPr>
          <w:snapToGrid w:val="0"/>
        </w:rPr>
        <w:tab/>
        <w:t>(b)</w:t>
      </w:r>
      <w:r>
        <w:rPr>
          <w:snapToGrid w:val="0"/>
        </w:rPr>
        <w:tab/>
        <w:t>any relevant decision</w:t>
      </w:r>
      <w:r>
        <w:rPr>
          <w:snapToGrid w:val="0"/>
        </w:rPr>
        <w:noBreakHyphen/>
        <w:t>making authority;</w:t>
      </w:r>
    </w:p>
    <w:p>
      <w:pPr>
        <w:pStyle w:val="Indenta"/>
        <w:rPr>
          <w:snapToGrid w:val="0"/>
        </w:rPr>
      </w:pPr>
      <w:r>
        <w:rPr>
          <w:snapToGrid w:val="0"/>
        </w:rPr>
        <w:tab/>
        <w:t>(c)</w:t>
      </w:r>
      <w:r>
        <w:rPr>
          <w:snapToGrid w:val="0"/>
        </w:rPr>
        <w:tab/>
        <w:t>the Authority;</w:t>
      </w:r>
    </w:p>
    <w:p>
      <w:pPr>
        <w:pStyle w:val="Indenta"/>
        <w:rPr>
          <w:snapToGrid w:val="0"/>
        </w:rPr>
      </w:pPr>
      <w:r>
        <w:rPr>
          <w:snapToGrid w:val="0"/>
        </w:rPr>
        <w:tab/>
        <w:t>(d)</w:t>
      </w:r>
      <w:r>
        <w:rPr>
          <w:snapToGrid w:val="0"/>
        </w:rPr>
        <w:tab/>
        <w:t>the Chief Executive Officer;</w:t>
      </w:r>
    </w:p>
    <w:p>
      <w:pPr>
        <w:pStyle w:val="Indenta"/>
        <w:rPr>
          <w:snapToGrid w:val="0"/>
        </w:rPr>
      </w:pPr>
      <w:r>
        <w:rPr>
          <w:snapToGrid w:val="0"/>
        </w:rPr>
        <w:tab/>
        <w:t>(e)</w:t>
      </w:r>
      <w:r>
        <w:rPr>
          <w:snapToGrid w:val="0"/>
        </w:rPr>
        <w:tab/>
        <w:t>in the case of an appeal lodged under section 100 of the Act, the proponent of the relevant proposal;</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w:t>
      </w:r>
    </w:p>
    <w:p>
      <w:pPr>
        <w:pStyle w:val="Indenta"/>
        <w:keepNext/>
        <w:keepLines/>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429" w:name="_Toc75588383"/>
      <w:bookmarkStart w:id="430" w:name="_Toc76894930"/>
      <w:bookmarkStart w:id="431" w:name="_Toc85279815"/>
      <w:bookmarkStart w:id="432" w:name="_Toc88903677"/>
      <w:bookmarkStart w:id="433" w:name="_Toc88962266"/>
      <w:bookmarkStart w:id="434" w:name="_Toc94320189"/>
      <w:bookmarkStart w:id="435" w:name="_Toc94331025"/>
      <w:bookmarkStart w:id="436" w:name="_Toc94331137"/>
      <w:bookmarkStart w:id="437" w:name="_Toc94428621"/>
      <w:bookmarkStart w:id="438" w:name="_Toc97455600"/>
      <w:bookmarkStart w:id="439" w:name="_Toc97457391"/>
      <w:bookmarkStart w:id="440" w:name="_Toc97630188"/>
      <w:bookmarkStart w:id="441" w:name="_Toc98053333"/>
      <w:bookmarkStart w:id="442" w:name="_Toc99962319"/>
      <w:bookmarkStart w:id="443" w:name="_Toc122159417"/>
      <w:bookmarkStart w:id="444" w:name="_Toc122232741"/>
      <w:bookmarkStart w:id="445" w:name="_Toc122232917"/>
      <w:bookmarkStart w:id="446" w:name="_Toc147220551"/>
      <w:bookmarkStart w:id="447" w:name="_Toc147223904"/>
      <w:bookmarkStart w:id="448" w:name="_Toc165444939"/>
      <w:bookmarkStart w:id="449" w:name="_Toc170557719"/>
      <w:bookmarkStart w:id="450" w:name="_Toc170795110"/>
      <w:bookmarkStart w:id="451" w:name="_Toc172709210"/>
      <w:bookmarkStart w:id="452" w:name="_Toc172964694"/>
      <w:bookmarkStart w:id="453" w:name="_Toc174158411"/>
      <w:bookmarkStart w:id="454" w:name="_Toc174358964"/>
      <w:bookmarkStart w:id="455" w:name="_Toc174518555"/>
      <w:bookmarkStart w:id="456" w:name="_Toc176170500"/>
      <w:bookmarkStart w:id="457" w:name="_Toc181431059"/>
      <w:bookmarkStart w:id="458" w:name="_Toc181497515"/>
      <w:bookmarkStart w:id="459" w:name="_Toc202254182"/>
      <w:r>
        <w:rPr>
          <w:rStyle w:val="CharPartNo"/>
        </w:rPr>
        <w:t>Part 6</w:t>
      </w:r>
      <w:r>
        <w:rPr>
          <w:rStyle w:val="CharDivNo"/>
        </w:rPr>
        <w:t> </w:t>
      </w:r>
      <w:r>
        <w:t>—</w:t>
      </w:r>
      <w:r>
        <w:rPr>
          <w:rStyle w:val="CharDivText"/>
        </w:rPr>
        <w:t> </w:t>
      </w:r>
      <w:r>
        <w:rPr>
          <w:rStyle w:val="CharPartText"/>
        </w:rPr>
        <w:t>Tyres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PartText"/>
        </w:rPr>
        <w:t xml:space="preserve"> </w:t>
      </w:r>
    </w:p>
    <w:p>
      <w:pPr>
        <w:pStyle w:val="Footnoteheading"/>
        <w:rPr>
          <w:snapToGrid w:val="0"/>
        </w:rPr>
      </w:pPr>
      <w:r>
        <w:rPr>
          <w:snapToGrid w:val="0"/>
        </w:rPr>
        <w:tab/>
        <w:t xml:space="preserve">[Heading inserted in Gazette 13 Sep 1996 p. 4545.] </w:t>
      </w:r>
    </w:p>
    <w:p>
      <w:pPr>
        <w:pStyle w:val="Ednotesection"/>
      </w:pPr>
      <w:r>
        <w:t>[</w:t>
      </w:r>
      <w:r>
        <w:rPr>
          <w:b/>
        </w:rPr>
        <w:t>10.</w:t>
      </w:r>
      <w:r>
        <w:tab/>
      </w:r>
      <w:del w:id="460" w:author="Master Repository Process" w:date="2021-08-01T11:42:00Z">
        <w:r>
          <w:delText>Repealed</w:delText>
        </w:r>
      </w:del>
      <w:ins w:id="461" w:author="Master Repository Process" w:date="2021-08-01T11:42:00Z">
        <w:r>
          <w:t>Deleted</w:t>
        </w:r>
      </w:ins>
      <w:r>
        <w:t xml:space="preserve"> in Gazette 31 Dec 1993 p. 6878.] </w:t>
      </w:r>
    </w:p>
    <w:p>
      <w:pPr>
        <w:pStyle w:val="Heading5"/>
        <w:rPr>
          <w:snapToGrid w:val="0"/>
        </w:rPr>
      </w:pPr>
      <w:bookmarkStart w:id="462" w:name="_Toc448822580"/>
      <w:bookmarkStart w:id="463" w:name="_Toc448822706"/>
      <w:bookmarkStart w:id="464" w:name="_Toc503260579"/>
      <w:bookmarkStart w:id="465" w:name="_Toc12076682"/>
      <w:bookmarkStart w:id="466" w:name="_Toc12952198"/>
      <w:bookmarkStart w:id="467" w:name="_Toc122232918"/>
      <w:bookmarkStart w:id="468" w:name="_Toc202254183"/>
      <w:bookmarkStart w:id="469" w:name="_Toc181497516"/>
      <w:r>
        <w:rPr>
          <w:rStyle w:val="CharSectno"/>
        </w:rPr>
        <w:t>11</w:t>
      </w:r>
      <w:r>
        <w:rPr>
          <w:snapToGrid w:val="0"/>
        </w:rPr>
        <w:t>.</w:t>
      </w:r>
      <w:r>
        <w:rPr>
          <w:snapToGrid w:val="0"/>
        </w:rPr>
        <w:tab/>
      </w:r>
      <w:bookmarkEnd w:id="462"/>
      <w:bookmarkEnd w:id="463"/>
      <w:bookmarkEnd w:id="464"/>
      <w:bookmarkEnd w:id="465"/>
      <w:bookmarkEnd w:id="466"/>
      <w:bookmarkEnd w:id="467"/>
      <w:r>
        <w:rPr>
          <w:snapToGrid w:val="0"/>
        </w:rPr>
        <w:t>Terms used in this Part</w:t>
      </w:r>
      <w:bookmarkEnd w:id="468"/>
      <w:bookmarkEnd w:id="469"/>
    </w:p>
    <w:p>
      <w:pPr>
        <w:pStyle w:val="Subsection"/>
        <w:rPr>
          <w:snapToGrid w:val="0"/>
        </w:rPr>
      </w:pPr>
      <w:r>
        <w:rPr>
          <w:snapToGrid w:val="0"/>
        </w:rPr>
        <w:tab/>
        <w:t>(1)</w:t>
      </w:r>
      <w:r>
        <w:rPr>
          <w:snapToGrid w:val="0"/>
        </w:rPr>
        <w:tab/>
        <w:t>In this regulation and regulations 12, 13, 13A, 14 and 15 — </w:t>
      </w:r>
    </w:p>
    <w:p>
      <w:pPr>
        <w:pStyle w:val="Defstart"/>
      </w:pPr>
      <w:r>
        <w:rPr>
          <w:b/>
        </w:rPr>
        <w:tab/>
      </w:r>
      <w:del w:id="470" w:author="Master Repository Process" w:date="2021-08-01T11:42:00Z">
        <w:r>
          <w:rPr>
            <w:b/>
          </w:rPr>
          <w:delText>“</w:delText>
        </w:r>
      </w:del>
      <w:r>
        <w:rPr>
          <w:rStyle w:val="CharDefText"/>
        </w:rPr>
        <w:t>approved site</w:t>
      </w:r>
      <w:del w:id="471" w:author="Master Repository Process" w:date="2021-08-01T11:42:00Z">
        <w:r>
          <w:rPr>
            <w:b/>
          </w:rPr>
          <w:delText>”</w:delText>
        </w:r>
      </w:del>
      <w:r>
        <w:t xml:space="preserve"> means a landfill site — </w:t>
      </w:r>
    </w:p>
    <w:p>
      <w:pPr>
        <w:pStyle w:val="Defpara"/>
      </w:pPr>
      <w:r>
        <w:tab/>
        <w:t>(a)</w:t>
      </w:r>
      <w:r>
        <w:tab/>
        <w:t xml:space="preserve">set apart by a local government under section 119 of the </w:t>
      </w:r>
      <w:r>
        <w:rPr>
          <w:i/>
        </w:rPr>
        <w:t>Health Act 1911</w:t>
      </w:r>
      <w:r>
        <w:t>;</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del w:id="472" w:author="Master Repository Process" w:date="2021-08-01T11:42:00Z">
        <w:r>
          <w:rPr>
            <w:b/>
          </w:rPr>
          <w:delText>“</w:delText>
        </w:r>
      </w:del>
      <w:r>
        <w:rPr>
          <w:rStyle w:val="CharDefText"/>
        </w:rPr>
        <w:t>licensed premises</w:t>
      </w:r>
      <w:del w:id="473" w:author="Master Repository Process" w:date="2021-08-01T11:42:00Z">
        <w:r>
          <w:rPr>
            <w:b/>
          </w:rPr>
          <w:delText>”</w:delText>
        </w:r>
      </w:del>
      <w:r>
        <w:t xml:space="preserve"> means a place that is prescribed premises under the Act, and in relation to which the licence is in force under the Act;</w:t>
      </w:r>
    </w:p>
    <w:p>
      <w:pPr>
        <w:pStyle w:val="Defstart"/>
      </w:pPr>
      <w:r>
        <w:rPr>
          <w:b/>
        </w:rPr>
        <w:tab/>
      </w:r>
      <w:del w:id="474" w:author="Master Repository Process" w:date="2021-08-01T11:42:00Z">
        <w:r>
          <w:rPr>
            <w:b/>
          </w:rPr>
          <w:delText>“</w:delText>
        </w:r>
      </w:del>
      <w:r>
        <w:rPr>
          <w:rStyle w:val="CharDefText"/>
        </w:rPr>
        <w:t>storage</w:t>
      </w:r>
      <w:del w:id="475" w:author="Master Repository Process" w:date="2021-08-01T11:42:00Z">
        <w:r>
          <w:rPr>
            <w:b/>
          </w:rPr>
          <w:delText>”</w:delText>
        </w:r>
      </w:del>
      <w:r>
        <w:t xml:space="preserve"> includes collection and deposit;</w:t>
      </w:r>
    </w:p>
    <w:p>
      <w:pPr>
        <w:pStyle w:val="Defstart"/>
      </w:pPr>
      <w:r>
        <w:rPr>
          <w:b/>
        </w:rPr>
        <w:tab/>
      </w:r>
      <w:del w:id="476" w:author="Master Repository Process" w:date="2021-08-01T11:42:00Z">
        <w:r>
          <w:rPr>
            <w:b/>
          </w:rPr>
          <w:delText>“</w:delText>
        </w:r>
      </w:del>
      <w:r>
        <w:rPr>
          <w:rStyle w:val="CharDefText"/>
        </w:rPr>
        <w:t>tyre</w:t>
      </w:r>
      <w:del w:id="477" w:author="Master Repository Process" w:date="2021-08-01T11:42:00Z">
        <w:r>
          <w:rPr>
            <w:b/>
          </w:rPr>
          <w:delText>”</w:delText>
        </w:r>
      </w:del>
      <w:r>
        <w:t xml:space="preserve"> means a tyre made whether wholly or partly of natural or synthetic rubber or similar material;</w:t>
      </w:r>
    </w:p>
    <w:p>
      <w:pPr>
        <w:pStyle w:val="Defstart"/>
      </w:pPr>
      <w:r>
        <w:rPr>
          <w:b/>
        </w:rPr>
        <w:tab/>
      </w:r>
      <w:del w:id="478" w:author="Master Repository Process" w:date="2021-08-01T11:42:00Z">
        <w:r>
          <w:rPr>
            <w:b/>
          </w:rPr>
          <w:delText>“</w:delText>
        </w:r>
      </w:del>
      <w:r>
        <w:rPr>
          <w:rStyle w:val="CharDefText"/>
        </w:rPr>
        <w:t>Tyre Landfill Exclusion Zone</w:t>
      </w:r>
      <w:del w:id="479" w:author="Master Repository Process" w:date="2021-08-01T11:42:00Z">
        <w:r>
          <w:rPr>
            <w:b/>
          </w:rPr>
          <w:delText>”</w:delText>
        </w:r>
      </w:del>
      <w:r>
        <w:t xml:space="preserve"> means the area comprising the local government districts specified in Schedule 5;</w:t>
      </w:r>
    </w:p>
    <w:p>
      <w:pPr>
        <w:pStyle w:val="Defstart"/>
      </w:pPr>
      <w:r>
        <w:rPr>
          <w:b/>
        </w:rPr>
        <w:tab/>
      </w:r>
      <w:del w:id="480" w:author="Master Repository Process" w:date="2021-08-01T11:42:00Z">
        <w:r>
          <w:rPr>
            <w:b/>
          </w:rPr>
          <w:delText>“</w:delText>
        </w:r>
      </w:del>
      <w:r>
        <w:rPr>
          <w:rStyle w:val="CharDefText"/>
        </w:rPr>
        <w:t>tyre retailer</w:t>
      </w:r>
      <w:del w:id="481" w:author="Master Repository Process" w:date="2021-08-01T11:42:00Z">
        <w:r>
          <w:rPr>
            <w:b/>
          </w:rPr>
          <w:delText>”</w:delText>
        </w:r>
      </w:del>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cubic metres of shredded, broken or pieces of used tyres shall be deemed to equal 100 used tyres and any multiple of 2 cubic metres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spacing w:before="120"/>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 xml:space="preserve">5; amended in Gazette 12 Nov 1996 p. 6303; 10 Dec 1996 p. 6877.] </w:t>
      </w:r>
    </w:p>
    <w:p>
      <w:pPr>
        <w:pStyle w:val="Heading5"/>
        <w:spacing w:before="180"/>
        <w:rPr>
          <w:snapToGrid w:val="0"/>
        </w:rPr>
      </w:pPr>
      <w:bookmarkStart w:id="482" w:name="_Toc448822581"/>
      <w:bookmarkStart w:id="483" w:name="_Toc448822707"/>
      <w:bookmarkStart w:id="484" w:name="_Toc503260580"/>
      <w:bookmarkStart w:id="485" w:name="_Toc12076683"/>
      <w:bookmarkStart w:id="486" w:name="_Toc12952199"/>
      <w:bookmarkStart w:id="487" w:name="_Toc122232919"/>
      <w:bookmarkStart w:id="488" w:name="_Toc202254184"/>
      <w:bookmarkStart w:id="489" w:name="_Toc181497517"/>
      <w:r>
        <w:rPr>
          <w:rStyle w:val="CharSectno"/>
        </w:rPr>
        <w:t>12</w:t>
      </w:r>
      <w:r>
        <w:rPr>
          <w:snapToGrid w:val="0"/>
        </w:rPr>
        <w:t>.</w:t>
      </w:r>
      <w:r>
        <w:rPr>
          <w:snapToGrid w:val="0"/>
        </w:rPr>
        <w:tab/>
        <w:t>Disposal and storage of tyres</w:t>
      </w:r>
      <w:bookmarkEnd w:id="482"/>
      <w:bookmarkEnd w:id="483"/>
      <w:bookmarkEnd w:id="484"/>
      <w:bookmarkEnd w:id="485"/>
      <w:bookmarkEnd w:id="486"/>
      <w:bookmarkEnd w:id="487"/>
      <w:bookmarkEnd w:id="488"/>
      <w:bookmarkEnd w:id="489"/>
      <w:r>
        <w:rPr>
          <w:snapToGrid w:val="0"/>
        </w:rPr>
        <w:t xml:space="preserve"> </w:t>
      </w:r>
    </w:p>
    <w:p>
      <w:pPr>
        <w:pStyle w:val="Subsection"/>
        <w:spacing w:before="120"/>
        <w:rPr>
          <w:snapToGrid w:val="0"/>
        </w:rPr>
      </w:pPr>
      <w:r>
        <w:rPr>
          <w:snapToGrid w:val="0"/>
        </w:rPr>
        <w:tab/>
      </w:r>
      <w:r>
        <w:rPr>
          <w:snapToGrid w:val="0"/>
        </w:rPr>
        <w:tab/>
        <w:t>For the purposes of paragraph (c) of the definition of “pollution” in section 3(1) of the Act —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 xml:space="preserve">4.] </w:t>
      </w:r>
    </w:p>
    <w:p>
      <w:pPr>
        <w:pStyle w:val="Heading5"/>
        <w:spacing w:before="180"/>
        <w:rPr>
          <w:snapToGrid w:val="0"/>
        </w:rPr>
      </w:pPr>
      <w:bookmarkStart w:id="490" w:name="_Toc448822582"/>
      <w:bookmarkStart w:id="491" w:name="_Toc448822708"/>
      <w:bookmarkStart w:id="492" w:name="_Toc503260581"/>
      <w:bookmarkStart w:id="493" w:name="_Toc12076684"/>
      <w:bookmarkStart w:id="494" w:name="_Toc12952200"/>
      <w:bookmarkStart w:id="495" w:name="_Toc122232920"/>
      <w:bookmarkStart w:id="496" w:name="_Toc202254185"/>
      <w:bookmarkStart w:id="497" w:name="_Toc181497518"/>
      <w:r>
        <w:rPr>
          <w:rStyle w:val="CharSectno"/>
        </w:rPr>
        <w:t>13</w:t>
      </w:r>
      <w:r>
        <w:rPr>
          <w:snapToGrid w:val="0"/>
        </w:rPr>
        <w:t>.</w:t>
      </w:r>
      <w:r>
        <w:rPr>
          <w:snapToGrid w:val="0"/>
        </w:rPr>
        <w:tab/>
        <w:t>Transport of used tyres prohibited</w:t>
      </w:r>
      <w:bookmarkEnd w:id="490"/>
      <w:bookmarkEnd w:id="491"/>
      <w:bookmarkEnd w:id="492"/>
      <w:bookmarkEnd w:id="493"/>
      <w:bookmarkEnd w:id="494"/>
      <w:bookmarkEnd w:id="495"/>
      <w:bookmarkEnd w:id="496"/>
      <w:bookmarkEnd w:id="497"/>
      <w:r>
        <w:rPr>
          <w:snapToGrid w:val="0"/>
        </w:rPr>
        <w:t xml:space="preserve"> </w:t>
      </w:r>
    </w:p>
    <w:p>
      <w:pPr>
        <w:pStyle w:val="Subsection"/>
        <w:spacing w:before="12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pPr>
      <w:r>
        <w:tab/>
        <w:t xml:space="preserve">[Regulation 13 inserted in Gazette 30 Aug 1991 p. 4555; amended in Gazette 11 Dec 1998 p. 6600.] </w:t>
      </w:r>
    </w:p>
    <w:p>
      <w:pPr>
        <w:pStyle w:val="Heading5"/>
        <w:spacing w:before="180"/>
        <w:rPr>
          <w:snapToGrid w:val="0"/>
        </w:rPr>
      </w:pPr>
      <w:bookmarkStart w:id="498" w:name="_Toc448822583"/>
      <w:bookmarkStart w:id="499" w:name="_Toc448822709"/>
      <w:bookmarkStart w:id="500" w:name="_Toc503260582"/>
      <w:bookmarkStart w:id="501" w:name="_Toc12076685"/>
      <w:bookmarkStart w:id="502" w:name="_Toc12952201"/>
      <w:bookmarkStart w:id="503" w:name="_Toc122232921"/>
      <w:bookmarkStart w:id="504" w:name="_Toc202254186"/>
      <w:bookmarkStart w:id="505" w:name="_Toc181497519"/>
      <w:r>
        <w:rPr>
          <w:rStyle w:val="CharSectno"/>
        </w:rPr>
        <w:t>13A</w:t>
      </w:r>
      <w:r>
        <w:rPr>
          <w:snapToGrid w:val="0"/>
        </w:rPr>
        <w:t>.</w:t>
      </w:r>
      <w:r>
        <w:rPr>
          <w:snapToGrid w:val="0"/>
        </w:rPr>
        <w:tab/>
        <w:t>Tyre retailer not to damage used tyres</w:t>
      </w:r>
      <w:bookmarkEnd w:id="498"/>
      <w:bookmarkEnd w:id="499"/>
      <w:bookmarkEnd w:id="500"/>
      <w:bookmarkEnd w:id="501"/>
      <w:bookmarkEnd w:id="502"/>
      <w:bookmarkEnd w:id="503"/>
      <w:bookmarkEnd w:id="504"/>
      <w:bookmarkEnd w:id="505"/>
      <w:r>
        <w:rPr>
          <w:snapToGrid w:val="0"/>
        </w:rPr>
        <w:t xml:space="preserve"> </w:t>
      </w:r>
    </w:p>
    <w:p>
      <w:pPr>
        <w:pStyle w:val="Subsection"/>
        <w:spacing w:before="120"/>
        <w:rPr>
          <w:snapToGrid w:val="0"/>
        </w:rPr>
      </w:pPr>
      <w:r>
        <w:rPr>
          <w:snapToGrid w:val="0"/>
        </w:rPr>
        <w:tab/>
        <w:t>(1)</w:t>
      </w:r>
      <w:r>
        <w:rPr>
          <w:snapToGrid w:val="0"/>
        </w:rPr>
        <w:tab/>
        <w:t>A tyre retailer shall not, except in accordance with written approval given by the Chief Executive Officer — </w:t>
      </w:r>
    </w:p>
    <w:p>
      <w:pPr>
        <w:pStyle w:val="Indenta"/>
        <w:rPr>
          <w:snapToGrid w:val="0"/>
        </w:rPr>
      </w:pPr>
      <w:r>
        <w:rPr>
          <w:snapToGrid w:val="0"/>
        </w:rPr>
        <w:tab/>
        <w:t>(a)</w:t>
      </w:r>
      <w:r>
        <w:rPr>
          <w:snapToGrid w:val="0"/>
        </w:rPr>
        <w:tab/>
        <w:t>cut or otherwise damage a used tyre; or</w:t>
      </w:r>
    </w:p>
    <w:p>
      <w:pPr>
        <w:pStyle w:val="Indenta"/>
        <w:rPr>
          <w:snapToGrid w:val="0"/>
        </w:rPr>
      </w:pPr>
      <w:r>
        <w:rPr>
          <w:snapToGrid w:val="0"/>
        </w:rPr>
        <w:tab/>
        <w:t>(b)</w:t>
      </w:r>
      <w:r>
        <w:rPr>
          <w:snapToGrid w:val="0"/>
        </w:rPr>
        <w:tab/>
        <w:t>cause or permit a used tyre to be cut or otherwise damaged,</w:t>
      </w:r>
    </w:p>
    <w:p>
      <w:pPr>
        <w:pStyle w:val="Subsection"/>
        <w:spacing w:before="12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pPr>
      <w:r>
        <w:tab/>
        <w:t xml:space="preserve">[Regulation 13A inserted in Gazette 12 Nov 1996 p. 6304; amended in Gazette 11 Dec 1998 p. 6600.] </w:t>
      </w:r>
    </w:p>
    <w:p>
      <w:pPr>
        <w:pStyle w:val="Heading5"/>
        <w:spacing w:before="180"/>
        <w:rPr>
          <w:snapToGrid w:val="0"/>
        </w:rPr>
      </w:pPr>
      <w:bookmarkStart w:id="506" w:name="_Toc448822584"/>
      <w:bookmarkStart w:id="507" w:name="_Toc448822710"/>
      <w:bookmarkStart w:id="508" w:name="_Toc503260583"/>
      <w:bookmarkStart w:id="509" w:name="_Toc12076686"/>
      <w:bookmarkStart w:id="510" w:name="_Toc12952202"/>
      <w:bookmarkStart w:id="511" w:name="_Toc122232922"/>
      <w:bookmarkStart w:id="512" w:name="_Toc202254187"/>
      <w:bookmarkStart w:id="513" w:name="_Toc181497520"/>
      <w:r>
        <w:rPr>
          <w:rStyle w:val="CharSectno"/>
        </w:rPr>
        <w:t>14</w:t>
      </w:r>
      <w:r>
        <w:rPr>
          <w:snapToGrid w:val="0"/>
        </w:rPr>
        <w:t>.</w:t>
      </w:r>
      <w:r>
        <w:rPr>
          <w:snapToGrid w:val="0"/>
        </w:rPr>
        <w:tab/>
        <w:t>Standards for the disposal of tyres</w:t>
      </w:r>
      <w:bookmarkEnd w:id="506"/>
      <w:bookmarkEnd w:id="507"/>
      <w:bookmarkEnd w:id="508"/>
      <w:bookmarkEnd w:id="509"/>
      <w:bookmarkEnd w:id="510"/>
      <w:bookmarkEnd w:id="511"/>
      <w:bookmarkEnd w:id="512"/>
      <w:bookmarkEnd w:id="513"/>
      <w:r>
        <w:rPr>
          <w:snapToGrid w:val="0"/>
        </w:rPr>
        <w:t xml:space="preserve"> </w:t>
      </w:r>
    </w:p>
    <w:p>
      <w:pPr>
        <w:pStyle w:val="Subsection"/>
        <w:spacing w:before="120"/>
        <w:rPr>
          <w:snapToGrid w:val="0"/>
        </w:rPr>
      </w:pPr>
      <w:r>
        <w:rPr>
          <w:snapToGrid w:val="0"/>
        </w:rPr>
        <w:tab/>
        <w:t>(1)</w:t>
      </w:r>
      <w:r>
        <w:rPr>
          <w:snapToGrid w:val="0"/>
        </w:rPr>
        <w:tab/>
        <w:t>Tyres may be disposed of — </w:t>
      </w:r>
    </w:p>
    <w:p>
      <w:pPr>
        <w:pStyle w:val="Indenta"/>
        <w:rPr>
          <w:snapToGrid w:val="0"/>
        </w:rPr>
      </w:pPr>
      <w:r>
        <w:rPr>
          <w:snapToGrid w:val="0"/>
        </w:rPr>
        <w:tab/>
        <w:t>(a)</w:t>
      </w:r>
      <w:r>
        <w:rPr>
          <w:snapToGrid w:val="0"/>
        </w:rPr>
        <w:tab/>
        <w:t>by incineration if — </w:t>
      </w:r>
    </w:p>
    <w:p>
      <w:pPr>
        <w:pStyle w:val="Indenti"/>
        <w:spacing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3062"/>
        <w:gridCol w:w="1804"/>
      </w:tblGrid>
      <w:tr>
        <w:tc>
          <w:tcPr>
            <w:tcW w:w="3062" w:type="dxa"/>
          </w:tcPr>
          <w:p>
            <w:pPr>
              <w:pStyle w:val="MiscellaneousBody"/>
              <w:tabs>
                <w:tab w:val="left" w:pos="2835"/>
                <w:tab w:val="left" w:pos="5103"/>
              </w:tabs>
              <w:spacing w:before="0"/>
              <w:rPr>
                <w:snapToGrid w:val="0"/>
              </w:rPr>
            </w:pPr>
            <w:r>
              <w:rPr>
                <w:snapToGrid w:val="0"/>
              </w:rPr>
              <w:t>particulate matter</w:t>
            </w:r>
          </w:p>
        </w:tc>
        <w:tc>
          <w:tcPr>
            <w:tcW w:w="1804"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carbon monoxide</w:t>
            </w:r>
          </w:p>
        </w:tc>
        <w:tc>
          <w:tcPr>
            <w:tcW w:w="1804"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zinc</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cadmium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aluminium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dioxins</w:t>
            </w:r>
          </w:p>
        </w:tc>
        <w:tc>
          <w:tcPr>
            <w:tcW w:w="1804" w:type="dxa"/>
          </w:tcPr>
          <w:p>
            <w:pPr>
              <w:pStyle w:val="MiscellaneousBody"/>
              <w:tabs>
                <w:tab w:val="left" w:pos="2835"/>
                <w:tab w:val="left" w:pos="5103"/>
              </w:tabs>
              <w:spacing w:before="0"/>
              <w:rPr>
                <w:snapToGrid w:val="0"/>
              </w:rPr>
            </w:pPr>
            <w:r>
              <w:rPr>
                <w:snapToGrid w:val="0"/>
              </w:rPr>
              <w:t>5 parts per thousand million</w:t>
            </w:r>
          </w:p>
        </w:tc>
      </w:tr>
    </w:tbl>
    <w:p>
      <w:pPr>
        <w:pStyle w:val="Indenti"/>
        <w:rPr>
          <w:snapToGrid w:val="0"/>
        </w:rPr>
      </w:pPr>
      <w:r>
        <w:rPr>
          <w:snapToGrid w:val="0"/>
        </w:rPr>
        <w:tab/>
      </w:r>
      <w:r>
        <w:rPr>
          <w:snapToGrid w:val="0"/>
        </w:rPr>
        <w:tab/>
        <w:t>or such other levels as are approved by the Chief Executive Officer; and</w:t>
      </w:r>
    </w:p>
    <w:p>
      <w:pPr>
        <w:pStyle w:val="Indenti"/>
        <w:tabs>
          <w:tab w:val="clear" w:pos="2325"/>
        </w:tabs>
        <w:spacing w:before="120"/>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by the method described in subregulation (2) at an approved site located —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 xml:space="preserve">in any local government district outside the Tyre Landfill Exclusion Zone; </w:t>
      </w:r>
    </w:p>
    <w:p>
      <w:pPr>
        <w:pStyle w:val="Indenta"/>
        <w:rPr>
          <w:snapToGrid w:val="0"/>
        </w:rPr>
      </w:pPr>
      <w:r>
        <w:rPr>
          <w:snapToGrid w:val="0"/>
        </w:rPr>
        <w:tab/>
      </w:r>
      <w:r>
        <w:rPr>
          <w:snapToGrid w:val="0"/>
        </w:rPr>
        <w:tab/>
        <w:t>or</w:t>
      </w:r>
    </w:p>
    <w:p>
      <w:pPr>
        <w:pStyle w:val="Indenta"/>
        <w:spacing w:before="160"/>
        <w:rPr>
          <w:snapToGrid w:val="0"/>
        </w:rPr>
      </w:pPr>
      <w:r>
        <w:rPr>
          <w:snapToGrid w:val="0"/>
        </w:rPr>
        <w:tab/>
        <w:t>(c)</w:t>
      </w:r>
      <w:r>
        <w:rPr>
          <w:snapToGrid w:val="0"/>
        </w:rPr>
        <w:tab/>
        <w:t>by any other method of disposal approved by the Minister on the advice of the Chief Executive Officer.</w:t>
      </w:r>
    </w:p>
    <w:p>
      <w:pPr>
        <w:pStyle w:val="Subsection"/>
        <w:spacing w:before="200"/>
        <w:rPr>
          <w:snapToGrid w:val="0"/>
        </w:rPr>
      </w:pPr>
      <w:r>
        <w:rPr>
          <w:snapToGrid w:val="0"/>
        </w:rPr>
        <w:tab/>
        <w:t>(2)</w:t>
      </w:r>
      <w:r>
        <w:rPr>
          <w:snapToGrid w:val="0"/>
        </w:rPr>
        <w:tab/>
        <w:t>For the purposes of subregulation (1)(b) tyres may be disposed of by burial under a final soil cover of not less than 500 mm — </w:t>
      </w:r>
    </w:p>
    <w:p>
      <w:pPr>
        <w:pStyle w:val="Indenta"/>
        <w:spacing w:before="160"/>
        <w:rPr>
          <w:snapToGrid w:val="0"/>
        </w:rPr>
      </w:pPr>
      <w:r>
        <w:rPr>
          <w:snapToGrid w:val="0"/>
        </w:rPr>
        <w:tab/>
        <w:t>(a)</w:t>
      </w:r>
      <w:r>
        <w:rPr>
          <w:snapToGrid w:val="0"/>
        </w:rPr>
        <w:tab/>
        <w:t>in batches separated from each other by at least 100 mm of soil and each consisting of not more than 40 cubic metres of tyres reduced to pieces;</w:t>
      </w:r>
    </w:p>
    <w:p>
      <w:pPr>
        <w:pStyle w:val="Indenta"/>
        <w:spacing w:before="160"/>
        <w:rPr>
          <w:snapToGrid w:val="0"/>
        </w:rPr>
      </w:pPr>
      <w:r>
        <w:rPr>
          <w:snapToGrid w:val="0"/>
        </w:rPr>
        <w:tab/>
        <w:t>(b)</w:t>
      </w:r>
      <w:r>
        <w:rPr>
          <w:snapToGrid w:val="0"/>
        </w:rPr>
        <w:tab/>
        <w:t>in batches separated from each other by at least 100 mm of soil and each consisting of not more than 1 000 whole tyres; or</w:t>
      </w:r>
    </w:p>
    <w:p>
      <w:pPr>
        <w:pStyle w:val="Indenta"/>
        <w:spacing w:before="160"/>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 xml:space="preserve">5.] </w:t>
      </w:r>
    </w:p>
    <w:p>
      <w:pPr>
        <w:pStyle w:val="Heading5"/>
        <w:rPr>
          <w:snapToGrid w:val="0"/>
        </w:rPr>
      </w:pPr>
      <w:bookmarkStart w:id="514" w:name="_Toc448822585"/>
      <w:bookmarkStart w:id="515" w:name="_Toc448822711"/>
      <w:bookmarkStart w:id="516" w:name="_Toc503260584"/>
      <w:bookmarkStart w:id="517" w:name="_Toc12076687"/>
      <w:bookmarkStart w:id="518" w:name="_Toc12952203"/>
      <w:bookmarkStart w:id="519" w:name="_Toc122232923"/>
      <w:bookmarkStart w:id="520" w:name="_Toc202254188"/>
      <w:bookmarkStart w:id="521" w:name="_Toc181497521"/>
      <w:r>
        <w:rPr>
          <w:rStyle w:val="CharSectno"/>
        </w:rPr>
        <w:t>15</w:t>
      </w:r>
      <w:r>
        <w:rPr>
          <w:snapToGrid w:val="0"/>
        </w:rPr>
        <w:t>.</w:t>
      </w:r>
      <w:r>
        <w:rPr>
          <w:snapToGrid w:val="0"/>
        </w:rPr>
        <w:tab/>
        <w:t>Standards for the storage of used tyres</w:t>
      </w:r>
      <w:bookmarkEnd w:id="514"/>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 xml:space="preserve">[Regulation 15 inserted in Gazette 30 Aug 1991 p. 4555.] </w:t>
      </w:r>
    </w:p>
    <w:p>
      <w:pPr>
        <w:pStyle w:val="Heading2"/>
      </w:pPr>
      <w:bookmarkStart w:id="522" w:name="_Toc75588390"/>
      <w:bookmarkStart w:id="523" w:name="_Toc76894937"/>
      <w:bookmarkStart w:id="524" w:name="_Toc85279822"/>
      <w:bookmarkStart w:id="525" w:name="_Toc88903684"/>
      <w:bookmarkStart w:id="526" w:name="_Toc88962273"/>
      <w:bookmarkStart w:id="527" w:name="_Toc94320196"/>
      <w:bookmarkStart w:id="528" w:name="_Toc94331032"/>
      <w:bookmarkStart w:id="529" w:name="_Toc94331144"/>
      <w:bookmarkStart w:id="530" w:name="_Toc94428628"/>
      <w:bookmarkStart w:id="531" w:name="_Toc97455607"/>
      <w:bookmarkStart w:id="532" w:name="_Toc97457398"/>
      <w:bookmarkStart w:id="533" w:name="_Toc97630195"/>
      <w:bookmarkStart w:id="534" w:name="_Toc98053340"/>
      <w:bookmarkStart w:id="535" w:name="_Toc99962326"/>
      <w:bookmarkStart w:id="536" w:name="_Toc122159424"/>
      <w:bookmarkStart w:id="537" w:name="_Toc122232748"/>
      <w:bookmarkStart w:id="538" w:name="_Toc122232924"/>
      <w:bookmarkStart w:id="539" w:name="_Toc147220558"/>
      <w:bookmarkStart w:id="540" w:name="_Toc147223911"/>
      <w:bookmarkStart w:id="541" w:name="_Toc165444946"/>
      <w:bookmarkStart w:id="542" w:name="_Toc170557726"/>
      <w:bookmarkStart w:id="543" w:name="_Toc170795117"/>
      <w:bookmarkStart w:id="544" w:name="_Toc172709217"/>
      <w:bookmarkStart w:id="545" w:name="_Toc172964701"/>
      <w:bookmarkStart w:id="546" w:name="_Toc174158418"/>
      <w:bookmarkStart w:id="547" w:name="_Toc174358971"/>
      <w:bookmarkStart w:id="548" w:name="_Toc174518562"/>
      <w:bookmarkStart w:id="549" w:name="_Toc176170507"/>
      <w:bookmarkStart w:id="550" w:name="_Toc181431066"/>
      <w:bookmarkStart w:id="551" w:name="_Toc181497522"/>
      <w:bookmarkStart w:id="552" w:name="_Toc202254189"/>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553" w:name="_Toc448822586"/>
      <w:bookmarkStart w:id="554" w:name="_Toc448822712"/>
      <w:bookmarkStart w:id="555" w:name="_Toc503260585"/>
      <w:bookmarkStart w:id="556" w:name="_Toc12076688"/>
      <w:bookmarkStart w:id="557" w:name="_Toc12952204"/>
      <w:bookmarkStart w:id="558" w:name="_Toc122232925"/>
      <w:bookmarkStart w:id="559" w:name="_Toc202254190"/>
      <w:bookmarkStart w:id="560" w:name="_Toc181497523"/>
      <w:r>
        <w:rPr>
          <w:rStyle w:val="CharSectno"/>
        </w:rPr>
        <w:t>16</w:t>
      </w:r>
      <w:r>
        <w:rPr>
          <w:snapToGrid w:val="0"/>
        </w:rPr>
        <w:t>.</w:t>
      </w:r>
      <w:r>
        <w:rPr>
          <w:snapToGrid w:val="0"/>
        </w:rPr>
        <w:tab/>
        <w:t>Control of organotin anti</w:t>
      </w:r>
      <w:r>
        <w:rPr>
          <w:snapToGrid w:val="0"/>
        </w:rPr>
        <w:noBreakHyphen/>
        <w:t>fouling paint</w:t>
      </w:r>
      <w:bookmarkEnd w:id="553"/>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w:t>
      </w:r>
    </w:p>
    <w:p>
      <w:pPr>
        <w:pStyle w:val="Indenta"/>
        <w:rPr>
          <w:snapToGrid w:val="0"/>
        </w:rPr>
      </w:pPr>
      <w:r>
        <w:rPr>
          <w:snapToGrid w:val="0"/>
        </w:rPr>
        <w:tab/>
        <w:t>(b)</w:t>
      </w:r>
      <w:r>
        <w:rPr>
          <w:snapToGrid w:val="0"/>
        </w:rPr>
        <w:tab/>
        <w:t>a vessel that is 25 metres or less in length; or</w:t>
      </w:r>
    </w:p>
    <w:p>
      <w:pPr>
        <w:pStyle w:val="Indenta"/>
        <w:rPr>
          <w:snapToGrid w:val="0"/>
        </w:rPr>
      </w:pPr>
      <w:r>
        <w:rPr>
          <w:snapToGrid w:val="0"/>
        </w:rPr>
        <w:tab/>
        <w:t>(c)</w:t>
      </w:r>
      <w:r>
        <w:rPr>
          <w:snapToGrid w:val="0"/>
        </w:rPr>
        <w:tab/>
        <w:t>a vessel that is more than 25 metres in length, unless the paint has been formulated so that in respect of each square centimetre of surface to which it is applied —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 </w:t>
      </w:r>
    </w:p>
    <w:p>
      <w:pPr>
        <w:pStyle w:val="Defstart"/>
      </w:pPr>
      <w:r>
        <w:rPr>
          <w:b/>
        </w:rPr>
        <w:tab/>
      </w:r>
      <w:del w:id="561" w:author="Master Repository Process" w:date="2021-08-01T11:42:00Z">
        <w:r>
          <w:rPr>
            <w:b/>
          </w:rPr>
          <w:delText>“</w:delText>
        </w:r>
      </w:del>
      <w:r>
        <w:rPr>
          <w:rStyle w:val="CharDefText"/>
        </w:rPr>
        <w:t>enclosed water body</w:t>
      </w:r>
      <w:del w:id="562" w:author="Master Repository Process" w:date="2021-08-01T11:42:00Z">
        <w:r>
          <w:rPr>
            <w:b/>
          </w:rPr>
          <w:delText>”</w:delText>
        </w:r>
      </w:del>
      <w:r>
        <w:t xml:space="preserve"> means a body of water, such as a lake, not connected to the sea;</w:t>
      </w:r>
    </w:p>
    <w:p>
      <w:pPr>
        <w:pStyle w:val="Defstart"/>
      </w:pPr>
      <w:r>
        <w:rPr>
          <w:b/>
        </w:rPr>
        <w:tab/>
      </w:r>
      <w:del w:id="563" w:author="Master Repository Process" w:date="2021-08-01T11:42:00Z">
        <w:r>
          <w:rPr>
            <w:b/>
          </w:rPr>
          <w:delText>“</w:delText>
        </w:r>
      </w:del>
      <w:r>
        <w:rPr>
          <w:rStyle w:val="CharDefText"/>
        </w:rPr>
        <w:t>length</w:t>
      </w:r>
      <w:del w:id="564" w:author="Master Repository Process" w:date="2021-08-01T11:42:00Z">
        <w:r>
          <w:rPr>
            <w:b/>
          </w:rPr>
          <w:delText>”</w:delText>
        </w:r>
      </w:del>
      <w:r>
        <w:t xml:space="preserve"> means the hull length of a ship, boat or hovercraft or the overall length of any other vessel;</w:t>
      </w:r>
    </w:p>
    <w:p>
      <w:pPr>
        <w:pStyle w:val="Defstart"/>
      </w:pPr>
      <w:r>
        <w:rPr>
          <w:b/>
        </w:rPr>
        <w:tab/>
      </w:r>
      <w:del w:id="565" w:author="Master Repository Process" w:date="2021-08-01T11:42:00Z">
        <w:r>
          <w:rPr>
            <w:b/>
          </w:rPr>
          <w:delText>“</w:delText>
        </w:r>
      </w:del>
      <w:r>
        <w:rPr>
          <w:rStyle w:val="CharDefText"/>
        </w:rPr>
        <w:t>organotin anti</w:t>
      </w:r>
      <w:r>
        <w:rPr>
          <w:rStyle w:val="CharDefText"/>
        </w:rPr>
        <w:noBreakHyphen/>
        <w:t>fouling paint</w:t>
      </w:r>
      <w:del w:id="566" w:author="Master Repository Process" w:date="2021-08-01T11:42:00Z">
        <w:r>
          <w:rPr>
            <w:b/>
          </w:rPr>
          <w:delText>”</w:delText>
        </w:r>
      </w:del>
      <w:r>
        <w:t xml:space="preserve"> means a coating, paint or treatment that contains an organic derivative of tin;</w:t>
      </w:r>
    </w:p>
    <w:p>
      <w:pPr>
        <w:pStyle w:val="Defstart"/>
      </w:pPr>
      <w:r>
        <w:rPr>
          <w:b/>
        </w:rPr>
        <w:tab/>
      </w:r>
      <w:del w:id="567" w:author="Master Repository Process" w:date="2021-08-01T11:42:00Z">
        <w:r>
          <w:rPr>
            <w:b/>
          </w:rPr>
          <w:delText>“</w:delText>
        </w:r>
      </w:del>
      <w:r>
        <w:rPr>
          <w:rStyle w:val="CharDefText"/>
        </w:rPr>
        <w:t>semi</w:t>
      </w:r>
      <w:r>
        <w:rPr>
          <w:rStyle w:val="CharDefText"/>
        </w:rPr>
        <w:noBreakHyphen/>
        <w:t>enclosed water body</w:t>
      </w:r>
      <w:del w:id="568" w:author="Master Repository Process" w:date="2021-08-01T11:42:00Z">
        <w:r>
          <w:rPr>
            <w:b/>
          </w:rPr>
          <w:delText>”</w:delText>
        </w:r>
      </w:del>
      <w:r>
        <w:t xml:space="preserve"> means a partially enclosed coastal water, such as an estuary, river, port, harbour, bay, marina or yacht club;</w:t>
      </w:r>
    </w:p>
    <w:p>
      <w:pPr>
        <w:pStyle w:val="Defstart"/>
      </w:pPr>
      <w:r>
        <w:rPr>
          <w:b/>
        </w:rPr>
        <w:tab/>
      </w:r>
      <w:del w:id="569" w:author="Master Repository Process" w:date="2021-08-01T11:42:00Z">
        <w:r>
          <w:rPr>
            <w:b/>
          </w:rPr>
          <w:delText>“</w:delText>
        </w:r>
      </w:del>
      <w:r>
        <w:rPr>
          <w:rStyle w:val="CharDefText"/>
        </w:rPr>
        <w:t>vessel</w:t>
      </w:r>
      <w:del w:id="570" w:author="Master Repository Process" w:date="2021-08-01T11:42:00Z">
        <w:r>
          <w:rPr>
            <w:b/>
          </w:rPr>
          <w:delText>”</w:delText>
        </w:r>
      </w:del>
      <w:r>
        <w:t xml:space="preserve"> means any ship, boat, hovercraft or hulk and any vehicle, whether floating or submersible and whether self</w:t>
      </w:r>
      <w:r>
        <w:noBreakHyphen/>
        <w:t xml:space="preserve">propelled or not, that is capable of being used in or on water. </w:t>
      </w:r>
    </w:p>
    <w:p>
      <w:pPr>
        <w:pStyle w:val="Footnotesection"/>
      </w:pPr>
      <w:r>
        <w:tab/>
        <w:t>[Regulation 16 inserted in Gazette 30 Aug 1991 p. 4553</w:t>
      </w:r>
      <w:r>
        <w:noBreakHyphen/>
        <w:t xml:space="preserve">4; amended in Gazette 11 Dec 1998 p. 6600.] </w:t>
      </w:r>
    </w:p>
    <w:p>
      <w:pPr>
        <w:pStyle w:val="Heading2"/>
      </w:pPr>
      <w:bookmarkStart w:id="571" w:name="_Toc75588392"/>
      <w:bookmarkStart w:id="572" w:name="_Toc76894939"/>
      <w:bookmarkStart w:id="573" w:name="_Toc85279824"/>
      <w:bookmarkStart w:id="574" w:name="_Toc88903686"/>
      <w:bookmarkStart w:id="575" w:name="_Toc88962275"/>
      <w:bookmarkStart w:id="576" w:name="_Toc94320198"/>
      <w:bookmarkStart w:id="577" w:name="_Toc94331034"/>
      <w:bookmarkStart w:id="578" w:name="_Toc94331146"/>
      <w:bookmarkStart w:id="579" w:name="_Toc94428630"/>
      <w:bookmarkStart w:id="580" w:name="_Toc97455609"/>
      <w:bookmarkStart w:id="581" w:name="_Toc97457400"/>
      <w:bookmarkStart w:id="582" w:name="_Toc97630197"/>
      <w:bookmarkStart w:id="583" w:name="_Toc98053342"/>
      <w:bookmarkStart w:id="584" w:name="_Toc99962328"/>
      <w:bookmarkStart w:id="585" w:name="_Toc122159426"/>
      <w:bookmarkStart w:id="586" w:name="_Toc122232750"/>
      <w:bookmarkStart w:id="587" w:name="_Toc122232926"/>
      <w:bookmarkStart w:id="588" w:name="_Toc147220560"/>
      <w:bookmarkStart w:id="589" w:name="_Toc147223913"/>
      <w:bookmarkStart w:id="590" w:name="_Toc165444948"/>
      <w:bookmarkStart w:id="591" w:name="_Toc170557728"/>
      <w:bookmarkStart w:id="592" w:name="_Toc170795119"/>
      <w:bookmarkStart w:id="593" w:name="_Toc172709219"/>
      <w:bookmarkStart w:id="594" w:name="_Toc172964703"/>
      <w:bookmarkStart w:id="595" w:name="_Toc174158420"/>
      <w:bookmarkStart w:id="596" w:name="_Toc174358973"/>
      <w:bookmarkStart w:id="597" w:name="_Toc174518564"/>
      <w:bookmarkStart w:id="598" w:name="_Toc176170509"/>
      <w:bookmarkStart w:id="599" w:name="_Toc181431068"/>
      <w:bookmarkStart w:id="600" w:name="_Toc181497524"/>
      <w:bookmarkStart w:id="601" w:name="_Toc202254191"/>
      <w:r>
        <w:rPr>
          <w:rStyle w:val="CharPartNo"/>
        </w:rPr>
        <w:t>Part 7A</w:t>
      </w:r>
      <w:r>
        <w:t> — </w:t>
      </w:r>
      <w:r>
        <w:rPr>
          <w:rStyle w:val="CharPartText"/>
        </w:rPr>
        <w:t>Burning on development sites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heading"/>
      </w:pPr>
      <w:r>
        <w:tab/>
        <w:t>[Heading inserted in Gazette 19 Dec 2000 p. 7283.]</w:t>
      </w:r>
    </w:p>
    <w:p>
      <w:pPr>
        <w:pStyle w:val="Heading5"/>
      </w:pPr>
      <w:bookmarkStart w:id="602" w:name="_Toc503260586"/>
      <w:bookmarkStart w:id="603" w:name="_Toc12076689"/>
      <w:bookmarkStart w:id="604" w:name="_Toc12952205"/>
      <w:bookmarkStart w:id="605" w:name="_Toc122232927"/>
      <w:bookmarkStart w:id="606" w:name="_Toc202254192"/>
      <w:bookmarkStart w:id="607" w:name="_Toc181497525"/>
      <w:r>
        <w:rPr>
          <w:rStyle w:val="CharSectno"/>
        </w:rPr>
        <w:t>16A</w:t>
      </w:r>
      <w:r>
        <w:t>.</w:t>
      </w:r>
      <w:r>
        <w:tab/>
      </w:r>
      <w:bookmarkEnd w:id="602"/>
      <w:bookmarkEnd w:id="603"/>
      <w:bookmarkEnd w:id="604"/>
      <w:bookmarkEnd w:id="605"/>
      <w:r>
        <w:t>Terms used in this Part</w:t>
      </w:r>
      <w:bookmarkEnd w:id="606"/>
      <w:bookmarkEnd w:id="607"/>
    </w:p>
    <w:p>
      <w:pPr>
        <w:pStyle w:val="Subsection"/>
      </w:pPr>
      <w:r>
        <w:tab/>
      </w:r>
      <w:r>
        <w:tab/>
        <w:t>In this Part —</w:t>
      </w:r>
    </w:p>
    <w:p>
      <w:pPr>
        <w:pStyle w:val="Defstart"/>
      </w:pPr>
      <w:r>
        <w:tab/>
      </w:r>
      <w:del w:id="608" w:author="Master Repository Process" w:date="2021-08-01T11:42:00Z">
        <w:r>
          <w:rPr>
            <w:b/>
          </w:rPr>
          <w:delText>“</w:delText>
        </w:r>
      </w:del>
      <w:r>
        <w:rPr>
          <w:rStyle w:val="CharDefText"/>
        </w:rPr>
        <w:t>development site</w:t>
      </w:r>
      <w:del w:id="609" w:author="Master Repository Process" w:date="2021-08-01T11:42:00Z">
        <w:r>
          <w:rPr>
            <w:b/>
          </w:rPr>
          <w:delText>”</w:delText>
        </w:r>
      </w:del>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del w:id="610" w:author="Master Repository Process" w:date="2021-08-01T11:42:00Z">
        <w:r>
          <w:rPr>
            <w:b/>
          </w:rPr>
          <w:delText>“</w:delText>
        </w:r>
      </w:del>
      <w:r>
        <w:rPr>
          <w:rStyle w:val="CharDefText"/>
        </w:rPr>
        <w:t>development work</w:t>
      </w:r>
      <w:del w:id="611" w:author="Master Repository Process" w:date="2021-08-01T11:42:00Z">
        <w:r>
          <w:rPr>
            <w:b/>
          </w:rPr>
          <w:delText>”</w:delText>
        </w:r>
      </w:del>
      <w:r>
        <w:t xml:space="preserve"> means work to develop land for use, including —</w:t>
      </w:r>
    </w:p>
    <w:p>
      <w:pPr>
        <w:pStyle w:val="Defpara"/>
      </w:pPr>
      <w:r>
        <w:tab/>
        <w:t>(a)</w:t>
      </w:r>
      <w:r>
        <w:tab/>
        <w:t>the clearing of vegetation or topsoil;</w:t>
      </w:r>
    </w:p>
    <w:p>
      <w:pPr>
        <w:pStyle w:val="Defpara"/>
      </w:pPr>
      <w:r>
        <w:tab/>
        <w:t>(b)</w:t>
      </w:r>
      <w:r>
        <w:tab/>
        <w:t>recontouring or other bulk earthworks; or</w:t>
      </w:r>
    </w:p>
    <w:p>
      <w:pPr>
        <w:pStyle w:val="Defpara"/>
      </w:pPr>
      <w:r>
        <w:tab/>
        <w:t>(c)</w:t>
      </w:r>
      <w:r>
        <w:tab/>
        <w:t>trench or road construction;</w:t>
      </w:r>
    </w:p>
    <w:p>
      <w:pPr>
        <w:pStyle w:val="Defstart"/>
      </w:pPr>
      <w:r>
        <w:tab/>
      </w:r>
      <w:del w:id="612" w:author="Master Repository Process" w:date="2021-08-01T11:42:00Z">
        <w:r>
          <w:rPr>
            <w:b/>
          </w:rPr>
          <w:delText>“</w:delText>
        </w:r>
      </w:del>
      <w:r>
        <w:rPr>
          <w:rStyle w:val="CharDefText"/>
        </w:rPr>
        <w:t>lot</w:t>
      </w:r>
      <w:del w:id="613" w:author="Master Repository Process" w:date="2021-08-01T11:42:00Z">
        <w:r>
          <w:rPr>
            <w:b/>
          </w:rPr>
          <w:delText>”</w:delText>
        </w:r>
      </w:del>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614" w:name="_Toc503260587"/>
      <w:bookmarkStart w:id="615" w:name="_Toc12076690"/>
      <w:bookmarkStart w:id="616" w:name="_Toc12952206"/>
      <w:bookmarkStart w:id="617" w:name="_Toc122232928"/>
      <w:bookmarkStart w:id="618" w:name="_Toc202254193"/>
      <w:bookmarkStart w:id="619" w:name="_Toc181497526"/>
      <w:r>
        <w:rPr>
          <w:rStyle w:val="CharSectno"/>
        </w:rPr>
        <w:t>16B</w:t>
      </w:r>
      <w:r>
        <w:t>.</w:t>
      </w:r>
      <w:r>
        <w:tab/>
        <w:t>Burning on development sites prohibited in certain areas</w:t>
      </w:r>
      <w:bookmarkEnd w:id="614"/>
      <w:bookmarkEnd w:id="615"/>
      <w:bookmarkEnd w:id="616"/>
      <w:bookmarkEnd w:id="617"/>
      <w:bookmarkEnd w:id="618"/>
      <w:bookmarkEnd w:id="619"/>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620" w:name="_Toc75588395"/>
      <w:bookmarkStart w:id="621" w:name="_Toc76894942"/>
      <w:bookmarkStart w:id="622" w:name="_Toc85279827"/>
      <w:bookmarkStart w:id="623" w:name="_Toc88903689"/>
      <w:bookmarkStart w:id="624" w:name="_Toc88962278"/>
      <w:bookmarkStart w:id="625" w:name="_Toc94320201"/>
      <w:bookmarkStart w:id="626" w:name="_Toc94331037"/>
      <w:bookmarkStart w:id="627" w:name="_Toc94331149"/>
      <w:bookmarkStart w:id="628" w:name="_Toc94428633"/>
      <w:bookmarkStart w:id="629" w:name="_Toc97455612"/>
      <w:bookmarkStart w:id="630" w:name="_Toc97457403"/>
      <w:bookmarkStart w:id="631" w:name="_Toc97630200"/>
      <w:bookmarkStart w:id="632" w:name="_Toc98053345"/>
      <w:bookmarkStart w:id="633" w:name="_Toc99962331"/>
      <w:bookmarkStart w:id="634" w:name="_Toc122159429"/>
      <w:bookmarkStart w:id="635" w:name="_Toc122232753"/>
      <w:bookmarkStart w:id="636" w:name="_Toc122232929"/>
      <w:bookmarkStart w:id="637" w:name="_Toc147220563"/>
      <w:bookmarkStart w:id="638" w:name="_Toc147223916"/>
      <w:bookmarkStart w:id="639" w:name="_Toc165444951"/>
      <w:bookmarkStart w:id="640" w:name="_Toc170557731"/>
      <w:bookmarkStart w:id="641" w:name="_Toc170795122"/>
      <w:bookmarkStart w:id="642" w:name="_Toc172709222"/>
      <w:bookmarkStart w:id="643" w:name="_Toc172964706"/>
      <w:bookmarkStart w:id="644" w:name="_Toc174158423"/>
      <w:bookmarkStart w:id="645" w:name="_Toc174358976"/>
      <w:bookmarkStart w:id="646" w:name="_Toc174518567"/>
      <w:bookmarkStart w:id="647" w:name="_Toc176170512"/>
      <w:bookmarkStart w:id="648" w:name="_Toc181431071"/>
      <w:bookmarkStart w:id="649" w:name="_Toc181497527"/>
      <w:bookmarkStart w:id="650" w:name="_Toc202254194"/>
      <w:r>
        <w:rPr>
          <w:rStyle w:val="CharPartNo"/>
        </w:rPr>
        <w:t>Part 8</w:t>
      </w:r>
      <w:r>
        <w:t xml:space="preserve"> — </w:t>
      </w:r>
      <w:r>
        <w:rPr>
          <w:rStyle w:val="CharPartText"/>
        </w:rPr>
        <w:t>Monitoring</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Footnoteheading"/>
        <w:rPr>
          <w:snapToGrid w:val="0"/>
        </w:rPr>
      </w:pPr>
      <w:r>
        <w:rPr>
          <w:snapToGrid w:val="0"/>
        </w:rPr>
        <w:tab/>
        <w:t xml:space="preserve">[Heading inserted in Gazette 5 Jan 2001 p. 115.] </w:t>
      </w:r>
    </w:p>
    <w:p>
      <w:pPr>
        <w:pStyle w:val="Heading5"/>
      </w:pPr>
      <w:bookmarkStart w:id="651" w:name="_Toc503260588"/>
      <w:bookmarkStart w:id="652" w:name="_Toc12076691"/>
      <w:bookmarkStart w:id="653" w:name="_Toc12952207"/>
      <w:bookmarkStart w:id="654" w:name="_Toc122232930"/>
      <w:bookmarkStart w:id="655" w:name="_Toc202254195"/>
      <w:bookmarkStart w:id="656" w:name="_Toc181497528"/>
      <w:r>
        <w:rPr>
          <w:rStyle w:val="CharSectno"/>
        </w:rPr>
        <w:t>17</w:t>
      </w:r>
      <w:r>
        <w:t>.</w:t>
      </w:r>
      <w:r>
        <w:tab/>
      </w:r>
      <w:bookmarkEnd w:id="651"/>
      <w:bookmarkEnd w:id="652"/>
      <w:bookmarkEnd w:id="653"/>
      <w:bookmarkEnd w:id="654"/>
      <w:r>
        <w:t>Terms used in this Part</w:t>
      </w:r>
      <w:bookmarkEnd w:id="655"/>
      <w:bookmarkEnd w:id="656"/>
    </w:p>
    <w:p>
      <w:pPr>
        <w:pStyle w:val="Subsection"/>
      </w:pPr>
      <w:r>
        <w:tab/>
      </w:r>
      <w:r>
        <w:tab/>
        <w:t>In this Part, unless the contrary intention appears —</w:t>
      </w:r>
    </w:p>
    <w:p>
      <w:pPr>
        <w:pStyle w:val="Defstart"/>
      </w:pPr>
      <w:r>
        <w:tab/>
      </w:r>
      <w:del w:id="657" w:author="Master Repository Process" w:date="2021-08-01T11:42:00Z">
        <w:r>
          <w:rPr>
            <w:b/>
          </w:rPr>
          <w:delText>“</w:delText>
        </w:r>
      </w:del>
      <w:r>
        <w:rPr>
          <w:rStyle w:val="CharDefText"/>
        </w:rPr>
        <w:t>approved monitoring equipment</w:t>
      </w:r>
      <w:del w:id="658" w:author="Master Repository Process" w:date="2021-08-01T11:42:00Z">
        <w:r>
          <w:rPr>
            <w:b/>
          </w:rPr>
          <w:delText>”</w:delText>
        </w:r>
      </w:del>
      <w:r>
        <w:t xml:space="preserve"> means monitoring equipment that has been approved by the Chief Executive Officer under regulation 20F;</w:t>
      </w:r>
    </w:p>
    <w:p>
      <w:pPr>
        <w:pStyle w:val="Defstart"/>
      </w:pPr>
      <w:r>
        <w:tab/>
      </w:r>
      <w:del w:id="659" w:author="Master Repository Process" w:date="2021-08-01T11:42:00Z">
        <w:r>
          <w:rPr>
            <w:b/>
          </w:rPr>
          <w:delText>“</w:delText>
        </w:r>
      </w:del>
      <w:r>
        <w:rPr>
          <w:rStyle w:val="CharDefText"/>
        </w:rPr>
        <w:t>specified monitoring programme</w:t>
      </w:r>
      <w:del w:id="660" w:author="Master Repository Process" w:date="2021-08-01T11:42:00Z">
        <w:r>
          <w:rPr>
            <w:b/>
          </w:rPr>
          <w:delText>”</w:delText>
        </w:r>
      </w:del>
      <w:r>
        <w:t xml:space="preserve"> means a monitoring programme specified by the Chief Executive Officer in a works approval or a licence.</w:t>
      </w:r>
    </w:p>
    <w:p>
      <w:pPr>
        <w:pStyle w:val="Footnotesection"/>
      </w:pPr>
      <w:r>
        <w:tab/>
        <w:t>[Regulation 17 inserted in Gazette 5 Jan 2001 p. 115.]</w:t>
      </w:r>
    </w:p>
    <w:p>
      <w:pPr>
        <w:pStyle w:val="Heading5"/>
      </w:pPr>
      <w:bookmarkStart w:id="661" w:name="_Toc503260589"/>
      <w:bookmarkStart w:id="662" w:name="_Toc12076692"/>
      <w:bookmarkStart w:id="663" w:name="_Toc12952208"/>
      <w:bookmarkStart w:id="664" w:name="_Toc122232931"/>
      <w:bookmarkStart w:id="665" w:name="_Toc202254196"/>
      <w:bookmarkStart w:id="666" w:name="_Toc181497529"/>
      <w:r>
        <w:rPr>
          <w:rStyle w:val="CharSectno"/>
        </w:rPr>
        <w:t>18</w:t>
      </w:r>
      <w:r>
        <w:t>.</w:t>
      </w:r>
      <w:r>
        <w:tab/>
        <w:t xml:space="preserve">Prescribed conditions for a works approval or </w:t>
      </w:r>
      <w:bookmarkEnd w:id="661"/>
      <w:r>
        <w:t>licence</w:t>
      </w:r>
      <w:bookmarkEnd w:id="662"/>
      <w:bookmarkEnd w:id="663"/>
      <w:bookmarkEnd w:id="664"/>
      <w:bookmarkEnd w:id="665"/>
      <w:bookmarkEnd w:id="666"/>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pPr>
      <w:r>
        <w:tab/>
        <w:t>(a)</w:t>
      </w:r>
      <w:r>
        <w:tab/>
        <w:t>then monitoring equipment used for the purposes of a specified monitoring programme is to be approved monitoring equipment; and</w:t>
      </w:r>
    </w:p>
    <w:p>
      <w:pPr>
        <w:pStyle w:val="Indenta"/>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667" w:name="_Toc503260590"/>
      <w:bookmarkStart w:id="668" w:name="_Toc12076693"/>
      <w:bookmarkStart w:id="669" w:name="_Toc12952209"/>
      <w:bookmarkStart w:id="670" w:name="_Toc122232932"/>
      <w:bookmarkStart w:id="671" w:name="_Toc202254197"/>
      <w:bookmarkStart w:id="672" w:name="_Toc181497530"/>
      <w:r>
        <w:rPr>
          <w:rStyle w:val="CharSectno"/>
        </w:rPr>
        <w:t>19</w:t>
      </w:r>
      <w:r>
        <w:t>.</w:t>
      </w:r>
      <w:r>
        <w:tab/>
        <w:t>Approved monitoring equipment to be used in specified monitoring programme</w:t>
      </w:r>
      <w:bookmarkEnd w:id="667"/>
      <w:bookmarkEnd w:id="668"/>
      <w:bookmarkEnd w:id="669"/>
      <w:bookmarkEnd w:id="670"/>
      <w:bookmarkEnd w:id="671"/>
      <w:bookmarkEnd w:id="672"/>
    </w:p>
    <w:p>
      <w:pPr>
        <w:pStyle w:val="Subsection"/>
        <w:keepNext/>
      </w:pPr>
      <w:r>
        <w:tab/>
      </w:r>
      <w:r>
        <w:tab/>
        <w:t>A person who —</w:t>
      </w:r>
    </w:p>
    <w:p>
      <w:pPr>
        <w:pStyle w:val="Indenta"/>
        <w:keepNext/>
      </w:pPr>
      <w:r>
        <w:tab/>
        <w:t>(a)</w:t>
      </w:r>
      <w:r>
        <w:tab/>
        <w:t>is required by a works approval or licence to carry out a specified monitoring programme with approved monitoring equipment; and</w:t>
      </w:r>
    </w:p>
    <w:p>
      <w:pPr>
        <w:pStyle w:val="Indenta"/>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pPr>
      <w:r>
        <w:tab/>
        <w:t xml:space="preserve">[Regulation 19 inserted in Gazette 7 Jul 2000 p. 3678.] </w:t>
      </w:r>
    </w:p>
    <w:p>
      <w:pPr>
        <w:pStyle w:val="Heading5"/>
        <w:keepNext w:val="0"/>
        <w:keepLines w:val="0"/>
      </w:pPr>
      <w:bookmarkStart w:id="673" w:name="_Toc503260591"/>
      <w:bookmarkStart w:id="674" w:name="_Toc12076694"/>
      <w:bookmarkStart w:id="675" w:name="_Toc12952210"/>
      <w:bookmarkStart w:id="676" w:name="_Toc122232933"/>
      <w:bookmarkStart w:id="677" w:name="_Toc202254198"/>
      <w:bookmarkStart w:id="678" w:name="_Toc181497531"/>
      <w:r>
        <w:rPr>
          <w:rStyle w:val="CharSectno"/>
        </w:rPr>
        <w:t>20</w:t>
      </w:r>
      <w:r>
        <w:t>.</w:t>
      </w:r>
      <w:r>
        <w:tab/>
        <w:t>Duty to ensure that approved monitoring equipment is accurate</w:t>
      </w:r>
      <w:bookmarkEnd w:id="673"/>
      <w:bookmarkEnd w:id="674"/>
      <w:bookmarkEnd w:id="675"/>
      <w:bookmarkEnd w:id="676"/>
      <w:bookmarkEnd w:id="677"/>
      <w:bookmarkEnd w:id="678"/>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 xml:space="preserve">9.] </w:t>
      </w:r>
    </w:p>
    <w:p>
      <w:pPr>
        <w:pStyle w:val="Heading5"/>
      </w:pPr>
      <w:bookmarkStart w:id="679" w:name="_Toc503260592"/>
      <w:bookmarkStart w:id="680" w:name="_Toc12076695"/>
      <w:bookmarkStart w:id="681" w:name="_Toc12952211"/>
      <w:bookmarkStart w:id="682" w:name="_Toc122232934"/>
      <w:bookmarkStart w:id="683" w:name="_Toc202254199"/>
      <w:bookmarkStart w:id="684" w:name="_Toc181497532"/>
      <w:r>
        <w:rPr>
          <w:rStyle w:val="CharSectno"/>
        </w:rPr>
        <w:t>20A</w:t>
      </w:r>
      <w:r>
        <w:t>.</w:t>
      </w:r>
      <w:r>
        <w:tab/>
        <w:t>Duty to comply with conditions of approval of monitoring equipment</w:t>
      </w:r>
      <w:bookmarkEnd w:id="679"/>
      <w:bookmarkEnd w:id="680"/>
      <w:bookmarkEnd w:id="681"/>
      <w:bookmarkEnd w:id="682"/>
      <w:bookmarkEnd w:id="683"/>
      <w:bookmarkEnd w:id="684"/>
    </w:p>
    <w:p>
      <w:pPr>
        <w:pStyle w:val="Subsection"/>
        <w:keepNext/>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 xml:space="preserve">[Regulation 20A inserted in Gazette 7 Jul 2000 p. 3679.] </w:t>
      </w:r>
    </w:p>
    <w:p>
      <w:pPr>
        <w:pStyle w:val="Heading5"/>
      </w:pPr>
      <w:bookmarkStart w:id="685" w:name="_Toc503260593"/>
      <w:bookmarkStart w:id="686" w:name="_Toc12076696"/>
      <w:bookmarkStart w:id="687" w:name="_Toc12952212"/>
      <w:bookmarkStart w:id="688" w:name="_Toc122232935"/>
      <w:bookmarkStart w:id="689" w:name="_Toc202254200"/>
      <w:bookmarkStart w:id="690" w:name="_Toc181497533"/>
      <w:r>
        <w:rPr>
          <w:rStyle w:val="CharSectno"/>
        </w:rPr>
        <w:t>20B</w:t>
      </w:r>
      <w:r>
        <w:t>.</w:t>
      </w:r>
      <w:r>
        <w:tab/>
        <w:t>Report on results of specified monitoring programme</w:t>
      </w:r>
      <w:bookmarkEnd w:id="685"/>
      <w:bookmarkEnd w:id="686"/>
      <w:bookmarkEnd w:id="687"/>
      <w:bookmarkEnd w:id="688"/>
      <w:bookmarkEnd w:id="689"/>
      <w:bookmarkEnd w:id="690"/>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pPr>
      <w:r>
        <w:tab/>
        <w:t>(a)</w:t>
      </w:r>
      <w:r>
        <w:tab/>
        <w:t>at periods or on dates specified in the works approval or licence; or</w:t>
      </w:r>
    </w:p>
    <w:p>
      <w:pPr>
        <w:pStyle w:val="Indenta"/>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pPr>
      <w:r>
        <w:tab/>
        <w:t>(a)</w:t>
      </w:r>
      <w:r>
        <w:tab/>
        <w:t>contain details of the measurements taken using approved monitoring equipment or other equipment in the course of a specified monitoring programme;</w:t>
      </w:r>
    </w:p>
    <w:p>
      <w:pPr>
        <w:pStyle w:val="Indenta"/>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 xml:space="preserve">80; amended in Gazette 5 Jan 2001 p. 116.] </w:t>
      </w:r>
    </w:p>
    <w:p>
      <w:pPr>
        <w:pStyle w:val="Heading5"/>
      </w:pPr>
      <w:bookmarkStart w:id="691" w:name="_Toc503260594"/>
      <w:bookmarkStart w:id="692" w:name="_Toc12076697"/>
      <w:bookmarkStart w:id="693" w:name="_Toc12952213"/>
      <w:bookmarkStart w:id="694" w:name="_Toc122232936"/>
      <w:bookmarkStart w:id="695" w:name="_Toc202254201"/>
      <w:bookmarkStart w:id="696" w:name="_Toc181497534"/>
      <w:r>
        <w:rPr>
          <w:rStyle w:val="CharSectno"/>
        </w:rPr>
        <w:t>20C</w:t>
      </w:r>
      <w:r>
        <w:t>.</w:t>
      </w:r>
      <w:r>
        <w:tab/>
        <w:t>Presumption of accuracy of measurements</w:t>
      </w:r>
      <w:bookmarkEnd w:id="691"/>
      <w:bookmarkEnd w:id="692"/>
      <w:bookmarkEnd w:id="693"/>
      <w:bookmarkEnd w:id="694"/>
      <w:bookmarkEnd w:id="695"/>
      <w:bookmarkEnd w:id="696"/>
    </w:p>
    <w:p>
      <w:pPr>
        <w:pStyle w:val="Subsection"/>
      </w:pPr>
      <w:r>
        <w:tab/>
      </w:r>
      <w:r>
        <w:tab/>
        <w:t>A measurement taken by approved monitoring equipment is to be taken to be correct in the absence of proof, on the balance of probability, to the contrary.</w:t>
      </w:r>
    </w:p>
    <w:p>
      <w:pPr>
        <w:pStyle w:val="Footnotesection"/>
      </w:pPr>
      <w:r>
        <w:tab/>
        <w:t xml:space="preserve">[Regulation 20C inserted in Gazette 7 Jul 2000 p. 3680.] </w:t>
      </w:r>
    </w:p>
    <w:p>
      <w:pPr>
        <w:pStyle w:val="Heading5"/>
      </w:pPr>
      <w:bookmarkStart w:id="697" w:name="_Toc503260595"/>
      <w:bookmarkStart w:id="698" w:name="_Toc12076698"/>
      <w:bookmarkStart w:id="699" w:name="_Toc12952214"/>
      <w:bookmarkStart w:id="700" w:name="_Toc122232937"/>
      <w:bookmarkStart w:id="701" w:name="_Toc202254202"/>
      <w:bookmarkStart w:id="702" w:name="_Toc181497535"/>
      <w:r>
        <w:rPr>
          <w:rStyle w:val="CharSectno"/>
        </w:rPr>
        <w:t>20D</w:t>
      </w:r>
      <w:r>
        <w:t>.</w:t>
      </w:r>
      <w:r>
        <w:tab/>
        <w:t>Presumption of accuracy of contents of report</w:t>
      </w:r>
      <w:bookmarkEnd w:id="697"/>
      <w:bookmarkEnd w:id="698"/>
      <w:bookmarkEnd w:id="699"/>
      <w:bookmarkEnd w:id="700"/>
      <w:bookmarkEnd w:id="701"/>
      <w:bookmarkEnd w:id="702"/>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 xml:space="preserve">[Regulation 20D inserted in Gazette 7 Jul 2000 p. 3680.] </w:t>
      </w:r>
    </w:p>
    <w:p>
      <w:pPr>
        <w:pStyle w:val="Heading5"/>
      </w:pPr>
      <w:bookmarkStart w:id="703" w:name="_Toc503260596"/>
      <w:bookmarkStart w:id="704" w:name="_Toc12076699"/>
      <w:bookmarkStart w:id="705" w:name="_Toc12952215"/>
      <w:bookmarkStart w:id="706" w:name="_Toc122232938"/>
      <w:bookmarkStart w:id="707" w:name="_Toc202254203"/>
      <w:bookmarkStart w:id="708" w:name="_Toc181497536"/>
      <w:r>
        <w:rPr>
          <w:rStyle w:val="CharSectno"/>
        </w:rPr>
        <w:t>20E</w:t>
      </w:r>
      <w:r>
        <w:t>.</w:t>
      </w:r>
      <w:r>
        <w:tab/>
        <w:t>Notification of inaccurate measurement</w:t>
      </w:r>
      <w:bookmarkEnd w:id="703"/>
      <w:bookmarkEnd w:id="704"/>
      <w:bookmarkEnd w:id="705"/>
      <w:bookmarkEnd w:id="706"/>
      <w:bookmarkEnd w:id="707"/>
      <w:bookmarkEnd w:id="708"/>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pPr>
      <w:r>
        <w:tab/>
        <w:t xml:space="preserve">[Regulation 20E inserted in Gazette 7 Jul 2000 p. 3680.] </w:t>
      </w:r>
    </w:p>
    <w:p>
      <w:pPr>
        <w:pStyle w:val="Heading5"/>
      </w:pPr>
      <w:bookmarkStart w:id="709" w:name="_Toc503260597"/>
      <w:bookmarkStart w:id="710" w:name="_Toc12076700"/>
      <w:bookmarkStart w:id="711" w:name="_Toc12952216"/>
      <w:bookmarkStart w:id="712" w:name="_Toc122232939"/>
      <w:bookmarkStart w:id="713" w:name="_Toc202254204"/>
      <w:bookmarkStart w:id="714" w:name="_Toc181497537"/>
      <w:r>
        <w:rPr>
          <w:rStyle w:val="CharSectno"/>
        </w:rPr>
        <w:t>20F</w:t>
      </w:r>
      <w:r>
        <w:t>.</w:t>
      </w:r>
      <w:r>
        <w:tab/>
        <w:t>Approval of monitoring equipment</w:t>
      </w:r>
      <w:bookmarkEnd w:id="709"/>
      <w:bookmarkEnd w:id="710"/>
      <w:bookmarkEnd w:id="711"/>
      <w:bookmarkEnd w:id="712"/>
      <w:bookmarkEnd w:id="713"/>
      <w:bookmarkEnd w:id="714"/>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pPr>
      <w:r>
        <w:tab/>
        <w:t>(a)</w:t>
      </w:r>
      <w:r>
        <w:tab/>
        <w:t>if an application is not made under subregulation (2) within 30 days of the day on which the approval was granted; or</w:t>
      </w:r>
    </w:p>
    <w:p>
      <w:pPr>
        <w:pStyle w:val="Indenta"/>
      </w:pPr>
      <w:r>
        <w:tab/>
        <w:t>(b)</w:t>
      </w:r>
      <w:r>
        <w:tab/>
        <w:t>in any other case, 60 days after the day on which the approval was granted.</w:t>
      </w:r>
    </w:p>
    <w:p>
      <w:pPr>
        <w:pStyle w:val="Subsection"/>
        <w:keepNext/>
        <w:keepLines/>
      </w:pPr>
      <w:r>
        <w:tab/>
        <w:t>(6)</w:t>
      </w:r>
      <w:r>
        <w:tab/>
        <w:t>If a person applies to the Chief Executive Officer for monitoring equipment to be approved, the Chief Executive Officer may —</w:t>
      </w:r>
    </w:p>
    <w:p>
      <w:pPr>
        <w:pStyle w:val="Indenta"/>
      </w:pPr>
      <w:r>
        <w:tab/>
        <w:t>(a)</w:t>
      </w:r>
      <w:r>
        <w:tab/>
        <w:t>require the applicant to provide more information before deciding whether or not to grant the approval;</w:t>
      </w:r>
    </w:p>
    <w:p>
      <w:pPr>
        <w:pStyle w:val="Indenta"/>
      </w:pPr>
      <w:r>
        <w:tab/>
        <w:t>(b)</w:t>
      </w:r>
      <w:r>
        <w:tab/>
        <w:t>allow the applicant to provide more information or amend its application before deciding whether or not to grant the approval;</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715" w:name="_Toc503260598"/>
      <w:bookmarkStart w:id="716" w:name="_Toc12076701"/>
      <w:bookmarkStart w:id="717" w:name="_Toc12952217"/>
      <w:bookmarkStart w:id="718" w:name="_Toc122232940"/>
      <w:bookmarkStart w:id="719" w:name="_Toc202254205"/>
      <w:bookmarkStart w:id="720" w:name="_Toc181497538"/>
      <w:r>
        <w:rPr>
          <w:rStyle w:val="CharSectno"/>
        </w:rPr>
        <w:t>20G</w:t>
      </w:r>
      <w:r>
        <w:t>.</w:t>
      </w:r>
      <w:r>
        <w:tab/>
        <w:t>Conditions of approval of monitoring equipment</w:t>
      </w:r>
      <w:bookmarkEnd w:id="715"/>
      <w:bookmarkEnd w:id="716"/>
      <w:bookmarkEnd w:id="717"/>
      <w:bookmarkEnd w:id="718"/>
      <w:bookmarkEnd w:id="719"/>
      <w:bookmarkEnd w:id="720"/>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spacing w:before="0"/>
      </w:pPr>
      <w:r>
        <w:tab/>
        <w:t>(iii)</w:t>
      </w:r>
      <w:r>
        <w:tab/>
        <w:t xml:space="preserve">an international standard; </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 xml:space="preserve">[Regulation 20G inserted in Gazette 7 Jul 2000 p. 3681.] </w:t>
      </w:r>
    </w:p>
    <w:p>
      <w:pPr>
        <w:pStyle w:val="Heading5"/>
      </w:pPr>
      <w:bookmarkStart w:id="721" w:name="_Toc503260599"/>
      <w:bookmarkStart w:id="722" w:name="_Toc12076702"/>
      <w:bookmarkStart w:id="723" w:name="_Toc12952218"/>
      <w:bookmarkStart w:id="724" w:name="_Toc122232941"/>
      <w:bookmarkStart w:id="725" w:name="_Toc202254206"/>
      <w:bookmarkStart w:id="726" w:name="_Toc181497539"/>
      <w:r>
        <w:rPr>
          <w:rStyle w:val="CharSectno"/>
        </w:rPr>
        <w:t>20H</w:t>
      </w:r>
      <w:r>
        <w:t>.</w:t>
      </w:r>
      <w:r>
        <w:tab/>
        <w:t>Revocation of approval</w:t>
      </w:r>
      <w:bookmarkEnd w:id="721"/>
      <w:bookmarkEnd w:id="722"/>
      <w:bookmarkEnd w:id="723"/>
      <w:bookmarkEnd w:id="724"/>
      <w:bookmarkEnd w:id="725"/>
      <w:bookmarkEnd w:id="726"/>
    </w:p>
    <w:p>
      <w:pPr>
        <w:pStyle w:val="Subsection"/>
      </w:pPr>
      <w:r>
        <w:tab/>
        <w:t>(1)</w:t>
      </w:r>
      <w:r>
        <w:tab/>
        <w:t>The Chief Executive Officer may revoke an approval under regulation 20F if, in the Chief Executive Officer’s opinion — </w:t>
      </w:r>
    </w:p>
    <w:p>
      <w:pPr>
        <w:pStyle w:val="Indenta"/>
      </w:pPr>
      <w:r>
        <w:tab/>
        <w:t>(a)</w:t>
      </w:r>
      <w:r>
        <w:tab/>
        <w:t>the equipment referred to in the certificate of approval is not considered to be suitable to be used in a specified monitoring programme;</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2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100"/>
        <w:ind w:left="890" w:hanging="890"/>
      </w:pPr>
      <w:r>
        <w:tab/>
        <w:t>[Regulation 20H inserted in Gazette 7 Jul 2000 p. 3681</w:t>
      </w:r>
      <w:r>
        <w:noBreakHyphen/>
        <w:t>2; amended in Gazette 5 Jan 2001 p. 117</w:t>
      </w:r>
      <w:r>
        <w:noBreakHyphen/>
        <w:t xml:space="preserve">18.] </w:t>
      </w:r>
    </w:p>
    <w:p>
      <w:pPr>
        <w:pStyle w:val="Heading5"/>
        <w:spacing w:before="180"/>
      </w:pPr>
      <w:bookmarkStart w:id="727" w:name="_Toc503260600"/>
      <w:bookmarkStart w:id="728" w:name="_Toc12076703"/>
      <w:bookmarkStart w:id="729" w:name="_Toc12952219"/>
      <w:bookmarkStart w:id="730" w:name="_Toc122232942"/>
      <w:bookmarkStart w:id="731" w:name="_Toc202254207"/>
      <w:bookmarkStart w:id="732" w:name="_Toc181497540"/>
      <w:r>
        <w:rPr>
          <w:rStyle w:val="CharSectno"/>
        </w:rPr>
        <w:t>20I</w:t>
      </w:r>
      <w:r>
        <w:t>.</w:t>
      </w:r>
      <w:r>
        <w:tab/>
        <w:t>Appeal</w:t>
      </w:r>
      <w:bookmarkEnd w:id="727"/>
      <w:bookmarkEnd w:id="728"/>
      <w:bookmarkEnd w:id="729"/>
      <w:bookmarkEnd w:id="730"/>
      <w:bookmarkEnd w:id="731"/>
      <w:bookmarkEnd w:id="732"/>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100"/>
        <w:ind w:left="890" w:hanging="890"/>
      </w:pPr>
      <w:r>
        <w:tab/>
        <w:t xml:space="preserve">[Regulation 20I inserted in Gazette 7 Jul 2000 p. 3682.] </w:t>
      </w:r>
    </w:p>
    <w:p>
      <w:pPr>
        <w:pStyle w:val="Heading5"/>
        <w:spacing w:before="180"/>
      </w:pPr>
      <w:bookmarkStart w:id="733" w:name="_Toc503260601"/>
      <w:bookmarkStart w:id="734" w:name="_Toc12076704"/>
      <w:bookmarkStart w:id="735" w:name="_Toc12952220"/>
      <w:bookmarkStart w:id="736" w:name="_Toc122232943"/>
      <w:bookmarkStart w:id="737" w:name="_Toc202254208"/>
      <w:bookmarkStart w:id="738" w:name="_Toc181497541"/>
      <w:r>
        <w:rPr>
          <w:rStyle w:val="CharSectno"/>
        </w:rPr>
        <w:t>20J</w:t>
      </w:r>
      <w:r>
        <w:t>.</w:t>
      </w:r>
      <w:r>
        <w:tab/>
        <w:t>Approval of monitoring equipment pending determination of appeal</w:t>
      </w:r>
      <w:bookmarkEnd w:id="733"/>
      <w:bookmarkEnd w:id="734"/>
      <w:bookmarkEnd w:id="735"/>
      <w:bookmarkEnd w:id="736"/>
      <w:bookmarkEnd w:id="737"/>
      <w:bookmarkEnd w:id="738"/>
    </w:p>
    <w:p>
      <w:pPr>
        <w:pStyle w:val="Subsection"/>
        <w:spacing w:before="120"/>
      </w:pPr>
      <w:r>
        <w:tab/>
        <w:t>(1)</w:t>
      </w:r>
      <w:r>
        <w:tab/>
        <w:t>If —</w:t>
      </w:r>
    </w:p>
    <w:p>
      <w:pPr>
        <w:pStyle w:val="Indenta"/>
      </w:pPr>
      <w:r>
        <w:tab/>
        <w:t>(a)</w:t>
      </w:r>
      <w:r>
        <w:tab/>
        <w:t>an appeal has been lodged under regulation 20I(1) in relation to an approval revoked under regulation 20H; and</w:t>
      </w:r>
    </w:p>
    <w:p>
      <w:pPr>
        <w:pStyle w:val="Indenta"/>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 xml:space="preserve">3.] </w:t>
      </w:r>
    </w:p>
    <w:p>
      <w:pPr>
        <w:pStyle w:val="Heading5"/>
      </w:pPr>
      <w:bookmarkStart w:id="739" w:name="_Toc503260602"/>
      <w:bookmarkStart w:id="740" w:name="_Toc12076705"/>
      <w:bookmarkStart w:id="741" w:name="_Toc12952221"/>
      <w:bookmarkStart w:id="742" w:name="_Toc122232944"/>
      <w:bookmarkStart w:id="743" w:name="_Toc202254209"/>
      <w:bookmarkStart w:id="744" w:name="_Toc181497542"/>
      <w:r>
        <w:rPr>
          <w:rStyle w:val="CharSectno"/>
        </w:rPr>
        <w:t>20K</w:t>
      </w:r>
      <w:r>
        <w:t>.</w:t>
      </w:r>
      <w:r>
        <w:tab/>
        <w:t>Judicial notice of signature of the Chief Executive Officer</w:t>
      </w:r>
      <w:bookmarkEnd w:id="739"/>
      <w:bookmarkEnd w:id="740"/>
      <w:bookmarkEnd w:id="741"/>
      <w:bookmarkEnd w:id="742"/>
      <w:bookmarkEnd w:id="743"/>
      <w:bookmarkEnd w:id="744"/>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 xml:space="preserve">[Regulation 20K inserted in Gazette 7 Jul 2000 p. 3683; amended in Gazette 5 Jan 2001 p. 118.] </w:t>
      </w:r>
    </w:p>
    <w:p>
      <w:pPr>
        <w:pStyle w:val="Heading5"/>
      </w:pPr>
      <w:bookmarkStart w:id="745" w:name="_Toc503260603"/>
      <w:bookmarkStart w:id="746" w:name="_Toc12076706"/>
      <w:bookmarkStart w:id="747" w:name="_Toc12952222"/>
      <w:bookmarkStart w:id="748" w:name="_Toc122232945"/>
      <w:bookmarkStart w:id="749" w:name="_Toc202254210"/>
      <w:bookmarkStart w:id="750" w:name="_Toc181497543"/>
      <w:r>
        <w:rPr>
          <w:rStyle w:val="CharSectno"/>
        </w:rPr>
        <w:t>20KA</w:t>
      </w:r>
      <w:r>
        <w:t>.</w:t>
      </w:r>
      <w:r>
        <w:tab/>
        <w:t>Ministerial guidelines</w:t>
      </w:r>
      <w:bookmarkEnd w:id="745"/>
      <w:bookmarkEnd w:id="746"/>
      <w:bookmarkEnd w:id="747"/>
      <w:bookmarkEnd w:id="748"/>
      <w:bookmarkEnd w:id="749"/>
      <w:bookmarkEnd w:id="750"/>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751" w:name="_Toc503260604"/>
      <w:bookmarkStart w:id="752" w:name="_Toc12076707"/>
      <w:bookmarkStart w:id="753" w:name="_Toc12952223"/>
      <w:bookmarkStart w:id="754" w:name="_Toc122232946"/>
      <w:bookmarkStart w:id="755" w:name="_Toc202254211"/>
      <w:bookmarkStart w:id="756" w:name="_Toc181497544"/>
      <w:r>
        <w:rPr>
          <w:rStyle w:val="CharSectno"/>
        </w:rPr>
        <w:t>20L</w:t>
      </w:r>
      <w:r>
        <w:t>.</w:t>
      </w:r>
      <w:r>
        <w:tab/>
        <w:t>Review of this Part</w:t>
      </w:r>
      <w:bookmarkEnd w:id="751"/>
      <w:bookmarkEnd w:id="752"/>
      <w:bookmarkEnd w:id="753"/>
      <w:bookmarkEnd w:id="754"/>
      <w:bookmarkEnd w:id="755"/>
      <w:bookmarkEnd w:id="756"/>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 xml:space="preserve">[Regulation 20L inserted in Gazette 7 Jul 2000 p. 3683; amended in Gazette 5 Jan 2001 p. 118.] </w:t>
      </w:r>
    </w:p>
    <w:p>
      <w:pPr>
        <w:pStyle w:val="Heading2"/>
      </w:pPr>
      <w:bookmarkStart w:id="757" w:name="_Toc75588413"/>
      <w:bookmarkStart w:id="758" w:name="_Toc76894960"/>
      <w:bookmarkStart w:id="759" w:name="_Toc85279845"/>
      <w:bookmarkStart w:id="760" w:name="_Toc88903707"/>
      <w:bookmarkStart w:id="761" w:name="_Toc88962296"/>
      <w:bookmarkStart w:id="762" w:name="_Toc94320219"/>
      <w:bookmarkStart w:id="763" w:name="_Toc94331055"/>
      <w:bookmarkStart w:id="764" w:name="_Toc94331167"/>
      <w:bookmarkStart w:id="765" w:name="_Toc94428651"/>
      <w:bookmarkStart w:id="766" w:name="_Toc97455630"/>
      <w:bookmarkStart w:id="767" w:name="_Toc97457421"/>
      <w:bookmarkStart w:id="768" w:name="_Toc97630218"/>
      <w:bookmarkStart w:id="769" w:name="_Toc98053363"/>
      <w:bookmarkStart w:id="770" w:name="_Toc99962349"/>
      <w:bookmarkStart w:id="771" w:name="_Toc122159447"/>
      <w:bookmarkStart w:id="772" w:name="_Toc122232771"/>
      <w:bookmarkStart w:id="773" w:name="_Toc122232947"/>
      <w:bookmarkStart w:id="774" w:name="_Toc147220581"/>
      <w:bookmarkStart w:id="775" w:name="_Toc147223934"/>
      <w:bookmarkStart w:id="776" w:name="_Toc165444969"/>
      <w:bookmarkStart w:id="777" w:name="_Toc170557749"/>
      <w:bookmarkStart w:id="778" w:name="_Toc170795140"/>
      <w:bookmarkStart w:id="779" w:name="_Toc172709240"/>
      <w:bookmarkStart w:id="780" w:name="_Toc172964724"/>
      <w:bookmarkStart w:id="781" w:name="_Toc174158441"/>
      <w:bookmarkStart w:id="782" w:name="_Toc174358994"/>
      <w:bookmarkStart w:id="783" w:name="_Toc174518585"/>
      <w:bookmarkStart w:id="784" w:name="_Toc176170530"/>
      <w:bookmarkStart w:id="785" w:name="_Toc181431089"/>
      <w:bookmarkStart w:id="786" w:name="_Toc181497545"/>
      <w:bookmarkStart w:id="787" w:name="_Toc202254212"/>
      <w:r>
        <w:rPr>
          <w:rStyle w:val="CharPartNo"/>
        </w:rPr>
        <w:t>Part 9</w:t>
      </w:r>
      <w:r>
        <w:rPr>
          <w:rStyle w:val="CharDivNo"/>
        </w:rPr>
        <w:t> </w:t>
      </w:r>
      <w:r>
        <w:t>—</w:t>
      </w:r>
      <w:r>
        <w:rPr>
          <w:rStyle w:val="CharDivText"/>
        </w:rPr>
        <w:t> </w:t>
      </w:r>
      <w:r>
        <w:rPr>
          <w:rStyle w:val="CharPartText"/>
        </w:rPr>
        <w:t>Landfill levy</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rPr>
          <w:rStyle w:val="CharPartText"/>
        </w:rPr>
        <w:t xml:space="preserve"> </w:t>
      </w:r>
    </w:p>
    <w:p>
      <w:pPr>
        <w:pStyle w:val="Footnoteheading"/>
        <w:rPr>
          <w:snapToGrid w:val="0"/>
        </w:rPr>
      </w:pPr>
      <w:r>
        <w:rPr>
          <w:snapToGrid w:val="0"/>
        </w:rPr>
        <w:tab/>
        <w:t>[Heading inserted in Gazette 26 Jun 1998 p. 3370.]</w:t>
      </w:r>
    </w:p>
    <w:p>
      <w:pPr>
        <w:pStyle w:val="Heading5"/>
        <w:rPr>
          <w:snapToGrid w:val="0"/>
        </w:rPr>
      </w:pPr>
      <w:bookmarkStart w:id="788" w:name="_Toc448822591"/>
      <w:bookmarkStart w:id="789" w:name="_Toc448822717"/>
      <w:bookmarkStart w:id="790" w:name="_Toc503260605"/>
      <w:bookmarkStart w:id="791" w:name="_Toc12076708"/>
      <w:bookmarkStart w:id="792" w:name="_Toc12952224"/>
      <w:bookmarkStart w:id="793" w:name="_Toc122232948"/>
      <w:bookmarkStart w:id="794" w:name="_Toc202254213"/>
      <w:bookmarkStart w:id="795" w:name="_Toc181497546"/>
      <w:r>
        <w:rPr>
          <w:rStyle w:val="CharSectno"/>
        </w:rPr>
        <w:t>21</w:t>
      </w:r>
      <w:r>
        <w:rPr>
          <w:snapToGrid w:val="0"/>
        </w:rPr>
        <w:t>.</w:t>
      </w:r>
      <w:r>
        <w:rPr>
          <w:snapToGrid w:val="0"/>
        </w:rPr>
        <w:tab/>
      </w:r>
      <w:bookmarkEnd w:id="788"/>
      <w:bookmarkEnd w:id="789"/>
      <w:bookmarkEnd w:id="790"/>
      <w:bookmarkEnd w:id="791"/>
      <w:bookmarkEnd w:id="792"/>
      <w:bookmarkEnd w:id="793"/>
      <w:r>
        <w:rPr>
          <w:snapToGrid w:val="0"/>
        </w:rPr>
        <w:t>Terms used in this Part</w:t>
      </w:r>
      <w:bookmarkEnd w:id="794"/>
      <w:bookmarkEnd w:id="795"/>
    </w:p>
    <w:p>
      <w:pPr>
        <w:pStyle w:val="Subsection"/>
        <w:rPr>
          <w:snapToGrid w:val="0"/>
        </w:rPr>
      </w:pPr>
      <w:r>
        <w:rPr>
          <w:snapToGrid w:val="0"/>
        </w:rPr>
        <w:tab/>
        <w:t>(1)</w:t>
      </w:r>
      <w:r>
        <w:rPr>
          <w:snapToGrid w:val="0"/>
        </w:rPr>
        <w:tab/>
        <w:t>In this Part — </w:t>
      </w:r>
    </w:p>
    <w:p>
      <w:pPr>
        <w:pStyle w:val="Defstart"/>
      </w:pPr>
      <w:r>
        <w:rPr>
          <w:b/>
        </w:rPr>
        <w:tab/>
      </w:r>
      <w:del w:id="796" w:author="Master Repository Process" w:date="2021-08-01T11:42:00Z">
        <w:r>
          <w:rPr>
            <w:b/>
          </w:rPr>
          <w:delText>“</w:delText>
        </w:r>
      </w:del>
      <w:r>
        <w:rPr>
          <w:rStyle w:val="CharDefText"/>
        </w:rPr>
        <w:t>approved</w:t>
      </w:r>
      <w:del w:id="797" w:author="Master Repository Process" w:date="2021-08-01T11:42:00Z">
        <w:r>
          <w:rPr>
            <w:b/>
          </w:rPr>
          <w:delText>”</w:delText>
        </w:r>
      </w:del>
      <w:r>
        <w:t xml:space="preserve"> means approved in writing by the Chief Executive Officer;</w:t>
      </w:r>
    </w:p>
    <w:p>
      <w:pPr>
        <w:pStyle w:val="Defstart"/>
      </w:pPr>
      <w:r>
        <w:rPr>
          <w:b/>
        </w:rPr>
        <w:tab/>
      </w:r>
      <w:del w:id="798" w:author="Master Repository Process" w:date="2021-08-01T11:42:00Z">
        <w:r>
          <w:rPr>
            <w:b/>
          </w:rPr>
          <w:delText>“</w:delText>
        </w:r>
      </w:del>
      <w:r>
        <w:rPr>
          <w:rStyle w:val="CharDefText"/>
        </w:rPr>
        <w:t>commencement day</w:t>
      </w:r>
      <w:del w:id="799" w:author="Master Repository Process" w:date="2021-08-01T11:42:00Z">
        <w:r>
          <w:rPr>
            <w:b/>
          </w:rPr>
          <w:delText>”</w:delText>
        </w:r>
      </w:del>
      <w:r>
        <w:t xml:space="preserve"> means the day on which the </w:t>
      </w:r>
      <w:r>
        <w:rPr>
          <w:i/>
        </w:rPr>
        <w:t>Environmental Protection (Landfill) Levy Act 1998</w:t>
      </w:r>
      <w:r>
        <w:t xml:space="preserve"> comes into operation </w:t>
      </w:r>
      <w:r>
        <w:rPr>
          <w:vertAlign w:val="superscript"/>
        </w:rPr>
        <w:t>3</w:t>
      </w:r>
      <w:r>
        <w:t>;</w:t>
      </w:r>
    </w:p>
    <w:p>
      <w:pPr>
        <w:pStyle w:val="Defstart"/>
      </w:pPr>
      <w:r>
        <w:rPr>
          <w:b/>
        </w:rPr>
        <w:tab/>
      </w:r>
      <w:del w:id="800" w:author="Master Repository Process" w:date="2021-08-01T11:42:00Z">
        <w:r>
          <w:rPr>
            <w:b/>
          </w:rPr>
          <w:delText>“</w:delText>
        </w:r>
      </w:del>
      <w:r>
        <w:rPr>
          <w:rStyle w:val="CharDefText"/>
        </w:rPr>
        <w:t>exemption period</w:t>
      </w:r>
      <w:del w:id="801" w:author="Master Repository Process" w:date="2021-08-01T11:42:00Z">
        <w:r>
          <w:rPr>
            <w:b/>
          </w:rPr>
          <w:delText>”</w:delText>
        </w:r>
      </w:del>
      <w:r>
        <w:t xml:space="preserve"> means the period of exemption specified in a notice of exemption under regulation 23(4);</w:t>
      </w:r>
    </w:p>
    <w:p>
      <w:pPr>
        <w:pStyle w:val="Defstart"/>
      </w:pPr>
      <w:r>
        <w:rPr>
          <w:b/>
        </w:rPr>
        <w:tab/>
      </w:r>
      <w:del w:id="802" w:author="Master Repository Process" w:date="2021-08-01T11:42:00Z">
        <w:r>
          <w:rPr>
            <w:b/>
          </w:rPr>
          <w:delText>“</w:delText>
        </w:r>
      </w:del>
      <w:r>
        <w:rPr>
          <w:rStyle w:val="CharDefText"/>
        </w:rPr>
        <w:t>existing licensee</w:t>
      </w:r>
      <w:del w:id="803" w:author="Master Repository Process" w:date="2021-08-01T11:42:00Z">
        <w:r>
          <w:rPr>
            <w:b/>
          </w:rPr>
          <w:delText>”</w:delText>
        </w:r>
      </w:del>
      <w:r>
        <w:t xml:space="preserve"> means a person who is a licensee on commencement day;</w:t>
      </w:r>
    </w:p>
    <w:p>
      <w:pPr>
        <w:pStyle w:val="Defstart"/>
      </w:pPr>
      <w:r>
        <w:rPr>
          <w:b/>
        </w:rPr>
        <w:tab/>
      </w:r>
      <w:del w:id="804" w:author="Master Repository Process" w:date="2021-08-01T11:42:00Z">
        <w:r>
          <w:rPr>
            <w:b/>
          </w:rPr>
          <w:delText>“</w:delText>
        </w:r>
      </w:del>
      <w:r>
        <w:rPr>
          <w:rStyle w:val="CharDefText"/>
        </w:rPr>
        <w:t>Fund</w:t>
      </w:r>
      <w:del w:id="805" w:author="Master Repository Process" w:date="2021-08-01T11:42:00Z">
        <w:r>
          <w:rPr>
            <w:b/>
          </w:rPr>
          <w:delText>”</w:delText>
        </w:r>
      </w:del>
      <w:r>
        <w:t xml:space="preserve"> means the Waste Management and Recycling Fund established under section 110H of the Act;</w:t>
      </w:r>
    </w:p>
    <w:p>
      <w:pPr>
        <w:pStyle w:val="Defstart"/>
      </w:pPr>
      <w:r>
        <w:rPr>
          <w:b/>
        </w:rPr>
        <w:tab/>
      </w:r>
      <w:del w:id="806" w:author="Master Repository Process" w:date="2021-08-01T11:42:00Z">
        <w:r>
          <w:rPr>
            <w:b/>
          </w:rPr>
          <w:delText>“</w:delText>
        </w:r>
      </w:del>
      <w:r>
        <w:rPr>
          <w:rStyle w:val="CharDefText"/>
        </w:rPr>
        <w:t>levy</w:t>
      </w:r>
      <w:del w:id="807" w:author="Master Repository Process" w:date="2021-08-01T11:42:00Z">
        <w:r>
          <w:rPr>
            <w:b/>
          </w:rPr>
          <w:delText>”</w:delText>
        </w:r>
      </w:del>
      <w:r>
        <w:t xml:space="preserve"> means a levy imposed under the </w:t>
      </w:r>
      <w:r>
        <w:rPr>
          <w:i/>
        </w:rPr>
        <w:t>Environmental Protection (Landfill) Levy Act 1998</w:t>
      </w:r>
      <w:r>
        <w:t>;</w:t>
      </w:r>
    </w:p>
    <w:p>
      <w:pPr>
        <w:pStyle w:val="Defstart"/>
      </w:pPr>
      <w:r>
        <w:rPr>
          <w:b/>
        </w:rPr>
        <w:tab/>
      </w:r>
      <w:del w:id="808" w:author="Master Repository Process" w:date="2021-08-01T11:42:00Z">
        <w:r>
          <w:rPr>
            <w:b/>
          </w:rPr>
          <w:delText>“</w:delText>
        </w:r>
      </w:del>
      <w:r>
        <w:rPr>
          <w:rStyle w:val="CharDefText"/>
        </w:rPr>
        <w:t>licensed landfill</w:t>
      </w:r>
      <w:del w:id="809" w:author="Master Repository Process" w:date="2021-08-01T11:42:00Z">
        <w:r>
          <w:rPr>
            <w:b/>
          </w:rPr>
          <w:delText>”</w:delText>
        </w:r>
      </w:del>
      <w:r>
        <w:t xml:space="preserve"> means premises specified in category 63, 64 or 65 of Schedule 1;</w:t>
      </w:r>
    </w:p>
    <w:p>
      <w:pPr>
        <w:pStyle w:val="Defstart"/>
      </w:pPr>
      <w:r>
        <w:rPr>
          <w:b/>
        </w:rPr>
        <w:tab/>
      </w:r>
      <w:del w:id="810" w:author="Master Repository Process" w:date="2021-08-01T11:42:00Z">
        <w:r>
          <w:rPr>
            <w:b/>
          </w:rPr>
          <w:delText>“</w:delText>
        </w:r>
      </w:del>
      <w:r>
        <w:rPr>
          <w:rStyle w:val="CharDefText"/>
        </w:rPr>
        <w:t>licensee</w:t>
      </w:r>
      <w:del w:id="811" w:author="Master Repository Process" w:date="2021-08-01T11:42:00Z">
        <w:r>
          <w:rPr>
            <w:b/>
          </w:rPr>
          <w:delText>”</w:delText>
        </w:r>
      </w:del>
      <w:r>
        <w:t xml:space="preserve"> means the holder of a licence in respect of a licensed landfill;</w:t>
      </w:r>
    </w:p>
    <w:p>
      <w:pPr>
        <w:pStyle w:val="Defstart"/>
      </w:pPr>
      <w:r>
        <w:rPr>
          <w:b/>
        </w:rPr>
        <w:tab/>
      </w:r>
      <w:del w:id="812" w:author="Master Repository Process" w:date="2021-08-01T11:42:00Z">
        <w:r>
          <w:rPr>
            <w:b/>
          </w:rPr>
          <w:delText>“</w:delText>
        </w:r>
      </w:del>
      <w:r>
        <w:rPr>
          <w:rStyle w:val="CharDefText"/>
        </w:rPr>
        <w:t>metropolitan region</w:t>
      </w:r>
      <w:del w:id="813" w:author="Master Repository Process" w:date="2021-08-01T11:42:00Z">
        <w:r>
          <w:rPr>
            <w:b/>
          </w:rPr>
          <w:delText>”</w:delText>
        </w:r>
      </w:del>
      <w:r>
        <w:t xml:space="preserve"> has the same meaning as it has in the </w:t>
      </w:r>
      <w:r>
        <w:rPr>
          <w:i/>
          <w:iCs/>
        </w:rPr>
        <w:t>Planning and Development Act 2005</w:t>
      </w:r>
      <w:r>
        <w:t>;</w:t>
      </w:r>
    </w:p>
    <w:p>
      <w:pPr>
        <w:pStyle w:val="Defstart"/>
      </w:pPr>
      <w:r>
        <w:rPr>
          <w:b/>
        </w:rPr>
        <w:tab/>
      </w:r>
      <w:del w:id="814" w:author="Master Repository Process" w:date="2021-08-01T11:42:00Z">
        <w:r>
          <w:rPr>
            <w:b/>
          </w:rPr>
          <w:delText>“</w:delText>
        </w:r>
      </w:del>
      <w:r>
        <w:rPr>
          <w:rStyle w:val="CharDefText"/>
        </w:rPr>
        <w:t>return period</w:t>
      </w:r>
      <w:del w:id="815" w:author="Master Repository Process" w:date="2021-08-01T11:42:00Z">
        <w:r>
          <w:rPr>
            <w:b/>
          </w:rPr>
          <w:delText>”</w:delText>
        </w:r>
      </w:del>
      <w:r>
        <w:t xml:space="preserve"> means — </w:t>
      </w:r>
    </w:p>
    <w:p>
      <w:pPr>
        <w:pStyle w:val="Defpara"/>
      </w:pPr>
      <w:r>
        <w:tab/>
        <w:t>(a)</w:t>
      </w:r>
      <w:r>
        <w:tab/>
        <w:t>in the case of an existing licensee, the following periods —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 </w:t>
      </w:r>
    </w:p>
    <w:p>
      <w:pPr>
        <w:pStyle w:val="Defsubpara"/>
      </w:pPr>
      <w:r>
        <w:tab/>
        <w:t>•</w:t>
      </w:r>
      <w:r>
        <w:tab/>
        <w:t>Period 1: the period beginning on the date of the grant of the licence and ending on the September 30, December 31, March 31 or June 30 immediately next following;</w:t>
      </w:r>
    </w:p>
    <w:p>
      <w:pPr>
        <w:pStyle w:val="Defsubpara"/>
      </w:pPr>
      <w:r>
        <w:tab/>
        <w:t>•</w:t>
      </w:r>
      <w:r>
        <w:tab/>
        <w:t>Each 3 month period next following Period 1.</w:t>
      </w:r>
    </w:p>
    <w:p>
      <w:pPr>
        <w:pStyle w:val="Subsection"/>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 xml:space="preserve">1; amended in Gazette 29 Sep 2006 p. 4261.] </w:t>
      </w:r>
    </w:p>
    <w:p>
      <w:pPr>
        <w:pStyle w:val="Heading5"/>
        <w:rPr>
          <w:snapToGrid w:val="0"/>
        </w:rPr>
      </w:pPr>
      <w:bookmarkStart w:id="816" w:name="_Toc448822592"/>
      <w:bookmarkStart w:id="817" w:name="_Toc448822718"/>
      <w:bookmarkStart w:id="818" w:name="_Toc503260606"/>
      <w:bookmarkStart w:id="819" w:name="_Toc12076709"/>
      <w:bookmarkStart w:id="820" w:name="_Toc12952225"/>
      <w:bookmarkStart w:id="821" w:name="_Toc122232949"/>
      <w:bookmarkStart w:id="822" w:name="_Toc202254214"/>
      <w:bookmarkStart w:id="823" w:name="_Toc181497547"/>
      <w:r>
        <w:rPr>
          <w:rStyle w:val="CharSectno"/>
        </w:rPr>
        <w:t>22</w:t>
      </w:r>
      <w:r>
        <w:rPr>
          <w:snapToGrid w:val="0"/>
        </w:rPr>
        <w:t xml:space="preserve">. </w:t>
      </w:r>
      <w:r>
        <w:rPr>
          <w:snapToGrid w:val="0"/>
        </w:rPr>
        <w:tab/>
        <w:t>Application</w:t>
      </w:r>
      <w:bookmarkEnd w:id="816"/>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r>
      <w:ins w:id="824" w:author="Master Repository Process" w:date="2021-08-01T11:42:00Z">
        <w:r>
          <w:rPr>
            <w:snapToGrid w:val="0"/>
          </w:rPr>
          <w:t>(1)</w:t>
        </w:r>
      </w:ins>
      <w:r>
        <w:rPr>
          <w:snapToGrid w:val="0"/>
        </w:rPr>
        <w:tab/>
        <w:t>Subject to any exemption granted on application under regulation 23(1), this Part applies to — </w:t>
      </w:r>
    </w:p>
    <w:p>
      <w:pPr>
        <w:pStyle w:val="Indenta"/>
        <w:rPr>
          <w:snapToGrid w:val="0"/>
        </w:rPr>
      </w:pPr>
      <w:r>
        <w:rPr>
          <w:snapToGrid w:val="0"/>
        </w:rPr>
        <w:tab/>
        <w:t>(a)</w:t>
      </w:r>
      <w:r>
        <w:rPr>
          <w:snapToGrid w:val="0"/>
        </w:rPr>
        <w:tab/>
        <w:t>all waste received at licensed landfills in the metropolitan region; and</w:t>
      </w:r>
    </w:p>
    <w:p>
      <w:pPr>
        <w:pStyle w:val="Indenta"/>
        <w:rPr>
          <w:snapToGrid w:val="0"/>
        </w:rPr>
      </w:pPr>
      <w:r>
        <w:rPr>
          <w:snapToGrid w:val="0"/>
        </w:rPr>
        <w:tab/>
        <w:t>(b)</w:t>
      </w:r>
      <w:r>
        <w:rPr>
          <w:snapToGrid w:val="0"/>
        </w:rPr>
        <w:tab/>
        <w:t>all waste collected within the metropolitan region and received at licensed landfills outside the metropolitan area.</w:t>
      </w:r>
    </w:p>
    <w:p>
      <w:pPr>
        <w:pStyle w:val="Subsection"/>
        <w:rPr>
          <w:ins w:id="825" w:author="Master Repository Process" w:date="2021-08-01T11:42:00Z"/>
        </w:rPr>
      </w:pPr>
      <w:ins w:id="826" w:author="Master Repository Process" w:date="2021-08-01T11:42:00Z">
        <w:r>
          <w:tab/>
          <w:t>(2)</w:t>
        </w:r>
        <w:r>
          <w:tab/>
          <w:t xml:space="preserve">This </w:t>
        </w:r>
        <w:r>
          <w:rPr>
            <w:snapToGrid w:val="0"/>
          </w:rPr>
          <w:t>Part</w:t>
        </w:r>
        <w:r>
          <w:t xml:space="preserve"> does not apply to — </w:t>
        </w:r>
      </w:ins>
    </w:p>
    <w:p>
      <w:pPr>
        <w:pStyle w:val="Indenta"/>
        <w:rPr>
          <w:ins w:id="827" w:author="Master Repository Process" w:date="2021-08-01T11:42:00Z"/>
        </w:rPr>
      </w:pPr>
      <w:ins w:id="828" w:author="Master Repository Process" w:date="2021-08-01T11:42:00Z">
        <w:r>
          <w:tab/>
          <w:t>(a)</w:t>
        </w:r>
        <w:r>
          <w:tab/>
        </w:r>
        <w:r>
          <w:rPr>
            <w:snapToGrid w:val="0"/>
          </w:rPr>
          <w:t>waste</w:t>
        </w:r>
        <w:r>
          <w:t xml:space="preserve"> received at licensed landfills on or after 1 July 2008; and</w:t>
        </w:r>
      </w:ins>
    </w:p>
    <w:p>
      <w:pPr>
        <w:pStyle w:val="Indenta"/>
        <w:rPr>
          <w:ins w:id="829" w:author="Master Repository Process" w:date="2021-08-01T11:42:00Z"/>
        </w:rPr>
      </w:pPr>
      <w:ins w:id="830" w:author="Master Repository Process" w:date="2021-08-01T11:42:00Z">
        <w:r>
          <w:tab/>
          <w:t>(b)</w:t>
        </w:r>
        <w:r>
          <w:tab/>
        </w:r>
        <w:r>
          <w:rPr>
            <w:snapToGrid w:val="0"/>
          </w:rPr>
          <w:t>return</w:t>
        </w:r>
        <w:r>
          <w:t xml:space="preserve"> periods commencing on or after 1 July 2008.</w:t>
        </w:r>
      </w:ins>
    </w:p>
    <w:p>
      <w:pPr>
        <w:pStyle w:val="Footnotesection"/>
      </w:pPr>
      <w:r>
        <w:tab/>
        <w:t>[Regulation 22 inserted in Gazette 26 Jun 1998 p. </w:t>
      </w:r>
      <w:del w:id="831" w:author="Master Repository Process" w:date="2021-08-01T11:42:00Z">
        <w:r>
          <w:delText>3371</w:delText>
        </w:r>
      </w:del>
      <w:ins w:id="832" w:author="Master Repository Process" w:date="2021-08-01T11:42:00Z">
        <w:r>
          <w:t>3371; amended in Gazette 20 Jun 2008 p. 2683</w:t>
        </w:r>
      </w:ins>
      <w:r>
        <w:t xml:space="preserve">.] </w:t>
      </w:r>
    </w:p>
    <w:p>
      <w:pPr>
        <w:pStyle w:val="Heading5"/>
        <w:rPr>
          <w:snapToGrid w:val="0"/>
        </w:rPr>
      </w:pPr>
      <w:bookmarkStart w:id="833" w:name="_Toc448822593"/>
      <w:bookmarkStart w:id="834" w:name="_Toc448822719"/>
      <w:bookmarkStart w:id="835" w:name="_Toc503260607"/>
      <w:bookmarkStart w:id="836" w:name="_Toc12076710"/>
      <w:bookmarkStart w:id="837" w:name="_Toc12952226"/>
      <w:bookmarkStart w:id="838" w:name="_Toc122232950"/>
      <w:bookmarkStart w:id="839" w:name="_Toc202254215"/>
      <w:bookmarkStart w:id="840" w:name="_Toc181497548"/>
      <w:r>
        <w:rPr>
          <w:rStyle w:val="CharSectno"/>
        </w:rPr>
        <w:t>23</w:t>
      </w:r>
      <w:r>
        <w:rPr>
          <w:snapToGrid w:val="0"/>
        </w:rPr>
        <w:t>.</w:t>
      </w:r>
      <w:r>
        <w:rPr>
          <w:snapToGrid w:val="0"/>
        </w:rPr>
        <w:tab/>
        <w:t>Exemptions</w:t>
      </w:r>
      <w:bookmarkEnd w:id="833"/>
      <w:bookmarkEnd w:id="834"/>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 xml:space="preserve">A licensee of a category 63 licensed landfill may by application in the approved form claim an exemption from the requirements of regulation 26(4) and (5) in respect of a return period if no waste has been disposed of to landfill on the licensed landfill. </w:t>
      </w:r>
    </w:p>
    <w:p>
      <w:pPr>
        <w:pStyle w:val="Subsection"/>
        <w:rPr>
          <w:snapToGrid w:val="0"/>
        </w:rPr>
      </w:pPr>
      <w:r>
        <w:rPr>
          <w:snapToGrid w:val="0"/>
        </w:rPr>
        <w:tab/>
        <w:t>(3)</w:t>
      </w:r>
      <w:r>
        <w:rPr>
          <w:snapToGrid w:val="0"/>
        </w:rPr>
        <w:tab/>
        <w:t>The Chief Executive Officer may, by written notice — </w:t>
      </w:r>
    </w:p>
    <w:p>
      <w:pPr>
        <w:pStyle w:val="Indenta"/>
        <w:rPr>
          <w:snapToGrid w:val="0"/>
        </w:rPr>
      </w:pPr>
      <w:r>
        <w:rPr>
          <w:snapToGrid w:val="0"/>
        </w:rPr>
        <w:tab/>
        <w:t>(a)</w:t>
      </w:r>
      <w:r>
        <w:rPr>
          <w:snapToGrid w:val="0"/>
        </w:rPr>
        <w:tab/>
        <w:t>grant, or refuse to grant, an exemption;</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 xml:space="preserve">the levy has been paid in respect of the waste, </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 xml:space="preserve">[Regulation 23 inserted in Gazette 26 Jun 1998 p. 3371; amended in Gazette 29 Sep 2006 p. 4262.] </w:t>
      </w:r>
    </w:p>
    <w:p>
      <w:pPr>
        <w:pStyle w:val="Heading5"/>
        <w:rPr>
          <w:snapToGrid w:val="0"/>
        </w:rPr>
      </w:pPr>
      <w:bookmarkStart w:id="841" w:name="_Toc448822594"/>
      <w:bookmarkStart w:id="842" w:name="_Toc448822720"/>
      <w:bookmarkStart w:id="843" w:name="_Toc503260608"/>
      <w:bookmarkStart w:id="844" w:name="_Toc12076711"/>
      <w:bookmarkStart w:id="845" w:name="_Toc12952227"/>
      <w:bookmarkStart w:id="846" w:name="_Toc122232951"/>
      <w:bookmarkStart w:id="847" w:name="_Toc202254216"/>
      <w:bookmarkStart w:id="848" w:name="_Toc181497549"/>
      <w:r>
        <w:rPr>
          <w:rStyle w:val="CharSectno"/>
        </w:rPr>
        <w:t>24</w:t>
      </w:r>
      <w:r>
        <w:rPr>
          <w:snapToGrid w:val="0"/>
        </w:rPr>
        <w:t>.</w:t>
      </w:r>
      <w:r>
        <w:rPr>
          <w:snapToGrid w:val="0"/>
        </w:rPr>
        <w:tab/>
        <w:t>Financial assurance — exempt waste</w:t>
      </w:r>
      <w:bookmarkEnd w:id="841"/>
      <w:bookmarkEnd w:id="842"/>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del w:id="849" w:author="Master Repository Process" w:date="2021-08-01T11:42:00Z">
        <w:r>
          <w:rPr>
            <w:b/>
          </w:rPr>
          <w:delText>“</w:delText>
        </w:r>
      </w:del>
      <w:r>
        <w:rPr>
          <w:rStyle w:val="CharDefText"/>
        </w:rPr>
        <w:t>licensee</w:t>
      </w:r>
      <w:del w:id="850" w:author="Master Repository Process" w:date="2021-08-01T11:42:00Z">
        <w:r>
          <w:rPr>
            <w:b/>
          </w:rPr>
          <w:delText>”</w:delText>
        </w:r>
      </w:del>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rPr>
          <w:snapToGrid w:val="0"/>
        </w:rPr>
      </w:pPr>
      <w:r>
        <w:rPr>
          <w:snapToGrid w:val="0"/>
        </w:rPr>
        <w:tab/>
        <w:t>(b)</w:t>
      </w:r>
      <w:r>
        <w:rPr>
          <w:snapToGrid w:val="0"/>
        </w:rPr>
        <w:tab/>
        <w:t xml:space="preserve">in an approved form, </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spacing w:before="120"/>
        <w:rPr>
          <w:snapToGrid w:val="0"/>
        </w:rPr>
      </w:pPr>
      <w:r>
        <w:rPr>
          <w:snapToGrid w:val="0"/>
        </w:rPr>
        <w:tab/>
        <w:t>(5)</w:t>
      </w:r>
      <w:r>
        <w:rPr>
          <w:snapToGrid w:val="0"/>
        </w:rPr>
        <w:tab/>
        <w:t>The Chief Executive Officer may call on or use the financial assurance and pay the moneys into the Fund if — </w:t>
      </w:r>
    </w:p>
    <w:p>
      <w:pPr>
        <w:pStyle w:val="Indenta"/>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 </w:t>
      </w:r>
    </w:p>
    <w:p>
      <w:pPr>
        <w:pStyle w:val="Indenta"/>
        <w:rPr>
          <w:snapToGrid w:val="0"/>
        </w:rPr>
      </w:pPr>
      <w:r>
        <w:rPr>
          <w:snapToGrid w:val="0"/>
        </w:rPr>
        <w:tab/>
        <w:t>(a)</w:t>
      </w:r>
      <w:r>
        <w:rPr>
          <w:snapToGrid w:val="0"/>
        </w:rPr>
        <w:tab/>
        <w:t xml:space="preserve">waste referred to in regulation 23(1)(b) for which an exemption is granted is recycled or otherwise removed from the licensed landfill within the exemption period; or </w:t>
      </w:r>
    </w:p>
    <w:p>
      <w:pPr>
        <w:pStyle w:val="Indenta"/>
        <w:rPr>
          <w:snapToGrid w:val="0"/>
        </w:rPr>
      </w:pPr>
      <w:r>
        <w:rPr>
          <w:snapToGrid w:val="0"/>
        </w:rPr>
        <w:tab/>
        <w:t>(b)</w:t>
      </w:r>
      <w:r>
        <w:rPr>
          <w:snapToGrid w:val="0"/>
        </w:rPr>
        <w:tab/>
        <w:t xml:space="preserve">the levy is paid in respect of the waste, </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 xml:space="preserve">2; amended in Gazette 29 Sep 2006 p. 4262.] </w:t>
      </w:r>
    </w:p>
    <w:p>
      <w:pPr>
        <w:pStyle w:val="Heading5"/>
        <w:rPr>
          <w:snapToGrid w:val="0"/>
        </w:rPr>
      </w:pPr>
      <w:bookmarkStart w:id="851" w:name="_Toc448822595"/>
      <w:bookmarkStart w:id="852" w:name="_Toc448822721"/>
      <w:bookmarkStart w:id="853" w:name="_Toc503260609"/>
      <w:bookmarkStart w:id="854" w:name="_Toc12076712"/>
      <w:bookmarkStart w:id="855" w:name="_Toc12952228"/>
      <w:bookmarkStart w:id="856" w:name="_Toc122232952"/>
      <w:bookmarkStart w:id="857" w:name="_Toc202254217"/>
      <w:bookmarkStart w:id="858" w:name="_Toc181497550"/>
      <w:r>
        <w:rPr>
          <w:rStyle w:val="CharSectno"/>
        </w:rPr>
        <w:t>25</w:t>
      </w:r>
      <w:r>
        <w:rPr>
          <w:snapToGrid w:val="0"/>
        </w:rPr>
        <w:t>.</w:t>
      </w:r>
      <w:r>
        <w:rPr>
          <w:snapToGrid w:val="0"/>
        </w:rPr>
        <w:tab/>
        <w:t>Amount of levy — when waste received at licensed landfill with weighbridge</w:t>
      </w:r>
      <w:bookmarkEnd w:id="851"/>
      <w:bookmarkEnd w:id="852"/>
      <w:bookmarkEnd w:id="853"/>
      <w:bookmarkEnd w:id="854"/>
      <w:bookmarkEnd w:id="855"/>
      <w:bookmarkEnd w:id="856"/>
      <w:bookmarkEnd w:id="857"/>
      <w:bookmarkEnd w:id="858"/>
      <w:r>
        <w:rPr>
          <w:snapToGrid w:val="0"/>
        </w:rPr>
        <w:t xml:space="preserve"> </w:t>
      </w:r>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 xml:space="preserve">[Regulation 25 inserted in Gazette 26 Jun 1998 p. 3372; amended in Gazette 29 Sep 2006 p. 4262-3.] </w:t>
      </w:r>
    </w:p>
    <w:p>
      <w:pPr>
        <w:pStyle w:val="Heading5"/>
      </w:pPr>
      <w:bookmarkStart w:id="859" w:name="_Toc202254218"/>
      <w:bookmarkStart w:id="860" w:name="_Toc181497551"/>
      <w:bookmarkStart w:id="861" w:name="_Toc448822598"/>
      <w:bookmarkStart w:id="862" w:name="_Toc448822724"/>
      <w:bookmarkStart w:id="863" w:name="_Toc503260612"/>
      <w:bookmarkStart w:id="864" w:name="_Toc12076715"/>
      <w:bookmarkStart w:id="865" w:name="_Toc12952231"/>
      <w:bookmarkStart w:id="866" w:name="_Toc122232955"/>
      <w:r>
        <w:rPr>
          <w:rStyle w:val="CharSectno"/>
        </w:rPr>
        <w:t>26</w:t>
      </w:r>
      <w:r>
        <w:t>.</w:t>
      </w:r>
      <w:r>
        <w:tab/>
        <w:t>Amount of waste — category 63 licensed landfills</w:t>
      </w:r>
      <w:bookmarkEnd w:id="859"/>
      <w:bookmarkEnd w:id="860"/>
    </w:p>
    <w:p>
      <w:pPr>
        <w:pStyle w:val="Subsection"/>
      </w:pPr>
      <w:r>
        <w:tab/>
        <w:t>(1)</w:t>
      </w:r>
      <w:r>
        <w:tab/>
        <w:t xml:space="preserve">The licensee of a category 63 licensed landfill must —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del w:id="867" w:author="Master Repository Process" w:date="2021-08-01T11:42:00Z">
        <w:r>
          <w:rPr>
            <w:b/>
          </w:rPr>
          <w:delText>“</w:delText>
        </w:r>
      </w:del>
      <w:r>
        <w:rPr>
          <w:rStyle w:val="CharDefText"/>
        </w:rPr>
        <w:t>baseline survey</w:t>
      </w:r>
      <w:del w:id="868" w:author="Master Repository Process" w:date="2021-08-01T11:42:00Z">
        <w:r>
          <w:rPr>
            <w:b/>
          </w:rPr>
          <w:delText>”</w:delText>
        </w:r>
        <w:r>
          <w:delText>);</w:delText>
        </w:r>
      </w:del>
      <w:ins w:id="869" w:author="Master Repository Process" w:date="2021-08-01T11:42:00Z">
        <w:r>
          <w:t>);</w:t>
        </w:r>
      </w:ins>
      <w:r>
        <w:t xml:space="preserve"> and</w:t>
      </w:r>
    </w:p>
    <w:p>
      <w:pPr>
        <w:pStyle w:val="Indenta"/>
      </w:pPr>
      <w:r>
        <w:tab/>
        <w:t>(b)</w:t>
      </w:r>
      <w:r>
        <w:tab/>
        <w:t xml:space="preserve">lodge with the Chief Executive Officer a report of that survey prepared by the surveyor (the </w:t>
      </w:r>
      <w:del w:id="870" w:author="Master Repository Process" w:date="2021-08-01T11:42:00Z">
        <w:r>
          <w:rPr>
            <w:b/>
          </w:rPr>
          <w:delText>“</w:delText>
        </w:r>
      </w:del>
      <w:r>
        <w:rPr>
          <w:rStyle w:val="CharDefText"/>
        </w:rPr>
        <w:t>baseline report</w:t>
      </w:r>
      <w:del w:id="871" w:author="Master Repository Process" w:date="2021-08-01T11:42:00Z">
        <w:r>
          <w:rPr>
            <w:b/>
          </w:rPr>
          <w:delText>”</w:delText>
        </w:r>
        <w:r>
          <w:delText>).</w:delText>
        </w:r>
      </w:del>
      <w:ins w:id="872" w:author="Master Repository Process" w:date="2021-08-01T11:42:00Z">
        <w:r>
          <w:t>).</w:t>
        </w:r>
      </w:ins>
    </w:p>
    <w:p>
      <w:pPr>
        <w:pStyle w:val="Penstart"/>
      </w:pPr>
      <w:r>
        <w:tab/>
        <w:t>Penalty: $5 000.</w:t>
      </w:r>
    </w:p>
    <w:p>
      <w:pPr>
        <w:pStyle w:val="Subsection"/>
      </w:pPr>
      <w:r>
        <w:tab/>
        <w:t>(2)</w:t>
      </w:r>
      <w:r>
        <w:tab/>
        <w:t xml:space="preserve">In the case of an existing landfill — </w:t>
      </w:r>
    </w:p>
    <w:p>
      <w:pPr>
        <w:pStyle w:val="Indenta"/>
      </w:pPr>
      <w:r>
        <w:tab/>
        <w:t>(a)</w:t>
      </w:r>
      <w:r>
        <w:tab/>
        <w:t xml:space="preserve">the baseline survey must be conducted as soon as practicable after 1 October 2006; and </w:t>
      </w:r>
    </w:p>
    <w:p>
      <w:pPr>
        <w:pStyle w:val="Indenta"/>
      </w:pPr>
      <w:r>
        <w:tab/>
        <w:t>(b)</w:t>
      </w:r>
      <w:r>
        <w:tab/>
        <w:t xml:space="preserve">the baseline report must be lodged on or before 14 October 2006. </w:t>
      </w:r>
    </w:p>
    <w:p>
      <w:pPr>
        <w:pStyle w:val="Subsection"/>
        <w:keepNext/>
        <w:keepLines/>
      </w:pPr>
      <w:r>
        <w:tab/>
        <w:t>(3)</w:t>
      </w:r>
      <w:r>
        <w:tab/>
        <w:t xml:space="preserve">In the case of a category 63 licensed landfill other than an existing landfill — </w:t>
      </w:r>
    </w:p>
    <w:p>
      <w:pPr>
        <w:pStyle w:val="Indenta"/>
      </w:pPr>
      <w:r>
        <w:tab/>
        <w:t>(a)</w:t>
      </w:r>
      <w:r>
        <w:tab/>
        <w:t xml:space="preserve">the baseline survey must be conducted — </w:t>
      </w:r>
    </w:p>
    <w:p>
      <w:pPr>
        <w:pStyle w:val="Indenti"/>
      </w:pPr>
      <w:r>
        <w:tab/>
        <w:t>(i)</w:t>
      </w:r>
      <w:r>
        <w:tab/>
        <w:t>after the licence is issued; and</w:t>
      </w:r>
    </w:p>
    <w:p>
      <w:pPr>
        <w:pStyle w:val="Indenti"/>
      </w:pPr>
      <w:r>
        <w:tab/>
        <w:t>(ii)</w:t>
      </w:r>
      <w:r>
        <w:tab/>
        <w:t>not more than 14 days before the licensee commences accepting waste for disposal to landfill on the premises;</w:t>
      </w:r>
    </w:p>
    <w:p>
      <w:pPr>
        <w:pStyle w:val="Indenta"/>
      </w:pPr>
      <w:r>
        <w:tab/>
      </w:r>
      <w:r>
        <w:tab/>
        <w:t>and</w:t>
      </w:r>
    </w:p>
    <w:p>
      <w:pPr>
        <w:pStyle w:val="Indenta"/>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del w:id="873" w:author="Master Repository Process" w:date="2021-08-01T11:42:00Z">
        <w:r>
          <w:rPr>
            <w:b/>
          </w:rPr>
          <w:delText>“</w:delText>
        </w:r>
      </w:del>
      <w:r>
        <w:rPr>
          <w:rStyle w:val="CharDefText"/>
        </w:rPr>
        <w:t>quarterly survey</w:t>
      </w:r>
      <w:del w:id="874" w:author="Master Repository Process" w:date="2021-08-01T11:42:00Z">
        <w:r>
          <w:rPr>
            <w:b/>
          </w:rPr>
          <w:delText>”</w:delText>
        </w:r>
        <w:r>
          <w:rPr>
            <w:bCs/>
          </w:rPr>
          <w:delText>)</w:delText>
        </w:r>
        <w:r>
          <w:delText>.</w:delText>
        </w:r>
      </w:del>
      <w:ins w:id="875" w:author="Master Repository Process" w:date="2021-08-01T11:42:00Z">
        <w:r>
          <w:rPr>
            <w:bCs/>
          </w:rPr>
          <w:t>)</w:t>
        </w:r>
        <w:r>
          <w:t>.</w:t>
        </w:r>
      </w:ins>
      <w:r>
        <w:t xml:space="preserve"> </w:t>
      </w:r>
    </w:p>
    <w:p>
      <w:pPr>
        <w:pStyle w:val="Subsection"/>
      </w:pPr>
      <w:r>
        <w:tab/>
        <w:t>(5)</w:t>
      </w:r>
      <w:r>
        <w:tab/>
        <w:t xml:space="preserve">The licensee must lodge a report on a quarterly survey, prepared by the surveyor, with the return lodged under regulation 30 for that return period. </w:t>
      </w:r>
    </w:p>
    <w:p>
      <w:pPr>
        <w:pStyle w:val="Penstart"/>
      </w:pPr>
      <w:r>
        <w:tab/>
        <w:t xml:space="preserve">Penalty: $5 000. </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 xml:space="preserve">In this regulation — </w:t>
      </w:r>
    </w:p>
    <w:p>
      <w:pPr>
        <w:pStyle w:val="Defstart"/>
      </w:pPr>
      <w:r>
        <w:rPr>
          <w:b/>
        </w:rPr>
        <w:tab/>
      </w:r>
      <w:del w:id="876" w:author="Master Repository Process" w:date="2021-08-01T11:42:00Z">
        <w:r>
          <w:rPr>
            <w:b/>
          </w:rPr>
          <w:delText>“</w:delText>
        </w:r>
      </w:del>
      <w:r>
        <w:rPr>
          <w:rStyle w:val="CharDefText"/>
        </w:rPr>
        <w:t>existing landfill</w:t>
      </w:r>
      <w:del w:id="877" w:author="Master Repository Process" w:date="2021-08-01T11:42:00Z">
        <w:r>
          <w:rPr>
            <w:b/>
          </w:rPr>
          <w:delText>”</w:delText>
        </w:r>
      </w:del>
      <w:r>
        <w:t xml:space="preserve"> means a category 63 licensed landfill — </w:t>
      </w:r>
    </w:p>
    <w:p>
      <w:pPr>
        <w:pStyle w:val="Defpara"/>
      </w:pPr>
      <w:r>
        <w:tab/>
        <w:t>(a)</w:t>
      </w:r>
      <w:r>
        <w:tab/>
        <w:t>for which the licence was in force on 1 October 2006; and</w:t>
      </w:r>
    </w:p>
    <w:p>
      <w:pPr>
        <w:pStyle w:val="Defpara"/>
      </w:pPr>
      <w:r>
        <w:tab/>
        <w:t>(b)</w:t>
      </w:r>
      <w:r>
        <w:tab/>
        <w:t xml:space="preserve">at which waste was being accepted for disposal to landfill prior to 1 October 2006; </w:t>
      </w:r>
    </w:p>
    <w:p>
      <w:pPr>
        <w:pStyle w:val="Defstart"/>
      </w:pPr>
      <w:r>
        <w:rPr>
          <w:b/>
        </w:rPr>
        <w:tab/>
      </w:r>
      <w:del w:id="878" w:author="Master Repository Process" w:date="2021-08-01T11:42:00Z">
        <w:r>
          <w:rPr>
            <w:b/>
          </w:rPr>
          <w:delText>“</w:delText>
        </w:r>
      </w:del>
      <w:r>
        <w:rPr>
          <w:rStyle w:val="CharDefText"/>
        </w:rPr>
        <w:t>surveyor</w:t>
      </w:r>
      <w:del w:id="879" w:author="Master Repository Process" w:date="2021-08-01T11:42:00Z">
        <w:r>
          <w:rPr>
            <w:b/>
          </w:rPr>
          <w:delText>”</w:delText>
        </w:r>
      </w:del>
      <w:r>
        <w:t xml:space="preserve"> means — </w:t>
      </w:r>
    </w:p>
    <w:p>
      <w:pPr>
        <w:pStyle w:val="Defpara"/>
      </w:pPr>
      <w:r>
        <w:tab/>
        <w:t>(a)</w:t>
      </w:r>
      <w:r>
        <w:tab/>
        <w:t xml:space="preserve">a licensed surveyor as defined in the </w:t>
      </w:r>
      <w:r>
        <w:rPr>
          <w:i/>
        </w:rPr>
        <w:t>Licensed Surveyors Act 1909</w:t>
      </w:r>
      <w:r>
        <w:t>; or</w:t>
      </w:r>
    </w:p>
    <w:p>
      <w:pPr>
        <w:pStyle w:val="Defpara"/>
      </w:pPr>
      <w:r>
        <w:tab/>
        <w:t>(b)</w:t>
      </w:r>
      <w:r>
        <w:tab/>
        <w:t xml:space="preserve">a person who is, or is eligible to be, a member of — </w:t>
      </w:r>
    </w:p>
    <w:p>
      <w:pPr>
        <w:pStyle w:val="Defsubpara"/>
      </w:pPr>
      <w:r>
        <w:tab/>
        <w:t>(i)</w:t>
      </w:r>
      <w:r>
        <w:tab/>
        <w:t xml:space="preserve">the Institution of Surveyors, Australia; or </w:t>
      </w:r>
    </w:p>
    <w:p>
      <w:pPr>
        <w:pStyle w:val="Defsubpara"/>
      </w:pPr>
      <w:r>
        <w:tab/>
        <w:t>(ii)</w:t>
      </w:r>
      <w:r>
        <w:tab/>
        <w:t>the Spatial Sciences Institute.</w:t>
      </w:r>
    </w:p>
    <w:p>
      <w:pPr>
        <w:pStyle w:val="Footnotesection"/>
      </w:pPr>
      <w:r>
        <w:tab/>
        <w:t>[Regulation 26 inserted in Gazette 29 Sep 2006 p. 4263-4.]</w:t>
      </w:r>
    </w:p>
    <w:p>
      <w:pPr>
        <w:pStyle w:val="Heading5"/>
      </w:pPr>
      <w:bookmarkStart w:id="880" w:name="_Toc202254219"/>
      <w:bookmarkStart w:id="881" w:name="_Toc181497552"/>
      <w:r>
        <w:rPr>
          <w:rStyle w:val="CharSectno"/>
        </w:rPr>
        <w:t>26A</w:t>
      </w:r>
      <w:r>
        <w:t>.</w:t>
      </w:r>
      <w:r>
        <w:tab/>
        <w:t>CEO may make estimates if survey not conducted</w:t>
      </w:r>
      <w:bookmarkEnd w:id="880"/>
      <w:bookmarkEnd w:id="881"/>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 xml:space="preserve">For the purposes of this regulation the Chief Executive Officer may cause a survey of the kind referred to in regulation 26(1)(a) or (4) to be conducted in respect of the licensed landfill. </w:t>
      </w:r>
    </w:p>
    <w:p>
      <w:pPr>
        <w:pStyle w:val="Subsection"/>
      </w:pPr>
      <w:r>
        <w:tab/>
        <w:t>(4)</w:t>
      </w:r>
      <w:r>
        <w:tab/>
        <w:t xml:space="preserve">The Chief Executive Officer must give written notice to the licensee of any estimated base established under subregulation (1) or any estimation made under subregulation (2). </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882" w:name="_Toc202254220"/>
      <w:bookmarkStart w:id="883" w:name="_Toc181497553"/>
      <w:r>
        <w:rPr>
          <w:rStyle w:val="CharSectno"/>
        </w:rPr>
        <w:t>27</w:t>
      </w:r>
      <w:r>
        <w:t>.</w:t>
      </w:r>
      <w:r>
        <w:tab/>
        <w:t>Determination of amount of levy</w:t>
      </w:r>
      <w:bookmarkEnd w:id="882"/>
      <w:bookmarkEnd w:id="883"/>
    </w:p>
    <w:p>
      <w:pPr>
        <w:pStyle w:val="Subsection"/>
      </w:pPr>
      <w:r>
        <w:tab/>
        <w:t>(1)</w:t>
      </w:r>
      <w:r>
        <w:tab/>
        <w:t xml:space="preserve">The amount by way of levy that is payable in respect of waste to which this Part applies that is received at a category 63 licensed landfill during a return period is the amount (in dollars) equal to L in the formula — </w:t>
      </w:r>
    </w:p>
    <w:p>
      <w:pPr>
        <w:pStyle w:val="Subsection"/>
      </w:pPr>
      <w:r>
        <w:tab/>
      </w:r>
      <w:r>
        <w:tab/>
      </w:r>
      <w:del w:id="884" w:author="Master Repository Process" w:date="2021-08-01T11:42:00Z">
        <w:r>
          <w:rPr>
            <w:noProof/>
            <w:position w:val="-10"/>
            <w:lang w:eastAsia="en-AU"/>
          </w:rPr>
          <w:drawing>
            <wp:inline distT="0" distB="0" distL="0" distR="0">
              <wp:extent cx="962025" cy="2190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2025" cy="219075"/>
                      </a:xfrm>
                      <a:prstGeom prst="rect">
                        <a:avLst/>
                      </a:prstGeom>
                      <a:noFill/>
                      <a:ln>
                        <a:noFill/>
                      </a:ln>
                    </pic:spPr>
                  </pic:pic>
                </a:graphicData>
              </a:graphic>
            </wp:inline>
          </w:drawing>
        </w:r>
      </w:del>
      <w:ins w:id="885" w:author="Master Repository Process" w:date="2021-08-01T11:42:00Z">
        <w:r>
          <w:rPr>
            <w:noProof/>
            <w:position w:val="-10"/>
            <w:lang w:eastAsia="en-AU"/>
          </w:rPr>
          <w:drawing>
            <wp:inline distT="0" distB="0" distL="0" distR="0">
              <wp:extent cx="968375" cy="2171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8375" cy="217170"/>
                      </a:xfrm>
                      <a:prstGeom prst="rect">
                        <a:avLst/>
                      </a:prstGeom>
                      <a:noFill/>
                      <a:ln>
                        <a:noFill/>
                      </a:ln>
                    </pic:spPr>
                  </pic:pic>
                </a:graphicData>
              </a:graphic>
            </wp:inline>
          </w:drawing>
        </w:r>
      </w:ins>
    </w:p>
    <w:p>
      <w:pPr>
        <w:pStyle w:val="Subsection"/>
      </w:pPr>
      <w:r>
        <w:tab/>
      </w:r>
      <w:r>
        <w:tab/>
        <w:t xml:space="preserve">where —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 xml:space="preserve">is, if the first day of the return period is —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 xml:space="preserve">is the lesser of — </w:t>
      </w:r>
    </w:p>
    <w:p>
      <w:pPr>
        <w:pStyle w:val="Indenti"/>
        <w:rPr>
          <w:rStyle w:val="DraftersNotes"/>
        </w:rPr>
      </w:pPr>
      <w:r>
        <w:tab/>
        <w:t>(a)</w:t>
      </w:r>
      <w:r>
        <w:tab/>
        <w:t xml:space="preserve">the cost incurred by the licensee in complying with regulation 26(4) and (5) in respect of the return period; and </w:t>
      </w:r>
    </w:p>
    <w:p>
      <w:pPr>
        <w:pStyle w:val="Indenti"/>
      </w:pPr>
      <w:r>
        <w:tab/>
        <w:t>(b)</w:t>
      </w:r>
      <w:r>
        <w:tab/>
        <w:t>$2 000.</w:t>
      </w:r>
    </w:p>
    <w:p>
      <w:pPr>
        <w:pStyle w:val="Subsection"/>
      </w:pPr>
      <w:r>
        <w:tab/>
        <w:t>(2)</w:t>
      </w:r>
      <w:r>
        <w:tab/>
        <w:t xml:space="preserve">The amount by way of levy that is payable in respect of waste to which this Part applies that is received at a category 64 or 65 licensed landfill during a return period is the amount (in dollars) equal to L in the formula — </w:t>
      </w:r>
    </w:p>
    <w:p>
      <w:pPr>
        <w:pStyle w:val="Subsection"/>
      </w:pPr>
      <w:r>
        <w:tab/>
      </w:r>
      <w:r>
        <w:tab/>
      </w:r>
      <w:del w:id="886" w:author="Master Repository Process" w:date="2021-08-01T11:42:00Z">
        <w:r>
          <w:rPr>
            <w:noProof/>
            <w:position w:val="-10"/>
            <w:lang w:eastAsia="en-AU"/>
          </w:rPr>
          <w:drawing>
            <wp:inline distT="0" distB="0" distL="0" distR="0">
              <wp:extent cx="1190625" cy="2190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219075"/>
                      </a:xfrm>
                      <a:prstGeom prst="rect">
                        <a:avLst/>
                      </a:prstGeom>
                      <a:noFill/>
                      <a:ln>
                        <a:noFill/>
                      </a:ln>
                    </pic:spPr>
                  </pic:pic>
                </a:graphicData>
              </a:graphic>
            </wp:inline>
          </w:drawing>
        </w:r>
      </w:del>
      <w:ins w:id="887" w:author="Master Repository Process" w:date="2021-08-01T11:42:00Z">
        <w:r>
          <w:rPr>
            <w:noProof/>
            <w:position w:val="-10"/>
            <w:lang w:eastAsia="en-AU"/>
          </w:rPr>
          <w:drawing>
            <wp:inline distT="0" distB="0" distL="0" distR="0">
              <wp:extent cx="1193165" cy="21717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3165" cy="217170"/>
                      </a:xfrm>
                      <a:prstGeom prst="rect">
                        <a:avLst/>
                      </a:prstGeom>
                      <a:noFill/>
                      <a:ln>
                        <a:noFill/>
                      </a:ln>
                    </pic:spPr>
                  </pic:pic>
                </a:graphicData>
              </a:graphic>
            </wp:inline>
          </w:drawing>
        </w:r>
      </w:ins>
    </w:p>
    <w:p>
      <w:pPr>
        <w:pStyle w:val="Subsection"/>
      </w:pPr>
      <w:r>
        <w:tab/>
      </w:r>
      <w:r>
        <w:tab/>
        <w:t xml:space="preserve">where —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888" w:name="_Toc202254221"/>
      <w:bookmarkStart w:id="889" w:name="_Toc181497554"/>
      <w:r>
        <w:rPr>
          <w:rStyle w:val="CharSectno"/>
        </w:rPr>
        <w:t>28</w:t>
      </w:r>
      <w:r>
        <w:rPr>
          <w:snapToGrid w:val="0"/>
        </w:rPr>
        <w:t>.</w:t>
      </w:r>
      <w:r>
        <w:rPr>
          <w:snapToGrid w:val="0"/>
        </w:rPr>
        <w:tab/>
        <w:t>Financial assurance — private licensee</w:t>
      </w:r>
      <w:bookmarkEnd w:id="861"/>
      <w:bookmarkEnd w:id="862"/>
      <w:bookmarkEnd w:id="863"/>
      <w:bookmarkEnd w:id="864"/>
      <w:bookmarkEnd w:id="865"/>
      <w:bookmarkEnd w:id="866"/>
      <w:bookmarkEnd w:id="888"/>
      <w:bookmarkEnd w:id="88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del w:id="890" w:author="Master Repository Process" w:date="2021-08-01T11:42:00Z">
        <w:r>
          <w:rPr>
            <w:b/>
          </w:rPr>
          <w:delText>“</w:delText>
        </w:r>
      </w:del>
      <w:r>
        <w:rPr>
          <w:rStyle w:val="CharDefText"/>
        </w:rPr>
        <w:t>licensee</w:t>
      </w:r>
      <w:del w:id="891" w:author="Master Repository Process" w:date="2021-08-01T11:42:00Z">
        <w:r>
          <w:rPr>
            <w:b/>
          </w:rPr>
          <w:delText>”</w:delText>
        </w:r>
      </w:del>
      <w:r>
        <w:t xml:space="preserve"> does not include a licensee who is a local government.</w:t>
      </w:r>
    </w:p>
    <w:p>
      <w:pPr>
        <w:pStyle w:val="Subsection"/>
      </w:pPr>
      <w:r>
        <w:tab/>
        <w:t>(2)</w:t>
      </w:r>
      <w:r>
        <w:tab/>
        <w:t>Each licensee is to pay to the Chief Executive Officer, in accordance with subsection (3), a financial assurance that — </w:t>
      </w:r>
    </w:p>
    <w:p>
      <w:pPr>
        <w:pStyle w:val="Indenta"/>
      </w:pPr>
      <w:r>
        <w:tab/>
        <w:t>(a)</w:t>
      </w:r>
      <w:r>
        <w:tab/>
        <w:t>is in an approved form; and</w:t>
      </w:r>
    </w:p>
    <w:p>
      <w:pPr>
        <w:pStyle w:val="Indenta"/>
      </w:pPr>
      <w:r>
        <w:tab/>
        <w:t>(b)</w:t>
      </w:r>
      <w:r>
        <w:tab/>
        <w:t xml:space="preserve">secures or guarantees payment of an amount determined by the Chief Executive Officer, being an amount that in the opinion of the Chief Executive Officer is equivalent to the average levy to be paid by the licensee in a return period. </w:t>
      </w:r>
    </w:p>
    <w:p>
      <w:pPr>
        <w:pStyle w:val="Penstart"/>
      </w:pPr>
      <w:r>
        <w:tab/>
        <w:t>Penalty: $5 000.</w:t>
      </w:r>
    </w:p>
    <w:p>
      <w:pPr>
        <w:pStyle w:val="Subsection"/>
        <w:keepNext/>
        <w:keepLines/>
        <w:spacing w:before="120"/>
        <w:rPr>
          <w:snapToGrid w:val="0"/>
        </w:rPr>
      </w:pPr>
      <w:r>
        <w:rPr>
          <w:snapToGrid w:val="0"/>
        </w:rPr>
        <w:tab/>
        <w:t>(3)</w:t>
      </w:r>
      <w:r>
        <w:rPr>
          <w:snapToGrid w:val="0"/>
        </w:rPr>
        <w:tab/>
        <w:t>The financial assurance is to be paid to the Chief Executive Officer —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spacing w:before="120"/>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spacing w:before="120"/>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spacing w:before="120"/>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spacing w:before="120"/>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 xml:space="preserve">[Regulation 28 inserted in Gazette 26 Jun 1998 p. 3373; amended in Gazette 11 Dec 1998 p. 6601; 29 Sep 2006 p. 4266.] </w:t>
      </w:r>
    </w:p>
    <w:p>
      <w:pPr>
        <w:pStyle w:val="Heading5"/>
        <w:rPr>
          <w:snapToGrid w:val="0"/>
        </w:rPr>
      </w:pPr>
      <w:bookmarkStart w:id="892" w:name="_Toc448822599"/>
      <w:bookmarkStart w:id="893" w:name="_Toc448822725"/>
      <w:bookmarkStart w:id="894" w:name="_Toc503260613"/>
      <w:bookmarkStart w:id="895" w:name="_Toc12076716"/>
      <w:bookmarkStart w:id="896" w:name="_Toc12952232"/>
      <w:bookmarkStart w:id="897" w:name="_Toc122232956"/>
      <w:bookmarkStart w:id="898" w:name="_Toc202254222"/>
      <w:bookmarkStart w:id="899" w:name="_Toc181497555"/>
      <w:r>
        <w:rPr>
          <w:rStyle w:val="CharSectno"/>
        </w:rPr>
        <w:t>29</w:t>
      </w:r>
      <w:r>
        <w:rPr>
          <w:snapToGrid w:val="0"/>
        </w:rPr>
        <w:t>.</w:t>
      </w:r>
      <w:r>
        <w:rPr>
          <w:snapToGrid w:val="0"/>
        </w:rPr>
        <w:tab/>
        <w:t>Records</w:t>
      </w:r>
      <w:bookmarkEnd w:id="892"/>
      <w:bookmarkEnd w:id="893"/>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 xml:space="preserve">4; amended in Gazette 11 Dec 1998 p. 6601; 29 Sep 2006 p. 4266.] </w:t>
      </w:r>
    </w:p>
    <w:p>
      <w:pPr>
        <w:pStyle w:val="Heading5"/>
        <w:spacing w:before="120"/>
        <w:rPr>
          <w:snapToGrid w:val="0"/>
        </w:rPr>
      </w:pPr>
      <w:bookmarkStart w:id="900" w:name="_Toc448822600"/>
      <w:bookmarkStart w:id="901" w:name="_Toc448822726"/>
      <w:bookmarkStart w:id="902" w:name="_Toc503260614"/>
      <w:bookmarkStart w:id="903" w:name="_Toc12076717"/>
      <w:bookmarkStart w:id="904" w:name="_Toc12952233"/>
      <w:bookmarkStart w:id="905" w:name="_Toc122232957"/>
      <w:bookmarkStart w:id="906" w:name="_Toc202254223"/>
      <w:bookmarkStart w:id="907" w:name="_Toc181497556"/>
      <w:r>
        <w:rPr>
          <w:rStyle w:val="CharSectno"/>
        </w:rPr>
        <w:t>30</w:t>
      </w:r>
      <w:r>
        <w:rPr>
          <w:snapToGrid w:val="0"/>
        </w:rPr>
        <w:t>.</w:t>
      </w:r>
      <w:r>
        <w:rPr>
          <w:snapToGrid w:val="0"/>
        </w:rPr>
        <w:tab/>
        <w:t>Return and payment of levy</w:t>
      </w:r>
      <w:bookmarkEnd w:id="900"/>
      <w:bookmarkEnd w:id="901"/>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 </w:t>
      </w:r>
    </w:p>
    <w:p>
      <w:pPr>
        <w:pStyle w:val="Indenta"/>
        <w:rPr>
          <w:snapToGrid w:val="0"/>
        </w:rPr>
      </w:pPr>
      <w:r>
        <w:rPr>
          <w:snapToGrid w:val="0"/>
        </w:rPr>
        <w:tab/>
        <w:t>(a)</w:t>
      </w:r>
      <w:r>
        <w:rPr>
          <w:snapToGrid w:val="0"/>
        </w:rPr>
        <w:tab/>
        <w:t xml:space="preserve">make a return in the approved form in respect of each return period setting out details of waste received; and </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 xml:space="preserve">[Regulation 30 inserted in Gazette 26 Jun 1998 p. 3374; amended in Gazette 29 Sep 2006 p. 4266.] </w:t>
      </w:r>
    </w:p>
    <w:p>
      <w:pPr>
        <w:pStyle w:val="Heading5"/>
        <w:rPr>
          <w:snapToGrid w:val="0"/>
        </w:rPr>
      </w:pPr>
      <w:bookmarkStart w:id="908" w:name="_Toc448822601"/>
      <w:bookmarkStart w:id="909" w:name="_Toc448822727"/>
      <w:bookmarkStart w:id="910" w:name="_Toc503260615"/>
      <w:bookmarkStart w:id="911" w:name="_Toc12076718"/>
      <w:bookmarkStart w:id="912" w:name="_Toc12952234"/>
      <w:bookmarkStart w:id="913" w:name="_Toc122232958"/>
      <w:bookmarkStart w:id="914" w:name="_Toc202254224"/>
      <w:bookmarkStart w:id="915" w:name="_Toc181497557"/>
      <w:r>
        <w:rPr>
          <w:rStyle w:val="CharSectno"/>
        </w:rPr>
        <w:t>31</w:t>
      </w:r>
      <w:r>
        <w:rPr>
          <w:snapToGrid w:val="0"/>
        </w:rPr>
        <w:t>.</w:t>
      </w:r>
      <w:r>
        <w:rPr>
          <w:snapToGrid w:val="0"/>
        </w:rPr>
        <w:tab/>
        <w:t>Audit</w:t>
      </w:r>
      <w:bookmarkEnd w:id="908"/>
      <w:bookmarkEnd w:id="909"/>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The Chief Executive Officer may at any time, by notice in writing, direct a licensee to cause — </w:t>
      </w:r>
    </w:p>
    <w:p>
      <w:pPr>
        <w:pStyle w:val="Indenta"/>
        <w:spacing w:before="120"/>
        <w:rPr>
          <w:snapToGrid w:val="0"/>
        </w:rPr>
      </w:pPr>
      <w:r>
        <w:rPr>
          <w:snapToGrid w:val="0"/>
        </w:rPr>
        <w:tab/>
        <w:t>(a)</w:t>
      </w:r>
      <w:r>
        <w:rPr>
          <w:snapToGrid w:val="0"/>
        </w:rPr>
        <w:tab/>
        <w:t>an audit of — </w:t>
      </w:r>
    </w:p>
    <w:p>
      <w:pPr>
        <w:pStyle w:val="Indenti"/>
        <w:rPr>
          <w:snapToGrid w:val="0"/>
        </w:rPr>
      </w:pPr>
      <w:r>
        <w:rPr>
          <w:snapToGrid w:val="0"/>
        </w:rPr>
        <w:tab/>
        <w:t>(i)</w:t>
      </w:r>
      <w:r>
        <w:rPr>
          <w:snapToGrid w:val="0"/>
        </w:rPr>
        <w:tab/>
        <w:t xml:space="preserve">the amount of waste received at the licensed landfill within the specified period; and </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 </w:t>
      </w:r>
    </w:p>
    <w:p>
      <w:pPr>
        <w:pStyle w:val="Defstart"/>
        <w:keepNext/>
      </w:pPr>
      <w:r>
        <w:rPr>
          <w:b/>
        </w:rPr>
        <w:tab/>
      </w:r>
      <w:del w:id="916" w:author="Master Repository Process" w:date="2021-08-01T11:42:00Z">
        <w:r>
          <w:rPr>
            <w:b/>
          </w:rPr>
          <w:delText>“</w:delText>
        </w:r>
      </w:del>
      <w:r>
        <w:rPr>
          <w:rStyle w:val="CharDefText"/>
        </w:rPr>
        <w:t>specified</w:t>
      </w:r>
      <w:del w:id="917" w:author="Master Repository Process" w:date="2021-08-01T11:42:00Z">
        <w:r>
          <w:rPr>
            <w:b/>
          </w:rPr>
          <w:delText>”</w:delText>
        </w:r>
      </w:del>
      <w:r>
        <w:t xml:space="preserve"> means specified in the notice.</w:t>
      </w:r>
    </w:p>
    <w:p>
      <w:pPr>
        <w:pStyle w:val="Footnotesection"/>
        <w:keepLines w:val="0"/>
        <w:ind w:left="890" w:hanging="890"/>
      </w:pPr>
      <w:r>
        <w:tab/>
        <w:t xml:space="preserve">[Regulation 31 inserted in Gazette 26 Jun 1998 p. 3374; amended in Gazette 11 Dec 1998 p. 6601.] </w:t>
      </w:r>
    </w:p>
    <w:p>
      <w:pPr>
        <w:pStyle w:val="Heading5"/>
        <w:rPr>
          <w:snapToGrid w:val="0"/>
        </w:rPr>
      </w:pPr>
      <w:bookmarkStart w:id="918" w:name="_Toc448822602"/>
      <w:bookmarkStart w:id="919" w:name="_Toc448822728"/>
      <w:bookmarkStart w:id="920" w:name="_Toc503260616"/>
      <w:bookmarkStart w:id="921" w:name="_Toc12076719"/>
      <w:bookmarkStart w:id="922" w:name="_Toc12952235"/>
      <w:bookmarkStart w:id="923" w:name="_Toc122232959"/>
      <w:bookmarkStart w:id="924" w:name="_Toc202254225"/>
      <w:bookmarkStart w:id="925" w:name="_Toc181497558"/>
      <w:r>
        <w:rPr>
          <w:rStyle w:val="CharSectno"/>
        </w:rPr>
        <w:t>32</w:t>
      </w:r>
      <w:r>
        <w:rPr>
          <w:snapToGrid w:val="0"/>
        </w:rPr>
        <w:t>.</w:t>
      </w:r>
      <w:r>
        <w:rPr>
          <w:snapToGrid w:val="0"/>
        </w:rPr>
        <w:tab/>
        <w:t>Review and appeal</w:t>
      </w:r>
      <w:bookmarkEnd w:id="918"/>
      <w:bookmarkEnd w:id="919"/>
      <w:bookmarkEnd w:id="920"/>
      <w:bookmarkEnd w:id="921"/>
      <w:bookmarkEnd w:id="922"/>
      <w:bookmarkEnd w:id="923"/>
      <w:bookmarkEnd w:id="924"/>
      <w:bookmarkEnd w:id="925"/>
      <w:r>
        <w:rPr>
          <w:snapToGrid w:val="0"/>
        </w:rPr>
        <w:t xml:space="preserve"> </w:t>
      </w:r>
    </w:p>
    <w:p>
      <w:pPr>
        <w:pStyle w:val="Subsection"/>
        <w:spacing w:before="120"/>
        <w:rPr>
          <w:snapToGrid w:val="0"/>
        </w:rPr>
      </w:pPr>
      <w:r>
        <w:rPr>
          <w:snapToGrid w:val="0"/>
        </w:rPr>
        <w:tab/>
        <w:t>(1)</w:t>
      </w:r>
      <w:r>
        <w:rPr>
          <w:snapToGrid w:val="0"/>
        </w:rPr>
        <w:tab/>
        <w:t>If the Chief Executive Officer — </w:t>
      </w:r>
    </w:p>
    <w:p>
      <w:pPr>
        <w:pStyle w:val="Indenta"/>
        <w:rPr>
          <w:snapToGrid w:val="0"/>
        </w:rPr>
      </w:pPr>
      <w:r>
        <w:rPr>
          <w:snapToGrid w:val="0"/>
        </w:rPr>
        <w:tab/>
        <w:t>(a)</w:t>
      </w:r>
      <w:r>
        <w:rPr>
          <w:snapToGrid w:val="0"/>
        </w:rPr>
        <w:tab/>
        <w:t>refuses to grant an exemption, or imposes conditions or limitations upon the grant of an exemption, under regulation 23;</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spacing w:before="120"/>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spacing w:before="120"/>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spacing w:before="120"/>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spacing w:before="120"/>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spacing w:before="120"/>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spacing w:before="120"/>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 xml:space="preserve">[Regulation 32 inserted in Gazette 26 Jun 1998 p. 3374.] </w:t>
      </w:r>
    </w:p>
    <w:p>
      <w:pPr>
        <w:pStyle w:val="Heading5"/>
      </w:pPr>
      <w:bookmarkStart w:id="926" w:name="_Toc202242103"/>
      <w:bookmarkStart w:id="927" w:name="_Toc202254226"/>
      <w:bookmarkStart w:id="928" w:name="_Toc448822603"/>
      <w:bookmarkStart w:id="929" w:name="_Toc448822729"/>
      <w:bookmarkStart w:id="930" w:name="_Toc503260617"/>
      <w:bookmarkStart w:id="931" w:name="_Toc12076720"/>
      <w:bookmarkStart w:id="932" w:name="_Toc12952236"/>
      <w:bookmarkStart w:id="933" w:name="_Toc122232960"/>
      <w:bookmarkStart w:id="934" w:name="_Toc181497559"/>
      <w:bookmarkStart w:id="935" w:name="_Toc75588427"/>
      <w:bookmarkStart w:id="936" w:name="_Toc76894974"/>
      <w:bookmarkStart w:id="937" w:name="_Toc85279859"/>
      <w:bookmarkStart w:id="938" w:name="_Toc88903721"/>
      <w:bookmarkStart w:id="939" w:name="_Toc88962310"/>
      <w:bookmarkStart w:id="940" w:name="_Toc94320233"/>
      <w:bookmarkStart w:id="941" w:name="_Toc94331069"/>
      <w:bookmarkStart w:id="942" w:name="_Toc94331181"/>
      <w:bookmarkStart w:id="943" w:name="_Toc94428665"/>
      <w:bookmarkStart w:id="944" w:name="_Toc97455644"/>
      <w:bookmarkStart w:id="945" w:name="_Toc97457435"/>
      <w:bookmarkStart w:id="946" w:name="_Toc97630232"/>
      <w:bookmarkStart w:id="947" w:name="_Toc98053377"/>
      <w:bookmarkStart w:id="948" w:name="_Toc99962363"/>
      <w:bookmarkStart w:id="949" w:name="_Toc122159461"/>
      <w:bookmarkStart w:id="950" w:name="_Toc122232785"/>
      <w:bookmarkStart w:id="951" w:name="_Toc122232961"/>
      <w:bookmarkStart w:id="952" w:name="_Toc147220598"/>
      <w:bookmarkStart w:id="953" w:name="_Toc147223949"/>
      <w:bookmarkStart w:id="954" w:name="_Toc165444984"/>
      <w:bookmarkStart w:id="955" w:name="_Toc170557764"/>
      <w:bookmarkStart w:id="956" w:name="_Toc170795155"/>
      <w:bookmarkStart w:id="957" w:name="_Toc172709255"/>
      <w:bookmarkStart w:id="958" w:name="_Toc172964739"/>
      <w:bookmarkStart w:id="959" w:name="_Toc174158456"/>
      <w:bookmarkStart w:id="960" w:name="_Toc174359009"/>
      <w:bookmarkStart w:id="961" w:name="_Toc174518600"/>
      <w:bookmarkStart w:id="962" w:name="_Toc176170545"/>
      <w:bookmarkStart w:id="963" w:name="_Toc181431104"/>
      <w:bookmarkStart w:id="964" w:name="_Toc181497560"/>
      <w:r>
        <w:rPr>
          <w:rStyle w:val="CharSectno"/>
        </w:rPr>
        <w:t>33</w:t>
      </w:r>
      <w:r>
        <w:t>.</w:t>
      </w:r>
      <w:r>
        <w:tab/>
        <w:t>Payment of levy as condition of licence (</w:t>
      </w:r>
      <w:del w:id="965" w:author="Master Repository Process" w:date="2021-08-01T11:42:00Z">
        <w:r>
          <w:rPr>
            <w:snapToGrid w:val="0"/>
          </w:rPr>
          <w:delText>s.</w:delText>
        </w:r>
      </w:del>
      <w:ins w:id="966" w:author="Master Repository Process" w:date="2021-08-01T11:42:00Z">
        <w:r>
          <w:t>section</w:t>
        </w:r>
      </w:ins>
      <w:r>
        <w:t> 62(2))</w:t>
      </w:r>
      <w:bookmarkEnd w:id="926"/>
      <w:bookmarkEnd w:id="927"/>
      <w:bookmarkEnd w:id="928"/>
      <w:bookmarkEnd w:id="929"/>
      <w:bookmarkEnd w:id="930"/>
      <w:bookmarkEnd w:id="931"/>
      <w:bookmarkEnd w:id="932"/>
      <w:bookmarkEnd w:id="933"/>
      <w:bookmarkEnd w:id="934"/>
      <w:del w:id="967" w:author="Master Repository Process" w:date="2021-08-01T11:42:00Z">
        <w:r>
          <w:rPr>
            <w:snapToGrid w:val="0"/>
          </w:rPr>
          <w:delText xml:space="preserve"> </w:delText>
        </w:r>
      </w:del>
    </w:p>
    <w:p>
      <w:pPr>
        <w:pStyle w:val="Subsection"/>
        <w:spacing w:before="120"/>
        <w:rPr>
          <w:ins w:id="968" w:author="Master Repository Process" w:date="2021-08-01T11:42:00Z"/>
        </w:rPr>
      </w:pPr>
      <w:r>
        <w:tab/>
      </w:r>
      <w:r>
        <w:tab/>
        <w:t xml:space="preserve">It is a condition of a licence in respect of a licensed landfill that the licensee is to pay </w:t>
      </w:r>
      <w:ins w:id="969" w:author="Master Repository Process" w:date="2021-08-01T11:42:00Z">
        <w:r>
          <w:t xml:space="preserve">the following — </w:t>
        </w:r>
      </w:ins>
    </w:p>
    <w:p>
      <w:pPr>
        <w:pStyle w:val="Indenta"/>
      </w:pPr>
      <w:ins w:id="970" w:author="Master Repository Process" w:date="2021-08-01T11:42:00Z">
        <w:r>
          <w:tab/>
          <w:t>(a)</w:t>
        </w:r>
        <w:r>
          <w:tab/>
        </w:r>
      </w:ins>
      <w:r>
        <w:t xml:space="preserve">any levy imposed under the </w:t>
      </w:r>
      <w:r>
        <w:rPr>
          <w:i/>
          <w:iCs/>
        </w:rPr>
        <w:t>Environmental Protection (Landfill) Levy Act 1998</w:t>
      </w:r>
      <w:r>
        <w:t xml:space="preserve"> in respect of waste to which this Part applies that is received at those premises</w:t>
      </w:r>
      <w:del w:id="971" w:author="Master Repository Process" w:date="2021-08-01T11:42:00Z">
        <w:r>
          <w:rPr>
            <w:snapToGrid w:val="0"/>
          </w:rPr>
          <w:delText>.</w:delText>
        </w:r>
      </w:del>
      <w:ins w:id="972" w:author="Master Repository Process" w:date="2021-08-01T11:42:00Z">
        <w:r>
          <w:t>;</w:t>
        </w:r>
      </w:ins>
    </w:p>
    <w:p>
      <w:pPr>
        <w:pStyle w:val="Indenta"/>
        <w:rPr>
          <w:ins w:id="973" w:author="Master Repository Process" w:date="2021-08-01T11:42:00Z"/>
        </w:rPr>
      </w:pPr>
      <w:ins w:id="974" w:author="Master Repository Process" w:date="2021-08-01T11:42:00Z">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ins>
    </w:p>
    <w:p>
      <w:pPr>
        <w:pStyle w:val="Footnotesection"/>
      </w:pPr>
      <w:r>
        <w:tab/>
        <w:t xml:space="preserve">[Regulation 33 inserted in Gazette </w:t>
      </w:r>
      <w:del w:id="975" w:author="Master Repository Process" w:date="2021-08-01T11:42:00Z">
        <w:r>
          <w:delText>26</w:delText>
        </w:r>
      </w:del>
      <w:ins w:id="976" w:author="Master Repository Process" w:date="2021-08-01T11:42:00Z">
        <w:r>
          <w:t>20</w:t>
        </w:r>
      </w:ins>
      <w:r>
        <w:t> Jun</w:t>
      </w:r>
      <w:del w:id="977" w:author="Master Repository Process" w:date="2021-08-01T11:42:00Z">
        <w:r>
          <w:delText> 1998</w:delText>
        </w:r>
      </w:del>
      <w:ins w:id="978" w:author="Master Repository Process" w:date="2021-08-01T11:42:00Z">
        <w:r>
          <w:t xml:space="preserve"> 2008</w:t>
        </w:r>
      </w:ins>
      <w:r>
        <w:t xml:space="preserve"> p. </w:t>
      </w:r>
      <w:del w:id="979" w:author="Master Repository Process" w:date="2021-08-01T11:42:00Z">
        <w:r>
          <w:delText>3374</w:delText>
        </w:r>
      </w:del>
      <w:ins w:id="980" w:author="Master Repository Process" w:date="2021-08-01T11:42:00Z">
        <w:r>
          <w:t>2683-4</w:t>
        </w:r>
      </w:ins>
      <w:r>
        <w:t xml:space="preserve">.] </w:t>
      </w:r>
    </w:p>
    <w:p>
      <w:pPr>
        <w:pStyle w:val="Heading2"/>
      </w:pPr>
      <w:bookmarkStart w:id="981" w:name="_Toc202254227"/>
      <w:r>
        <w:rPr>
          <w:rStyle w:val="CharPartNo"/>
        </w:rPr>
        <w:t>Part 10</w:t>
      </w:r>
      <w:r>
        <w:t xml:space="preserve"> — </w:t>
      </w:r>
      <w:r>
        <w:rPr>
          <w:rStyle w:val="CharPartText"/>
        </w:rPr>
        <w:t>Things seized or forfeited</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81"/>
    </w:p>
    <w:p>
      <w:pPr>
        <w:pStyle w:val="Footnoteheading"/>
      </w:pPr>
      <w:r>
        <w:tab/>
        <w:t>[Heading inserted in Gazette 11 Dec 1998 p. 6601.]</w:t>
      </w:r>
    </w:p>
    <w:p>
      <w:pPr>
        <w:pStyle w:val="Heading5"/>
        <w:spacing w:before="180"/>
      </w:pPr>
      <w:bookmarkStart w:id="982" w:name="_Toc448822604"/>
      <w:bookmarkStart w:id="983" w:name="_Toc448822730"/>
      <w:bookmarkStart w:id="984" w:name="_Toc503260618"/>
      <w:bookmarkStart w:id="985" w:name="_Toc12076721"/>
      <w:bookmarkStart w:id="986" w:name="_Toc12952237"/>
      <w:bookmarkStart w:id="987" w:name="_Toc122232962"/>
      <w:bookmarkStart w:id="988" w:name="_Toc202254228"/>
      <w:bookmarkStart w:id="989" w:name="_Toc181497561"/>
      <w:r>
        <w:rPr>
          <w:rStyle w:val="CharSectno"/>
        </w:rPr>
        <w:t>34</w:t>
      </w:r>
      <w:r>
        <w:t>.</w:t>
      </w:r>
      <w:r>
        <w:tab/>
        <w:t>Prescribed ways of dealing with thing seized — section 92B(1)</w:t>
      </w:r>
      <w:bookmarkEnd w:id="982"/>
      <w:bookmarkEnd w:id="983"/>
      <w:bookmarkEnd w:id="984"/>
      <w:bookmarkEnd w:id="985"/>
      <w:bookmarkEnd w:id="986"/>
      <w:bookmarkEnd w:id="987"/>
      <w:bookmarkEnd w:id="988"/>
      <w:bookmarkEnd w:id="989"/>
    </w:p>
    <w:p>
      <w:pPr>
        <w:pStyle w:val="Subsection"/>
        <w:spacing w:before="120"/>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w:t>
      </w:r>
    </w:p>
    <w:p>
      <w:pPr>
        <w:pStyle w:val="Indenta"/>
      </w:pPr>
      <w:r>
        <w:tab/>
        <w:t>(b)</w:t>
      </w:r>
      <w:r>
        <w:tab/>
        <w:t>destruction or treatment at a site licensed under Part V of the Act, as specified by the Chief Executive Officer;</w:t>
      </w:r>
    </w:p>
    <w:p>
      <w:pPr>
        <w:pStyle w:val="Indenta"/>
      </w:pPr>
      <w:r>
        <w:tab/>
        <w:t>(c)</w:t>
      </w:r>
      <w:r>
        <w:tab/>
        <w:t>preservation, as specified by the Chief Executive Officer;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spacing w:before="180"/>
      </w:pPr>
      <w:bookmarkStart w:id="990" w:name="_Toc448822605"/>
      <w:bookmarkStart w:id="991" w:name="_Toc448822731"/>
      <w:bookmarkStart w:id="992" w:name="_Toc503260619"/>
      <w:bookmarkStart w:id="993" w:name="_Toc12076722"/>
      <w:bookmarkStart w:id="994" w:name="_Toc12952238"/>
      <w:bookmarkStart w:id="995" w:name="_Toc122232963"/>
      <w:bookmarkStart w:id="996" w:name="_Toc202254229"/>
      <w:bookmarkStart w:id="997" w:name="_Toc181497562"/>
      <w:r>
        <w:rPr>
          <w:rStyle w:val="CharSectno"/>
        </w:rPr>
        <w:t>35</w:t>
      </w:r>
      <w:r>
        <w:t>.</w:t>
      </w:r>
      <w:r>
        <w:tab/>
        <w:t>Notice that a thing has been seized — section 92D</w:t>
      </w:r>
      <w:bookmarkEnd w:id="990"/>
      <w:bookmarkEnd w:id="991"/>
      <w:bookmarkEnd w:id="992"/>
      <w:bookmarkEnd w:id="993"/>
      <w:bookmarkEnd w:id="994"/>
      <w:bookmarkEnd w:id="995"/>
      <w:bookmarkEnd w:id="996"/>
      <w:bookmarkEnd w:id="997"/>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w:t>
      </w:r>
    </w:p>
    <w:p>
      <w:pPr>
        <w:pStyle w:val="Indenta"/>
      </w:pPr>
      <w:r>
        <w:tab/>
        <w:t>(d)</w:t>
      </w:r>
      <w:r>
        <w:tab/>
        <w:t>stating the place where the thing was seized;</w:t>
      </w:r>
    </w:p>
    <w:p>
      <w:pPr>
        <w:pStyle w:val="Indenta"/>
      </w:pPr>
      <w:r>
        <w:tab/>
        <w:t>(e)</w:t>
      </w:r>
      <w:r>
        <w:tab/>
        <w:t>stating the place where the thing may be claimed;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998" w:name="_Toc448822606"/>
      <w:bookmarkStart w:id="999" w:name="_Toc448822732"/>
      <w:bookmarkStart w:id="1000" w:name="_Toc503260620"/>
      <w:bookmarkStart w:id="1001" w:name="_Toc12076723"/>
      <w:bookmarkStart w:id="1002" w:name="_Toc12952239"/>
      <w:bookmarkStart w:id="1003" w:name="_Toc122232964"/>
      <w:bookmarkStart w:id="1004" w:name="_Toc202254230"/>
      <w:bookmarkStart w:id="1005" w:name="_Toc181497563"/>
      <w:r>
        <w:rPr>
          <w:rStyle w:val="CharSectno"/>
        </w:rPr>
        <w:t>36</w:t>
      </w:r>
      <w:r>
        <w:t>.</w:t>
      </w:r>
      <w:r>
        <w:tab/>
        <w:t>Disposing of any thing forfeited to the Crown</w:t>
      </w:r>
      <w:bookmarkEnd w:id="998"/>
      <w:bookmarkEnd w:id="999"/>
      <w:bookmarkEnd w:id="1000"/>
      <w:bookmarkEnd w:id="1001"/>
      <w:bookmarkEnd w:id="1002"/>
      <w:bookmarkEnd w:id="1003"/>
      <w:bookmarkEnd w:id="1004"/>
      <w:bookmarkEnd w:id="1005"/>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w:t>
      </w:r>
    </w:p>
    <w:p>
      <w:pPr>
        <w:pStyle w:val="Indenta"/>
      </w:pPr>
      <w:r>
        <w:tab/>
        <w:t>(b)</w:t>
      </w:r>
      <w:r>
        <w:tab/>
        <w:t>sale at public auction, by tender or by private contract;</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1006" w:name="_Toc75588431"/>
      <w:bookmarkStart w:id="1007" w:name="_Toc76894978"/>
      <w:bookmarkStart w:id="1008" w:name="_Toc85279863"/>
      <w:bookmarkStart w:id="1009" w:name="_Toc88903725"/>
      <w:bookmarkStart w:id="1010" w:name="_Toc88962314"/>
      <w:bookmarkStart w:id="1011" w:name="_Toc94320237"/>
      <w:bookmarkStart w:id="1012" w:name="_Toc94331073"/>
      <w:bookmarkStart w:id="1013" w:name="_Toc94331185"/>
      <w:bookmarkStart w:id="1014" w:name="_Toc94428669"/>
      <w:bookmarkStart w:id="1015" w:name="_Toc97455648"/>
      <w:bookmarkStart w:id="1016" w:name="_Toc97457439"/>
      <w:bookmarkStart w:id="1017" w:name="_Toc97630236"/>
      <w:bookmarkStart w:id="1018" w:name="_Toc98053381"/>
      <w:bookmarkStart w:id="1019" w:name="_Toc99962367"/>
      <w:bookmarkStart w:id="1020" w:name="_Toc122159465"/>
      <w:bookmarkStart w:id="1021" w:name="_Toc122232789"/>
      <w:bookmarkStart w:id="1022" w:name="_Toc122232965"/>
      <w:bookmarkStart w:id="1023" w:name="_Toc147220602"/>
      <w:bookmarkStart w:id="1024" w:name="_Toc147223953"/>
      <w:bookmarkStart w:id="1025" w:name="_Toc165444988"/>
      <w:bookmarkStart w:id="1026" w:name="_Toc170557768"/>
      <w:bookmarkStart w:id="1027" w:name="_Toc170795159"/>
      <w:bookmarkStart w:id="1028" w:name="_Toc172709259"/>
      <w:bookmarkStart w:id="1029" w:name="_Toc172964743"/>
      <w:bookmarkStart w:id="1030" w:name="_Toc174158460"/>
      <w:bookmarkStart w:id="1031" w:name="_Toc174359013"/>
      <w:bookmarkStart w:id="1032" w:name="_Toc174518604"/>
      <w:bookmarkStart w:id="1033" w:name="_Toc176170549"/>
      <w:bookmarkStart w:id="1034" w:name="_Toc181431108"/>
      <w:bookmarkStart w:id="1035" w:name="_Toc181497564"/>
      <w:bookmarkStart w:id="1036" w:name="_Toc202254231"/>
      <w:r>
        <w:rPr>
          <w:rStyle w:val="CharPartNo"/>
        </w:rPr>
        <w:t>Part 11</w:t>
      </w:r>
      <w:r>
        <w:t xml:space="preserve"> — </w:t>
      </w:r>
      <w:r>
        <w:rPr>
          <w:rStyle w:val="CharPartText"/>
        </w:rPr>
        <w:t>Modified penalties and Tier 2 offences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Footnoteheading"/>
      </w:pPr>
      <w:r>
        <w:tab/>
        <w:t>[Heading inserted in Gazette 11 Dec 1998 p. 6603.]</w:t>
      </w:r>
    </w:p>
    <w:p>
      <w:pPr>
        <w:pStyle w:val="Heading5"/>
        <w:spacing w:before="180"/>
      </w:pPr>
      <w:bookmarkStart w:id="1037" w:name="_Toc448822607"/>
      <w:bookmarkStart w:id="1038" w:name="_Toc448822733"/>
      <w:bookmarkStart w:id="1039" w:name="_Toc503260621"/>
      <w:bookmarkStart w:id="1040" w:name="_Toc12076724"/>
      <w:bookmarkStart w:id="1041" w:name="_Toc12952240"/>
      <w:bookmarkStart w:id="1042" w:name="_Toc122232966"/>
      <w:bookmarkStart w:id="1043" w:name="_Toc202254232"/>
      <w:bookmarkStart w:id="1044" w:name="_Toc181497565"/>
      <w:r>
        <w:rPr>
          <w:rStyle w:val="CharSectno"/>
        </w:rPr>
        <w:t>37</w:t>
      </w:r>
      <w:r>
        <w:t>.</w:t>
      </w:r>
      <w:r>
        <w:tab/>
        <w:t>Modified penalty notice</w:t>
      </w:r>
      <w:bookmarkEnd w:id="1037"/>
      <w:bookmarkEnd w:id="1038"/>
      <w:bookmarkEnd w:id="1039"/>
      <w:bookmarkEnd w:id="1040"/>
      <w:bookmarkEnd w:id="1041"/>
      <w:bookmarkEnd w:id="1042"/>
      <w:bookmarkEnd w:id="1043"/>
      <w:bookmarkEnd w:id="1044"/>
    </w:p>
    <w:p>
      <w:pPr>
        <w:pStyle w:val="Subsection"/>
        <w:spacing w:before="120"/>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1045" w:name="_Toc448822608"/>
      <w:bookmarkStart w:id="1046" w:name="_Toc448822734"/>
      <w:bookmarkStart w:id="1047" w:name="_Toc503260622"/>
      <w:bookmarkStart w:id="1048" w:name="_Toc12076725"/>
      <w:bookmarkStart w:id="1049" w:name="_Toc12952241"/>
      <w:bookmarkStart w:id="1050" w:name="_Toc122232967"/>
      <w:bookmarkStart w:id="1051" w:name="_Toc202254233"/>
      <w:bookmarkStart w:id="1052" w:name="_Toc181497566"/>
      <w:r>
        <w:rPr>
          <w:rStyle w:val="CharSectno"/>
        </w:rPr>
        <w:t>38</w:t>
      </w:r>
      <w:r>
        <w:t>.</w:t>
      </w:r>
      <w:r>
        <w:tab/>
        <w:t>Withdrawal of modified penalty notice</w:t>
      </w:r>
      <w:bookmarkEnd w:id="1045"/>
      <w:bookmarkEnd w:id="1046"/>
      <w:bookmarkEnd w:id="1047"/>
      <w:bookmarkEnd w:id="1048"/>
      <w:bookmarkEnd w:id="1049"/>
      <w:bookmarkEnd w:id="1050"/>
      <w:bookmarkEnd w:id="1051"/>
      <w:bookmarkEnd w:id="1052"/>
    </w:p>
    <w:p>
      <w:pPr>
        <w:pStyle w:val="Subsection"/>
        <w:spacing w:before="120"/>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1053" w:name="_Toc448822609"/>
      <w:bookmarkStart w:id="1054" w:name="_Toc448822735"/>
      <w:bookmarkStart w:id="1055" w:name="_Toc503260623"/>
      <w:bookmarkStart w:id="1056" w:name="_Toc12076726"/>
      <w:bookmarkStart w:id="1057" w:name="_Toc12952242"/>
      <w:bookmarkStart w:id="1058" w:name="_Toc122232968"/>
      <w:bookmarkStart w:id="1059" w:name="_Toc202254234"/>
      <w:bookmarkStart w:id="1060" w:name="_Toc181497567"/>
      <w:r>
        <w:rPr>
          <w:rStyle w:val="CharSectno"/>
        </w:rPr>
        <w:t>39</w:t>
      </w:r>
      <w:r>
        <w:t>.</w:t>
      </w:r>
      <w:r>
        <w:tab/>
        <w:t>Prescribed particulars to be included in notice of payment of modified penalty — section 99E(3)</w:t>
      </w:r>
      <w:bookmarkEnd w:id="1053"/>
      <w:bookmarkEnd w:id="1054"/>
      <w:bookmarkEnd w:id="1055"/>
      <w:bookmarkEnd w:id="1056"/>
      <w:bookmarkEnd w:id="1057"/>
      <w:bookmarkEnd w:id="1058"/>
      <w:bookmarkEnd w:id="1059"/>
      <w:bookmarkEnd w:id="1060"/>
    </w:p>
    <w:p>
      <w:pPr>
        <w:pStyle w:val="Subsection"/>
        <w:spacing w:before="120"/>
      </w:pPr>
      <w:r>
        <w:tab/>
      </w:r>
      <w:r>
        <w:tab/>
        <w:t>For the purposes of section 99E(3) of the Act, the following particulars are prescribed —</w:t>
      </w:r>
    </w:p>
    <w:p>
      <w:pPr>
        <w:pStyle w:val="Indenta"/>
        <w:spacing w:before="60"/>
      </w:pPr>
      <w:r>
        <w:tab/>
        <w:t>(a)</w:t>
      </w:r>
      <w:r>
        <w:tab/>
        <w:t>the name of the person who paid the modified penalty;</w:t>
      </w:r>
    </w:p>
    <w:p>
      <w:pPr>
        <w:pStyle w:val="Indenta"/>
        <w:spacing w:before="60"/>
      </w:pPr>
      <w:r>
        <w:tab/>
        <w:t>(b)</w:t>
      </w:r>
      <w:r>
        <w:tab/>
        <w:t>the section of the Act contravened in respect of which the modified penalty was paid;</w:t>
      </w:r>
    </w:p>
    <w:p>
      <w:pPr>
        <w:pStyle w:val="Indenta"/>
        <w:spacing w:before="60"/>
      </w:pPr>
      <w:r>
        <w:tab/>
        <w:t>(c)</w:t>
      </w:r>
      <w:r>
        <w:tab/>
        <w:t>a description of the offence;</w:t>
      </w:r>
    </w:p>
    <w:p>
      <w:pPr>
        <w:pStyle w:val="Indenta"/>
        <w:spacing w:before="60"/>
      </w:pPr>
      <w:r>
        <w:tab/>
        <w:t>(d)</w:t>
      </w:r>
      <w:r>
        <w:tab/>
        <w:t>the penalty paid;</w:t>
      </w:r>
    </w:p>
    <w:p>
      <w:pPr>
        <w:pStyle w:val="Indenta"/>
        <w:spacing w:before="60"/>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1061" w:name="_Toc448822610"/>
      <w:bookmarkStart w:id="1062" w:name="_Toc448822736"/>
      <w:bookmarkStart w:id="1063" w:name="_Toc503260624"/>
      <w:bookmarkStart w:id="1064" w:name="_Toc12076727"/>
      <w:bookmarkStart w:id="1065" w:name="_Toc12952243"/>
      <w:bookmarkStart w:id="1066" w:name="_Toc122232969"/>
      <w:bookmarkStart w:id="1067" w:name="_Toc202254235"/>
      <w:bookmarkStart w:id="1068" w:name="_Toc181497568"/>
      <w:r>
        <w:rPr>
          <w:rStyle w:val="CharSectno"/>
        </w:rPr>
        <w:t>40</w:t>
      </w:r>
      <w:r>
        <w:t>.</w:t>
      </w:r>
      <w:r>
        <w:tab/>
        <w:t>Public inspection of register of certificates and modified penalty notices — section 99F(2)</w:t>
      </w:r>
      <w:bookmarkEnd w:id="1061"/>
      <w:bookmarkEnd w:id="1062"/>
      <w:bookmarkEnd w:id="1063"/>
      <w:bookmarkEnd w:id="1064"/>
      <w:bookmarkEnd w:id="1065"/>
      <w:bookmarkEnd w:id="1066"/>
      <w:bookmarkEnd w:id="1067"/>
      <w:bookmarkEnd w:id="1068"/>
    </w:p>
    <w:p>
      <w:pPr>
        <w:pStyle w:val="Subsection"/>
        <w:spacing w:before="120"/>
        <w:rPr>
          <w:spacing w:val="-6"/>
        </w:rPr>
      </w:pPr>
      <w:r>
        <w:rPr>
          <w:spacing w:val="-6"/>
        </w:rPr>
        <w:tab/>
      </w:r>
      <w:r>
        <w:rPr>
          <w:spacing w:val="-6"/>
        </w:rPr>
        <w:tab/>
        <w:t>The register that the Chief Executive Officer is required to maintain under section 99F(1) of the Act is to be available for public inspection during normal office hours at the</w:t>
      </w:r>
      <w:r>
        <w:t xml:space="preserve"> Departmental library</w:t>
      </w:r>
      <w:r>
        <w:rPr>
          <w:spacing w:val="-6"/>
        </w:rPr>
        <w:t>.</w:t>
      </w:r>
    </w:p>
    <w:p>
      <w:pPr>
        <w:pStyle w:val="Footnotesection"/>
        <w:keepLines w:val="0"/>
        <w:spacing w:before="80"/>
        <w:ind w:left="890" w:hanging="890"/>
      </w:pPr>
      <w:r>
        <w:tab/>
        <w:t>[Regulation 40 inserted in Gazette 11 Dec 1998 p. 6603; amended in Gazette 29 Sep 2006 p. 4261.]</w:t>
      </w:r>
    </w:p>
    <w:p>
      <w:pPr>
        <w:pStyle w:val="Heading2"/>
      </w:pPr>
      <w:bookmarkStart w:id="1069" w:name="_Toc75588436"/>
      <w:bookmarkStart w:id="1070" w:name="_Toc76894983"/>
      <w:bookmarkStart w:id="1071" w:name="_Toc85279868"/>
      <w:bookmarkStart w:id="1072" w:name="_Toc88903730"/>
      <w:bookmarkStart w:id="1073" w:name="_Toc88962319"/>
      <w:bookmarkStart w:id="1074" w:name="_Toc94320242"/>
      <w:bookmarkStart w:id="1075" w:name="_Toc94331078"/>
      <w:bookmarkStart w:id="1076" w:name="_Toc94331190"/>
      <w:bookmarkStart w:id="1077" w:name="_Toc94428674"/>
      <w:bookmarkStart w:id="1078" w:name="_Toc97455653"/>
      <w:bookmarkStart w:id="1079" w:name="_Toc97457444"/>
      <w:bookmarkStart w:id="1080" w:name="_Toc97630241"/>
      <w:bookmarkStart w:id="1081" w:name="_Toc98053386"/>
      <w:bookmarkStart w:id="1082" w:name="_Toc99962372"/>
      <w:bookmarkStart w:id="1083" w:name="_Toc122159470"/>
      <w:bookmarkStart w:id="1084" w:name="_Toc122232794"/>
      <w:bookmarkStart w:id="1085" w:name="_Toc122232970"/>
      <w:bookmarkStart w:id="1086" w:name="_Toc147220607"/>
      <w:bookmarkStart w:id="1087" w:name="_Toc147223958"/>
      <w:bookmarkStart w:id="1088" w:name="_Toc165444993"/>
      <w:bookmarkStart w:id="1089" w:name="_Toc170557773"/>
      <w:bookmarkStart w:id="1090" w:name="_Toc170795164"/>
      <w:bookmarkStart w:id="1091" w:name="_Toc172709264"/>
      <w:bookmarkStart w:id="1092" w:name="_Toc172964748"/>
      <w:bookmarkStart w:id="1093" w:name="_Toc174158465"/>
      <w:bookmarkStart w:id="1094" w:name="_Toc174359018"/>
      <w:bookmarkStart w:id="1095" w:name="_Toc174518609"/>
      <w:bookmarkStart w:id="1096" w:name="_Toc176170554"/>
      <w:bookmarkStart w:id="1097" w:name="_Toc181431113"/>
      <w:bookmarkStart w:id="1098" w:name="_Toc181497569"/>
      <w:bookmarkStart w:id="1099" w:name="_Toc202254236"/>
      <w:r>
        <w:rPr>
          <w:rStyle w:val="CharPartNo"/>
        </w:rPr>
        <w:t>Part 12</w:t>
      </w:r>
      <w:r>
        <w:t xml:space="preserve"> — </w:t>
      </w:r>
      <w:r>
        <w:rPr>
          <w:rStyle w:val="CharPartText"/>
        </w:rPr>
        <w:t>Infringement notices and offences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Footnoteheading"/>
      </w:pPr>
      <w:r>
        <w:tab/>
        <w:t>[Heading inserted in Gazette 11 Dec 1998 p. 6603.]</w:t>
      </w:r>
    </w:p>
    <w:p>
      <w:pPr>
        <w:pStyle w:val="Heading5"/>
      </w:pPr>
      <w:bookmarkStart w:id="1100" w:name="_Toc448822611"/>
      <w:bookmarkStart w:id="1101" w:name="_Toc448822737"/>
      <w:bookmarkStart w:id="1102" w:name="_Toc503260625"/>
      <w:bookmarkStart w:id="1103" w:name="_Toc12076728"/>
      <w:bookmarkStart w:id="1104" w:name="_Toc12952244"/>
      <w:bookmarkStart w:id="1105" w:name="_Toc122232971"/>
      <w:bookmarkStart w:id="1106" w:name="_Toc202254237"/>
      <w:bookmarkStart w:id="1107" w:name="_Toc181497570"/>
      <w:r>
        <w:rPr>
          <w:rStyle w:val="CharSectno"/>
        </w:rPr>
        <w:t>41</w:t>
      </w:r>
      <w:r>
        <w:t>.</w:t>
      </w:r>
      <w:r>
        <w:tab/>
        <w:t xml:space="preserve">Offences prescribed as an </w:t>
      </w:r>
      <w:r>
        <w:rPr>
          <w:bCs/>
        </w:rPr>
        <w:t>“</w:t>
      </w:r>
      <w:r>
        <w:t>infringement notice offence</w:t>
      </w:r>
      <w:r>
        <w:rPr>
          <w:bCs/>
        </w:rPr>
        <w:t>”</w:t>
      </w:r>
      <w:r>
        <w:t xml:space="preserve"> and prescribed penalties — sections 99H and 99K</w:t>
      </w:r>
      <w:bookmarkEnd w:id="1100"/>
      <w:bookmarkEnd w:id="1101"/>
      <w:bookmarkEnd w:id="1102"/>
      <w:bookmarkEnd w:id="1103"/>
      <w:bookmarkEnd w:id="1104"/>
      <w:bookmarkEnd w:id="1105"/>
      <w:bookmarkEnd w:id="1106"/>
      <w:bookmarkEnd w:id="1107"/>
    </w:p>
    <w:p>
      <w:pPr>
        <w:pStyle w:val="Subsection"/>
      </w:pPr>
      <w:r>
        <w:tab/>
        <w:t>(1)</w:t>
      </w:r>
      <w:r>
        <w:tab/>
        <w:t>The offences described in the first column of Schedule 6 are prescribed for the purpose of the definition of “infringement notice offence”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1108" w:name="_Toc448822612"/>
      <w:bookmarkStart w:id="1109" w:name="_Toc448822738"/>
      <w:bookmarkStart w:id="1110" w:name="_Toc503260626"/>
      <w:bookmarkStart w:id="1111" w:name="_Toc12076729"/>
      <w:bookmarkStart w:id="1112" w:name="_Toc12952245"/>
      <w:bookmarkStart w:id="1113" w:name="_Toc122232972"/>
      <w:bookmarkStart w:id="1114" w:name="_Toc202254238"/>
      <w:bookmarkStart w:id="1115" w:name="_Toc181497571"/>
      <w:r>
        <w:rPr>
          <w:rStyle w:val="CharSectno"/>
        </w:rPr>
        <w:t>42</w:t>
      </w:r>
      <w:r>
        <w:t>.</w:t>
      </w:r>
      <w:r>
        <w:tab/>
        <w:t>Infringement notice</w:t>
      </w:r>
      <w:bookmarkEnd w:id="1108"/>
      <w:bookmarkEnd w:id="1109"/>
      <w:bookmarkEnd w:id="1110"/>
      <w:bookmarkEnd w:id="1111"/>
      <w:bookmarkEnd w:id="1112"/>
      <w:bookmarkEnd w:id="1113"/>
      <w:bookmarkEnd w:id="1114"/>
      <w:bookmarkEnd w:id="1115"/>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1116" w:name="_Toc448822613"/>
      <w:bookmarkStart w:id="1117" w:name="_Toc448822739"/>
      <w:bookmarkStart w:id="1118" w:name="_Toc503260627"/>
      <w:bookmarkStart w:id="1119" w:name="_Toc12076730"/>
      <w:bookmarkStart w:id="1120" w:name="_Toc12952246"/>
      <w:bookmarkStart w:id="1121" w:name="_Toc122232973"/>
      <w:bookmarkStart w:id="1122" w:name="_Toc202254239"/>
      <w:bookmarkStart w:id="1123" w:name="_Toc181497572"/>
      <w:r>
        <w:rPr>
          <w:rStyle w:val="CharSectno"/>
        </w:rPr>
        <w:t>43</w:t>
      </w:r>
      <w:r>
        <w:t>.</w:t>
      </w:r>
      <w:r>
        <w:tab/>
        <w:t>Withdrawal of infringement notice</w:t>
      </w:r>
      <w:bookmarkEnd w:id="1116"/>
      <w:bookmarkEnd w:id="1117"/>
      <w:bookmarkEnd w:id="1118"/>
      <w:bookmarkEnd w:id="1119"/>
      <w:bookmarkEnd w:id="1120"/>
      <w:bookmarkEnd w:id="1121"/>
      <w:bookmarkEnd w:id="1122"/>
      <w:bookmarkEnd w:id="1123"/>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1124" w:name="_Toc75588440"/>
      <w:bookmarkStart w:id="1125" w:name="_Toc76894987"/>
      <w:bookmarkStart w:id="1126" w:name="_Toc85279872"/>
      <w:bookmarkStart w:id="1127" w:name="_Toc88903734"/>
      <w:bookmarkStart w:id="1128" w:name="_Toc88962323"/>
      <w:bookmarkStart w:id="1129" w:name="_Toc94320246"/>
      <w:bookmarkStart w:id="1130" w:name="_Toc94331082"/>
      <w:bookmarkStart w:id="1131" w:name="_Toc94331194"/>
      <w:bookmarkStart w:id="1132" w:name="_Toc94428678"/>
      <w:bookmarkStart w:id="1133" w:name="_Toc97455657"/>
      <w:bookmarkStart w:id="1134" w:name="_Toc97457448"/>
      <w:bookmarkStart w:id="1135" w:name="_Toc97630245"/>
      <w:bookmarkStart w:id="1136" w:name="_Toc98053390"/>
      <w:bookmarkStart w:id="1137" w:name="_Toc99962376"/>
      <w:bookmarkStart w:id="1138" w:name="_Toc122159474"/>
      <w:bookmarkStart w:id="1139" w:name="_Toc122232798"/>
      <w:bookmarkStart w:id="1140" w:name="_Toc122232974"/>
      <w:bookmarkStart w:id="1141" w:name="_Toc147220611"/>
      <w:bookmarkStart w:id="1142" w:name="_Toc147223962"/>
      <w:bookmarkStart w:id="1143" w:name="_Toc165444997"/>
      <w:bookmarkStart w:id="1144" w:name="_Toc170557777"/>
      <w:bookmarkStart w:id="1145" w:name="_Toc170795168"/>
      <w:bookmarkStart w:id="1146" w:name="_Toc172709268"/>
      <w:bookmarkStart w:id="1147" w:name="_Toc172964752"/>
      <w:bookmarkStart w:id="1148" w:name="_Toc174158469"/>
      <w:bookmarkStart w:id="1149" w:name="_Toc174359022"/>
      <w:bookmarkStart w:id="1150" w:name="_Toc174518613"/>
      <w:bookmarkStart w:id="1151" w:name="_Toc176170558"/>
      <w:bookmarkStart w:id="1152" w:name="_Toc181431117"/>
      <w:bookmarkStart w:id="1153" w:name="_Toc181497573"/>
      <w:bookmarkStart w:id="1154" w:name="_Toc202254240"/>
      <w:r>
        <w:rPr>
          <w:rStyle w:val="CharPartNo"/>
        </w:rPr>
        <w:t>Part 13</w:t>
      </w:r>
      <w:r>
        <w:t xml:space="preserve"> — </w:t>
      </w:r>
      <w:r>
        <w:rPr>
          <w:rStyle w:val="CharPartText"/>
        </w:rPr>
        <w:t>Miscellaneous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Footnoteheading"/>
      </w:pPr>
      <w:r>
        <w:tab/>
        <w:t>[Heading inserted in Gazette 11 Dec 1998 p. 6604.]</w:t>
      </w:r>
    </w:p>
    <w:p>
      <w:pPr>
        <w:pStyle w:val="Heading5"/>
      </w:pPr>
      <w:bookmarkStart w:id="1155" w:name="_Toc448822614"/>
      <w:bookmarkStart w:id="1156" w:name="_Toc448822740"/>
      <w:bookmarkStart w:id="1157" w:name="_Toc503260628"/>
      <w:bookmarkStart w:id="1158" w:name="_Toc12076731"/>
      <w:bookmarkStart w:id="1159" w:name="_Toc12952247"/>
      <w:bookmarkStart w:id="1160" w:name="_Toc122232975"/>
      <w:bookmarkStart w:id="1161" w:name="_Toc202254241"/>
      <w:bookmarkStart w:id="1162" w:name="_Toc181497574"/>
      <w:r>
        <w:rPr>
          <w:rStyle w:val="CharSectno"/>
        </w:rPr>
        <w:t>44</w:t>
      </w:r>
      <w:r>
        <w:t>.</w:t>
      </w:r>
      <w:r>
        <w:tab/>
        <w:t>Amount prescribed for costs and expenses and compensation — section 99Y(1)</w:t>
      </w:r>
      <w:bookmarkEnd w:id="1155"/>
      <w:bookmarkEnd w:id="1156"/>
      <w:bookmarkEnd w:id="1157"/>
      <w:bookmarkEnd w:id="1158"/>
      <w:bookmarkEnd w:id="1159"/>
      <w:bookmarkEnd w:id="1160"/>
      <w:bookmarkEnd w:id="1161"/>
      <w:bookmarkEnd w:id="1162"/>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start="1"/>
          <w:cols w:space="720"/>
          <w:noEndnote/>
          <w:titlePg/>
          <w:docGrid w:linePitch="326"/>
        </w:sectPr>
      </w:pPr>
      <w:bookmarkStart w:id="1163" w:name="_Toc12952248"/>
      <w:bookmarkStart w:id="1164" w:name="_Toc94331084"/>
    </w:p>
    <w:p>
      <w:pPr>
        <w:pStyle w:val="yScheduleHeading"/>
      </w:pPr>
      <w:bookmarkStart w:id="1165" w:name="UpToHere"/>
      <w:bookmarkStart w:id="1166" w:name="_Toc122159476"/>
      <w:bookmarkStart w:id="1167" w:name="_Toc122232976"/>
      <w:bookmarkStart w:id="1168" w:name="_Toc147220613"/>
      <w:bookmarkStart w:id="1169" w:name="_Toc147223964"/>
      <w:bookmarkStart w:id="1170" w:name="_Toc165444999"/>
      <w:bookmarkStart w:id="1171" w:name="_Toc170557779"/>
      <w:bookmarkStart w:id="1172" w:name="_Toc170795170"/>
      <w:bookmarkStart w:id="1173" w:name="_Toc172709270"/>
      <w:bookmarkStart w:id="1174" w:name="_Toc172964754"/>
      <w:bookmarkStart w:id="1175" w:name="_Toc174158471"/>
      <w:bookmarkStart w:id="1176" w:name="_Toc174359024"/>
      <w:bookmarkStart w:id="1177" w:name="_Toc174518615"/>
      <w:bookmarkStart w:id="1178" w:name="_Toc176170560"/>
      <w:bookmarkStart w:id="1179" w:name="_Toc181431119"/>
      <w:bookmarkStart w:id="1180" w:name="_Toc181497575"/>
      <w:bookmarkStart w:id="1181" w:name="_Toc202254242"/>
      <w:bookmarkEnd w:id="1165"/>
      <w:r>
        <w:rPr>
          <w:rStyle w:val="CharSchNo"/>
        </w:rPr>
        <w:t>Schedule 1</w:t>
      </w:r>
      <w:r>
        <w:t> — </w:t>
      </w:r>
      <w:r>
        <w:rPr>
          <w:rStyle w:val="CharSchText"/>
        </w:rPr>
        <w:t>Prescribed premises</w:t>
      </w:r>
      <w:bookmarkEnd w:id="1163"/>
      <w:bookmarkEnd w:id="1164"/>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yShoulderClause"/>
        <w:rPr>
          <w:snapToGrid w:val="0"/>
        </w:rPr>
      </w:pPr>
      <w:r>
        <w:rPr>
          <w:snapToGrid w:val="0"/>
        </w:rPr>
        <w:t>[r. 5]</w:t>
      </w:r>
    </w:p>
    <w:p>
      <w:pPr>
        <w:pStyle w:val="yFootnoteheading"/>
      </w:pPr>
      <w:r>
        <w:tab/>
        <w:t>[Heading inserted in Gazette 13 Sep 1996 p. 4549.]</w:t>
      </w:r>
    </w:p>
    <w:p>
      <w:pPr>
        <w:pStyle w:val="yHeading2"/>
      </w:pPr>
      <w:bookmarkStart w:id="1182" w:name="_Toc172709271"/>
      <w:bookmarkStart w:id="1183" w:name="_Toc172964755"/>
      <w:bookmarkStart w:id="1184" w:name="_Toc174158472"/>
      <w:bookmarkStart w:id="1185" w:name="_Toc174359025"/>
      <w:bookmarkStart w:id="1186" w:name="_Toc174518616"/>
      <w:bookmarkStart w:id="1187" w:name="_Toc176170561"/>
      <w:bookmarkStart w:id="1188" w:name="_Toc181431120"/>
      <w:bookmarkStart w:id="1189" w:name="_Toc181497576"/>
      <w:bookmarkStart w:id="1190" w:name="_Toc202254243"/>
      <w:r>
        <w:rPr>
          <w:rStyle w:val="CharSDivNo"/>
          <w:sz w:val="28"/>
        </w:rPr>
        <w:t>Part 1</w:t>
      </w:r>
      <w:bookmarkEnd w:id="1182"/>
      <w:bookmarkEnd w:id="1183"/>
      <w:bookmarkEnd w:id="1184"/>
      <w:bookmarkEnd w:id="1185"/>
      <w:bookmarkEnd w:id="1186"/>
      <w:bookmarkEnd w:id="1187"/>
      <w:bookmarkEnd w:id="1188"/>
      <w:bookmarkEnd w:id="1189"/>
      <w:bookmarkEnd w:id="1190"/>
      <w:r>
        <w:rPr>
          <w:rStyle w:val="CharSDivText"/>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jc w:val="center"/>
              <w:rPr>
                <w:b/>
              </w:rPr>
            </w:pPr>
            <w:r>
              <w:rPr>
                <w:b/>
              </w:rPr>
              <w:t>Category number</w:t>
            </w:r>
          </w:p>
        </w:tc>
        <w:tc>
          <w:tcPr>
            <w:tcW w:w="4449" w:type="dxa"/>
          </w:tcPr>
          <w:p>
            <w:pPr>
              <w:pStyle w:val="yTable"/>
              <w:spacing w:before="0"/>
              <w:ind w:left="-142" w:firstLine="142"/>
              <w:jc w:val="center"/>
              <w:rPr>
                <w:b/>
              </w:rPr>
            </w:pPr>
            <w:r>
              <w:rPr>
                <w:b/>
              </w:rPr>
              <w:t>Description of</w:t>
            </w:r>
          </w:p>
          <w:p>
            <w:pPr>
              <w:pStyle w:val="yTable"/>
              <w:spacing w:before="0" w:after="120"/>
              <w:ind w:left="-141" w:firstLine="141"/>
              <w:jc w:val="center"/>
              <w:rPr>
                <w:b/>
              </w:rPr>
            </w:pPr>
            <w:r>
              <w:rPr>
                <w:b/>
              </w:rPr>
              <w:t>category</w:t>
            </w:r>
          </w:p>
        </w:tc>
        <w:tc>
          <w:tcPr>
            <w:tcW w:w="1701" w:type="dxa"/>
          </w:tcPr>
          <w:p>
            <w:pPr>
              <w:pStyle w:val="yTable"/>
              <w:spacing w:before="0" w:after="120"/>
              <w:jc w:val="center"/>
              <w:rPr>
                <w:b/>
              </w:rPr>
            </w:pPr>
            <w:r>
              <w:rPr>
                <w:b/>
              </w:rPr>
              <w:t>Production or design capacity</w:t>
            </w:r>
          </w:p>
        </w:tc>
      </w:tr>
      <w:tr>
        <w:trPr>
          <w:cantSplit/>
        </w:trPr>
        <w:tc>
          <w:tcPr>
            <w:tcW w:w="1080" w:type="dxa"/>
          </w:tcPr>
          <w:p>
            <w:pPr>
              <w:pStyle w:val="yTable"/>
              <w:jc w:val="center"/>
            </w:pPr>
            <w:r>
              <w:t>1</w:t>
            </w:r>
          </w:p>
        </w:tc>
        <w:tc>
          <w:tcPr>
            <w:tcW w:w="4449" w:type="dxa"/>
          </w:tcPr>
          <w:p>
            <w:pPr>
              <w:pStyle w:val="yTable"/>
            </w:pPr>
            <w:r>
              <w:t>Cattle feedlot:  premises on which the watering and feeding of cattle occurs, being premises — </w:t>
            </w:r>
          </w:p>
          <w:p>
            <w:pPr>
              <w:pStyle w:val="yTable"/>
              <w:ind w:left="568" w:hanging="568"/>
            </w:pPr>
            <w:r>
              <w:t>(a)</w:t>
            </w:r>
            <w:r>
              <w:tab/>
              <w:t>situated less than 100 metres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jc w:val="center"/>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jc w:val="center"/>
            </w:pPr>
            <w:r>
              <w:t>3</w:t>
            </w:r>
          </w:p>
        </w:tc>
        <w:tc>
          <w:tcPr>
            <w:tcW w:w="4449" w:type="dxa"/>
          </w:tcPr>
          <w:p>
            <w:pPr>
              <w:pStyle w:val="yTable"/>
            </w:pPr>
            <w:r>
              <w:t>Aquaculture (ponds or tanks):  premises on which — </w:t>
            </w:r>
          </w:p>
          <w:p>
            <w:pPr>
              <w:pStyle w:val="yTable"/>
              <w:ind w:left="568" w:hanging="568"/>
            </w:pPr>
            <w:r>
              <w:t>(a)</w:t>
            </w:r>
            <w:r>
              <w:tab/>
              <w:t>marine, estuarine or freshwater fish or prawns are propagated or reared; and</w:t>
            </w:r>
          </w:p>
        </w:tc>
        <w:tc>
          <w:tcPr>
            <w:tcW w:w="1701" w:type="dxa"/>
          </w:tcPr>
          <w:p>
            <w:pPr>
              <w:pStyle w:val="yTable"/>
            </w:pPr>
            <w:r>
              <w:t>Biomass 1 000 kilograms or more</w:t>
            </w:r>
          </w:p>
        </w:tc>
      </w:tr>
      <w:tr>
        <w:trPr>
          <w:cantSplit/>
        </w:trPr>
        <w:tc>
          <w:tcPr>
            <w:tcW w:w="1080" w:type="dxa"/>
          </w:tcPr>
          <w:p>
            <w:pPr>
              <w:pStyle w:val="yTable"/>
              <w:jc w:val="center"/>
            </w:pPr>
          </w:p>
        </w:tc>
        <w:tc>
          <w:tcPr>
            <w:tcW w:w="4449" w:type="dxa"/>
          </w:tcPr>
          <w:p>
            <w:pPr>
              <w:pStyle w:val="yTable"/>
              <w:ind w:left="568" w:hanging="568"/>
            </w:pPr>
            <w:r>
              <w:t>(b)</w:t>
            </w:r>
            <w:r>
              <w:tab/>
              <w:t>supplementary feeding occurs,</w:t>
            </w:r>
          </w:p>
          <w:p>
            <w:pPr>
              <w:pStyle w:val="yTable"/>
            </w:pPr>
            <w:r>
              <w:t>in ponds or tanks that discharge waste into waters or onto land.</w:t>
            </w:r>
          </w:p>
        </w:tc>
        <w:tc>
          <w:tcPr>
            <w:tcW w:w="1701" w:type="dxa"/>
          </w:tcPr>
          <w:p>
            <w:pPr>
              <w:pStyle w:val="yTable"/>
            </w:pPr>
          </w:p>
        </w:tc>
      </w:tr>
      <w:tr>
        <w:trPr>
          <w:cantSplit/>
        </w:trPr>
        <w:tc>
          <w:tcPr>
            <w:tcW w:w="1080" w:type="dxa"/>
          </w:tcPr>
          <w:p>
            <w:pPr>
              <w:pStyle w:val="yTable"/>
              <w:jc w:val="center"/>
            </w:pPr>
            <w:r>
              <w:t>4</w:t>
            </w:r>
          </w:p>
        </w:tc>
        <w:tc>
          <w:tcPr>
            <w:tcW w:w="4449" w:type="dxa"/>
          </w:tcPr>
          <w:p>
            <w:pPr>
              <w:pStyle w:val="yTable"/>
            </w:pPr>
            <w:r>
              <w:t>Aquaculture (natural waters):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marine, estuarine or freshwater fish or prawns are propagated or reared; and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(b)</w:t>
            </w:r>
            <w:r>
              <w:tab/>
              <w:t>supplementary feeding occurs,</w:t>
            </w:r>
          </w:p>
        </w:tc>
        <w:tc>
          <w:tcPr>
            <w:tcW w:w="1701" w:type="dxa"/>
          </w:tcPr>
          <w:p>
            <w:pPr>
              <w:pStyle w:val="yTable"/>
            </w:pPr>
          </w:p>
        </w:tc>
      </w:tr>
      <w:tr>
        <w:trPr>
          <w:cantSplit/>
        </w:trPr>
        <w:tc>
          <w:tcPr>
            <w:tcW w:w="1080" w:type="dxa"/>
          </w:tcPr>
          <w:p>
            <w:pPr>
              <w:pStyle w:val="yTable"/>
              <w:jc w:val="center"/>
            </w:pPr>
          </w:p>
        </w:tc>
        <w:tc>
          <w:tcPr>
            <w:tcW w:w="4449" w:type="dxa"/>
          </w:tcPr>
          <w:p>
            <w:pPr>
              <w:pStyle w:val="yTable"/>
            </w:pPr>
            <w:r>
              <w:t>in enclosures in naturally occurring waters.</w:t>
            </w:r>
          </w:p>
        </w:tc>
        <w:tc>
          <w:tcPr>
            <w:tcW w:w="1701" w:type="dxa"/>
          </w:tcPr>
          <w:p>
            <w:pPr>
              <w:pStyle w:val="yTable"/>
            </w:pPr>
          </w:p>
        </w:tc>
      </w:tr>
      <w:tr>
        <w:trPr>
          <w:cantSplit/>
        </w:trPr>
        <w:tc>
          <w:tcPr>
            <w:tcW w:w="1080" w:type="dxa"/>
          </w:tcPr>
          <w:p>
            <w:pPr>
              <w:pStyle w:val="yTable"/>
              <w:jc w:val="center"/>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jc w:val="center"/>
            </w:pPr>
          </w:p>
        </w:tc>
        <w:tc>
          <w:tcPr>
            <w:tcW w:w="4449" w:type="dxa"/>
          </w:tcPr>
          <w:p>
            <w:pPr>
              <w:pStyle w:val="yTable"/>
              <w:ind w:left="568" w:hanging="568"/>
            </w:pPr>
            <w:r>
              <w:t>(a)</w:t>
            </w:r>
            <w:r>
              <w:tab/>
              <w:t>metallic or non</w:t>
            </w:r>
            <w:r>
              <w:noBreakHyphen/>
              <w:t>metallic ore is crushed, ground, milled or otherwise processed;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jc w:val="center"/>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jc w:val="center"/>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jc w:val="center"/>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jc w:val="center"/>
            </w:pPr>
            <w:r>
              <w:t>9</w:t>
            </w:r>
          </w:p>
        </w:tc>
        <w:tc>
          <w:tcPr>
            <w:tcW w:w="4449" w:type="dxa"/>
          </w:tcPr>
          <w:p>
            <w:pPr>
              <w:pStyle w:val="yTable"/>
            </w:pPr>
            <w:r>
              <w:t>Coal mining: premises on which —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jc w:val="center"/>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jc w:val="center"/>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jc w:val="center"/>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jc w:val="center"/>
            </w:pPr>
            <w:r>
              <w:t>12</w:t>
            </w:r>
          </w:p>
        </w:tc>
        <w:tc>
          <w:tcPr>
            <w:tcW w:w="4449"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jc w:val="center"/>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jc w:val="center"/>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jc w:val="center"/>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jc w:val="center"/>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jc w:val="center"/>
            </w:pPr>
            <w:r>
              <w:t>17</w:t>
            </w:r>
          </w:p>
        </w:tc>
        <w:tc>
          <w:tcPr>
            <w:tcW w:w="4449" w:type="dxa"/>
          </w:tcPr>
          <w:p>
            <w:pPr>
              <w:pStyle w:val="yTable"/>
            </w:pPr>
            <w:r>
              <w:t>Milk processing:  premises on which —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jc w:val="center"/>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jc w:val="center"/>
            </w:pPr>
            <w:r>
              <w:t>18</w:t>
            </w:r>
          </w:p>
        </w:tc>
        <w:tc>
          <w:tcPr>
            <w:tcW w:w="4449" w:type="dxa"/>
          </w:tcPr>
          <w:p>
            <w:pPr>
              <w:pStyle w:val="yTable"/>
            </w:pPr>
            <w:r>
              <w:t>Food processing:  premises (other than premises within category 24) —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jc w:val="center"/>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jc w:val="center"/>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kilolitres or more per year</w:t>
            </w:r>
          </w:p>
        </w:tc>
      </w:tr>
      <w:tr>
        <w:trPr>
          <w:cantSplit/>
        </w:trPr>
        <w:tc>
          <w:tcPr>
            <w:tcW w:w="1080" w:type="dxa"/>
          </w:tcPr>
          <w:p>
            <w:pPr>
              <w:pStyle w:val="yTable"/>
              <w:spacing w:before="44"/>
              <w:jc w:val="center"/>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kilolitres or more per year</w:t>
            </w:r>
          </w:p>
        </w:tc>
      </w:tr>
      <w:tr>
        <w:trPr>
          <w:cantSplit/>
        </w:trPr>
        <w:tc>
          <w:tcPr>
            <w:tcW w:w="1080" w:type="dxa"/>
          </w:tcPr>
          <w:p>
            <w:pPr>
              <w:pStyle w:val="yTable"/>
              <w:spacing w:before="44"/>
              <w:jc w:val="center"/>
            </w:pPr>
            <w:r>
              <w:t>26</w:t>
            </w:r>
          </w:p>
        </w:tc>
        <w:tc>
          <w:tcPr>
            <w:tcW w:w="4449" w:type="dxa"/>
          </w:tcPr>
          <w:p>
            <w:pPr>
              <w:pStyle w:val="yTable"/>
              <w:spacing w:before="44"/>
            </w:pPr>
            <w:r>
              <w:t>Textile operations:  premises on which — </w:t>
            </w:r>
          </w:p>
          <w:p>
            <w:pPr>
              <w:pStyle w:val="yTable"/>
              <w:spacing w:before="44"/>
              <w:ind w:left="567" w:hanging="567"/>
            </w:pPr>
            <w:r>
              <w:t>(a)</w:t>
            </w:r>
            <w:r>
              <w:tab/>
              <w:t>carpet or yarn is manufactured;</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jc w:val="center"/>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jc w:val="center"/>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jc w:val="center"/>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jc w:val="center"/>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jc w:val="center"/>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jc w:val="center"/>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jc w:val="center"/>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jc w:val="center"/>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jc w:val="center"/>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jc w:val="center"/>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jc w:val="center"/>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jc w:val="center"/>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jc w:val="center"/>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jc w:val="center"/>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jc w:val="center"/>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jc w:val="center"/>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jc w:val="center"/>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jc w:val="center"/>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jc w:val="center"/>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jc w:val="center"/>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jc w:val="center"/>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jc w:val="center"/>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jc w:val="center"/>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jc w:val="center"/>
            </w:pPr>
            <w:r>
              <w:t>49</w:t>
            </w:r>
          </w:p>
        </w:tc>
        <w:tc>
          <w:tcPr>
            <w:tcW w:w="4449" w:type="dxa"/>
          </w:tcPr>
          <w:p>
            <w:pPr>
              <w:pStyle w:val="yTable"/>
            </w:pPr>
            <w:r>
              <w:t>Boat building and maintenance:  premises on which —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jc w:val="center"/>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jc w:val="center"/>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jc w:val="center"/>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megawatts or more in aggregate (using natural gas)</w:t>
            </w:r>
          </w:p>
          <w:p>
            <w:pPr>
              <w:pStyle w:val="yTable"/>
            </w:pPr>
            <w:r>
              <w:t>10 megawatts or more in aggregate (using a fuel other than natural gas)</w:t>
            </w:r>
          </w:p>
        </w:tc>
      </w:tr>
      <w:tr>
        <w:trPr>
          <w:cantSplit/>
        </w:trPr>
        <w:tc>
          <w:tcPr>
            <w:tcW w:w="1080" w:type="dxa"/>
          </w:tcPr>
          <w:p>
            <w:pPr>
              <w:pStyle w:val="yTable"/>
              <w:jc w:val="center"/>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jc w:val="center"/>
            </w:pPr>
            <w:r>
              <w:t>54</w:t>
            </w:r>
          </w:p>
        </w:tc>
        <w:tc>
          <w:tcPr>
            <w:tcW w:w="4449"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cubic metres or more per day</w:t>
            </w:r>
          </w:p>
        </w:tc>
      </w:tr>
      <w:tr>
        <w:trPr>
          <w:cantSplit/>
        </w:trPr>
        <w:tc>
          <w:tcPr>
            <w:tcW w:w="1080" w:type="dxa"/>
          </w:tcPr>
          <w:p>
            <w:pPr>
              <w:pStyle w:val="yTable"/>
              <w:jc w:val="center"/>
            </w:pPr>
            <w:r>
              <w:t>54A</w:t>
            </w:r>
          </w:p>
        </w:tc>
        <w:tc>
          <w:tcPr>
            <w:tcW w:w="4449" w:type="dxa"/>
          </w:tcPr>
          <w:p>
            <w:pPr>
              <w:pStyle w:val="yTable"/>
              <w:tabs>
                <w:tab w:val="left" w:pos="503"/>
              </w:tabs>
            </w:pPr>
            <w:r>
              <w:t xml:space="preserve">Water desalination plant: premises at which salt is extracted from water if —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gigalitres or more per year</w:t>
            </w:r>
          </w:p>
        </w:tc>
      </w:tr>
      <w:tr>
        <w:trPr>
          <w:cantSplit/>
        </w:trPr>
        <w:tc>
          <w:tcPr>
            <w:tcW w:w="1080" w:type="dxa"/>
          </w:tcPr>
          <w:p>
            <w:pPr>
              <w:pStyle w:val="yTable"/>
              <w:jc w:val="center"/>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jc w:val="center"/>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jc w:val="center"/>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jc w:val="center"/>
            </w:pPr>
            <w:r>
              <w:t>58</w:t>
            </w:r>
          </w:p>
        </w:tc>
        <w:tc>
          <w:tcPr>
            <w:tcW w:w="4449" w:type="dxa"/>
          </w:tcPr>
          <w:p>
            <w:pPr>
              <w:pStyle w:val="yTable"/>
              <w:keepNext/>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keepNext/>
              <w:jc w:val="center"/>
            </w:pPr>
            <w:r>
              <w:t>58A</w:t>
            </w:r>
          </w:p>
        </w:tc>
        <w:tc>
          <w:tcPr>
            <w:tcW w:w="4449" w:type="dxa"/>
          </w:tcPr>
          <w:p>
            <w:pPr>
              <w:pStyle w:val="yTable"/>
              <w:keepNext/>
            </w:pPr>
            <w:r>
              <w:t>Bulk material loading or unloading:  premises on which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jc w:val="center"/>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jc w:val="center"/>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kilograms or more per hour</w:t>
            </w:r>
          </w:p>
        </w:tc>
      </w:tr>
      <w:tr>
        <w:trPr>
          <w:cantSplit/>
        </w:trPr>
        <w:tc>
          <w:tcPr>
            <w:tcW w:w="1080" w:type="dxa"/>
          </w:tcPr>
          <w:p>
            <w:pPr>
              <w:pStyle w:val="yTable"/>
              <w:jc w:val="center"/>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jc w:val="center"/>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jc w:val="center"/>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jc w:val="center"/>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jc w:val="center"/>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jc w:val="center"/>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jc w:val="center"/>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Borders>
              <w:bottom w:val="nil"/>
            </w:tcBorders>
          </w:tcPr>
          <w:p>
            <w:pPr>
              <w:pStyle w:val="yTable"/>
              <w:keepNext/>
              <w:jc w:val="center"/>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 xml:space="preserve">In aggregate 500 kilograms or more per hour (fuel with a sulphur content </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kilograms or more per hour (fuel with a sulphur content of less than 0.25%)</w:t>
            </w:r>
          </w:p>
        </w:tc>
      </w:tr>
      <w:tr>
        <w:trPr>
          <w:cantSplit/>
        </w:trPr>
        <w:tc>
          <w:tcPr>
            <w:tcW w:w="1080" w:type="dxa"/>
          </w:tcPr>
          <w:p>
            <w:pPr>
              <w:pStyle w:val="yTable"/>
              <w:jc w:val="center"/>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 30 Oct 2007 p. 5877.]</w:t>
      </w:r>
    </w:p>
    <w:p>
      <w:pPr>
        <w:pStyle w:val="yHeading2"/>
      </w:pPr>
      <w:bookmarkStart w:id="1191" w:name="_Toc172709272"/>
      <w:bookmarkStart w:id="1192" w:name="_Toc172964756"/>
      <w:bookmarkStart w:id="1193" w:name="_Toc174158473"/>
      <w:bookmarkStart w:id="1194" w:name="_Toc174359026"/>
      <w:bookmarkStart w:id="1195" w:name="_Toc174518617"/>
      <w:bookmarkStart w:id="1196" w:name="_Toc176170562"/>
      <w:bookmarkStart w:id="1197" w:name="_Toc181431121"/>
      <w:bookmarkStart w:id="1198" w:name="_Toc181497577"/>
      <w:bookmarkStart w:id="1199" w:name="_Toc202254244"/>
      <w:r>
        <w:rPr>
          <w:rStyle w:val="CharSDivNo"/>
          <w:sz w:val="28"/>
        </w:rPr>
        <w:t>Part 2</w:t>
      </w:r>
      <w:bookmarkEnd w:id="1191"/>
      <w:bookmarkEnd w:id="1192"/>
      <w:bookmarkEnd w:id="1193"/>
      <w:bookmarkEnd w:id="1194"/>
      <w:bookmarkEnd w:id="1195"/>
      <w:bookmarkEnd w:id="1196"/>
      <w:bookmarkEnd w:id="1197"/>
      <w:bookmarkEnd w:id="1198"/>
      <w:bookmarkEnd w:id="1199"/>
      <w:r>
        <w:rPr>
          <w:rStyle w:val="CharSDivText"/>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before="0" w:after="80"/>
              <w:jc w:val="center"/>
              <w:rPr>
                <w:b/>
              </w:rPr>
            </w:pPr>
            <w:r>
              <w:rPr>
                <w:b/>
              </w:rPr>
              <w:t>Category</w:t>
            </w:r>
            <w:r>
              <w:rPr>
                <w:b/>
              </w:rPr>
              <w:br/>
              <w:t>number</w:t>
            </w:r>
          </w:p>
        </w:tc>
        <w:tc>
          <w:tcPr>
            <w:tcW w:w="4440" w:type="dxa"/>
          </w:tcPr>
          <w:p>
            <w:pPr>
              <w:pStyle w:val="yTable"/>
              <w:keepNext/>
              <w:keepLines/>
              <w:spacing w:after="80"/>
              <w:jc w:val="center"/>
              <w:rPr>
                <w:b/>
              </w:rPr>
            </w:pPr>
            <w:r>
              <w:rPr>
                <w:b/>
              </w:rPr>
              <w:t xml:space="preserve">Description of </w:t>
            </w:r>
            <w:r>
              <w:rPr>
                <w:b/>
              </w:rPr>
              <w:br/>
              <w:t>category</w:t>
            </w:r>
          </w:p>
        </w:tc>
        <w:tc>
          <w:tcPr>
            <w:tcW w:w="1680" w:type="dxa"/>
          </w:tcPr>
          <w:p>
            <w:pPr>
              <w:pStyle w:val="yTable"/>
              <w:keepNext/>
              <w:keepLines/>
              <w:spacing w:after="80"/>
              <w:jc w:val="center"/>
              <w:rPr>
                <w:b/>
              </w:rPr>
            </w:pPr>
            <w:r>
              <w:rPr>
                <w:b/>
              </w:rPr>
              <w:t>Production or design capacity</w:t>
            </w:r>
          </w:p>
        </w:tc>
      </w:tr>
      <w:tr>
        <w:trPr>
          <w:cantSplit/>
        </w:trPr>
        <w:tc>
          <w:tcPr>
            <w:tcW w:w="1080" w:type="dxa"/>
          </w:tcPr>
          <w:p>
            <w:pPr>
              <w:pStyle w:val="yTable"/>
              <w:jc w:val="center"/>
            </w:pPr>
            <w:r>
              <w:t>68</w:t>
            </w:r>
          </w:p>
        </w:tc>
        <w:tc>
          <w:tcPr>
            <w:tcW w:w="4440" w:type="dxa"/>
          </w:tcPr>
          <w:p>
            <w:pPr>
              <w:pStyle w:val="yTable"/>
            </w:pPr>
            <w:r>
              <w:t>Cattle feedlot:  premises on which the watering and feeding of cattle occurs, being premises — </w:t>
            </w:r>
          </w:p>
          <w:p>
            <w:pPr>
              <w:pStyle w:val="yTable"/>
              <w:ind w:left="568" w:hanging="568"/>
            </w:pPr>
            <w:r>
              <w:t>(a)</w:t>
            </w:r>
            <w:r>
              <w:tab/>
              <w:t>situated 100 metres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jc w:val="center"/>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jc w:val="center"/>
            </w:pPr>
            <w:r>
              <w:t>70</w:t>
            </w:r>
          </w:p>
        </w:tc>
        <w:tc>
          <w:tcPr>
            <w:tcW w:w="4440" w:type="dxa"/>
          </w:tcPr>
          <w:p>
            <w:pPr>
              <w:pStyle w:val="yTable"/>
            </w:pPr>
            <w:r>
              <w:t>Screening, etc.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jc w:val="center"/>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jc w:val="center"/>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jc w:val="center"/>
            </w:pPr>
            <w:r>
              <w:t>73</w:t>
            </w:r>
          </w:p>
        </w:tc>
        <w:tc>
          <w:tcPr>
            <w:tcW w:w="4440" w:type="dxa"/>
          </w:tcPr>
          <w:p>
            <w:pPr>
              <w:pStyle w:val="yTable"/>
            </w:pPr>
            <w:r>
              <w:t>Bulk storage of chemicals, etc:  premises on which acids, alkalis or chemicals that —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cubic metres in aggregate</w:t>
            </w:r>
          </w:p>
        </w:tc>
      </w:tr>
      <w:tr>
        <w:trPr>
          <w:cantSplit/>
        </w:trPr>
        <w:tc>
          <w:tcPr>
            <w:tcW w:w="1080" w:type="dxa"/>
          </w:tcPr>
          <w:p>
            <w:pPr>
              <w:pStyle w:val="yTable"/>
              <w:jc w:val="center"/>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jc w:val="center"/>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jc w:val="center"/>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jc w:val="center"/>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jc w:val="center"/>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litres or more per year (paint or powder)</w:t>
            </w:r>
          </w:p>
        </w:tc>
      </w:tr>
      <w:tr>
        <w:trPr>
          <w:cantSplit/>
        </w:trPr>
        <w:tc>
          <w:tcPr>
            <w:tcW w:w="1080" w:type="dxa"/>
          </w:tcPr>
          <w:p>
            <w:pPr>
              <w:pStyle w:val="yTable"/>
              <w:spacing w:before="46"/>
              <w:jc w:val="center"/>
            </w:pPr>
            <w:r>
              <w:t>82</w:t>
            </w:r>
          </w:p>
        </w:tc>
        <w:tc>
          <w:tcPr>
            <w:tcW w:w="4440" w:type="dxa"/>
          </w:tcPr>
          <w:p>
            <w:pPr>
              <w:pStyle w:val="yTable"/>
              <w:spacing w:before="46"/>
            </w:pPr>
            <w:r>
              <w:t>Boat building and maintenance:  premises on which —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jc w:val="center"/>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jc w:val="center"/>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megawatts in aggregate</w:t>
            </w:r>
          </w:p>
        </w:tc>
      </w:tr>
      <w:tr>
        <w:trPr>
          <w:cantSplit/>
        </w:trPr>
        <w:tc>
          <w:tcPr>
            <w:tcW w:w="1080" w:type="dxa"/>
          </w:tcPr>
          <w:p>
            <w:pPr>
              <w:pStyle w:val="yTable"/>
              <w:jc w:val="center"/>
            </w:pPr>
            <w:r>
              <w:t>85</w:t>
            </w:r>
          </w:p>
        </w:tc>
        <w:tc>
          <w:tcPr>
            <w:tcW w:w="4440"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cubic metres per day</w:t>
            </w:r>
          </w:p>
        </w:tc>
      </w:tr>
      <w:tr>
        <w:trPr>
          <w:cantSplit/>
        </w:trPr>
        <w:tc>
          <w:tcPr>
            <w:tcW w:w="1080" w:type="dxa"/>
          </w:tcPr>
          <w:p>
            <w:pPr>
              <w:pStyle w:val="yTable"/>
              <w:jc w:val="center"/>
            </w:pPr>
            <w:r>
              <w:t>85A</w:t>
            </w:r>
          </w:p>
        </w:tc>
        <w:tc>
          <w:tcPr>
            <w:tcW w:w="4440" w:type="dxa"/>
          </w:tcPr>
          <w:p>
            <w:pPr>
              <w:pStyle w:val="yTable"/>
              <w:ind w:left="1" w:hanging="1"/>
            </w:pPr>
            <w:r>
              <w:t>Sewage pumping station: premises on which sewage is pumped (other than to or from septic tanks) and where a discharge of waste from the station may enter the Swan River or the Canning River.</w:t>
            </w:r>
          </w:p>
        </w:tc>
        <w:tc>
          <w:tcPr>
            <w:tcW w:w="1680" w:type="dxa"/>
          </w:tcPr>
          <w:p>
            <w:pPr>
              <w:pStyle w:val="yTable"/>
            </w:pPr>
            <w:r>
              <w:t>Not applicable</w:t>
            </w:r>
          </w:p>
        </w:tc>
      </w:tr>
      <w:tr>
        <w:trPr>
          <w:cantSplit/>
        </w:trPr>
        <w:tc>
          <w:tcPr>
            <w:tcW w:w="1080" w:type="dxa"/>
          </w:tcPr>
          <w:p>
            <w:pPr>
              <w:pStyle w:val="yTable"/>
              <w:jc w:val="center"/>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gigalitres or more per year</w:t>
            </w:r>
          </w:p>
        </w:tc>
      </w:tr>
      <w:tr>
        <w:trPr>
          <w:cantSplit/>
        </w:trPr>
        <w:tc>
          <w:tcPr>
            <w:tcW w:w="1080" w:type="dxa"/>
          </w:tcPr>
          <w:p>
            <w:pPr>
              <w:pStyle w:val="yTable"/>
              <w:jc w:val="center"/>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jc w:val="center"/>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kilograms per hour in aggregate</w:t>
            </w:r>
          </w:p>
        </w:tc>
      </w:tr>
      <w:tr>
        <w:trPr>
          <w:cantSplit/>
        </w:trPr>
        <w:tc>
          <w:tcPr>
            <w:tcW w:w="1080" w:type="dxa"/>
          </w:tcPr>
          <w:p>
            <w:pPr>
              <w:pStyle w:val="yTable"/>
              <w:jc w:val="center"/>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jc w:val="center"/>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 xml:space="preserve">4; 13 Dec 2005 p. 5983; 22 Jun 2007 p. 2843.] </w:t>
      </w:r>
    </w:p>
    <w:p>
      <w:pPr>
        <w:pStyle w:val="yScheduleHeading"/>
      </w:pPr>
      <w:bookmarkStart w:id="1200" w:name="_Toc12952249"/>
      <w:bookmarkStart w:id="1201" w:name="_Toc94331085"/>
      <w:bookmarkStart w:id="1202" w:name="_Toc122159477"/>
      <w:bookmarkStart w:id="1203" w:name="_Toc122232977"/>
      <w:bookmarkStart w:id="1204" w:name="_Toc147220614"/>
      <w:bookmarkStart w:id="1205" w:name="_Toc147223965"/>
      <w:bookmarkStart w:id="1206" w:name="_Toc165445000"/>
      <w:bookmarkStart w:id="1207" w:name="_Toc170557780"/>
      <w:bookmarkStart w:id="1208" w:name="_Toc170795171"/>
      <w:bookmarkStart w:id="1209" w:name="_Toc172709273"/>
      <w:bookmarkStart w:id="1210" w:name="_Toc172964757"/>
      <w:bookmarkStart w:id="1211" w:name="_Toc174158474"/>
      <w:bookmarkStart w:id="1212" w:name="_Toc174359027"/>
      <w:bookmarkStart w:id="1213" w:name="_Toc174518618"/>
      <w:bookmarkStart w:id="1214" w:name="_Toc176170563"/>
      <w:bookmarkStart w:id="1215" w:name="_Toc181431122"/>
      <w:bookmarkStart w:id="1216" w:name="_Toc181497578"/>
      <w:bookmarkStart w:id="1217" w:name="_Toc202254245"/>
      <w:r>
        <w:rPr>
          <w:rStyle w:val="CharSchNo"/>
        </w:rPr>
        <w:t>Schedule 2</w:t>
      </w:r>
      <w:r>
        <w:rPr>
          <w:rStyle w:val="CharSDivNo"/>
        </w:rPr>
        <w:t> </w:t>
      </w:r>
      <w:r>
        <w:t>—</w:t>
      </w:r>
      <w:r>
        <w:rPr>
          <w:rStyle w:val="CharSDivText"/>
        </w:rPr>
        <w:t> </w:t>
      </w:r>
      <w:r>
        <w:rPr>
          <w:rStyle w:val="CharSchText"/>
        </w:rPr>
        <w:t>Premises subject to registration</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yShoulderClause"/>
        <w:rPr>
          <w:snapToGrid w:val="0"/>
        </w:rPr>
      </w:pPr>
      <w:r>
        <w:rPr>
          <w:snapToGrid w:val="0"/>
        </w:rPr>
        <w:t>[r. 5B]</w:t>
      </w:r>
    </w:p>
    <w:p>
      <w:pPr>
        <w:pStyle w:val="yTable"/>
        <w:jc w:val="right"/>
        <w:rPr>
          <w:snapToGrid w:val="0"/>
        </w:rPr>
      </w:pPr>
    </w:p>
    <w:tbl>
      <w:tblPr>
        <w:tblW w:w="6960" w:type="dxa"/>
        <w:tblInd w:w="177" w:type="dxa"/>
        <w:tblLayout w:type="fixed"/>
        <w:tblCellMar>
          <w:left w:w="57" w:type="dxa"/>
          <w:right w:w="360" w:type="dxa"/>
        </w:tblCellMar>
        <w:tblLook w:val="0000" w:firstRow="0" w:lastRow="0" w:firstColumn="0" w:lastColumn="0" w:noHBand="0" w:noVBand="0"/>
      </w:tblPr>
      <w:tblGrid>
        <w:gridCol w:w="3840"/>
        <w:gridCol w:w="3120"/>
      </w:tblGrid>
      <w:tr>
        <w:tc>
          <w:tcPr>
            <w:tcW w:w="3840" w:type="dxa"/>
          </w:tcPr>
          <w:p>
            <w:pPr>
              <w:pStyle w:val="yTable"/>
              <w:spacing w:after="120"/>
              <w:jc w:val="center"/>
              <w:rPr>
                <w:b/>
              </w:rPr>
            </w:pPr>
            <w:r>
              <w:rPr>
                <w:b/>
              </w:rPr>
              <w:t>Description of premises</w:t>
            </w:r>
          </w:p>
        </w:tc>
        <w:tc>
          <w:tcPr>
            <w:tcW w:w="3120" w:type="dxa"/>
          </w:tcPr>
          <w:p>
            <w:pPr>
              <w:pStyle w:val="yTable"/>
              <w:spacing w:after="120"/>
              <w:jc w:val="center"/>
              <w:rPr>
                <w:b/>
              </w:rPr>
            </w:pPr>
            <w:r>
              <w:rPr>
                <w:b/>
              </w:rPr>
              <w:t>Production or design capacity</w:t>
            </w:r>
          </w:p>
        </w:tc>
      </w:tr>
      <w:tr>
        <w:tc>
          <w:tcPr>
            <w:tcW w:w="3840" w:type="dxa"/>
          </w:tcPr>
          <w:p>
            <w:pPr>
              <w:pStyle w:val="yTable"/>
              <w:ind w:left="491" w:hanging="491"/>
            </w:pPr>
            <w:r>
              <w:t>1.</w:t>
            </w:r>
            <w:r>
              <w:tab/>
              <w:t>Abattoir:  premises on which animals are slaughtered.</w:t>
            </w:r>
          </w:p>
        </w:tc>
        <w:tc>
          <w:tcPr>
            <w:tcW w:w="3120" w:type="dxa"/>
          </w:tcPr>
          <w:p>
            <w:pPr>
              <w:pStyle w:val="yTable"/>
            </w:pPr>
            <w:r>
              <w:t>More than 100 but less than 1 000 tonnes per year</w:t>
            </w:r>
          </w:p>
        </w:tc>
      </w:tr>
      <w:tr>
        <w:tc>
          <w:tcPr>
            <w:tcW w:w="3840" w:type="dxa"/>
          </w:tcPr>
          <w:p>
            <w:pPr>
              <w:pStyle w:val="yTable"/>
              <w:ind w:left="491" w:hanging="491"/>
            </w:pPr>
            <w:r>
              <w:t>2.</w:t>
            </w:r>
            <w:r>
              <w:tab/>
              <w:t>Smoking, drying or curing operations: premises (other than a retail butcher shop or chicken outlet) on which meat or other edible products are smoked, dried or cured.</w:t>
            </w:r>
          </w:p>
        </w:tc>
        <w:tc>
          <w:tcPr>
            <w:tcW w:w="3120" w:type="dxa"/>
          </w:tcPr>
          <w:p>
            <w:pPr>
              <w:pStyle w:val="yTable"/>
            </w:pPr>
            <w:r>
              <w:t>More than 200 tonnes per year</w:t>
            </w:r>
          </w:p>
        </w:tc>
      </w:tr>
      <w:tr>
        <w:tc>
          <w:tcPr>
            <w:tcW w:w="3840" w:type="dxa"/>
          </w:tcPr>
          <w:p>
            <w:pPr>
              <w:pStyle w:val="yTable"/>
              <w:ind w:left="491" w:hanging="491"/>
            </w:pPr>
            <w:r>
              <w:t>3.</w:t>
            </w:r>
            <w:r>
              <w:tab/>
              <w:t>Fibreglass reinforced plastic manufacturing:  premises on which resin is used to prepare or manufacture reinforced plastics or reinforced plastic products.</w:t>
            </w:r>
          </w:p>
        </w:tc>
        <w:tc>
          <w:tcPr>
            <w:tcW w:w="3120" w:type="dxa"/>
          </w:tcPr>
          <w:p>
            <w:pPr>
              <w:pStyle w:val="yTable"/>
            </w:pPr>
            <w:r>
              <w:t>More than 1 tonne per year</w:t>
            </w:r>
          </w:p>
        </w:tc>
      </w:tr>
      <w:tr>
        <w:tc>
          <w:tcPr>
            <w:tcW w:w="3840" w:type="dxa"/>
          </w:tcPr>
          <w:p>
            <w:pPr>
              <w:pStyle w:val="yTable"/>
              <w:ind w:left="491" w:hanging="491"/>
            </w:pPr>
            <w:r>
              <w:t>4.</w:t>
            </w:r>
            <w:r>
              <w:tab/>
              <w:t>Water treatment facility:  premises on which water is treated for domestic use.</w:t>
            </w:r>
          </w:p>
        </w:tc>
        <w:tc>
          <w:tcPr>
            <w:tcW w:w="3120" w:type="dxa"/>
          </w:tcPr>
          <w:p>
            <w:pPr>
              <w:pStyle w:val="yTable"/>
            </w:pPr>
            <w:r>
              <w:t>More than 1 megalitre per day</w:t>
            </w:r>
          </w:p>
        </w:tc>
      </w:tr>
      <w:tr>
        <w:tc>
          <w:tcPr>
            <w:tcW w:w="3840" w:type="dxa"/>
          </w:tcPr>
          <w:p>
            <w:pPr>
              <w:pStyle w:val="yTable"/>
              <w:ind w:left="491" w:hanging="491"/>
            </w:pPr>
            <w:r>
              <w:t>5.</w:t>
            </w:r>
            <w:r>
              <w:tab/>
              <w:t>Abrasive blasting operations:  premises on which metal or other material is cleaned or abraded by blasting with any abrasive blasting material or abrasive blasting equipment.</w:t>
            </w:r>
          </w:p>
        </w:tc>
        <w:tc>
          <w:tcPr>
            <w:tcW w:w="3120" w:type="dxa"/>
          </w:tcPr>
          <w:p>
            <w:pPr>
              <w:pStyle w:val="yTable"/>
            </w:pPr>
            <w:r>
              <w:t>Not applicable</w:t>
            </w:r>
          </w:p>
        </w:tc>
      </w:tr>
    </w:tbl>
    <w:p>
      <w:pPr>
        <w:pStyle w:val="yFootnotesection"/>
      </w:pPr>
      <w:r>
        <w:tab/>
        <w:t xml:space="preserve">[Schedule 2 inserted in Gazette 13 Sep 1996 p. 4559.] </w:t>
      </w:r>
    </w:p>
    <w:p>
      <w:pPr>
        <w:pStyle w:val="yScheduleHeading"/>
      </w:pPr>
      <w:bookmarkStart w:id="1218" w:name="_Toc12952250"/>
      <w:bookmarkStart w:id="1219" w:name="_Toc94331086"/>
      <w:bookmarkStart w:id="1220" w:name="_Toc122159478"/>
      <w:bookmarkStart w:id="1221" w:name="_Toc122232978"/>
      <w:bookmarkStart w:id="1222" w:name="_Toc147220615"/>
      <w:bookmarkStart w:id="1223" w:name="_Toc147223966"/>
      <w:bookmarkStart w:id="1224" w:name="_Toc165445001"/>
      <w:bookmarkStart w:id="1225" w:name="_Toc170557781"/>
      <w:bookmarkStart w:id="1226" w:name="_Toc170795172"/>
      <w:bookmarkStart w:id="1227" w:name="_Toc172709274"/>
      <w:bookmarkStart w:id="1228" w:name="_Toc172964758"/>
      <w:bookmarkStart w:id="1229" w:name="_Toc174158475"/>
      <w:bookmarkStart w:id="1230" w:name="_Toc174359028"/>
      <w:bookmarkStart w:id="1231" w:name="_Toc174518619"/>
      <w:bookmarkStart w:id="1232" w:name="_Toc176170564"/>
      <w:bookmarkStart w:id="1233" w:name="_Toc181431123"/>
      <w:bookmarkStart w:id="1234" w:name="_Toc181497579"/>
      <w:bookmarkStart w:id="1235" w:name="_Toc202254246"/>
      <w:r>
        <w:rPr>
          <w:rStyle w:val="CharSchNo"/>
        </w:rPr>
        <w:t>Schedule 3</w:t>
      </w:r>
      <w:r>
        <w:t> — </w:t>
      </w:r>
      <w:r>
        <w:rPr>
          <w:rStyle w:val="CharSchText"/>
        </w:rPr>
        <w:t>Works approval fee</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Cost of works</w:t>
            </w:r>
          </w:p>
        </w:tc>
        <w:tc>
          <w:tcPr>
            <w:tcW w:w="3402" w:type="dxa"/>
          </w:tcPr>
          <w:p>
            <w:pPr>
              <w:pStyle w:val="yTable"/>
              <w:spacing w:after="120"/>
              <w:jc w:val="center"/>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 xml:space="preserve">60.] </w:t>
      </w:r>
    </w:p>
    <w:p>
      <w:pPr>
        <w:pStyle w:val="yScheduleHeading"/>
      </w:pPr>
      <w:bookmarkStart w:id="1236" w:name="_Toc12952251"/>
      <w:bookmarkStart w:id="1237" w:name="_Toc94331087"/>
      <w:bookmarkStart w:id="1238" w:name="_Toc122159479"/>
      <w:bookmarkStart w:id="1239" w:name="_Toc122232979"/>
      <w:bookmarkStart w:id="1240" w:name="_Toc147220616"/>
      <w:bookmarkStart w:id="1241" w:name="_Toc147223967"/>
      <w:bookmarkStart w:id="1242" w:name="_Toc165445002"/>
      <w:bookmarkStart w:id="1243" w:name="_Toc170557782"/>
      <w:bookmarkStart w:id="1244" w:name="_Toc170795173"/>
      <w:bookmarkStart w:id="1245" w:name="_Toc172709275"/>
      <w:bookmarkStart w:id="1246" w:name="_Toc172964759"/>
      <w:bookmarkStart w:id="1247" w:name="_Toc174158476"/>
      <w:bookmarkStart w:id="1248" w:name="_Toc174359029"/>
      <w:bookmarkStart w:id="1249" w:name="_Toc174518620"/>
      <w:bookmarkStart w:id="1250" w:name="_Toc176170565"/>
      <w:bookmarkStart w:id="1251" w:name="_Toc181431124"/>
      <w:bookmarkStart w:id="1252" w:name="_Toc181497580"/>
      <w:bookmarkStart w:id="1253" w:name="_Toc202254247"/>
      <w:r>
        <w:rPr>
          <w:rStyle w:val="CharSchNo"/>
        </w:rPr>
        <w:t>Schedule 4</w:t>
      </w:r>
      <w:r>
        <w:t> — </w:t>
      </w:r>
      <w:r>
        <w:rPr>
          <w:rStyle w:val="CharSchText"/>
        </w:rPr>
        <w:t>Licence fee</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yShoulderClause"/>
        <w:rPr>
          <w:snapToGrid w:val="0"/>
        </w:rPr>
      </w:pPr>
      <w:r>
        <w:rPr>
          <w:snapToGrid w:val="0"/>
        </w:rPr>
        <w:t>[r. 5D]</w:t>
      </w:r>
    </w:p>
    <w:p>
      <w:pPr>
        <w:pStyle w:val="yFootnoteheading"/>
      </w:pPr>
      <w:bookmarkStart w:id="1254" w:name="_Toc172709276"/>
      <w:r>
        <w:tab/>
        <w:t>[Heading inserted in Gazette 13 Sep 1996 p. 4560.]</w:t>
      </w:r>
    </w:p>
    <w:p>
      <w:pPr>
        <w:pStyle w:val="yHeading2"/>
      </w:pPr>
      <w:bookmarkStart w:id="1255" w:name="_Toc172964760"/>
      <w:bookmarkStart w:id="1256" w:name="_Toc174158477"/>
      <w:bookmarkStart w:id="1257" w:name="_Toc174359030"/>
      <w:bookmarkStart w:id="1258" w:name="_Toc174518621"/>
      <w:bookmarkStart w:id="1259" w:name="_Toc176170566"/>
      <w:bookmarkStart w:id="1260" w:name="_Toc181431125"/>
      <w:bookmarkStart w:id="1261" w:name="_Toc181497581"/>
      <w:bookmarkStart w:id="1262" w:name="_Toc202254248"/>
      <w:r>
        <w:rPr>
          <w:rStyle w:val="CharSDivNo"/>
          <w:sz w:val="28"/>
        </w:rPr>
        <w:t>Part 1</w:t>
      </w:r>
      <w:r>
        <w:t> — </w:t>
      </w:r>
      <w:r>
        <w:rPr>
          <w:rStyle w:val="CharSDivText"/>
          <w:sz w:val="28"/>
        </w:rPr>
        <w:t>Premises component</w:t>
      </w:r>
      <w:bookmarkEnd w:id="1254"/>
      <w:bookmarkEnd w:id="1255"/>
      <w:bookmarkEnd w:id="1256"/>
      <w:bookmarkEnd w:id="1257"/>
      <w:bookmarkEnd w:id="1258"/>
      <w:bookmarkEnd w:id="1259"/>
      <w:bookmarkEnd w:id="1260"/>
      <w:bookmarkEnd w:id="1261"/>
      <w:bookmarkEnd w:id="1262"/>
    </w:p>
    <w:p>
      <w:pPr>
        <w:pStyle w:val="yFootnoteheading"/>
      </w:pPr>
      <w:r>
        <w:tab/>
        <w:t>[Heading inserted in Gazette 13 Sep 1996 p. 4560.]</w:t>
      </w:r>
    </w:p>
    <w:tbl>
      <w:tblPr>
        <w:tblW w:w="0" w:type="auto"/>
        <w:tblInd w:w="360" w:type="dxa"/>
        <w:tblLayout w:type="fixed"/>
        <w:tblCellMar>
          <w:left w:w="360" w:type="dxa"/>
          <w:right w:w="360" w:type="dxa"/>
        </w:tblCellMar>
        <w:tblLook w:val="0000" w:firstRow="0" w:lastRow="0" w:firstColumn="0" w:lastColumn="0" w:noHBand="0" w:noVBand="0"/>
      </w:tblPr>
      <w:tblGrid>
        <w:gridCol w:w="2760"/>
        <w:gridCol w:w="3480"/>
        <w:gridCol w:w="990"/>
      </w:tblGrid>
      <w:tr>
        <w:trPr>
          <w:tblHeader/>
        </w:trPr>
        <w:tc>
          <w:tcPr>
            <w:tcW w:w="2760" w:type="dxa"/>
          </w:tcPr>
          <w:p>
            <w:pPr>
              <w:pStyle w:val="yTable"/>
              <w:spacing w:after="120"/>
              <w:jc w:val="center"/>
              <w:rPr>
                <w:b/>
              </w:rPr>
            </w:pPr>
            <w:r>
              <w:rPr>
                <w:b/>
              </w:rPr>
              <w:t>Category</w:t>
            </w:r>
          </w:p>
        </w:tc>
        <w:tc>
          <w:tcPr>
            <w:tcW w:w="3480" w:type="dxa"/>
          </w:tcPr>
          <w:p>
            <w:pPr>
              <w:pStyle w:val="yTable"/>
              <w:spacing w:after="120"/>
              <w:jc w:val="center"/>
              <w:rPr>
                <w:b/>
              </w:rPr>
            </w:pPr>
            <w:r>
              <w:rPr>
                <w:b/>
              </w:rPr>
              <w:t>Production or</w:t>
            </w:r>
            <w:r>
              <w:rPr>
                <w:b/>
              </w:rPr>
              <w:br/>
              <w:t>design capacity</w:t>
            </w:r>
          </w:p>
        </w:tc>
        <w:tc>
          <w:tcPr>
            <w:tcW w:w="990" w:type="dxa"/>
          </w:tcPr>
          <w:p>
            <w:pPr>
              <w:pStyle w:val="yTable"/>
              <w:spacing w:after="120"/>
              <w:ind w:left="-240" w:right="-210"/>
              <w:jc w:val="center"/>
              <w:rPr>
                <w:b/>
              </w:rPr>
            </w:pPr>
            <w:r>
              <w:rPr>
                <w:b/>
              </w:rPr>
              <w:t>Fee units</w:t>
            </w:r>
          </w:p>
        </w:tc>
      </w:tr>
      <w:tr>
        <w:tblPrEx>
          <w:tblCellMar>
            <w:left w:w="141" w:type="dxa"/>
            <w:right w:w="141" w:type="dxa"/>
          </w:tblCellMar>
        </w:tblPrEx>
        <w:trPr>
          <w:cantSplit/>
        </w:trPr>
        <w:tc>
          <w:tcPr>
            <w:tcW w:w="2760" w:type="dxa"/>
          </w:tcPr>
          <w:p>
            <w:pPr>
              <w:pStyle w:val="yTable"/>
            </w:pPr>
            <w:r>
              <w:t>Categories 1 and 2</w:t>
            </w:r>
          </w:p>
        </w:tc>
        <w:tc>
          <w:tcPr>
            <w:tcW w:w="3480" w:type="dxa"/>
          </w:tcPr>
          <w:p>
            <w:pPr>
              <w:pStyle w:val="yTable"/>
            </w:pPr>
            <w:r>
              <w:t>Not more than 2 000 animals</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animals but not more than 5 000 animals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keepLines w:val="0"/>
            </w:pPr>
          </w:p>
        </w:tc>
        <w:tc>
          <w:tcPr>
            <w:tcW w:w="3480" w:type="dxa"/>
          </w:tcPr>
          <w:p>
            <w:pPr>
              <w:pStyle w:val="yTable"/>
            </w:pPr>
            <w:r>
              <w:t>More than 5 000 animals</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Categories 3 and 4</w:t>
            </w:r>
          </w:p>
        </w:tc>
        <w:tc>
          <w:tcPr>
            <w:tcW w:w="3480" w:type="dxa"/>
          </w:tcPr>
          <w:p>
            <w:pPr>
              <w:pStyle w:val="yTable"/>
            </w:pPr>
            <w:r>
              <w:t>Not applicable</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r>
              <w:t>Categories 5, 7, 8, 9, 12, 13, and 14</w:t>
            </w:r>
          </w:p>
        </w:tc>
        <w:tc>
          <w:tcPr>
            <w:tcW w:w="3480" w:type="dxa"/>
          </w:tcPr>
          <w:p>
            <w:pPr>
              <w:pStyle w:val="yTable"/>
            </w:pPr>
            <w:r>
              <w:t>Not more than 50 000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5 000 000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5 000 000 tonnes per year</w:t>
            </w:r>
          </w:p>
        </w:tc>
        <w:tc>
          <w:tcPr>
            <w:tcW w:w="990" w:type="dxa"/>
          </w:tcPr>
          <w:p>
            <w:pPr>
              <w:pStyle w:val="yTable"/>
              <w:tabs>
                <w:tab w:val="right" w:pos="568"/>
              </w:tabs>
            </w:pPr>
            <w:r>
              <w:tab/>
              <w:t>450</w:t>
            </w:r>
          </w:p>
        </w:tc>
      </w:tr>
      <w:tr>
        <w:tblPrEx>
          <w:tblCellMar>
            <w:left w:w="141" w:type="dxa"/>
            <w:right w:w="141" w:type="dxa"/>
          </w:tblCellMar>
        </w:tblPrEx>
        <w:trPr>
          <w:cantSplit/>
        </w:trPr>
        <w:tc>
          <w:tcPr>
            <w:tcW w:w="2760" w:type="dxa"/>
          </w:tcPr>
          <w:p>
            <w:pPr>
              <w:pStyle w:val="yTable"/>
            </w:pPr>
            <w:r>
              <w:t>Categories 6 and 53</w:t>
            </w:r>
          </w:p>
        </w:tc>
        <w:tc>
          <w:tcPr>
            <w:tcW w:w="3480" w:type="dxa"/>
          </w:tcPr>
          <w:p>
            <w:pPr>
              <w:pStyle w:val="yTable"/>
            </w:pPr>
            <w:r>
              <w:t>Not more than 100 000 tonnes per year</w:t>
            </w:r>
          </w:p>
        </w:tc>
        <w:tc>
          <w:tcPr>
            <w:tcW w:w="990" w:type="dxa"/>
          </w:tcPr>
          <w:p>
            <w:pPr>
              <w:pStyle w:val="yTable"/>
              <w:tabs>
                <w:tab w:val="right" w:pos="568"/>
              </w:tabs>
            </w:pPr>
            <w:r>
              <w:tab/>
              <w:t>30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Categories 10, 11 and 34</w:t>
            </w:r>
          </w:p>
        </w:tc>
        <w:tc>
          <w:tcPr>
            <w:tcW w:w="3480" w:type="dxa"/>
          </w:tcPr>
          <w:p>
            <w:pPr>
              <w:pStyle w:val="yTable"/>
            </w:pPr>
            <w:r>
              <w:t>Not more than 50 000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100 000 but not more than 500 000 tonnes per year</w:t>
            </w:r>
          </w:p>
        </w:tc>
        <w:tc>
          <w:tcPr>
            <w:tcW w:w="990" w:type="dxa"/>
          </w:tcPr>
          <w:p>
            <w:pPr>
              <w:pStyle w:val="yTable"/>
              <w:keepNext/>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2 000 000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15</w:t>
            </w:r>
          </w:p>
        </w:tc>
        <w:tc>
          <w:tcPr>
            <w:tcW w:w="3480" w:type="dxa"/>
          </w:tcPr>
          <w:p>
            <w:pPr>
              <w:pStyle w:val="yTable"/>
            </w:pPr>
            <w:r>
              <w:t>Not more than 5 000 tonnes per year</w:t>
            </w:r>
          </w:p>
          <w:p>
            <w:pPr>
              <w:pStyle w:val="yTable"/>
            </w:pPr>
            <w:r>
              <w:t>More than 5 000 but not more than 50 000 tonnes per year</w:t>
            </w:r>
          </w:p>
          <w:p>
            <w:pPr>
              <w:pStyle w:val="yTable"/>
            </w:pPr>
            <w:r>
              <w:t>50 000 tonnes or more per year</w:t>
            </w:r>
          </w:p>
        </w:tc>
        <w:tc>
          <w:tcPr>
            <w:tcW w:w="990" w:type="dxa"/>
          </w:tcPr>
          <w:p>
            <w:pPr>
              <w:pStyle w:val="yTable"/>
              <w:tabs>
                <w:tab w:val="right" w:pos="568"/>
              </w:tabs>
            </w:pPr>
            <w:r>
              <w:tab/>
              <w:t>75</w:t>
            </w:r>
          </w:p>
          <w:p>
            <w:pPr>
              <w:pStyle w:val="yTable"/>
              <w:tabs>
                <w:tab w:val="right" w:pos="568"/>
              </w:tabs>
              <w:spacing w:before="0"/>
            </w:pPr>
          </w:p>
          <w:p>
            <w:pPr>
              <w:pStyle w:val="yTable"/>
              <w:tabs>
                <w:tab w:val="right" w:pos="568"/>
              </w:tabs>
              <w:ind w:left="1"/>
            </w:pPr>
            <w:r>
              <w:tab/>
              <w:t>150</w:t>
            </w:r>
          </w:p>
          <w:p>
            <w:pPr>
              <w:pStyle w:val="yTable"/>
              <w:tabs>
                <w:tab w:val="right" w:pos="568"/>
              </w:tabs>
              <w:spacing w:before="0"/>
            </w:pPr>
          </w:p>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16</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tonnes per year</w:t>
            </w:r>
          </w:p>
        </w:tc>
        <w:tc>
          <w:tcPr>
            <w:tcW w:w="990" w:type="dxa"/>
          </w:tcPr>
          <w:p>
            <w:pPr>
              <w:pStyle w:val="yTable"/>
              <w:tabs>
                <w:tab w:val="right" w:pos="568"/>
              </w:tabs>
            </w:pPr>
            <w:r>
              <w:tab/>
              <w:t>100</w:t>
            </w:r>
          </w:p>
          <w:p>
            <w:pPr>
              <w:pStyle w:val="yTable"/>
              <w:tabs>
                <w:tab w:val="right" w:pos="568"/>
              </w:tabs>
              <w:spacing w:before="0"/>
            </w:pPr>
          </w:p>
          <w:p>
            <w:pPr>
              <w:pStyle w:val="yTable"/>
              <w:tabs>
                <w:tab w:val="right" w:pos="568"/>
              </w:tabs>
            </w:pPr>
            <w:r>
              <w:tab/>
              <w:t>200</w:t>
            </w:r>
          </w:p>
          <w:p>
            <w:pPr>
              <w:pStyle w:val="yTable"/>
              <w:tabs>
                <w:tab w:val="right" w:pos="568"/>
              </w:tabs>
              <w:spacing w:before="0"/>
            </w:pPr>
          </w:p>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17, 18, 19, 20, 22, 23, 24, 25 and 27</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21</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250</w:t>
            </w:r>
          </w:p>
        </w:tc>
      </w:tr>
      <w:tr>
        <w:tblPrEx>
          <w:tblCellMar>
            <w:left w:w="141" w:type="dxa"/>
            <w:right w:w="141" w:type="dxa"/>
          </w:tblCellMar>
        </w:tblPrEx>
        <w:trPr>
          <w:cantSplit/>
        </w:trPr>
        <w:tc>
          <w:tcPr>
            <w:tcW w:w="2760" w:type="dxa"/>
          </w:tcPr>
          <w:p>
            <w:pPr>
              <w:pStyle w:val="yTable"/>
              <w:keepNext/>
              <w:keepLines/>
            </w:pPr>
            <w:r>
              <w:t>Category 26</w:t>
            </w:r>
          </w:p>
        </w:tc>
        <w:tc>
          <w:tcPr>
            <w:tcW w:w="3480" w:type="dxa"/>
          </w:tcPr>
          <w:p>
            <w:pPr>
              <w:pStyle w:val="yTable"/>
              <w:keepNext/>
              <w:keepLines/>
            </w:pPr>
            <w:r>
              <w:t>Not more than 10 000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100 000 tonnes per year</w:t>
            </w:r>
          </w:p>
        </w:tc>
        <w:tc>
          <w:tcPr>
            <w:tcW w:w="990" w:type="dxa"/>
          </w:tcPr>
          <w:p>
            <w:pPr>
              <w:pStyle w:val="yTable"/>
              <w:keepNext/>
              <w:keepLines/>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r>
              <w:t>Categories 28 and 29</w:t>
            </w:r>
          </w:p>
        </w:tc>
        <w:tc>
          <w:tcPr>
            <w:tcW w:w="3480" w:type="dxa"/>
          </w:tcPr>
          <w:p>
            <w:pPr>
              <w:pStyle w:val="yTable"/>
            </w:pPr>
            <w:r>
              <w:t>Not more than 5 000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30</w:t>
            </w:r>
          </w:p>
        </w:tc>
        <w:tc>
          <w:tcPr>
            <w:tcW w:w="3480" w:type="dxa"/>
          </w:tcPr>
          <w:p>
            <w:pPr>
              <w:pStyle w:val="yTable"/>
            </w:pPr>
            <w:r>
              <w:t>Not more than 50 000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250 000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250 000 but not more than 1 000 000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Categories 31 and 32</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but not more than 50 000 tonnes per year</w:t>
            </w:r>
          </w:p>
        </w:tc>
        <w:tc>
          <w:tcPr>
            <w:tcW w:w="990" w:type="dxa"/>
          </w:tcPr>
          <w:p>
            <w:pPr>
              <w:pStyle w:val="yTable"/>
              <w:tabs>
                <w:tab w:val="right" w:pos="568"/>
              </w:tabs>
            </w:pPr>
            <w:r>
              <w:tab/>
              <w:t>50</w:t>
            </w:r>
          </w:p>
          <w:p>
            <w:pPr>
              <w:pStyle w:val="yTable"/>
              <w:tabs>
                <w:tab w:val="right" w:pos="568"/>
              </w:tabs>
              <w:spacing w:before="0"/>
            </w:pPr>
          </w:p>
          <w:p>
            <w:pPr>
              <w:pStyle w:val="yTable"/>
              <w:tabs>
                <w:tab w:val="right" w:pos="568"/>
              </w:tabs>
            </w:pPr>
            <w:r>
              <w:tab/>
              <w:t>150</w:t>
            </w:r>
          </w:p>
          <w:p>
            <w:pPr>
              <w:pStyle w:val="yTable"/>
              <w:tabs>
                <w:tab w:val="right" w:pos="568"/>
              </w:tabs>
              <w:spacing w:before="0"/>
            </w:pPr>
          </w:p>
          <w:p>
            <w:pPr>
              <w:pStyle w:val="yTable"/>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400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Categories 33, 35, 36, 37 and 38</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2 000 but not more than 10 000 tonnes per year</w:t>
            </w:r>
          </w:p>
        </w:tc>
        <w:tc>
          <w:tcPr>
            <w:tcW w:w="990" w:type="dxa"/>
          </w:tcPr>
          <w:p>
            <w:pPr>
              <w:pStyle w:val="yTable"/>
              <w:keepNext/>
              <w:tabs>
                <w:tab w:val="right" w:pos="568"/>
              </w:tabs>
            </w:pPr>
            <w:r>
              <w:tab/>
              <w:t>100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50 000 tonnes per year</w:t>
            </w:r>
          </w:p>
        </w:tc>
        <w:tc>
          <w:tcPr>
            <w:tcW w:w="990" w:type="dxa"/>
          </w:tcPr>
          <w:p>
            <w:pPr>
              <w:pStyle w:val="yTable"/>
              <w:keepNext/>
              <w:keepLines/>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Category 39</w:t>
            </w:r>
          </w:p>
        </w:tc>
        <w:tc>
          <w:tcPr>
            <w:tcW w:w="3480" w:type="dxa"/>
          </w:tcPr>
          <w:p>
            <w:pPr>
              <w:pStyle w:val="yTable"/>
            </w:pPr>
            <w:r>
              <w:t>Not more than 500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500 tonnes but 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10 000 but not 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40, 42 and 43</w:t>
            </w:r>
          </w:p>
        </w:tc>
        <w:tc>
          <w:tcPr>
            <w:tcW w:w="3480" w:type="dxa"/>
          </w:tcPr>
          <w:p>
            <w:pPr>
              <w:pStyle w:val="yTable"/>
            </w:pPr>
            <w:r>
              <w:t>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41</w:t>
            </w:r>
          </w:p>
        </w:tc>
        <w:tc>
          <w:tcPr>
            <w:tcW w:w="3480" w:type="dxa"/>
          </w:tcPr>
          <w:p>
            <w:pPr>
              <w:pStyle w:val="yTable"/>
            </w:pPr>
            <w:r>
              <w:t>Not more than 5 000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1 050</w:t>
            </w:r>
          </w:p>
        </w:tc>
      </w:tr>
      <w:tr>
        <w:tblPrEx>
          <w:tblCellMar>
            <w:left w:w="141" w:type="dxa"/>
            <w:right w:w="141" w:type="dxa"/>
          </w:tblCellMar>
        </w:tblPrEx>
        <w:trPr>
          <w:cantSplit/>
        </w:trPr>
        <w:tc>
          <w:tcPr>
            <w:tcW w:w="2760" w:type="dxa"/>
          </w:tcPr>
          <w:p>
            <w:pPr>
              <w:pStyle w:val="yTable"/>
            </w:pPr>
            <w:r>
              <w:t>Category 44</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10 000 but not more than 50 000 tonnes per year</w:t>
            </w:r>
          </w:p>
        </w:tc>
        <w:tc>
          <w:tcPr>
            <w:tcW w:w="990" w:type="dxa"/>
          </w:tcPr>
          <w:p>
            <w:pPr>
              <w:pStyle w:val="yTable"/>
              <w:keepNext/>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45</w:t>
            </w:r>
          </w:p>
        </w:tc>
        <w:tc>
          <w:tcPr>
            <w:tcW w:w="3480" w:type="dxa"/>
          </w:tcPr>
          <w:p>
            <w:pPr>
              <w:pStyle w:val="yTable"/>
            </w:pPr>
            <w:r>
              <w:t>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46</w:t>
            </w:r>
          </w:p>
        </w:tc>
        <w:tc>
          <w:tcPr>
            <w:tcW w:w="3480" w:type="dxa"/>
          </w:tcPr>
          <w:p>
            <w:pPr>
              <w:pStyle w:val="yTable"/>
            </w:pPr>
            <w:r>
              <w:t>Not more than 1 000 000 tonnes per year</w:t>
            </w:r>
          </w:p>
          <w:p>
            <w:pPr>
              <w:pStyle w:val="yTable"/>
            </w:pPr>
            <w:r>
              <w:t>More than 1 000 000 tonnes per year</w:t>
            </w:r>
          </w:p>
        </w:tc>
        <w:tc>
          <w:tcPr>
            <w:tcW w:w="990" w:type="dxa"/>
          </w:tcPr>
          <w:p>
            <w:pPr>
              <w:pStyle w:val="yTable"/>
              <w:tabs>
                <w:tab w:val="right" w:pos="568"/>
              </w:tabs>
            </w:pPr>
            <w:r>
              <w:tab/>
              <w:t>1 250</w:t>
            </w:r>
          </w:p>
          <w:p>
            <w:pPr>
              <w:pStyle w:val="yTable"/>
              <w:tabs>
                <w:tab w:val="right" w:pos="568"/>
              </w:tabs>
              <w:spacing w:before="0"/>
            </w:pPr>
          </w:p>
          <w:p>
            <w:pPr>
              <w:pStyle w:val="yTable"/>
              <w:tabs>
                <w:tab w:val="right" w:pos="568"/>
              </w:tabs>
            </w:pPr>
            <w:r>
              <w:tab/>
              <w:t>3 000</w:t>
            </w:r>
          </w:p>
        </w:tc>
      </w:tr>
      <w:tr>
        <w:tblPrEx>
          <w:tblCellMar>
            <w:left w:w="141" w:type="dxa"/>
            <w:right w:w="141" w:type="dxa"/>
          </w:tblCellMar>
        </w:tblPrEx>
        <w:trPr>
          <w:cantSplit/>
        </w:trPr>
        <w:tc>
          <w:tcPr>
            <w:tcW w:w="2760" w:type="dxa"/>
          </w:tcPr>
          <w:p>
            <w:pPr>
              <w:pStyle w:val="yTable"/>
            </w:pPr>
            <w:r>
              <w:t>Category 47</w:t>
            </w:r>
          </w:p>
        </w:tc>
        <w:tc>
          <w:tcPr>
            <w:tcW w:w="3480" w:type="dxa"/>
          </w:tcPr>
          <w:p>
            <w:pPr>
              <w:pStyle w:val="yTable"/>
            </w:pPr>
            <w:r>
              <w:t>Not more than 2 000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48</w:t>
            </w:r>
          </w:p>
        </w:tc>
        <w:tc>
          <w:tcPr>
            <w:tcW w:w="3480" w:type="dxa"/>
          </w:tcPr>
          <w:p>
            <w:pPr>
              <w:pStyle w:val="yTable"/>
            </w:pPr>
            <w:r>
              <w:t>Not more than 100 tonnes per year</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100 tonnes but 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1 000 tonnes but not more than 20 000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keepNext/>
              <w:keepLines/>
            </w:pPr>
            <w:r>
              <w:t>Category 48A</w:t>
            </w:r>
          </w:p>
        </w:tc>
        <w:tc>
          <w:tcPr>
            <w:tcW w:w="3480" w:type="dxa"/>
          </w:tcPr>
          <w:p>
            <w:pPr>
              <w:pStyle w:val="yTable"/>
              <w:keepNext/>
              <w:keepLines/>
            </w:pPr>
            <w:r>
              <w:t>Not more than 1 000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tonnes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49</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50 and 51</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Category 52</w:t>
            </w:r>
          </w:p>
        </w:tc>
        <w:tc>
          <w:tcPr>
            <w:tcW w:w="3480" w:type="dxa"/>
          </w:tcPr>
          <w:p>
            <w:pPr>
              <w:pStyle w:val="yTable"/>
            </w:pPr>
            <w:r>
              <w:t>Not more than 20 megawatts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100 megawatts</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but not more than 200 megawatts</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megawatts</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54</w:t>
            </w:r>
          </w:p>
        </w:tc>
        <w:tc>
          <w:tcPr>
            <w:tcW w:w="3480" w:type="dxa"/>
          </w:tcPr>
          <w:p>
            <w:pPr>
              <w:pStyle w:val="yTable"/>
            </w:pPr>
            <w:r>
              <w:t>Not more than 200 cubic metres per day</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but not more than 2 000 cubic metres per day</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cubic metres per day</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54A</w:t>
            </w:r>
          </w:p>
        </w:tc>
        <w:tc>
          <w:tcPr>
            <w:tcW w:w="3480" w:type="dxa"/>
          </w:tcPr>
          <w:p>
            <w:pPr>
              <w:pStyle w:val="yTable"/>
            </w:pPr>
            <w:r>
              <w:t>Not more than 20 gigalitres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40 gigalitres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40 gigalitres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55</w:t>
            </w:r>
          </w:p>
        </w:tc>
        <w:tc>
          <w:tcPr>
            <w:tcW w:w="3480" w:type="dxa"/>
          </w:tcPr>
          <w:p>
            <w:pPr>
              <w:pStyle w:val="yTable"/>
            </w:pPr>
            <w:r>
              <w:t>Not more than 50 000 animals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animals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56 and 57</w:t>
            </w:r>
          </w:p>
        </w:tc>
        <w:tc>
          <w:tcPr>
            <w:tcW w:w="3480" w:type="dxa"/>
          </w:tcPr>
          <w:p>
            <w:pPr>
              <w:pStyle w:val="yTable"/>
            </w:pPr>
            <w:r>
              <w:t>Not applicable</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r>
              <w:t>Category 58</w:t>
            </w:r>
          </w:p>
        </w:tc>
        <w:tc>
          <w:tcPr>
            <w:tcW w:w="3480" w:type="dxa"/>
          </w:tcPr>
          <w:p>
            <w:pPr>
              <w:pStyle w:val="yTable"/>
            </w:pPr>
            <w:r>
              <w:t>Not more than 5 000 tonnes per day</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10 000 tonnes per day</w:t>
            </w:r>
          </w:p>
        </w:tc>
        <w:tc>
          <w:tcPr>
            <w:tcW w:w="990" w:type="dxa"/>
          </w:tcPr>
          <w:p>
            <w:pPr>
              <w:pStyle w:val="yTable"/>
              <w:tabs>
                <w:tab w:val="right" w:pos="568"/>
              </w:tabs>
            </w:pPr>
            <w:r>
              <w:tab/>
              <w:t>625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50 000 tonnes per day</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rPr>
                <w:spacing w:val="-4"/>
              </w:rPr>
            </w:pPr>
            <w:r>
              <w:rPr>
                <w:spacing w:val="-4"/>
              </w:rPr>
              <w:t>More than 50 000 tonnes per day</w:t>
            </w:r>
          </w:p>
        </w:tc>
        <w:tc>
          <w:tcPr>
            <w:tcW w:w="990" w:type="dxa"/>
          </w:tcPr>
          <w:p>
            <w:pPr>
              <w:pStyle w:val="yTable"/>
              <w:tabs>
                <w:tab w:val="right" w:pos="568"/>
              </w:tabs>
            </w:pPr>
            <w:r>
              <w:tab/>
              <w:t>1 400</w:t>
            </w:r>
          </w:p>
        </w:tc>
      </w:tr>
      <w:tr>
        <w:tblPrEx>
          <w:tblCellMar>
            <w:left w:w="141" w:type="dxa"/>
            <w:right w:w="141" w:type="dxa"/>
          </w:tblCellMar>
        </w:tblPrEx>
        <w:trPr>
          <w:cantSplit/>
        </w:trPr>
        <w:tc>
          <w:tcPr>
            <w:tcW w:w="2760" w:type="dxa"/>
          </w:tcPr>
          <w:p>
            <w:pPr>
              <w:pStyle w:val="yTable"/>
            </w:pPr>
            <w:r>
              <w:t>Category 58A</w:t>
            </w:r>
          </w:p>
        </w:tc>
        <w:tc>
          <w:tcPr>
            <w:tcW w:w="3480" w:type="dxa"/>
          </w:tcPr>
          <w:p>
            <w:pPr>
              <w:pStyle w:val="yTable"/>
              <w:rPr>
                <w:spacing w:val="-4"/>
              </w:rPr>
            </w:pPr>
            <w:r>
              <w:rPr>
                <w:spacing w:val="-4"/>
              </w:rPr>
              <w:t>No applicable</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59</w:t>
            </w:r>
          </w:p>
        </w:tc>
        <w:tc>
          <w:tcPr>
            <w:tcW w:w="3480" w:type="dxa"/>
          </w:tcPr>
          <w:p>
            <w:pPr>
              <w:pStyle w:val="yTable"/>
            </w:pPr>
            <w:r>
              <w:t>Not more than 100 kilograms per hour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keepNext/>
              <w:spacing w:before="50"/>
            </w:pPr>
            <w:r>
              <w:t>Category 60</w:t>
            </w:r>
          </w:p>
        </w:tc>
        <w:tc>
          <w:tcPr>
            <w:tcW w:w="3480" w:type="dxa"/>
          </w:tcPr>
          <w:p>
            <w:pPr>
              <w:pStyle w:val="yTable"/>
              <w:keepNext/>
              <w:spacing w:before="50"/>
            </w:pPr>
            <w:r>
              <w:t>Not more than 500 kilograms per hour</w:t>
            </w:r>
          </w:p>
        </w:tc>
        <w:tc>
          <w:tcPr>
            <w:tcW w:w="990" w:type="dxa"/>
          </w:tcPr>
          <w:p>
            <w:pPr>
              <w:pStyle w:val="yTable"/>
              <w:keepNext/>
              <w:tabs>
                <w:tab w:val="right" w:pos="568"/>
              </w:tabs>
              <w:spacing w:before="50"/>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spacing w:before="50"/>
            </w:pPr>
            <w:r>
              <w:t xml:space="preserve"> Categories 61 and 61A</w:t>
            </w:r>
          </w:p>
        </w:tc>
        <w:tc>
          <w:tcPr>
            <w:tcW w:w="3480" w:type="dxa"/>
          </w:tcPr>
          <w:p>
            <w:pPr>
              <w:pStyle w:val="yTable"/>
              <w:spacing w:before="50"/>
            </w:pPr>
            <w:r>
              <w:t>Not more than 100 tonnes per year</w:t>
            </w:r>
          </w:p>
        </w:tc>
        <w:tc>
          <w:tcPr>
            <w:tcW w:w="990" w:type="dxa"/>
          </w:tcPr>
          <w:p>
            <w:pPr>
              <w:pStyle w:val="yTable"/>
              <w:tabs>
                <w:tab w:val="right" w:pos="568"/>
              </w:tabs>
              <w:spacing w:before="50"/>
            </w:pPr>
            <w:r>
              <w:tab/>
              <w:t>15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but not more than 10 000 tonnes per year</w:t>
            </w:r>
          </w:p>
        </w:tc>
        <w:tc>
          <w:tcPr>
            <w:tcW w:w="990" w:type="dxa"/>
          </w:tcPr>
          <w:p>
            <w:pPr>
              <w:pStyle w:val="yTable"/>
              <w:tabs>
                <w:tab w:val="right" w:pos="568"/>
              </w:tabs>
              <w:spacing w:before="50"/>
            </w:pPr>
            <w:r>
              <w:tab/>
              <w:t>30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10 000 but not more than 100 000 tonnes per year</w:t>
            </w:r>
          </w:p>
        </w:tc>
        <w:tc>
          <w:tcPr>
            <w:tcW w:w="990" w:type="dxa"/>
          </w:tcPr>
          <w:p>
            <w:pPr>
              <w:pStyle w:val="yTable"/>
              <w:tabs>
                <w:tab w:val="right" w:pos="568"/>
              </w:tabs>
              <w:spacing w:before="50"/>
            </w:pPr>
            <w:r>
              <w:tab/>
              <w:t>45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100 000 tonnes per year</w:t>
            </w:r>
          </w:p>
        </w:tc>
        <w:tc>
          <w:tcPr>
            <w:tcW w:w="990" w:type="dxa"/>
          </w:tcPr>
          <w:p>
            <w:pPr>
              <w:pStyle w:val="yTable"/>
              <w:tabs>
                <w:tab w:val="right" w:pos="568"/>
              </w:tabs>
              <w:spacing w:before="50"/>
            </w:pPr>
            <w:r>
              <w:tab/>
              <w:t>60</w:t>
            </w:r>
          </w:p>
        </w:tc>
      </w:tr>
      <w:tr>
        <w:tblPrEx>
          <w:tblCellMar>
            <w:left w:w="141" w:type="dxa"/>
            <w:right w:w="141" w:type="dxa"/>
          </w:tblCellMar>
        </w:tblPrEx>
        <w:trPr>
          <w:cantSplit/>
        </w:trPr>
        <w:tc>
          <w:tcPr>
            <w:tcW w:w="2760" w:type="dxa"/>
          </w:tcPr>
          <w:p>
            <w:pPr>
              <w:pStyle w:val="yTable"/>
              <w:spacing w:before="50"/>
            </w:pPr>
            <w:r>
              <w:t>Category 62</w:t>
            </w:r>
          </w:p>
        </w:tc>
        <w:tc>
          <w:tcPr>
            <w:tcW w:w="3480" w:type="dxa"/>
          </w:tcPr>
          <w:p>
            <w:pPr>
              <w:pStyle w:val="yTable"/>
              <w:spacing w:before="50"/>
            </w:pPr>
            <w:r>
              <w:t>More than 500 but not more than 5 000 tonnes per year</w:t>
            </w:r>
          </w:p>
          <w:p>
            <w:pPr>
              <w:pStyle w:val="yTable"/>
              <w:spacing w:before="50"/>
            </w:pPr>
            <w:r>
              <w:t>More than 5 000 tonnes per year</w:t>
            </w:r>
          </w:p>
        </w:tc>
        <w:tc>
          <w:tcPr>
            <w:tcW w:w="990" w:type="dxa"/>
          </w:tcPr>
          <w:p>
            <w:pPr>
              <w:pStyle w:val="yTable"/>
              <w:tabs>
                <w:tab w:val="right" w:pos="568"/>
              </w:tabs>
              <w:spacing w:before="50"/>
            </w:pPr>
            <w:r>
              <w:tab/>
              <w:t>8</w:t>
            </w:r>
          </w:p>
          <w:p>
            <w:pPr>
              <w:pStyle w:val="yTable"/>
              <w:tabs>
                <w:tab w:val="right" w:pos="568"/>
              </w:tabs>
              <w:spacing w:before="0"/>
            </w:pPr>
          </w:p>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r>
              <w:t>Category 63</w:t>
            </w:r>
          </w:p>
        </w:tc>
        <w:tc>
          <w:tcPr>
            <w:tcW w:w="3480" w:type="dxa"/>
          </w:tcPr>
          <w:p>
            <w:pPr>
              <w:pStyle w:val="yTable"/>
              <w:spacing w:before="50"/>
            </w:pPr>
            <w:r>
              <w:t>Not more than 500 tonnes per year</w:t>
            </w:r>
          </w:p>
          <w:p>
            <w:pPr>
              <w:pStyle w:val="yTable"/>
              <w:spacing w:before="50"/>
            </w:pPr>
            <w:r>
              <w:t>More than 500 but not more than 5 000 tonnes per year</w:t>
            </w:r>
          </w:p>
        </w:tc>
        <w:tc>
          <w:tcPr>
            <w:tcW w:w="990" w:type="dxa"/>
          </w:tcPr>
          <w:p>
            <w:pPr>
              <w:pStyle w:val="yTable"/>
              <w:tabs>
                <w:tab w:val="right" w:pos="568"/>
              </w:tabs>
              <w:spacing w:before="50"/>
            </w:pPr>
            <w:r>
              <w:tab/>
              <w:t>Nil</w:t>
            </w:r>
          </w:p>
          <w:p>
            <w:pPr>
              <w:pStyle w:val="yTable"/>
              <w:tabs>
                <w:tab w:val="right" w:pos="568"/>
              </w:tabs>
              <w:spacing w:before="50"/>
            </w:pPr>
            <w:r>
              <w:tab/>
              <w:t>8</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5 000 but not more than 50 000 tonnes per year</w:t>
            </w:r>
          </w:p>
        </w:tc>
        <w:tc>
          <w:tcPr>
            <w:tcW w:w="990" w:type="dxa"/>
          </w:tcPr>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50 000 but not more than 500 000 tonnes per year</w:t>
            </w:r>
          </w:p>
          <w:p>
            <w:pPr>
              <w:pStyle w:val="yTable"/>
              <w:spacing w:before="50"/>
            </w:pPr>
            <w:r>
              <w:t>More than 500 000 tonnes per year</w:t>
            </w:r>
          </w:p>
        </w:tc>
        <w:tc>
          <w:tcPr>
            <w:tcW w:w="990" w:type="dxa"/>
          </w:tcPr>
          <w:p>
            <w:pPr>
              <w:pStyle w:val="yTable"/>
              <w:tabs>
                <w:tab w:val="right" w:pos="568"/>
              </w:tabs>
              <w:spacing w:before="50"/>
            </w:pPr>
            <w:r>
              <w:tab/>
              <w:t>80</w:t>
            </w:r>
          </w:p>
          <w:p>
            <w:pPr>
              <w:pStyle w:val="yTable"/>
              <w:tabs>
                <w:tab w:val="right" w:pos="568"/>
              </w:tabs>
              <w:spacing w:before="0"/>
            </w:pPr>
          </w:p>
          <w:p>
            <w:pPr>
              <w:pStyle w:val="yTable"/>
              <w:tabs>
                <w:tab w:val="right" w:pos="568"/>
              </w:tabs>
              <w:spacing w:before="50"/>
            </w:pPr>
            <w:r>
              <w:tab/>
              <w:t>160</w:t>
            </w:r>
          </w:p>
        </w:tc>
      </w:tr>
      <w:tr>
        <w:tblPrEx>
          <w:tblCellMar>
            <w:left w:w="141" w:type="dxa"/>
            <w:right w:w="141" w:type="dxa"/>
          </w:tblCellMar>
        </w:tblPrEx>
        <w:trPr>
          <w:cantSplit/>
        </w:trPr>
        <w:tc>
          <w:tcPr>
            <w:tcW w:w="2760" w:type="dxa"/>
          </w:tcPr>
          <w:p>
            <w:pPr>
              <w:pStyle w:val="yTable"/>
              <w:spacing w:before="50"/>
            </w:pPr>
            <w:r>
              <w:t>Category 64</w:t>
            </w:r>
          </w:p>
        </w:tc>
        <w:tc>
          <w:tcPr>
            <w:tcW w:w="3480" w:type="dxa"/>
          </w:tcPr>
          <w:p>
            <w:pPr>
              <w:pStyle w:val="yTable"/>
            </w:pPr>
            <w:r>
              <w:t>Not more than 5 000 tonnes per year</w:t>
            </w:r>
          </w:p>
          <w:p>
            <w:pPr>
              <w:pStyle w:val="yTable"/>
            </w:pPr>
            <w:r>
              <w:t xml:space="preserve">More than 5 000 but not more than 50 000 tonnes per year </w:t>
            </w:r>
          </w:p>
        </w:tc>
        <w:tc>
          <w:tcPr>
            <w:tcW w:w="990" w:type="dxa"/>
          </w:tcPr>
          <w:p>
            <w:pPr>
              <w:pStyle w:val="yTable"/>
              <w:tabs>
                <w:tab w:val="right" w:pos="568"/>
              </w:tabs>
            </w:pPr>
            <w:r>
              <w:tab/>
              <w:t>24</w:t>
            </w:r>
          </w:p>
          <w:p>
            <w:pPr>
              <w:pStyle w:val="yTable"/>
              <w:tabs>
                <w:tab w:val="right" w:pos="568"/>
              </w:tabs>
            </w:pPr>
            <w:r>
              <w:br/>
            </w:r>
            <w:r>
              <w:tab/>
              <w:t>160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320</w:t>
            </w:r>
            <w:r>
              <w:br/>
            </w:r>
          </w:p>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Category 65</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66</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67</w:t>
            </w:r>
          </w:p>
        </w:tc>
        <w:tc>
          <w:tcPr>
            <w:tcW w:w="3480" w:type="dxa"/>
          </w:tcPr>
          <w:p>
            <w:pPr>
              <w:pStyle w:val="yTable"/>
            </w:pPr>
            <w:r>
              <w:t>Not applicable</w:t>
            </w:r>
          </w:p>
        </w:tc>
        <w:tc>
          <w:tcPr>
            <w:tcW w:w="990" w:type="dxa"/>
          </w:tcPr>
          <w:p>
            <w:pPr>
              <w:pStyle w:val="yTable"/>
              <w:tabs>
                <w:tab w:val="right" w:pos="568"/>
              </w:tabs>
            </w:pPr>
            <w:r>
              <w:tab/>
              <w:t>15</w:t>
            </w:r>
          </w:p>
        </w:tc>
      </w:tr>
      <w:tr>
        <w:tblPrEx>
          <w:tblCellMar>
            <w:left w:w="141" w:type="dxa"/>
            <w:right w:w="141" w:type="dxa"/>
          </w:tblCellMar>
        </w:tblPrEx>
        <w:trPr>
          <w:cantSplit/>
        </w:trPr>
        <w:tc>
          <w:tcPr>
            <w:tcW w:w="2760" w:type="dxa"/>
          </w:tcPr>
          <w:p>
            <w:pPr>
              <w:pStyle w:val="yTable"/>
            </w:pPr>
            <w:r>
              <w:t>Category 67A</w:t>
            </w:r>
          </w:p>
        </w:tc>
        <w:tc>
          <w:tcPr>
            <w:tcW w:w="3480" w:type="dxa"/>
          </w:tcPr>
          <w:p>
            <w:pPr>
              <w:pStyle w:val="yTable"/>
            </w:pPr>
            <w:r>
              <w:t xml:space="preserve">Not more than 500 tonnes per year </w:t>
            </w:r>
          </w:p>
        </w:tc>
        <w:tc>
          <w:tcPr>
            <w:tcW w:w="990" w:type="dxa"/>
          </w:tcPr>
          <w:p>
            <w:pPr>
              <w:pStyle w:val="yTable"/>
              <w:tabs>
                <w:tab w:val="right" w:pos="568"/>
              </w:tabs>
            </w:pPr>
            <w:r>
              <w:tab/>
              <w:t>Nil</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but not more than 5 000 tonnes per year</w:t>
            </w:r>
          </w:p>
        </w:tc>
        <w:tc>
          <w:tcPr>
            <w:tcW w:w="990" w:type="dxa"/>
          </w:tcPr>
          <w:p>
            <w:pPr>
              <w:pStyle w:val="yTable"/>
              <w:tabs>
                <w:tab w:val="right" w:pos="568"/>
              </w:tabs>
            </w:pPr>
            <w:r>
              <w:tab/>
              <w:t>40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160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320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Categories 68 to 85</w:t>
            </w:r>
          </w:p>
        </w:tc>
        <w:tc>
          <w:tcPr>
            <w:tcW w:w="3480" w:type="dxa"/>
          </w:tcPr>
          <w:p>
            <w:pPr>
              <w:pStyle w:val="yTable"/>
            </w:pPr>
            <w:r>
              <w:t>Not applicable</w:t>
            </w:r>
          </w:p>
        </w:tc>
        <w:tc>
          <w:tcPr>
            <w:tcW w:w="990" w:type="dxa"/>
          </w:tcPr>
          <w:p>
            <w:pPr>
              <w:pStyle w:val="yTable"/>
              <w:tabs>
                <w:tab w:val="right" w:pos="568"/>
              </w:tabs>
            </w:pPr>
            <w:r>
              <w:t>24</w:t>
            </w:r>
          </w:p>
        </w:tc>
      </w:tr>
      <w:tr>
        <w:tblPrEx>
          <w:tblCellMar>
            <w:left w:w="141" w:type="dxa"/>
            <w:right w:w="141" w:type="dxa"/>
          </w:tblCellMar>
        </w:tblPrEx>
        <w:trPr>
          <w:cantSplit/>
        </w:trPr>
        <w:tc>
          <w:tcPr>
            <w:tcW w:w="2760" w:type="dxa"/>
          </w:tcPr>
          <w:p>
            <w:pPr>
              <w:pStyle w:val="yTable"/>
            </w:pPr>
            <w:r>
              <w:t>Category 86</w:t>
            </w:r>
          </w:p>
        </w:tc>
        <w:tc>
          <w:tcPr>
            <w:tcW w:w="3480" w:type="dxa"/>
          </w:tcPr>
          <w:p>
            <w:pPr>
              <w:pStyle w:val="yTable"/>
            </w:pPr>
            <w:r>
              <w:t>Not applicable</w:t>
            </w:r>
          </w:p>
        </w:tc>
        <w:tc>
          <w:tcPr>
            <w:tcW w:w="990" w:type="dxa"/>
          </w:tcPr>
          <w:p>
            <w:pPr>
              <w:pStyle w:val="yTable"/>
              <w:tabs>
                <w:tab w:val="right" w:pos="568"/>
              </w:tabs>
            </w:pPr>
            <w:r>
              <w:t>500</w:t>
            </w:r>
          </w:p>
        </w:tc>
      </w:tr>
      <w:tr>
        <w:tblPrEx>
          <w:tblCellMar>
            <w:left w:w="141" w:type="dxa"/>
            <w:right w:w="141" w:type="dxa"/>
          </w:tblCellMar>
        </w:tblPrEx>
        <w:trPr>
          <w:cantSplit/>
        </w:trPr>
        <w:tc>
          <w:tcPr>
            <w:tcW w:w="2760" w:type="dxa"/>
          </w:tcPr>
          <w:p>
            <w:pPr>
              <w:pStyle w:val="yTable"/>
            </w:pPr>
            <w:r>
              <w:t>Categories 87 to 89</w:t>
            </w:r>
          </w:p>
        </w:tc>
        <w:tc>
          <w:tcPr>
            <w:tcW w:w="3480" w:type="dxa"/>
          </w:tcPr>
          <w:p>
            <w:pPr>
              <w:pStyle w:val="yTable"/>
            </w:pPr>
            <w:r>
              <w:t>Not applicable</w:t>
            </w:r>
          </w:p>
        </w:tc>
        <w:tc>
          <w:tcPr>
            <w:tcW w:w="990" w:type="dxa"/>
          </w:tcPr>
          <w:p>
            <w:pPr>
              <w:pStyle w:val="yTable"/>
              <w:tabs>
                <w:tab w:val="right" w:pos="568"/>
              </w:tabs>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w:t>
      </w:r>
    </w:p>
    <w:p>
      <w:pPr>
        <w:pStyle w:val="yHeading2"/>
      </w:pPr>
      <w:bookmarkStart w:id="1263" w:name="_Toc172709277"/>
      <w:bookmarkStart w:id="1264" w:name="_Toc172964761"/>
      <w:bookmarkStart w:id="1265" w:name="_Toc174158478"/>
      <w:bookmarkStart w:id="1266" w:name="_Toc174359031"/>
      <w:bookmarkStart w:id="1267" w:name="_Toc174518622"/>
      <w:bookmarkStart w:id="1268" w:name="_Toc176170567"/>
      <w:bookmarkStart w:id="1269" w:name="_Toc181431126"/>
      <w:bookmarkStart w:id="1270" w:name="_Toc181497582"/>
      <w:bookmarkStart w:id="1271" w:name="_Toc202254249"/>
      <w:r>
        <w:rPr>
          <w:rStyle w:val="CharSDivNo"/>
          <w:sz w:val="28"/>
        </w:rPr>
        <w:t>Part 2</w:t>
      </w:r>
      <w:r>
        <w:t> — </w:t>
      </w:r>
      <w:r>
        <w:rPr>
          <w:rStyle w:val="CharSDivText"/>
          <w:sz w:val="28"/>
        </w:rPr>
        <w:t>Part 2 waste</w:t>
      </w:r>
      <w:bookmarkEnd w:id="1263"/>
      <w:bookmarkEnd w:id="1264"/>
      <w:bookmarkEnd w:id="1265"/>
      <w:bookmarkEnd w:id="1266"/>
      <w:bookmarkEnd w:id="1267"/>
      <w:bookmarkEnd w:id="1268"/>
      <w:bookmarkEnd w:id="1269"/>
      <w:bookmarkEnd w:id="1270"/>
      <w:bookmarkEnd w:id="1271"/>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spacing w:after="120"/>
              <w:jc w:val="center"/>
              <w:rPr>
                <w:b/>
              </w:rPr>
            </w:pPr>
            <w:r>
              <w:rPr>
                <w:b/>
              </w:rPr>
              <w:t>Discharge quantity</w:t>
            </w:r>
          </w:p>
        </w:tc>
        <w:tc>
          <w:tcPr>
            <w:tcW w:w="1276" w:type="dxa"/>
          </w:tcPr>
          <w:p>
            <w:pPr>
              <w:pStyle w:val="yTable"/>
              <w:spacing w:after="120"/>
              <w:jc w:val="center"/>
              <w:rPr>
                <w:b/>
              </w:rPr>
            </w:pPr>
            <w:r>
              <w:rPr>
                <w:b/>
              </w:rPr>
              <w:t>Fee units</w:t>
            </w:r>
          </w:p>
        </w:tc>
      </w:tr>
      <w:tr>
        <w:tc>
          <w:tcPr>
            <w:tcW w:w="5812" w:type="dxa"/>
          </w:tcPr>
          <w:p>
            <w:pPr>
              <w:pStyle w:val="yTable"/>
            </w:pPr>
            <w:r>
              <w:t>Not more than 10 000 tonnes per year</w:t>
            </w:r>
          </w:p>
        </w:tc>
        <w:tc>
          <w:tcPr>
            <w:tcW w:w="1276" w:type="dxa"/>
          </w:tcPr>
          <w:p>
            <w:pPr>
              <w:pStyle w:val="yTable"/>
              <w:tabs>
                <w:tab w:val="right" w:pos="808"/>
              </w:tabs>
            </w:pPr>
            <w:r>
              <w:tab/>
              <w:t>30</w:t>
            </w:r>
          </w:p>
        </w:tc>
      </w:tr>
      <w:tr>
        <w:tc>
          <w:tcPr>
            <w:tcW w:w="5812" w:type="dxa"/>
          </w:tcPr>
          <w:p>
            <w:pPr>
              <w:pStyle w:val="yTable"/>
            </w:pPr>
            <w:r>
              <w:t>More than 10 000 but not more than 100 000 tonnes per year</w:t>
            </w:r>
          </w:p>
        </w:tc>
        <w:tc>
          <w:tcPr>
            <w:tcW w:w="1276" w:type="dxa"/>
          </w:tcPr>
          <w:p>
            <w:pPr>
              <w:pStyle w:val="yTable"/>
              <w:tabs>
                <w:tab w:val="right" w:pos="808"/>
              </w:tabs>
            </w:pPr>
            <w:r>
              <w:tab/>
              <w:t>70</w:t>
            </w:r>
          </w:p>
        </w:tc>
      </w:tr>
      <w:tr>
        <w:tc>
          <w:tcPr>
            <w:tcW w:w="5812" w:type="dxa"/>
          </w:tcPr>
          <w:p>
            <w:pPr>
              <w:pStyle w:val="yTable"/>
            </w:pPr>
            <w:r>
              <w:t>More than 100 000 but not more than 500 000 tonnes per year</w:t>
            </w:r>
          </w:p>
        </w:tc>
        <w:tc>
          <w:tcPr>
            <w:tcW w:w="1276" w:type="dxa"/>
          </w:tcPr>
          <w:p>
            <w:pPr>
              <w:pStyle w:val="yTable"/>
              <w:tabs>
                <w:tab w:val="right" w:pos="808"/>
              </w:tabs>
            </w:pPr>
            <w:r>
              <w:tab/>
              <w:t>150</w:t>
            </w:r>
          </w:p>
        </w:tc>
      </w:tr>
      <w:tr>
        <w:tc>
          <w:tcPr>
            <w:tcW w:w="5812" w:type="dxa"/>
          </w:tcPr>
          <w:p>
            <w:pPr>
              <w:pStyle w:val="yTable"/>
            </w:pPr>
            <w:r>
              <w:t>More than 500 000 but not more than 1 000 000 tonnes per year</w:t>
            </w:r>
          </w:p>
        </w:tc>
        <w:tc>
          <w:tcPr>
            <w:tcW w:w="1276" w:type="dxa"/>
          </w:tcPr>
          <w:p>
            <w:pPr>
              <w:pStyle w:val="yTable"/>
              <w:tabs>
                <w:tab w:val="right" w:pos="808"/>
              </w:tabs>
            </w:pPr>
            <w:r>
              <w:tab/>
              <w:t>200</w:t>
            </w:r>
          </w:p>
        </w:tc>
      </w:tr>
      <w:tr>
        <w:tc>
          <w:tcPr>
            <w:tcW w:w="5812" w:type="dxa"/>
          </w:tcPr>
          <w:p>
            <w:pPr>
              <w:pStyle w:val="yTable"/>
            </w:pPr>
            <w:r>
              <w:t>More than 1 000 000 tonnes per year</w:t>
            </w:r>
          </w:p>
        </w:tc>
        <w:tc>
          <w:tcPr>
            <w:tcW w:w="1276" w:type="dxa"/>
          </w:tcPr>
          <w:p>
            <w:pPr>
              <w:pStyle w:val="yTable"/>
              <w:tabs>
                <w:tab w:val="right" w:pos="808"/>
              </w:tabs>
            </w:pPr>
            <w:r>
              <w:tab/>
              <w:t>400</w:t>
            </w:r>
          </w:p>
        </w:tc>
      </w:tr>
    </w:tbl>
    <w:p>
      <w:pPr>
        <w:pStyle w:val="yFootnotesection"/>
      </w:pPr>
      <w:bookmarkStart w:id="1272" w:name="_Toc172709278"/>
      <w:r>
        <w:tab/>
        <w:t>[Part 2 inserted in Gazette 13 Sep 1996 p. 4565.]</w:t>
      </w:r>
    </w:p>
    <w:p>
      <w:pPr>
        <w:pStyle w:val="yHeading2"/>
      </w:pPr>
      <w:bookmarkStart w:id="1273" w:name="_Toc172964762"/>
      <w:bookmarkStart w:id="1274" w:name="_Toc174158479"/>
      <w:bookmarkStart w:id="1275" w:name="_Toc174359032"/>
      <w:bookmarkStart w:id="1276" w:name="_Toc174518623"/>
      <w:bookmarkStart w:id="1277" w:name="_Toc176170568"/>
      <w:bookmarkStart w:id="1278" w:name="_Toc181431127"/>
      <w:bookmarkStart w:id="1279" w:name="_Toc181497583"/>
      <w:bookmarkStart w:id="1280" w:name="_Toc202254250"/>
      <w:r>
        <w:rPr>
          <w:rStyle w:val="CharSDivNo"/>
          <w:sz w:val="28"/>
        </w:rPr>
        <w:t>Part 3</w:t>
      </w:r>
      <w:r>
        <w:t> — </w:t>
      </w:r>
      <w:r>
        <w:rPr>
          <w:rStyle w:val="CharSDivText"/>
          <w:sz w:val="28"/>
        </w:rPr>
        <w:t>Discharge component</w:t>
      </w:r>
      <w:bookmarkEnd w:id="1272"/>
      <w:bookmarkEnd w:id="1273"/>
      <w:bookmarkEnd w:id="1274"/>
      <w:bookmarkEnd w:id="1275"/>
      <w:bookmarkEnd w:id="1276"/>
      <w:bookmarkEnd w:id="1277"/>
      <w:bookmarkEnd w:id="1278"/>
      <w:bookmarkEnd w:id="1279"/>
      <w:bookmarkEnd w:id="1280"/>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2127"/>
      </w:tblGrid>
      <w:tr>
        <w:trPr>
          <w:tblHeader/>
        </w:trPr>
        <w:tc>
          <w:tcPr>
            <w:tcW w:w="5103" w:type="dxa"/>
          </w:tcPr>
          <w:p>
            <w:pPr>
              <w:pStyle w:val="yTable"/>
              <w:spacing w:after="120"/>
              <w:jc w:val="center"/>
              <w:rPr>
                <w:b/>
              </w:rPr>
            </w:pPr>
            <w:r>
              <w:rPr>
                <w:b/>
              </w:rPr>
              <w:t>Kind of waste</w:t>
            </w:r>
          </w:p>
        </w:tc>
        <w:tc>
          <w:tcPr>
            <w:tcW w:w="2127" w:type="dxa"/>
          </w:tcPr>
          <w:p>
            <w:pPr>
              <w:pStyle w:val="yTable"/>
              <w:spacing w:after="120"/>
              <w:jc w:val="center"/>
              <w:rPr>
                <w:b/>
              </w:rPr>
            </w:pPr>
            <w:r>
              <w:rPr>
                <w:b/>
              </w:rPr>
              <w:t>Fee units</w:t>
            </w:r>
            <w:r>
              <w:rPr>
                <w:b/>
              </w:rPr>
              <w:br/>
              <w:t>(for each gram per minute)</w:t>
            </w:r>
          </w:p>
        </w:tc>
      </w:tr>
      <w:tr>
        <w:tc>
          <w:tcPr>
            <w:tcW w:w="5103" w:type="dxa"/>
          </w:tcPr>
          <w:p>
            <w:pPr>
              <w:pStyle w:val="yTable"/>
              <w:ind w:left="568" w:hanging="568"/>
            </w:pPr>
            <w:r>
              <w:t>1.</w:t>
            </w:r>
            <w:r>
              <w:tab/>
              <w:t>Carbon monoxide</w:t>
            </w:r>
          </w:p>
        </w:tc>
        <w:tc>
          <w:tcPr>
            <w:tcW w:w="2127" w:type="dxa"/>
          </w:tcPr>
          <w:p>
            <w:pPr>
              <w:pStyle w:val="yTable"/>
              <w:tabs>
                <w:tab w:val="decimal" w:pos="993"/>
              </w:tabs>
            </w:pPr>
            <w:r>
              <w:t>0.01</w:t>
            </w:r>
          </w:p>
        </w:tc>
      </w:tr>
      <w:tr>
        <w:tc>
          <w:tcPr>
            <w:tcW w:w="5103" w:type="dxa"/>
          </w:tcPr>
          <w:p>
            <w:pPr>
              <w:pStyle w:val="yTable"/>
              <w:ind w:left="568" w:hanging="568"/>
            </w:pPr>
            <w:r>
              <w:t>2.</w:t>
            </w:r>
            <w:r>
              <w:tab/>
              <w:t>Oxides of nitrogen, sulphur oxides and particulates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ind w:left="568" w:hanging="568"/>
            </w:pPr>
            <w:r>
              <w:t>3.</w:t>
            </w:r>
            <w:r>
              <w:tab/>
              <w:t>Volatile organic compounds (being compounds not specified elsewhere in this Table that participate in atmospheric photochemical reactions)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pPr>
            <w:r>
              <w:t>4.</w:t>
            </w:r>
            <w:r>
              <w:tab/>
              <w:t>Inorganic fluoride</w:t>
            </w:r>
          </w:p>
        </w:tc>
        <w:tc>
          <w:tcPr>
            <w:tcW w:w="2127" w:type="dxa"/>
          </w:tcPr>
          <w:p>
            <w:pPr>
              <w:pStyle w:val="yTable"/>
              <w:tabs>
                <w:tab w:val="decimal" w:pos="993"/>
              </w:tabs>
            </w:pPr>
            <w:r>
              <w:t>2.5</w:t>
            </w:r>
          </w:p>
        </w:tc>
      </w:tr>
      <w:tr>
        <w:tc>
          <w:tcPr>
            <w:tcW w:w="5103" w:type="dxa"/>
          </w:tcPr>
          <w:p>
            <w:pPr>
              <w:pStyle w:val="yTable"/>
            </w:pPr>
            <w:r>
              <w:t>5.</w:t>
            </w:r>
            <w:r>
              <w:tab/>
              <w:t>Pesticides</w:t>
            </w:r>
          </w:p>
        </w:tc>
        <w:tc>
          <w:tcPr>
            <w:tcW w:w="2127" w:type="dxa"/>
          </w:tcPr>
          <w:p>
            <w:pPr>
              <w:pStyle w:val="yTable"/>
              <w:tabs>
                <w:tab w:val="decimal" w:pos="993"/>
              </w:tabs>
            </w:pPr>
            <w:r>
              <w:t>2.5</w:t>
            </w:r>
          </w:p>
        </w:tc>
      </w:tr>
      <w:tr>
        <w:tc>
          <w:tcPr>
            <w:tcW w:w="5103" w:type="dxa"/>
          </w:tcPr>
          <w:p>
            <w:pPr>
              <w:pStyle w:val="yTable"/>
              <w:ind w:left="568" w:hanging="568"/>
            </w:pPr>
            <w:r>
              <w:t>6.</w:t>
            </w:r>
            <w:r>
              <w:tab/>
              <w:t>Aluminium, arsenic, chromium, cobalt, copper, lead, manganese, molybdenum, nickel, vanadium and zinc</w:t>
            </w:r>
          </w:p>
        </w:tc>
        <w:tc>
          <w:tcPr>
            <w:tcW w:w="2127" w:type="dxa"/>
          </w:tcPr>
          <w:p>
            <w:pPr>
              <w:pStyle w:val="yTable"/>
              <w:tabs>
                <w:tab w:val="decimal" w:pos="993"/>
              </w:tabs>
            </w:pPr>
            <w:r>
              <w:t>2.5</w:t>
            </w:r>
          </w:p>
        </w:tc>
      </w:tr>
      <w:tr>
        <w:tc>
          <w:tcPr>
            <w:tcW w:w="5103" w:type="dxa"/>
          </w:tcPr>
          <w:p>
            <w:pPr>
              <w:pStyle w:val="yTable"/>
              <w:ind w:left="568" w:hanging="568"/>
            </w:pPr>
            <w:r>
              <w:t>7.</w:t>
            </w:r>
            <w:r>
              <w:tab/>
              <w:t>Vinyl chloride, hydrogen sulphide, benzene carbon oxysulphide, carbon disulphide and acrylates</w:t>
            </w:r>
          </w:p>
        </w:tc>
        <w:tc>
          <w:tcPr>
            <w:tcW w:w="2127" w:type="dxa"/>
          </w:tcPr>
          <w:p>
            <w:pPr>
              <w:pStyle w:val="yTable"/>
              <w:tabs>
                <w:tab w:val="decimal" w:pos="993"/>
              </w:tabs>
            </w:pPr>
            <w:r>
              <w:t>10</w:t>
            </w:r>
          </w:p>
        </w:tc>
      </w:tr>
      <w:tr>
        <w:tc>
          <w:tcPr>
            <w:tcW w:w="5103"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2127" w:type="dxa"/>
          </w:tcPr>
          <w:p>
            <w:pPr>
              <w:pStyle w:val="yTable"/>
              <w:tabs>
                <w:tab w:val="decimal" w:pos="993"/>
              </w:tabs>
            </w:pPr>
            <w:r>
              <w:t>100</w:t>
            </w:r>
          </w:p>
        </w:tc>
      </w:tr>
      <w:tr>
        <w:tc>
          <w:tcPr>
            <w:tcW w:w="5103" w:type="dxa"/>
          </w:tcPr>
          <w:p>
            <w:pPr>
              <w:pStyle w:val="yTable"/>
              <w:ind w:left="568" w:hanging="568"/>
            </w:pPr>
            <w:r>
              <w:t>9.</w:t>
            </w:r>
            <w:r>
              <w:tab/>
              <w:t>Other waste</w:t>
            </w:r>
          </w:p>
        </w:tc>
        <w:tc>
          <w:tcPr>
            <w:tcW w:w="2127" w:type="dxa"/>
          </w:tcPr>
          <w:p>
            <w:pPr>
              <w:pStyle w:val="yTable"/>
              <w:tabs>
                <w:tab w:val="decimal" w:pos="993"/>
              </w:tabs>
            </w:pPr>
            <w:r>
              <w:t>1</w:t>
            </w:r>
          </w:p>
        </w:tc>
      </w:tr>
    </w:tbl>
    <w:p>
      <w:pPr>
        <w:pStyle w:val="yTable"/>
        <w:keepNext/>
        <w:spacing w:after="12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985"/>
      </w:tblGrid>
      <w:tr>
        <w:trPr>
          <w:tblHeader/>
        </w:trPr>
        <w:tc>
          <w:tcPr>
            <w:tcW w:w="5245" w:type="dxa"/>
          </w:tcPr>
          <w:p>
            <w:pPr>
              <w:pStyle w:val="yTable"/>
              <w:keepNext/>
              <w:spacing w:after="80"/>
              <w:jc w:val="center"/>
              <w:rPr>
                <w:b/>
              </w:rPr>
            </w:pPr>
            <w:r>
              <w:rPr>
                <w:b/>
              </w:rPr>
              <w:t>Kind of waste</w:t>
            </w:r>
          </w:p>
        </w:tc>
        <w:tc>
          <w:tcPr>
            <w:tcW w:w="1985" w:type="dxa"/>
          </w:tcPr>
          <w:p>
            <w:pPr>
              <w:pStyle w:val="yTable"/>
              <w:keepNext/>
              <w:spacing w:after="80"/>
              <w:jc w:val="center"/>
              <w:rPr>
                <w:b/>
              </w:rPr>
            </w:pPr>
            <w:r>
              <w:rPr>
                <w:b/>
              </w:rPr>
              <w:t>Fee units</w:t>
            </w:r>
          </w:p>
        </w:tc>
      </w:tr>
      <w:tr>
        <w:tc>
          <w:tcPr>
            <w:tcW w:w="5245" w:type="dxa"/>
          </w:tcPr>
          <w:p>
            <w:pPr>
              <w:pStyle w:val="yTable"/>
              <w:keepNext/>
              <w:ind w:left="567" w:hanging="567"/>
            </w:pPr>
            <w:r>
              <w:t>1.</w:t>
            </w:r>
            <w:r>
              <w:tab/>
              <w:t>Liquid waste that can potentially deprive receiving waters of oxygen (for each kilogram discharged per day) —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985" w:type="dxa"/>
          </w:tcPr>
          <w:p>
            <w:pPr>
              <w:pStyle w:val="yTable"/>
              <w:keepNext/>
              <w:tabs>
                <w:tab w:val="decimal" w:pos="993"/>
              </w:tabs>
            </w:pPr>
          </w:p>
          <w:p>
            <w:pPr>
              <w:pStyle w:val="yTable"/>
              <w:keepNext/>
              <w:tabs>
                <w:tab w:val="decimal" w:pos="993"/>
              </w:tabs>
            </w:pPr>
          </w:p>
          <w:p>
            <w:pPr>
              <w:pStyle w:val="yTable"/>
              <w:keepNext/>
              <w:tabs>
                <w:tab w:val="decimal" w:pos="993"/>
              </w:tabs>
              <w:spacing w:before="0"/>
            </w:pPr>
          </w:p>
          <w:p>
            <w:pPr>
              <w:pStyle w:val="yTable"/>
              <w:keepNext/>
              <w:tabs>
                <w:tab w:val="decimal" w:pos="993"/>
              </w:tabs>
              <w:spacing w:before="0"/>
            </w:pPr>
            <w:r>
              <w:t>0.5</w:t>
            </w:r>
          </w:p>
          <w:p>
            <w:pPr>
              <w:pStyle w:val="yTable"/>
              <w:keepNext/>
              <w:tabs>
                <w:tab w:val="decimal" w:pos="993"/>
              </w:tabs>
              <w:spacing w:before="0"/>
            </w:pPr>
          </w:p>
          <w:p>
            <w:pPr>
              <w:pStyle w:val="yTable"/>
              <w:keepNext/>
              <w:tabs>
                <w:tab w:val="decimal" w:pos="993"/>
              </w:tabs>
              <w:spacing w:before="80"/>
            </w:pPr>
            <w:r>
              <w:t>1</w:t>
            </w:r>
          </w:p>
          <w:p>
            <w:pPr>
              <w:pStyle w:val="yTable"/>
              <w:keepNext/>
              <w:tabs>
                <w:tab w:val="decimal" w:pos="993"/>
              </w:tabs>
              <w:spacing w:before="0"/>
            </w:pPr>
          </w:p>
          <w:p>
            <w:pPr>
              <w:pStyle w:val="yTable"/>
              <w:keepNext/>
              <w:tabs>
                <w:tab w:val="decimal" w:pos="993"/>
              </w:tabs>
              <w:spacing w:before="44"/>
            </w:pPr>
            <w:r>
              <w:t>0.5</w:t>
            </w:r>
          </w:p>
        </w:tc>
      </w:tr>
      <w:tr>
        <w:tc>
          <w:tcPr>
            <w:tcW w:w="5245" w:type="dxa"/>
          </w:tcPr>
          <w:p>
            <w:pPr>
              <w:pStyle w:val="yTable"/>
              <w:spacing w:before="44"/>
              <w:ind w:left="568" w:hanging="568"/>
            </w:pPr>
            <w:r>
              <w:t>2.</w:t>
            </w:r>
            <w:r>
              <w:tab/>
              <w:t>Biostimulants (for each kilogram discharged per day) — </w:t>
            </w:r>
          </w:p>
          <w:p>
            <w:pPr>
              <w:pStyle w:val="yTable"/>
              <w:spacing w:before="44"/>
              <w:ind w:left="1134" w:hanging="567"/>
            </w:pPr>
            <w:r>
              <w:t>(a)</w:t>
            </w:r>
            <w:r>
              <w:tab/>
              <w:t>phosphorus —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 </w:t>
            </w:r>
          </w:p>
          <w:p>
            <w:pPr>
              <w:pStyle w:val="yTable"/>
              <w:spacing w:before="44"/>
              <w:ind w:left="1701" w:hanging="567"/>
            </w:pPr>
            <w:r>
              <w:t>(i)</w:t>
            </w:r>
            <w:r>
              <w:tab/>
              <w:t>Swan Coastal Plain</w:t>
            </w:r>
          </w:p>
          <w:p>
            <w:pPr>
              <w:pStyle w:val="yTable"/>
              <w:spacing w:before="44"/>
              <w:ind w:left="1701" w:hanging="567"/>
            </w:pPr>
            <w:r>
              <w:t>(ii)</w:t>
            </w:r>
            <w:r>
              <w:tab/>
              <w:t>elsewhere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tc>
      </w:tr>
      <w:tr>
        <w:tc>
          <w:tcPr>
            <w:tcW w:w="5245" w:type="dxa"/>
          </w:tcPr>
          <w:p>
            <w:pPr>
              <w:pStyle w:val="yTable"/>
              <w:keepNext/>
              <w:spacing w:before="44"/>
              <w:ind w:left="568" w:hanging="568"/>
            </w:pPr>
            <w:r>
              <w:t>3.</w:t>
            </w:r>
            <w:r>
              <w:tab/>
              <w:t>Liquid waste that physically alters the characteristics of naturally occurring waters —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985" w:type="dxa"/>
          </w:tcPr>
          <w:p>
            <w:pPr>
              <w:pStyle w:val="yTable"/>
              <w:keepNext/>
              <w:tabs>
                <w:tab w:val="decimal" w:pos="993"/>
              </w:tabs>
              <w:spacing w:before="44"/>
            </w:pPr>
          </w:p>
          <w:p>
            <w:pPr>
              <w:pStyle w:val="yTable"/>
              <w:keepNext/>
              <w:tabs>
                <w:tab w:val="decimal" w:pos="993"/>
              </w:tabs>
              <w:spacing w:before="0"/>
            </w:pPr>
          </w:p>
          <w:p>
            <w:pPr>
              <w:pStyle w:val="yTable"/>
              <w:keepNext/>
              <w:tabs>
                <w:tab w:val="decimal" w:pos="993"/>
              </w:tabs>
              <w:spacing w:before="44"/>
            </w:pPr>
            <w:r>
              <w:t>0.5</w:t>
            </w:r>
          </w:p>
          <w:p>
            <w:pPr>
              <w:pStyle w:val="yTable"/>
              <w:keepNext/>
              <w:tabs>
                <w:tab w:val="decimal" w:pos="993"/>
              </w:tabs>
              <w:spacing w:before="0"/>
            </w:pPr>
          </w:p>
          <w:p>
            <w:pPr>
              <w:pStyle w:val="yTable"/>
              <w:keepNext/>
              <w:tabs>
                <w:tab w:val="decimal" w:pos="993"/>
              </w:tabs>
              <w:spacing w:before="44"/>
            </w:pPr>
            <w:r>
              <w:t>10</w:t>
            </w:r>
          </w:p>
        </w:tc>
      </w:tr>
      <w:tr>
        <w:tc>
          <w:tcPr>
            <w:tcW w:w="5245"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985" w:type="dxa"/>
          </w:tcPr>
          <w:p>
            <w:pPr>
              <w:pStyle w:val="yTable"/>
              <w:tabs>
                <w:tab w:val="decimal" w:pos="993"/>
              </w:tabs>
              <w:spacing w:before="44"/>
            </w:pPr>
            <w:r>
              <w:t>0.05</w:t>
            </w:r>
          </w:p>
        </w:tc>
      </w:tr>
      <w:tr>
        <w:trPr>
          <w:cantSplit/>
        </w:trPr>
        <w:tc>
          <w:tcPr>
            <w:tcW w:w="5245" w:type="dxa"/>
          </w:tcPr>
          <w:p>
            <w:pPr>
              <w:pStyle w:val="yTable"/>
              <w:keepLines/>
              <w:spacing w:before="44"/>
              <w:ind w:left="1134" w:hanging="567"/>
            </w:pPr>
            <w:r>
              <w:t>(d)</w:t>
            </w:r>
            <w:r>
              <w:tab/>
              <w:t>temperature alteration (for each 1°C above the ambient temperature of the waters in each megalitre discharged per day) —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985" w:type="dxa"/>
          </w:tcPr>
          <w:p>
            <w:pPr>
              <w:pStyle w:val="yTable"/>
              <w:keepLines/>
              <w:tabs>
                <w:tab w:val="decimal" w:pos="993"/>
              </w:tabs>
              <w:spacing w:before="44"/>
            </w:pPr>
          </w:p>
          <w:p>
            <w:pPr>
              <w:pStyle w:val="yTable"/>
              <w:keepLines/>
              <w:tabs>
                <w:tab w:val="decimal" w:pos="993"/>
              </w:tabs>
              <w:spacing w:before="0"/>
            </w:pPr>
          </w:p>
          <w:p>
            <w:pPr>
              <w:pStyle w:val="yTable"/>
              <w:keepLines/>
              <w:tabs>
                <w:tab w:val="decimal" w:pos="993"/>
              </w:tabs>
              <w:spacing w:before="0"/>
            </w:pPr>
          </w:p>
          <w:p>
            <w:pPr>
              <w:pStyle w:val="yTable"/>
              <w:keepLines/>
              <w:tabs>
                <w:tab w:val="decimal" w:pos="993"/>
              </w:tabs>
              <w:spacing w:before="44"/>
            </w:pPr>
            <w:r>
              <w:t>0.05</w:t>
            </w:r>
          </w:p>
          <w:p>
            <w:pPr>
              <w:pStyle w:val="yTable"/>
              <w:keepLines/>
              <w:tabs>
                <w:tab w:val="decimal" w:pos="993"/>
              </w:tabs>
              <w:spacing w:before="0"/>
            </w:pPr>
          </w:p>
          <w:p>
            <w:pPr>
              <w:pStyle w:val="yTable"/>
              <w:keepLines/>
              <w:tabs>
                <w:tab w:val="decimal" w:pos="993"/>
              </w:tabs>
              <w:spacing w:before="44"/>
            </w:pPr>
            <w:r>
              <w:t>0.25</w:t>
            </w:r>
          </w:p>
        </w:tc>
      </w:tr>
      <w:tr>
        <w:tc>
          <w:tcPr>
            <w:tcW w:w="5245" w:type="dxa"/>
          </w:tcPr>
          <w:p>
            <w:pPr>
              <w:pStyle w:val="yTable"/>
              <w:keepNext/>
              <w:spacing w:before="44"/>
              <w:ind w:left="567" w:hanging="567"/>
            </w:pPr>
            <w:r>
              <w:t>4.</w:t>
            </w:r>
            <w:r>
              <w:tab/>
              <w:t>Waste that can potentially accumulate in the environment or living tissue (for each kilogram discharged per day) —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pPr>
            <w:r>
              <w:t>100</w:t>
            </w:r>
          </w:p>
          <w:p>
            <w:pPr>
              <w:pStyle w:val="yTable"/>
              <w:tabs>
                <w:tab w:val="decimal" w:pos="993"/>
              </w:tabs>
            </w:pPr>
            <w:r>
              <w:t>10</w:t>
            </w:r>
          </w:p>
        </w:tc>
      </w:tr>
      <w:tr>
        <w:tc>
          <w:tcPr>
            <w:tcW w:w="5245" w:type="dxa"/>
          </w:tcPr>
          <w:p>
            <w:pPr>
              <w:pStyle w:val="yTable"/>
              <w:ind w:left="568" w:hanging="568"/>
            </w:pPr>
            <w:r>
              <w:t>5.</w:t>
            </w:r>
            <w:r>
              <w:rPr>
                <w:i/>
              </w:rPr>
              <w:tab/>
              <w:t>E coli</w:t>
            </w:r>
            <w:r>
              <w:t xml:space="preserve"> bacteria as indicator species (in each megalitre discharged per day) —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985" w:type="dxa"/>
          </w:tcPr>
          <w:p>
            <w:pPr>
              <w:pStyle w:val="yTable"/>
              <w:tabs>
                <w:tab w:val="decimal" w:pos="993"/>
              </w:tabs>
            </w:pPr>
          </w:p>
          <w:p>
            <w:pPr>
              <w:pStyle w:val="yTable"/>
              <w:tabs>
                <w:tab w:val="decimal" w:pos="993"/>
              </w:tabs>
              <w:spacing w:before="0"/>
            </w:pPr>
          </w:p>
          <w:p>
            <w:pPr>
              <w:pStyle w:val="yTable"/>
              <w:tabs>
                <w:tab w:val="decimal" w:pos="993"/>
              </w:tabs>
            </w:pPr>
            <w:r>
              <w:t>5</w:t>
            </w:r>
          </w:p>
          <w:p>
            <w:pPr>
              <w:pStyle w:val="yTable"/>
              <w:tabs>
                <w:tab w:val="decimal" w:pos="993"/>
              </w:tabs>
            </w:pPr>
            <w:r>
              <w:t>10</w:t>
            </w:r>
          </w:p>
          <w:p>
            <w:pPr>
              <w:pStyle w:val="yTable"/>
              <w:tabs>
                <w:tab w:val="decimal" w:pos="993"/>
              </w:tabs>
            </w:pPr>
            <w:r>
              <w:t>15</w:t>
            </w:r>
          </w:p>
        </w:tc>
      </w:tr>
      <w:tr>
        <w:tc>
          <w:tcPr>
            <w:tcW w:w="5245"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985" w:type="dxa"/>
          </w:tcPr>
          <w:p>
            <w:pPr>
              <w:pStyle w:val="yTable"/>
              <w:tabs>
                <w:tab w:val="decimal" w:pos="993"/>
              </w:tabs>
            </w:pPr>
          </w:p>
          <w:p>
            <w:pPr>
              <w:pStyle w:val="yTable"/>
              <w:tabs>
                <w:tab w:val="decimal" w:pos="993"/>
              </w:tabs>
            </w:pPr>
            <w:r>
              <w:t>0.05</w:t>
            </w:r>
          </w:p>
          <w:p>
            <w:pPr>
              <w:pStyle w:val="yTable"/>
              <w:tabs>
                <w:tab w:val="decimal" w:pos="993"/>
              </w:tabs>
            </w:pPr>
            <w:r>
              <w:t>0.05</w:t>
            </w:r>
          </w:p>
          <w:p>
            <w:pPr>
              <w:pStyle w:val="yTable"/>
              <w:tabs>
                <w:tab w:val="decimal" w:pos="993"/>
              </w:tabs>
            </w:pPr>
            <w:r>
              <w:t>1</w:t>
            </w:r>
          </w:p>
          <w:p>
            <w:pPr>
              <w:pStyle w:val="yTable"/>
              <w:tabs>
                <w:tab w:val="decimal" w:pos="993"/>
              </w:tabs>
            </w:pPr>
            <w:r>
              <w:t>1</w:t>
            </w:r>
          </w:p>
          <w:p>
            <w:pPr>
              <w:pStyle w:val="yTable"/>
              <w:tabs>
                <w:tab w:val="decimal" w:pos="993"/>
              </w:tabs>
            </w:pPr>
            <w:r>
              <w:t>10</w:t>
            </w:r>
          </w:p>
          <w:p>
            <w:pPr>
              <w:pStyle w:val="yTable"/>
              <w:tabs>
                <w:tab w:val="decimal" w:pos="993"/>
              </w:tabs>
            </w:pPr>
            <w:r>
              <w:t>1</w:t>
            </w:r>
          </w:p>
        </w:tc>
      </w:tr>
    </w:tbl>
    <w:p>
      <w:pPr>
        <w:pStyle w:val="yFootnotesection"/>
      </w:pPr>
      <w:r>
        <w:tab/>
        <w:t>[Part 3 inserted in Gazette 13 Sep 1996 p. 4565</w:t>
      </w:r>
      <w:r>
        <w:noBreakHyphen/>
        <w:t xml:space="preserve">7; amended in Gazette 10 Dec 1996 p. 6878; 15 Aug 2000 p. 4718; 29 Sep 2006 p. 4266; 22 Jun 2007 p. 2844.] </w:t>
      </w:r>
    </w:p>
    <w:p>
      <w:pPr>
        <w:pStyle w:val="yScheduleHeading"/>
      </w:pPr>
      <w:bookmarkStart w:id="1281" w:name="_Toc12952252"/>
      <w:bookmarkStart w:id="1282" w:name="_Toc94331088"/>
      <w:bookmarkStart w:id="1283" w:name="_Toc122159481"/>
      <w:bookmarkStart w:id="1284" w:name="_Toc122232980"/>
      <w:bookmarkStart w:id="1285" w:name="_Toc147220617"/>
      <w:bookmarkStart w:id="1286" w:name="_Toc147223968"/>
      <w:bookmarkStart w:id="1287" w:name="_Toc165445003"/>
      <w:bookmarkStart w:id="1288" w:name="_Toc170557783"/>
      <w:bookmarkStart w:id="1289" w:name="_Toc170795174"/>
      <w:bookmarkStart w:id="1290" w:name="_Toc172709279"/>
      <w:bookmarkStart w:id="1291" w:name="_Toc172964763"/>
      <w:bookmarkStart w:id="1292" w:name="_Toc174158480"/>
      <w:bookmarkStart w:id="1293" w:name="_Toc174359033"/>
      <w:bookmarkStart w:id="1294" w:name="_Toc174518624"/>
      <w:bookmarkStart w:id="1295" w:name="_Toc176170569"/>
      <w:bookmarkStart w:id="1296" w:name="_Toc181431128"/>
      <w:bookmarkStart w:id="1297" w:name="_Toc181497584"/>
      <w:bookmarkStart w:id="1298" w:name="_Toc202254251"/>
      <w:r>
        <w:rPr>
          <w:rStyle w:val="CharSchNo"/>
        </w:rPr>
        <w:t>Schedule 5</w:t>
      </w:r>
      <w:r>
        <w:t xml:space="preserve"> — </w:t>
      </w:r>
      <w:r>
        <w:rPr>
          <w:rStyle w:val="CharSchText"/>
        </w:rPr>
        <w:t>Tyre landfill exclusion zone</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yShoulderClause"/>
        <w:rPr>
          <w:snapToGrid w:val="0"/>
        </w:rPr>
      </w:pPr>
      <w:r>
        <w:rPr>
          <w:snapToGrid w:val="0"/>
        </w:rPr>
        <w:t>[r. 11(1)]</w:t>
      </w:r>
    </w:p>
    <w:p>
      <w:pPr>
        <w:pStyle w:val="yFootnoteheading"/>
      </w:pPr>
      <w:bookmarkStart w:id="1299" w:name="_Toc172709280"/>
      <w:r>
        <w:tab/>
        <w:t>[Heading inserted in Gazette 10 Dec 1996 p. 6879.]</w:t>
      </w:r>
    </w:p>
    <w:p>
      <w:pPr>
        <w:pStyle w:val="yHeading2"/>
      </w:pPr>
      <w:bookmarkStart w:id="1300" w:name="_Toc172964764"/>
      <w:bookmarkStart w:id="1301" w:name="_Toc174158481"/>
      <w:bookmarkStart w:id="1302" w:name="_Toc174359034"/>
      <w:bookmarkStart w:id="1303" w:name="_Toc174518625"/>
      <w:bookmarkStart w:id="1304" w:name="_Toc176170570"/>
      <w:bookmarkStart w:id="1305" w:name="_Toc181431129"/>
      <w:bookmarkStart w:id="1306" w:name="_Toc181497585"/>
      <w:bookmarkStart w:id="1307" w:name="_Toc202254252"/>
      <w:r>
        <w:rPr>
          <w:rStyle w:val="CharSDivNo"/>
          <w:sz w:val="28"/>
        </w:rPr>
        <w:t>Part 1</w:t>
      </w:r>
      <w:r>
        <w:t> — </w:t>
      </w:r>
      <w:r>
        <w:rPr>
          <w:rStyle w:val="CharSDivText"/>
          <w:sz w:val="28"/>
        </w:rPr>
        <w:t>Metropolitan</w:t>
      </w:r>
      <w:bookmarkEnd w:id="1299"/>
      <w:bookmarkEnd w:id="1300"/>
      <w:bookmarkEnd w:id="1301"/>
      <w:bookmarkEnd w:id="1302"/>
      <w:bookmarkEnd w:id="1303"/>
      <w:bookmarkEnd w:id="1304"/>
      <w:bookmarkEnd w:id="1305"/>
      <w:bookmarkEnd w:id="1306"/>
      <w:bookmarkEnd w:id="1307"/>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r>
              <w:t>Belmont</w:t>
            </w:r>
          </w:p>
          <w:p>
            <w:pPr>
              <w:pStyle w:val="yTable"/>
            </w:pPr>
            <w:r>
              <w:t>Cambridge</w:t>
            </w:r>
          </w:p>
          <w:p>
            <w:pPr>
              <w:pStyle w:val="yTable"/>
            </w:pPr>
            <w:r>
              <w:t>Canning</w:t>
            </w:r>
          </w:p>
          <w:p>
            <w:pPr>
              <w:pStyle w:val="yTable"/>
            </w:pPr>
            <w:r>
              <w:t>Claremont</w:t>
            </w:r>
          </w:p>
          <w:p>
            <w:pPr>
              <w:pStyle w:val="yTable"/>
            </w:pPr>
            <w:r>
              <w:t>Cockburn</w:t>
            </w:r>
          </w:p>
          <w:p>
            <w:pPr>
              <w:pStyle w:val="yTable"/>
            </w:pPr>
            <w:r>
              <w:t>Cottesloe</w:t>
            </w:r>
          </w:p>
          <w:p>
            <w:pPr>
              <w:pStyle w:val="yTable"/>
            </w:pPr>
            <w:r>
              <w:t>East Fremantle</w:t>
            </w:r>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r>
              <w:t>Mosman Park</w:t>
            </w:r>
          </w:p>
          <w:p>
            <w:pPr>
              <w:pStyle w:val="yTable"/>
            </w:pPr>
            <w:r>
              <w:t>Mundaring</w:t>
            </w:r>
          </w:p>
          <w:p>
            <w:pPr>
              <w:pStyle w:val="yTable"/>
            </w:pPr>
            <w:r>
              <w:t>Nedlands</w:t>
            </w:r>
          </w:p>
          <w:p>
            <w:pPr>
              <w:pStyle w:val="yTable"/>
            </w:pPr>
            <w:r>
              <w:t>Peppermint Grove</w:t>
            </w:r>
          </w:p>
          <w:p>
            <w:pPr>
              <w:pStyle w:val="yTable"/>
            </w:pPr>
            <w:r>
              <w:t>Perth</w:t>
            </w:r>
          </w:p>
        </w:tc>
        <w:tc>
          <w:tcPr>
            <w:tcW w:w="2127" w:type="dxa"/>
          </w:tcPr>
          <w:p>
            <w:pPr>
              <w:pStyle w:val="yTable"/>
            </w:pPr>
            <w:r>
              <w:t>Rockingham</w:t>
            </w:r>
          </w:p>
          <w:p>
            <w:pPr>
              <w:pStyle w:val="yTable"/>
            </w:pPr>
            <w:r>
              <w:t>Serpentine</w:t>
            </w:r>
            <w:r>
              <w:noBreakHyphen/>
            </w:r>
          </w:p>
          <w:p>
            <w:pPr>
              <w:pStyle w:val="yTable"/>
            </w:pPr>
            <w:r>
              <w:t>Jarrahdale</w:t>
            </w:r>
          </w:p>
          <w:p>
            <w:pPr>
              <w:pStyle w:val="yTable"/>
            </w:pPr>
            <w:r>
              <w:t>South Perth</w:t>
            </w:r>
          </w:p>
          <w:p>
            <w:pPr>
              <w:pStyle w:val="yTable"/>
            </w:pPr>
            <w:r>
              <w:t>Stirling</w:t>
            </w:r>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2"/>
      </w:pPr>
      <w:bookmarkStart w:id="1308" w:name="_Toc172709281"/>
      <w:bookmarkStart w:id="1309" w:name="_Toc172964765"/>
      <w:bookmarkStart w:id="1310" w:name="_Toc174158482"/>
      <w:bookmarkStart w:id="1311" w:name="_Toc174359035"/>
      <w:bookmarkStart w:id="1312" w:name="_Toc174518626"/>
      <w:bookmarkStart w:id="1313" w:name="_Toc176170571"/>
      <w:bookmarkStart w:id="1314" w:name="_Toc181431130"/>
      <w:bookmarkStart w:id="1315" w:name="_Toc181497586"/>
      <w:bookmarkStart w:id="1316" w:name="_Toc202254253"/>
      <w:r>
        <w:rPr>
          <w:rStyle w:val="CharSDivNo"/>
          <w:sz w:val="28"/>
        </w:rPr>
        <w:t>Part 2</w:t>
      </w:r>
      <w:r>
        <w:t> — </w:t>
      </w:r>
      <w:r>
        <w:rPr>
          <w:rStyle w:val="CharSDivText"/>
          <w:sz w:val="28"/>
        </w:rPr>
        <w:t>Country</w:t>
      </w:r>
      <w:bookmarkEnd w:id="1308"/>
      <w:bookmarkEnd w:id="1309"/>
      <w:bookmarkEnd w:id="1310"/>
      <w:bookmarkEnd w:id="1311"/>
      <w:bookmarkEnd w:id="1312"/>
      <w:bookmarkEnd w:id="1313"/>
      <w:bookmarkEnd w:id="1314"/>
      <w:bookmarkEnd w:id="1315"/>
      <w:bookmarkEnd w:id="1316"/>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r>
              <w:t>Murray</w:t>
            </w:r>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r>
              <w:t>York</w:t>
            </w:r>
          </w:p>
        </w:tc>
      </w:tr>
    </w:tbl>
    <w:p>
      <w:pPr>
        <w:pStyle w:val="yFootnotesection"/>
      </w:pPr>
      <w:r>
        <w:tab/>
        <w:t>[Part 2 inserted in Gazette 10 Dec 1996 p. 6879.]</w:t>
      </w:r>
    </w:p>
    <w:p>
      <w:pPr>
        <w:pStyle w:val="yScheduleHeading"/>
        <w:rPr>
          <w:rStyle w:val="CharSchNo"/>
        </w:rPr>
        <w:sectPr>
          <w:headerReference w:type="even" r:id="rId16"/>
          <w:headerReference w:type="default" r:id="rId17"/>
          <w:headerReference w:type="first" r:id="rId18"/>
          <w:pgSz w:w="11906" w:h="16838" w:code="9"/>
          <w:pgMar w:top="2376" w:right="2405" w:bottom="3542" w:left="2405" w:header="706" w:footer="3380" w:gutter="0"/>
          <w:cols w:space="720"/>
          <w:noEndnote/>
          <w:docGrid w:linePitch="326"/>
        </w:sectPr>
      </w:pPr>
      <w:bookmarkStart w:id="1317" w:name="_Toc12952253"/>
      <w:bookmarkStart w:id="1318" w:name="_Toc94331089"/>
      <w:bookmarkStart w:id="1319" w:name="_Toc122159482"/>
      <w:bookmarkStart w:id="1320" w:name="_Toc122232981"/>
      <w:bookmarkStart w:id="1321" w:name="_Toc147220618"/>
      <w:bookmarkStart w:id="1322" w:name="_Toc147223969"/>
      <w:bookmarkStart w:id="1323" w:name="_Toc165445004"/>
      <w:bookmarkStart w:id="1324" w:name="_Toc170557784"/>
      <w:bookmarkStart w:id="1325" w:name="_Toc170795175"/>
    </w:p>
    <w:p>
      <w:pPr>
        <w:pStyle w:val="yScheduleHeading"/>
      </w:pPr>
      <w:bookmarkStart w:id="1326" w:name="_Toc172709282"/>
      <w:bookmarkStart w:id="1327" w:name="_Toc172964766"/>
      <w:bookmarkStart w:id="1328" w:name="_Toc174158483"/>
      <w:bookmarkStart w:id="1329" w:name="_Toc174359036"/>
      <w:bookmarkStart w:id="1330" w:name="_Toc174518627"/>
      <w:bookmarkStart w:id="1331" w:name="_Toc176170572"/>
      <w:bookmarkStart w:id="1332" w:name="_Toc181431131"/>
      <w:bookmarkStart w:id="1333" w:name="_Toc181497587"/>
      <w:bookmarkStart w:id="1334" w:name="_Toc202254254"/>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yShoulderClause"/>
      </w:pPr>
      <w:r>
        <w:t>[r. 16B]</w:t>
      </w:r>
    </w:p>
    <w:p>
      <w:pPr>
        <w:pStyle w:val="yFootnoteheading"/>
      </w:pPr>
      <w:bookmarkStart w:id="1335" w:name="_Toc503260629"/>
      <w:bookmarkStart w:id="1336" w:name="_Toc505661487"/>
      <w:bookmarkStart w:id="1337" w:name="_Toc12076732"/>
      <w:bookmarkStart w:id="1338" w:name="_Toc12952254"/>
      <w:bookmarkStart w:id="1339" w:name="_Toc122232982"/>
      <w:r>
        <w:tab/>
        <w:t>[Heading inserted in Gazette 19 Dec 2000 p. 7284.]</w:t>
      </w:r>
    </w:p>
    <w:p>
      <w:pPr>
        <w:pStyle w:val="yHeading5"/>
      </w:pPr>
      <w:bookmarkStart w:id="1340" w:name="_Toc202254255"/>
      <w:bookmarkStart w:id="1341" w:name="_Toc181497588"/>
      <w:r>
        <w:rPr>
          <w:rStyle w:val="CharSClsNo"/>
        </w:rPr>
        <w:t>1</w:t>
      </w:r>
      <w:r>
        <w:t>.</w:t>
      </w:r>
      <w:r>
        <w:tab/>
        <w:t>Perth metropolitan area</w:t>
      </w:r>
      <w:bookmarkEnd w:id="1335"/>
      <w:bookmarkEnd w:id="1336"/>
      <w:bookmarkEnd w:id="1337"/>
      <w:bookmarkEnd w:id="1338"/>
      <w:bookmarkEnd w:id="1339"/>
      <w:bookmarkEnd w:id="1340"/>
      <w:bookmarkEnd w:id="1341"/>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bookmarkStart w:id="1342" w:name="_Toc503260630"/>
      <w:bookmarkStart w:id="1343" w:name="_Toc505661488"/>
      <w:bookmarkStart w:id="1344" w:name="_Toc12076733"/>
      <w:bookmarkStart w:id="1345" w:name="_Toc12952255"/>
      <w:bookmarkStart w:id="1346" w:name="_Toc122232983"/>
      <w:r>
        <w:tab/>
        <w:t>[Clause 1 inserted in Gazette 19 Dec 2000 p. 7284.]</w:t>
      </w:r>
    </w:p>
    <w:p>
      <w:pPr>
        <w:pStyle w:val="yHeading5"/>
      </w:pPr>
      <w:bookmarkStart w:id="1347" w:name="_Toc202254256"/>
      <w:bookmarkStart w:id="1348" w:name="_Toc181497589"/>
      <w:r>
        <w:rPr>
          <w:rStyle w:val="CharSClsNo"/>
        </w:rPr>
        <w:t>2</w:t>
      </w:r>
      <w:r>
        <w:t>.</w:t>
      </w:r>
      <w:r>
        <w:tab/>
        <w:t>Mandurah area</w:t>
      </w:r>
      <w:bookmarkEnd w:id="1342"/>
      <w:bookmarkEnd w:id="1343"/>
      <w:bookmarkEnd w:id="1344"/>
      <w:bookmarkEnd w:id="1345"/>
      <w:bookmarkEnd w:id="1346"/>
      <w:bookmarkEnd w:id="1347"/>
      <w:bookmarkEnd w:id="1348"/>
    </w:p>
    <w:p>
      <w:pPr>
        <w:pStyle w:val="ySubsection"/>
      </w:pPr>
      <w:r>
        <w:tab/>
      </w:r>
      <w:r>
        <w:tab/>
        <w:t>The area comprising the local government district of the City of Mandurah.</w:t>
      </w:r>
    </w:p>
    <w:p>
      <w:pPr>
        <w:pStyle w:val="yFootnotesection"/>
      </w:pPr>
      <w:r>
        <w:tab/>
        <w:t>[Clause 2 inserted in Gazette 19 Dec 2000 p. 7284.]</w:t>
      </w:r>
    </w:p>
    <w:p>
      <w:pPr>
        <w:pStyle w:val="yScheduleHeading"/>
        <w:rPr>
          <w:rStyle w:val="CharSchNo"/>
        </w:rPr>
        <w:sectPr>
          <w:headerReference w:type="even" r:id="rId19"/>
          <w:headerReference w:type="default" r:id="rId20"/>
          <w:pgSz w:w="11906" w:h="16838" w:code="9"/>
          <w:pgMar w:top="2376" w:right="2405" w:bottom="3542" w:left="2405" w:header="706" w:footer="3380" w:gutter="0"/>
          <w:cols w:space="720"/>
          <w:noEndnote/>
          <w:docGrid w:linePitch="326"/>
        </w:sectPr>
      </w:pPr>
      <w:bookmarkStart w:id="1349" w:name="_Toc12952256"/>
      <w:bookmarkStart w:id="1350" w:name="_Toc94331092"/>
      <w:bookmarkStart w:id="1351" w:name="_Toc122159485"/>
      <w:bookmarkStart w:id="1352" w:name="_Toc122232984"/>
      <w:bookmarkStart w:id="1353" w:name="_Toc147220621"/>
      <w:bookmarkStart w:id="1354" w:name="_Toc147223972"/>
      <w:bookmarkStart w:id="1355" w:name="_Toc165445007"/>
      <w:bookmarkStart w:id="1356" w:name="_Toc170557787"/>
      <w:bookmarkStart w:id="1357" w:name="_Toc170795178"/>
    </w:p>
    <w:p>
      <w:pPr>
        <w:pStyle w:val="yScheduleHeading"/>
      </w:pPr>
      <w:bookmarkStart w:id="1358" w:name="_Toc172709285"/>
      <w:bookmarkStart w:id="1359" w:name="_Toc172964769"/>
      <w:bookmarkStart w:id="1360" w:name="_Toc174158486"/>
      <w:bookmarkStart w:id="1361" w:name="_Toc174359039"/>
      <w:bookmarkStart w:id="1362" w:name="_Toc174518630"/>
      <w:bookmarkStart w:id="1363" w:name="_Toc176170575"/>
      <w:bookmarkStart w:id="1364" w:name="_Toc181431134"/>
      <w:bookmarkStart w:id="1365" w:name="_Toc181497590"/>
      <w:bookmarkStart w:id="1366" w:name="_Toc202254257"/>
      <w:r>
        <w:rPr>
          <w:rStyle w:val="CharSchNo"/>
        </w:rPr>
        <w:t>Schedule 6</w:t>
      </w:r>
      <w:r>
        <w:t xml:space="preserve"> — </w:t>
      </w:r>
      <w:r>
        <w:rPr>
          <w:rStyle w:val="CharSchText"/>
        </w:rPr>
        <w:t>Infringement notice offences</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yShoulderClause"/>
        <w:spacing w:after="120"/>
      </w:pPr>
      <w:r>
        <w:t>[r. 41]</w:t>
      </w:r>
    </w:p>
    <w:tbl>
      <w:tblPr>
        <w:tblW w:w="723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Borders>
              <w:top w:val="nil"/>
              <w:left w:val="nil"/>
              <w:bottom w:val="nil"/>
              <w:right w:val="nil"/>
            </w:tcBorders>
          </w:tcPr>
          <w:p>
            <w:pPr>
              <w:pStyle w:val="yTable"/>
              <w:jc w:val="center"/>
              <w:rPr>
                <w:b/>
              </w:rPr>
            </w:pPr>
            <w:r>
              <w:rPr>
                <w:b/>
              </w:rPr>
              <w:t>Infringement notice offence</w:t>
            </w:r>
          </w:p>
        </w:tc>
        <w:tc>
          <w:tcPr>
            <w:tcW w:w="1843" w:type="dxa"/>
            <w:tcBorders>
              <w:top w:val="nil"/>
              <w:left w:val="nil"/>
              <w:bottom w:val="nil"/>
              <w:right w:val="nil"/>
            </w:tcBorders>
          </w:tcPr>
          <w:p>
            <w:pPr>
              <w:pStyle w:val="yTable"/>
              <w:jc w:val="center"/>
              <w:rPr>
                <w:b/>
              </w:rPr>
            </w:pPr>
            <w:r>
              <w:rPr>
                <w:b/>
              </w:rPr>
              <w:t>Modified penalty for first offence</w:t>
            </w:r>
          </w:p>
          <w:p>
            <w:pPr>
              <w:pStyle w:val="yTable"/>
              <w:spacing w:before="0"/>
              <w:jc w:val="center"/>
              <w:rPr>
                <w:b/>
              </w:rPr>
            </w:pPr>
          </w:p>
          <w:p>
            <w:pPr>
              <w:pStyle w:val="yTable"/>
              <w:jc w:val="center"/>
              <w:rPr>
                <w:b/>
              </w:rPr>
            </w:pPr>
            <w:r>
              <w:rPr>
                <w:b/>
              </w:rPr>
              <w:t>$</w:t>
            </w:r>
          </w:p>
        </w:tc>
        <w:tc>
          <w:tcPr>
            <w:tcW w:w="2410" w:type="dxa"/>
            <w:tcBorders>
              <w:top w:val="nil"/>
              <w:left w:val="nil"/>
              <w:bottom w:val="nil"/>
              <w:right w:val="nil"/>
            </w:tcBorders>
          </w:tcPr>
          <w:p>
            <w:pPr>
              <w:pStyle w:val="yTable"/>
              <w:jc w:val="center"/>
              <w:rPr>
                <w:b/>
              </w:rPr>
            </w:pPr>
            <w:r>
              <w:rPr>
                <w:b/>
              </w:rPr>
              <w:t>Modified penalty</w:t>
            </w:r>
          </w:p>
          <w:p>
            <w:pPr>
              <w:pStyle w:val="yTable"/>
              <w:spacing w:before="0"/>
              <w:jc w:val="center"/>
              <w:rPr>
                <w:b/>
              </w:rPr>
            </w:pPr>
            <w:r>
              <w:rPr>
                <w:b/>
              </w:rPr>
              <w:t>for subsequent</w:t>
            </w:r>
          </w:p>
          <w:p>
            <w:pPr>
              <w:pStyle w:val="yTable"/>
              <w:spacing w:before="0"/>
              <w:jc w:val="center"/>
              <w:rPr>
                <w:b/>
              </w:rPr>
            </w:pPr>
            <w:r>
              <w:rPr>
                <w:b/>
              </w:rPr>
              <w:t>offence</w:t>
            </w:r>
          </w:p>
          <w:p>
            <w:pPr>
              <w:pStyle w:val="yTable"/>
              <w:jc w:val="center"/>
              <w:rPr>
                <w:b/>
              </w:rPr>
            </w:pPr>
            <w:r>
              <w:rPr>
                <w:b/>
              </w:rPr>
              <w:t>$</w:t>
            </w:r>
          </w:p>
        </w:tc>
      </w:tr>
      <w:tr>
        <w:tc>
          <w:tcPr>
            <w:tcW w:w="2977" w:type="dxa"/>
            <w:tcBorders>
              <w:top w:val="nil"/>
              <w:left w:val="nil"/>
              <w:bottom w:val="nil"/>
              <w:right w:val="nil"/>
            </w:tcBorders>
          </w:tcPr>
          <w:p>
            <w:pPr>
              <w:pStyle w:val="yTable"/>
              <w:tabs>
                <w:tab w:val="left" w:pos="482"/>
              </w:tabs>
              <w:rPr>
                <w:i/>
              </w:rPr>
            </w:pPr>
            <w:r>
              <w:rPr>
                <w:i/>
              </w:rPr>
              <w:t>Environmental Protection Act 1986</w:t>
            </w:r>
          </w:p>
        </w:tc>
        <w:tc>
          <w:tcPr>
            <w:tcW w:w="1843" w:type="dxa"/>
            <w:tcBorders>
              <w:top w:val="nil"/>
              <w:left w:val="nil"/>
              <w:bottom w:val="nil"/>
              <w:right w:val="nil"/>
            </w:tcBorders>
          </w:tcPr>
          <w:p>
            <w:pPr>
              <w:pStyle w:val="yTable"/>
              <w:jc w:val="center"/>
              <w:rPr>
                <w:sz w:val="20"/>
              </w:rP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82"/>
              </w:tabs>
              <w:rPr>
                <w:i/>
              </w:rPr>
            </w:pPr>
            <w:r>
              <w:t>1.</w:t>
            </w:r>
            <w:r>
              <w:tab/>
              <w:t xml:space="preserve">section 77(1), </w:t>
            </w:r>
            <w:r>
              <w:rPr>
                <w:spacing w:val="-4"/>
              </w:rPr>
              <w:t>(2)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2.</w:t>
            </w:r>
            <w:r>
              <w:tab/>
              <w:t>section 78(1)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3.</w:t>
            </w:r>
            <w:r>
              <w:tab/>
              <w:t>section 79(1)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4.</w:t>
            </w:r>
            <w:r>
              <w:tab/>
              <w:t>section 80</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5.</w:t>
            </w:r>
            <w:r>
              <w:tab/>
              <w:t>section 84(1)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6.</w:t>
            </w:r>
            <w:r>
              <w:tab/>
              <w:t>section 85(1</w:t>
            </w:r>
            <w:r>
              <w:rPr>
                <w:i/>
              </w:rPr>
              <w:t>)</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7.</w:t>
            </w:r>
            <w:r>
              <w:tab/>
              <w:t>section 97(2)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8.</w:t>
            </w:r>
            <w:r>
              <w:tab/>
              <w:t>section 110H(6)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Regulations 1987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5B(1) or (4)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5M(4)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13(1)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13A(1)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16(1)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16(2)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7.</w:t>
            </w:r>
            <w:r>
              <w:tab/>
              <w:t>regulation 16(3)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8.</w:t>
            </w:r>
            <w:r>
              <w:tab/>
              <w:t>regulation 16B</w:t>
            </w:r>
          </w:p>
        </w:tc>
        <w:tc>
          <w:tcPr>
            <w:tcW w:w="1843" w:type="dxa"/>
            <w:tcBorders>
              <w:top w:val="nil"/>
              <w:left w:val="nil"/>
              <w:bottom w:val="nil"/>
              <w:right w:val="nil"/>
            </w:tcBorders>
          </w:tcPr>
          <w:p>
            <w:pPr>
              <w:pStyle w:val="yTable"/>
              <w:jc w:val="center"/>
            </w:pPr>
            <w:r>
              <w:t>500</w:t>
            </w:r>
          </w:p>
        </w:tc>
        <w:tc>
          <w:tcPr>
            <w:tcW w:w="2410" w:type="dxa"/>
            <w:tcBorders>
              <w:top w:val="nil"/>
              <w:left w:val="nil"/>
              <w:bottom w:val="nil"/>
              <w:right w:val="nil"/>
            </w:tcBorders>
          </w:tcPr>
          <w:p>
            <w:pPr>
              <w:pStyle w:val="yTable"/>
              <w:jc w:val="center"/>
            </w:pPr>
            <w:r>
              <w:t>1 000</w:t>
            </w:r>
          </w:p>
        </w:tc>
      </w:tr>
      <w:tr>
        <w:tc>
          <w:tcPr>
            <w:tcW w:w="2977" w:type="dxa"/>
            <w:tcBorders>
              <w:top w:val="nil"/>
              <w:left w:val="nil"/>
              <w:bottom w:val="nil"/>
              <w:right w:val="nil"/>
            </w:tcBorders>
          </w:tcPr>
          <w:p>
            <w:pPr>
              <w:pStyle w:val="yTable"/>
              <w:tabs>
                <w:tab w:val="left" w:pos="459"/>
              </w:tabs>
            </w:pPr>
            <w:r>
              <w:t>9.</w:t>
            </w:r>
            <w:r>
              <w:tab/>
              <w:t>regulation 26(1)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9A.</w:t>
            </w:r>
            <w:r>
              <w:tab/>
              <w:t>regulation 26(5)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10.</w:t>
            </w:r>
            <w:r>
              <w:tab/>
              <w:t>regulation 28(2)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11.</w:t>
            </w:r>
            <w:r>
              <w:tab/>
              <w:t>regulation 28(4)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12.</w:t>
            </w:r>
            <w:r>
              <w:tab/>
              <w:t>regulation 28(8)</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13.</w:t>
            </w:r>
            <w:r>
              <w:tab/>
              <w:t>regulation 29(5)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14.</w:t>
            </w:r>
            <w:r>
              <w:tab/>
              <w:t>regulation 31(2)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rPr>
                <w:i/>
              </w:rPr>
              <w:t>Environmental Protection (Recovery of Vapours from the Transfer of Organic Liquids) Regulations 1995</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7(1)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8(1)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8(5)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9(1)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9(5)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10</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11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12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13(1)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10.</w:t>
            </w:r>
            <w:r>
              <w:tab/>
              <w:t>regulation 13(2)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120"/>
            </w:pPr>
            <w:r>
              <w:rPr>
                <w:i/>
              </w:rPr>
              <w:t>Environmental Protection (Noise) Regulations 1997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6(2)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23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100"/>
            </w:pPr>
            <w:r>
              <w:rPr>
                <w:i/>
              </w:rPr>
              <w:t>Environmental Protection (Fibre Reinforced Plastics)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3(3)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4(1)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tabs>
                <w:tab w:val="left" w:pos="459"/>
              </w:tabs>
              <w:spacing w:before="100"/>
            </w:pPr>
            <w:r>
              <w:rPr>
                <w:i/>
              </w:rPr>
              <w:t>Environmental Protection (Abrasive Blasting) Regulations 1998</w:t>
            </w:r>
          </w:p>
        </w:tc>
        <w:tc>
          <w:tcPr>
            <w:tcW w:w="1843" w:type="dxa"/>
            <w:tcBorders>
              <w:top w:val="nil"/>
              <w:left w:val="nil"/>
              <w:bottom w:val="nil"/>
              <w:right w:val="nil"/>
            </w:tcBorders>
          </w:tcPr>
          <w:p>
            <w:pPr>
              <w:pStyle w:val="yTable"/>
              <w:keepNext/>
              <w:jc w:val="center"/>
            </w:pPr>
          </w:p>
        </w:tc>
        <w:tc>
          <w:tcPr>
            <w:tcW w:w="2410" w:type="dxa"/>
            <w:tcBorders>
              <w:top w:val="nil"/>
              <w:left w:val="nil"/>
              <w:bottom w:val="nil"/>
              <w:right w:val="nil"/>
            </w:tcBorders>
          </w:tcPr>
          <w:p>
            <w:pPr>
              <w:pStyle w:val="yTable"/>
              <w:keepNext/>
              <w:jc w:val="center"/>
            </w:pPr>
          </w:p>
        </w:tc>
      </w:tr>
      <w:tr>
        <w:tc>
          <w:tcPr>
            <w:tcW w:w="2977" w:type="dxa"/>
            <w:tcBorders>
              <w:top w:val="nil"/>
              <w:left w:val="nil"/>
              <w:bottom w:val="nil"/>
              <w:right w:val="nil"/>
            </w:tcBorders>
          </w:tcPr>
          <w:p>
            <w:pPr>
              <w:pStyle w:val="yTable"/>
              <w:tabs>
                <w:tab w:val="left" w:pos="459"/>
              </w:tabs>
              <w:spacing w:before="40"/>
            </w:pPr>
            <w:r>
              <w:t>1.</w:t>
            </w:r>
            <w:r>
              <w:tab/>
              <w:t>regulation 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keepLines/>
              <w:tabs>
                <w:tab w:val="left" w:pos="459"/>
              </w:tabs>
              <w:spacing w:before="160"/>
            </w:pPr>
            <w:r>
              <w:rPr>
                <w:i/>
              </w:rPr>
              <w:t>Environmental Protection (Concrete Batching and Cement Product Manufacturing)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4(1)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4(2)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5(3)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5(4)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6(1)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10.</w:t>
            </w:r>
            <w:r>
              <w:tab/>
              <w:t>regulation 6(3)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11.</w:t>
            </w:r>
            <w:r>
              <w:tab/>
              <w:t>regulation 6(4)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12.</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13.</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14.</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15.</w:t>
            </w:r>
            <w:r>
              <w:tab/>
              <w:t>regulation 8(2)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4"/>
            </w:pPr>
            <w:r>
              <w:t>16.</w:t>
            </w:r>
            <w:r>
              <w:tab/>
              <w:t>regulation 9(1)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17.</w:t>
            </w:r>
            <w:r>
              <w:tab/>
              <w:t>regulation 9(2)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18.</w:t>
            </w:r>
            <w:r>
              <w:tab/>
              <w:t>regulation 10(1)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19.</w:t>
            </w:r>
            <w:r>
              <w:tab/>
              <w:t>regulation 10(2)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0"/>
            </w:pPr>
            <w:r>
              <w:t>20.</w:t>
            </w:r>
            <w:r>
              <w:tab/>
              <w:t>regulation 11(1)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21.</w:t>
            </w:r>
            <w:r>
              <w:tab/>
              <w:t>regulation 11(2)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22.</w:t>
            </w:r>
            <w:r>
              <w:tab/>
              <w:t>regulation 12(1)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23.</w:t>
            </w:r>
            <w:r>
              <w:tab/>
              <w:t>regulation 12(2)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tabs>
                <w:tab w:val="left" w:pos="459"/>
              </w:tabs>
              <w:spacing w:before="40"/>
            </w:pPr>
            <w:r>
              <w:t>24.</w:t>
            </w:r>
            <w:r>
              <w:tab/>
              <w:t>regulation 12(3)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25.</w:t>
            </w:r>
            <w:r>
              <w:tab/>
              <w:t>regulation 13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5"/>
        </w:trPr>
        <w:tc>
          <w:tcPr>
            <w:tcW w:w="2977" w:type="dxa"/>
            <w:tcBorders>
              <w:top w:val="nil"/>
              <w:left w:val="nil"/>
              <w:bottom w:val="nil"/>
              <w:right w:val="nil"/>
            </w:tcBorders>
          </w:tcPr>
          <w:p>
            <w:pPr>
              <w:pStyle w:val="yTable"/>
              <w:spacing w:before="160"/>
              <w:rPr>
                <w:bCs/>
              </w:rPr>
            </w:pPr>
            <w:r>
              <w:rPr>
                <w:bCs/>
                <w:i/>
              </w:rPr>
              <w:t>Environmental Protection (Domestic Solid Fuel Burning Appliances and Firewood Supply)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rPr>
          <w:cantSplit/>
          <w:trHeight w:val="52"/>
        </w:trPr>
        <w:tc>
          <w:tcPr>
            <w:tcW w:w="2977" w:type="dxa"/>
            <w:tcBorders>
              <w:top w:val="nil"/>
              <w:left w:val="nil"/>
              <w:bottom w:val="nil"/>
              <w:right w:val="nil"/>
            </w:tcBorders>
          </w:tcPr>
          <w:p>
            <w:pPr>
              <w:pStyle w:val="yTable"/>
              <w:tabs>
                <w:tab w:val="left" w:pos="482"/>
              </w:tabs>
              <w:spacing w:before="40"/>
            </w:pPr>
            <w:r>
              <w:t>1.</w:t>
            </w:r>
            <w:r>
              <w:tab/>
              <w:t>regulation 1B(1)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2.</w:t>
            </w:r>
            <w:r>
              <w:tab/>
              <w:t>regulation 1C</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3.</w:t>
            </w:r>
            <w:r>
              <w:tab/>
              <w:t>regulation 1D(3)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4.</w:t>
            </w:r>
            <w:r>
              <w:tab/>
              <w:t>regulation 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5.</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6.</w:t>
            </w:r>
            <w:r>
              <w:tab/>
              <w:t>regulation 5(5)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7.</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160"/>
              <w:rPr>
                <w:i/>
              </w:rPr>
            </w:pPr>
            <w:r>
              <w:rPr>
                <w:i/>
              </w:rPr>
              <w:t>Environmental Protection (Abattoirs) Regulations 2001</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1.  </w:t>
            </w:r>
            <w:r>
              <w:tab/>
              <w:t>regulation 4(1)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w:t>
            </w:r>
            <w:r>
              <w:tab/>
              <w:t>regulation 4(2)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w:t>
            </w:r>
            <w:r>
              <w:tab/>
              <w:t>regulation 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4.</w:t>
            </w:r>
            <w:r>
              <w:tab/>
              <w:t>regulation 7(1)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5.</w:t>
            </w:r>
            <w:r>
              <w:tab/>
              <w:t>regulation 9</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6.</w:t>
            </w:r>
            <w:r>
              <w:tab/>
              <w:t>regulation 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7.</w:t>
            </w:r>
            <w:r>
              <w:tab/>
              <w:t>regulation 13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8.</w:t>
            </w:r>
            <w:r>
              <w:tab/>
              <w:t>regulation 14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4820" w:type="dxa"/>
            <w:gridSpan w:val="2"/>
          </w:tcPr>
          <w:p>
            <w:pPr>
              <w:pStyle w:val="yTable"/>
              <w:spacing w:before="160"/>
              <w:ind w:right="1472"/>
            </w:pPr>
            <w:r>
              <w:rPr>
                <w:i/>
              </w:rPr>
              <w:t>Environmental Protection (Metal Coating) Regulations 2001</w:t>
            </w:r>
          </w:p>
        </w:tc>
        <w:tc>
          <w:tcPr>
            <w:tcW w:w="2410" w:type="dxa"/>
          </w:tcPr>
          <w:p>
            <w:pPr>
              <w:pStyle w:val="yTable"/>
              <w:jc w:val="center"/>
            </w:pPr>
          </w:p>
        </w:tc>
      </w:tr>
      <w:tr>
        <w:tc>
          <w:tcPr>
            <w:tcW w:w="2977" w:type="dxa"/>
            <w:tcBorders>
              <w:top w:val="nil"/>
              <w:left w:val="nil"/>
              <w:bottom w:val="nil"/>
              <w:right w:val="nil"/>
            </w:tcBorders>
          </w:tcPr>
          <w:p>
            <w:pPr>
              <w:pStyle w:val="yTable"/>
              <w:tabs>
                <w:tab w:val="left" w:pos="482"/>
              </w:tabs>
              <w:spacing w:before="40"/>
              <w:rPr>
                <w:i/>
              </w:rPr>
            </w:pPr>
            <w:r>
              <w:t>1.</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2.</w:t>
            </w:r>
            <w:r>
              <w:tab/>
              <w:t>regulation 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3.</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4.</w:t>
            </w:r>
            <w:r>
              <w:tab/>
              <w:t>regulation 7</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5.</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6.</w:t>
            </w:r>
            <w:r>
              <w:tab/>
              <w:t>regulation 9</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pPr>
            <w:r>
              <w:t>7.</w:t>
            </w:r>
            <w:r>
              <w:tab/>
              <w:t>regulation 10(1)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pPr>
            <w:r>
              <w:t>8.</w:t>
            </w:r>
            <w:r>
              <w:tab/>
              <w:t>regulation 10(2)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9.</w:t>
            </w:r>
            <w:r>
              <w:tab/>
              <w:t>regulation 11(1)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10.</w:t>
            </w:r>
            <w:r>
              <w:tab/>
              <w:t>regulation 11(2)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11.</w:t>
            </w:r>
            <w:r>
              <w:tab/>
              <w:t>regulation 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3"/>
          </w:tcPr>
          <w:p>
            <w:pPr>
              <w:pStyle w:val="yMiscellaneousHeading"/>
              <w:keepLines/>
              <w:tabs>
                <w:tab w:val="left" w:pos="142"/>
              </w:tabs>
              <w:spacing w:before="120"/>
              <w:ind w:right="3882"/>
              <w:jc w:val="left"/>
            </w:pPr>
            <w:r>
              <w:rPr>
                <w:i/>
              </w:rPr>
              <w:t>Environmental Protection (Rural Landfill) Regulations 2002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w:t>
            </w:r>
            <w:r>
              <w:tab/>
              <w:t>regulation 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2.</w:t>
            </w:r>
            <w:r>
              <w:tab/>
              <w:t>regulation 6(1)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3.</w:t>
            </w:r>
            <w:r>
              <w:tab/>
              <w:t>regulation 6(3)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4.</w:t>
            </w:r>
            <w:r>
              <w:tab/>
              <w:t>regulation 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5.</w:t>
            </w:r>
            <w:r>
              <w:tab/>
              <w:t>regulation 8</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6.</w:t>
            </w:r>
            <w:r>
              <w:tab/>
              <w:t>regulation 9</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7.</w:t>
            </w:r>
            <w:r>
              <w:tab/>
              <w:t>regulation 10</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8.</w:t>
            </w:r>
            <w:r>
              <w:tab/>
              <w:t>regulation 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9.</w:t>
            </w:r>
            <w:r>
              <w:tab/>
              <w:t>regulation 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10.</w:t>
            </w:r>
            <w:r>
              <w:tab/>
              <w:t>regulation 13(1)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11.</w:t>
            </w:r>
            <w:r>
              <w:tab/>
              <w:t>regulation 14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12.</w:t>
            </w:r>
            <w:r>
              <w:tab/>
              <w:t>regulation 15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13.</w:t>
            </w:r>
            <w:r>
              <w:tab/>
              <w:t>regulation 16</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14.</w:t>
            </w:r>
            <w:r>
              <w:tab/>
              <w:t>regulation 17(1)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160"/>
            </w:pPr>
            <w:r>
              <w:rPr>
                <w:i/>
              </w:rPr>
              <w:t>Environmental Protection (Unauthorised Discharges) Regulations 2004</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w:t>
            </w:r>
            <w:r>
              <w:tab/>
              <w:t>regulation 3(1)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2.</w:t>
            </w:r>
            <w:r>
              <w:tab/>
              <w:t>regulation 4(1)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3.</w:t>
            </w:r>
            <w:r>
              <w:tab/>
              <w:t>regulation 4(2)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317"/>
              </w:tabs>
              <w:spacing w:before="160"/>
            </w:pPr>
            <w:r>
              <w:rPr>
                <w:i/>
              </w:rPr>
              <w:t>Environmental Protection (Controlled Waste) Regulations 2004</w:t>
            </w:r>
          </w:p>
        </w:tc>
        <w:tc>
          <w:tcPr>
            <w:tcW w:w="1843" w:type="dxa"/>
          </w:tcPr>
          <w:p>
            <w:pPr>
              <w:pStyle w:val="yTable"/>
              <w:keepNext/>
              <w:keepLines/>
              <w:jc w:val="center"/>
            </w:pPr>
          </w:p>
        </w:tc>
        <w:tc>
          <w:tcPr>
            <w:tcW w:w="2410" w:type="dxa"/>
          </w:tcPr>
          <w:p>
            <w:pPr>
              <w:pStyle w:val="yTable"/>
              <w:keepNext/>
              <w:keepLines/>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w:t>
            </w:r>
            <w:r>
              <w:tab/>
              <w:t xml:space="preserve">regulation 6(4) </w:t>
            </w:r>
          </w:p>
        </w:tc>
        <w:tc>
          <w:tcPr>
            <w:tcW w:w="1843" w:type="dxa"/>
          </w:tcPr>
          <w:p>
            <w:pPr>
              <w:pStyle w:val="yTable"/>
              <w:keepNext/>
              <w:keepLines/>
              <w:jc w:val="center"/>
            </w:pPr>
            <w:r>
              <w:t>250</w:t>
            </w:r>
          </w:p>
        </w:tc>
        <w:tc>
          <w:tcPr>
            <w:tcW w:w="2410" w:type="dxa"/>
          </w:tcPr>
          <w:p>
            <w:pPr>
              <w:pStyle w:val="yTable"/>
              <w:keepNext/>
              <w:keepLines/>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w:t>
            </w:r>
            <w:r>
              <w:tab/>
              <w:t>regulation 11(1)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w:t>
            </w:r>
            <w:r>
              <w:tab/>
              <w:t>regulation 13(2)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4.</w:t>
            </w:r>
            <w:r>
              <w:tab/>
              <w:t>regulation 14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5.</w:t>
            </w:r>
            <w:r>
              <w:tab/>
              <w:t>regulation 15(1)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6.</w:t>
            </w:r>
            <w:r>
              <w:tab/>
              <w:t>regulation 15(2)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7.</w:t>
            </w:r>
            <w:r>
              <w:tab/>
              <w:t>regulation 17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8.</w:t>
            </w:r>
            <w:r>
              <w:tab/>
              <w:t>regulation 19(2)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9.</w:t>
            </w:r>
            <w:r>
              <w:tab/>
              <w:t>regulation 21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10.</w:t>
            </w:r>
            <w:r>
              <w:tab/>
              <w:t>regulation 22(5)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11.</w:t>
            </w:r>
            <w:r>
              <w:tab/>
              <w:t>regulation 25(1)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12.</w:t>
            </w:r>
            <w:r>
              <w:tab/>
              <w:t>regulation 25(2)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13.</w:t>
            </w:r>
            <w:r>
              <w:tab/>
              <w:t>regulation 25(3)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14.</w:t>
            </w:r>
            <w:r>
              <w:tab/>
              <w:t>regulation 25(4)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15.</w:t>
            </w:r>
            <w:r>
              <w:tab/>
              <w:t>regulation 25(6)</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16.</w:t>
            </w:r>
            <w:r>
              <w:tab/>
              <w:t>regulation 26(2)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17.</w:t>
            </w:r>
            <w:r>
              <w:tab/>
              <w:t>regulation 27(3)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18.</w:t>
            </w:r>
            <w:r>
              <w:tab/>
              <w:t>regulation 28(1)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19.</w:t>
            </w:r>
            <w:r>
              <w:tab/>
              <w:t>regulation 29(1)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20.</w:t>
            </w:r>
            <w:r>
              <w:tab/>
              <w:t xml:space="preserve">regulation 30(1) </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21.</w:t>
            </w:r>
            <w:r>
              <w:tab/>
              <w:t>regulation 31(1)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22.</w:t>
            </w:r>
            <w:r>
              <w:tab/>
              <w:t>regulation 32(1)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23.</w:t>
            </w:r>
            <w:r>
              <w:tab/>
              <w:t>regulation 33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24.</w:t>
            </w:r>
            <w:r>
              <w:tab/>
              <w:t>regulation 34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25.</w:t>
            </w:r>
            <w:r>
              <w:tab/>
              <w:t>regulation 35(1)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26.</w:t>
            </w:r>
            <w:r>
              <w:tab/>
              <w:t>regulation 35(2)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27.</w:t>
            </w:r>
            <w:r>
              <w:tab/>
              <w:t>regulation 38(1)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28.</w:t>
            </w:r>
            <w:r>
              <w:tab/>
              <w:t xml:space="preserve">regulation 38(2) </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29.</w:t>
            </w:r>
            <w:r>
              <w:tab/>
              <w:t>regulation 38(3)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30.</w:t>
            </w:r>
            <w:r>
              <w:tab/>
              <w:t>regulation 38(4)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31.</w:t>
            </w:r>
            <w:r>
              <w:tab/>
              <w:t>regulation 39(7)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32.</w:t>
            </w:r>
            <w:r>
              <w:tab/>
              <w:t>regulation 40(2)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33.</w:t>
            </w:r>
            <w:r>
              <w:tab/>
              <w:t xml:space="preserve">regulation 41(7) </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34.</w:t>
            </w:r>
            <w:r>
              <w:tab/>
              <w:t>regulation 43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35.</w:t>
            </w:r>
            <w:r>
              <w:tab/>
              <w:t>regulation 44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36.</w:t>
            </w:r>
            <w:r>
              <w:tab/>
              <w:t>regulation 45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38.</w:t>
            </w:r>
            <w:r>
              <w:tab/>
              <w:t>regulation 47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39.</w:t>
            </w:r>
            <w:r>
              <w:tab/>
              <w:t>regulation 50</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40.</w:t>
            </w:r>
            <w:r>
              <w:tab/>
              <w:t>regulation 51(2)</w:t>
            </w:r>
          </w:p>
        </w:tc>
        <w:tc>
          <w:tcPr>
            <w:tcW w:w="1843" w:type="dxa"/>
          </w:tcPr>
          <w:p>
            <w:pPr>
              <w:pStyle w:val="yTable"/>
              <w:spacing w:before="40"/>
              <w:jc w:val="center"/>
            </w:pPr>
            <w:r>
              <w:t>250</w:t>
            </w:r>
          </w:p>
        </w:tc>
        <w:tc>
          <w:tcPr>
            <w:tcW w:w="2410" w:type="dxa"/>
          </w:tcPr>
          <w:p>
            <w:pPr>
              <w:pStyle w:val="yTable"/>
              <w:spacing w:before="40"/>
              <w:jc w:val="center"/>
            </w:pPr>
            <w:r>
              <w:t>500</w:t>
            </w:r>
          </w:p>
        </w:tc>
      </w:tr>
    </w:tbl>
    <w:p>
      <w:pPr>
        <w:pStyle w:val="yMiscellaneousHeading"/>
        <w:rPr>
          <w:b/>
          <w:bCs/>
          <w:sz w:val="24"/>
        </w:rPr>
      </w:pPr>
      <w:r>
        <w:rPr>
          <w:b/>
          <w:bCs/>
          <w:sz w:val="24"/>
        </w:rPr>
        <w:t>Table</w:t>
      </w:r>
    </w:p>
    <w:tbl>
      <w:tblPr>
        <w:tblW w:w="7237" w:type="dxa"/>
        <w:tblInd w:w="108" w:type="dxa"/>
        <w:tblLayout w:type="fixed"/>
        <w:tblLook w:val="0000" w:firstRow="0" w:lastRow="0" w:firstColumn="0" w:lastColumn="0" w:noHBand="0" w:noVBand="0"/>
      </w:tblPr>
      <w:tblGrid>
        <w:gridCol w:w="2954"/>
        <w:gridCol w:w="1848"/>
        <w:gridCol w:w="2435"/>
      </w:tblGrid>
      <w:tr>
        <w:trPr>
          <w:tblHeader/>
        </w:trPr>
        <w:tc>
          <w:tcPr>
            <w:tcW w:w="2954" w:type="dxa"/>
            <w:tcBorders>
              <w:top w:val="single" w:sz="4" w:space="0" w:color="auto"/>
              <w:bottom w:val="single" w:sz="4" w:space="0" w:color="auto"/>
            </w:tcBorders>
          </w:tcPr>
          <w:p>
            <w:pPr>
              <w:pStyle w:val="yTable"/>
            </w:pPr>
            <w:r>
              <w:rPr>
                <w:i/>
                <w:iCs/>
              </w:rPr>
              <w:t>Environmental Protection (NEPM-UPM) Regulations 2007</w:t>
            </w:r>
          </w:p>
        </w:tc>
        <w:tc>
          <w:tcPr>
            <w:tcW w:w="1848" w:type="dxa"/>
            <w:tcBorders>
              <w:top w:val="single" w:sz="4" w:space="0" w:color="auto"/>
              <w:bottom w:val="single" w:sz="4" w:space="0" w:color="auto"/>
            </w:tcBorders>
          </w:tcPr>
          <w:p>
            <w:pPr>
              <w:pStyle w:val="zytable"/>
              <w:ind w:left="34" w:right="33" w:hanging="34"/>
              <w:rPr>
                <w:b/>
              </w:rPr>
            </w:pPr>
          </w:p>
        </w:tc>
        <w:tc>
          <w:tcPr>
            <w:tcW w:w="2435" w:type="dxa"/>
            <w:tcBorders>
              <w:top w:val="single" w:sz="4" w:space="0" w:color="auto"/>
              <w:bottom w:val="single" w:sz="4" w:space="0" w:color="auto"/>
            </w:tcBorders>
          </w:tcPr>
          <w:p>
            <w:pPr>
              <w:pStyle w:val="yTable"/>
            </w:pPr>
          </w:p>
        </w:tc>
      </w:tr>
      <w:tr>
        <w:tc>
          <w:tcPr>
            <w:tcW w:w="2954" w:type="dxa"/>
          </w:tcPr>
          <w:p>
            <w:pPr>
              <w:pStyle w:val="yTable"/>
              <w:tabs>
                <w:tab w:val="left" w:pos="317"/>
              </w:tabs>
            </w:pPr>
            <w:r>
              <w:t>1.</w:t>
            </w:r>
            <w:r>
              <w:tab/>
              <w:t>regulation 5(1)(a)</w:t>
            </w:r>
          </w:p>
        </w:tc>
        <w:tc>
          <w:tcPr>
            <w:tcW w:w="1848" w:type="dxa"/>
          </w:tcPr>
          <w:p>
            <w:pPr>
              <w:pStyle w:val="yTable"/>
              <w:jc w:val="center"/>
            </w:pPr>
            <w:r>
              <w:t>250</w:t>
            </w:r>
          </w:p>
        </w:tc>
        <w:tc>
          <w:tcPr>
            <w:tcW w:w="2435" w:type="dxa"/>
          </w:tcPr>
          <w:p>
            <w:pPr>
              <w:pStyle w:val="yTable"/>
              <w:jc w:val="center"/>
            </w:pPr>
            <w:r>
              <w:t>500</w:t>
            </w:r>
          </w:p>
        </w:tc>
      </w:tr>
      <w:tr>
        <w:tc>
          <w:tcPr>
            <w:tcW w:w="2954" w:type="dxa"/>
          </w:tcPr>
          <w:p>
            <w:pPr>
              <w:pStyle w:val="yTable"/>
              <w:tabs>
                <w:tab w:val="left" w:pos="317"/>
              </w:tabs>
              <w:spacing w:before="40"/>
            </w:pPr>
            <w:r>
              <w:t>2.</w:t>
            </w:r>
            <w:r>
              <w:tab/>
              <w:t>regulation 5(1)(b)</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Pr>
          <w:p>
            <w:pPr>
              <w:pStyle w:val="yTable"/>
              <w:tabs>
                <w:tab w:val="left" w:pos="317"/>
              </w:tabs>
              <w:spacing w:before="40"/>
            </w:pPr>
            <w:r>
              <w:t>3.</w:t>
            </w:r>
            <w:r>
              <w:tab/>
              <w:t>regulation 8(1)</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Pr>
          <w:p>
            <w:pPr>
              <w:pStyle w:val="yTable"/>
              <w:tabs>
                <w:tab w:val="left" w:pos="317"/>
              </w:tabs>
              <w:spacing w:before="40"/>
            </w:pPr>
            <w:r>
              <w:t>4.</w:t>
            </w:r>
            <w:r>
              <w:tab/>
              <w:t>regulation 8(2)</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Pr>
          <w:p>
            <w:pPr>
              <w:pStyle w:val="yTable"/>
              <w:tabs>
                <w:tab w:val="left" w:pos="317"/>
              </w:tabs>
              <w:spacing w:before="40"/>
            </w:pPr>
            <w:r>
              <w:t>5.</w:t>
            </w:r>
            <w:r>
              <w:tab/>
              <w:t>regulation 9(1)</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Borders>
              <w:bottom w:val="single" w:sz="4" w:space="0" w:color="auto"/>
            </w:tcBorders>
          </w:tcPr>
          <w:p>
            <w:pPr>
              <w:pStyle w:val="yTable"/>
              <w:tabs>
                <w:tab w:val="left" w:pos="317"/>
              </w:tabs>
              <w:spacing w:before="40"/>
            </w:pPr>
            <w:r>
              <w:t>6.</w:t>
            </w:r>
            <w:r>
              <w:tab/>
              <w:t>regulation 9(2)</w:t>
            </w:r>
          </w:p>
        </w:tc>
        <w:tc>
          <w:tcPr>
            <w:tcW w:w="1848" w:type="dxa"/>
            <w:tcBorders>
              <w:bottom w:val="single" w:sz="4" w:space="0" w:color="auto"/>
            </w:tcBorders>
          </w:tcPr>
          <w:p>
            <w:pPr>
              <w:pStyle w:val="yTable"/>
              <w:spacing w:before="40"/>
              <w:jc w:val="center"/>
            </w:pPr>
            <w:r>
              <w:t>250</w:t>
            </w:r>
          </w:p>
        </w:tc>
        <w:tc>
          <w:tcPr>
            <w:tcW w:w="2435" w:type="dxa"/>
            <w:tcBorders>
              <w:bottom w:val="single" w:sz="4" w:space="0" w:color="auto"/>
            </w:tcBorders>
          </w:tcPr>
          <w:p>
            <w:pPr>
              <w:pStyle w:val="yTable"/>
              <w:spacing w:before="40"/>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w:t>
      </w:r>
    </w:p>
    <w:p>
      <w:pPr>
        <w:pStyle w:val="yScheduleHeading"/>
      </w:pPr>
      <w:bookmarkStart w:id="1367" w:name="_Toc12952257"/>
      <w:bookmarkStart w:id="1368" w:name="_Toc94331093"/>
      <w:bookmarkStart w:id="1369" w:name="_Toc122159486"/>
      <w:bookmarkStart w:id="1370" w:name="_Toc122232985"/>
      <w:bookmarkStart w:id="1371" w:name="_Toc147220622"/>
      <w:bookmarkStart w:id="1372" w:name="_Toc147223973"/>
      <w:bookmarkStart w:id="1373" w:name="_Toc165445008"/>
      <w:bookmarkStart w:id="1374" w:name="_Toc170557788"/>
      <w:bookmarkStart w:id="1375" w:name="_Toc170795179"/>
      <w:bookmarkStart w:id="1376" w:name="_Toc172709286"/>
      <w:bookmarkStart w:id="1377" w:name="_Toc172964770"/>
      <w:bookmarkStart w:id="1378" w:name="_Toc174158487"/>
      <w:bookmarkStart w:id="1379" w:name="_Toc174359040"/>
      <w:bookmarkStart w:id="1380" w:name="_Toc174518631"/>
      <w:bookmarkStart w:id="1381" w:name="_Toc176170576"/>
      <w:bookmarkStart w:id="1382" w:name="_Toc181431135"/>
      <w:bookmarkStart w:id="1383" w:name="_Toc181497591"/>
      <w:bookmarkStart w:id="1384" w:name="_Toc202254258"/>
      <w:r>
        <w:rPr>
          <w:rStyle w:val="CharSchNo"/>
        </w:rPr>
        <w:t>Schedule 7</w:t>
      </w:r>
      <w:r>
        <w:t xml:space="preserve"> — </w:t>
      </w:r>
      <w:r>
        <w:rPr>
          <w:rStyle w:val="CharSchText"/>
        </w:rPr>
        <w:t>Forms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4961"/>
      </w:tblGrid>
      <w:tr>
        <w:trPr>
          <w:cantSplit/>
        </w:trPr>
        <w:tc>
          <w:tcPr>
            <w:tcW w:w="1701" w:type="dxa"/>
            <w:vMerge w:val="restart"/>
          </w:tcPr>
          <w:p>
            <w:pPr>
              <w:pStyle w:val="yTable"/>
            </w:pPr>
            <w:r>
              <w:t>When and where</w:t>
            </w:r>
          </w:p>
        </w:tc>
        <w:tc>
          <w:tcPr>
            <w:tcW w:w="4961" w:type="dxa"/>
          </w:tcPr>
          <w:p>
            <w:pPr>
              <w:pStyle w:val="yTable"/>
            </w:pPr>
            <w:r>
              <w:t>When:           a.m./p.m. on the      day of</w:t>
            </w:r>
          </w:p>
        </w:tc>
      </w:tr>
      <w:tr>
        <w:trPr>
          <w:cantSplit/>
        </w:trPr>
        <w:tc>
          <w:tcPr>
            <w:tcW w:w="1701" w:type="dxa"/>
            <w:vMerge/>
          </w:tcPr>
          <w:p>
            <w:pPr>
              <w:pStyle w:val="yTable"/>
            </w:pPr>
          </w:p>
        </w:tc>
        <w:tc>
          <w:tcPr>
            <w:tcW w:w="4961"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701"/>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701"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701"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4961"/>
      </w:tblGrid>
      <w:tr>
        <w:tc>
          <w:tcPr>
            <w:tcW w:w="1985" w:type="dxa"/>
          </w:tcPr>
          <w:p>
            <w:pPr>
              <w:pStyle w:val="yTable"/>
            </w:pPr>
            <w:r>
              <w:t>Date:</w:t>
            </w:r>
          </w:p>
        </w:tc>
        <w:tc>
          <w:tcPr>
            <w:tcW w:w="4961" w:type="dxa"/>
          </w:tcPr>
          <w:p>
            <w:pPr>
              <w:pStyle w:val="yTable"/>
            </w:pPr>
            <w:r>
              <w:t>.............................................................................</w:t>
            </w:r>
          </w:p>
        </w:tc>
      </w:tr>
      <w:tr>
        <w:tc>
          <w:tcPr>
            <w:tcW w:w="1985" w:type="dxa"/>
          </w:tcPr>
          <w:p>
            <w:pPr>
              <w:pStyle w:val="yTable"/>
            </w:pPr>
            <w:r>
              <w:t>Issued at:</w:t>
            </w:r>
          </w:p>
        </w:tc>
        <w:tc>
          <w:tcPr>
            <w:tcW w:w="4961" w:type="dxa"/>
          </w:tcPr>
          <w:p>
            <w:pPr>
              <w:pStyle w:val="yTable"/>
            </w:pPr>
            <w:r>
              <w:t>.............................................................................</w:t>
            </w:r>
          </w:p>
        </w:tc>
      </w:tr>
      <w:tr>
        <w:tc>
          <w:tcPr>
            <w:tcW w:w="1985" w:type="dxa"/>
          </w:tcPr>
          <w:p>
            <w:pPr>
              <w:pStyle w:val="yTable"/>
              <w:ind w:right="-391"/>
            </w:pPr>
            <w:r>
              <w:t>By:</w:t>
            </w:r>
          </w:p>
        </w:tc>
        <w:tc>
          <w:tcPr>
            <w:tcW w:w="4961" w:type="dxa"/>
          </w:tcPr>
          <w:p>
            <w:pPr>
              <w:pStyle w:val="yTable"/>
            </w:pPr>
            <w:r>
              <w:t>.............................................................................</w:t>
            </w:r>
          </w:p>
        </w:tc>
      </w:tr>
      <w:tr>
        <w:tc>
          <w:tcPr>
            <w:tcW w:w="1985" w:type="dxa"/>
          </w:tcPr>
          <w:p>
            <w:pPr>
              <w:pStyle w:val="yTable"/>
            </w:pPr>
            <w:r>
              <w:t>Signature:</w:t>
            </w:r>
          </w:p>
        </w:tc>
        <w:tc>
          <w:tcPr>
            <w:tcW w:w="4961"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5</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40"/>
        <w:rPr>
          <w:sz w:val="18"/>
        </w:rPr>
      </w:pPr>
      <w:r>
        <w:rPr>
          <w:sz w:val="18"/>
        </w:rPr>
        <w:tab/>
        <w:t>The Accountant</w:t>
      </w:r>
    </w:p>
    <w:p>
      <w:pPr>
        <w:pStyle w:val="yTable"/>
        <w:keepNext/>
        <w:tabs>
          <w:tab w:val="left" w:pos="567"/>
        </w:tabs>
        <w:spacing w:before="40"/>
        <w:rPr>
          <w:sz w:val="18"/>
          <w:vertAlign w:val="superscript"/>
        </w:rPr>
      </w:pPr>
      <w:r>
        <w:rPr>
          <w:sz w:val="18"/>
        </w:rPr>
        <w:tab/>
        <w:t>Department of Environmental Protection</w:t>
      </w:r>
      <w:r>
        <w:rPr>
          <w:sz w:val="18"/>
          <w:vertAlign w:val="superscript"/>
        </w:rPr>
        <w:t> 5</w:t>
      </w:r>
    </w:p>
    <w:p>
      <w:pPr>
        <w:pStyle w:val="yTable"/>
        <w:keepNext/>
        <w:tabs>
          <w:tab w:val="left" w:pos="567"/>
        </w:tabs>
        <w:spacing w:before="40"/>
        <w:rPr>
          <w:sz w:val="18"/>
        </w:rPr>
      </w:pPr>
      <w:r>
        <w:rPr>
          <w:sz w:val="18"/>
        </w:rPr>
        <w:tab/>
        <w:t>GPO Box K822</w:t>
      </w:r>
    </w:p>
    <w:p>
      <w:pPr>
        <w:pStyle w:val="yTable"/>
        <w:tabs>
          <w:tab w:val="left" w:pos="567"/>
        </w:tabs>
        <w:spacing w:before="4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t>It is alleged that you committed an offence:</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750"/>
      </w:tblGrid>
      <w:tr>
        <w:trPr>
          <w:cantSplit/>
        </w:trPr>
        <w:tc>
          <w:tcPr>
            <w:tcW w:w="1418" w:type="dxa"/>
            <w:vMerge w:val="restart"/>
          </w:tcPr>
          <w:p>
            <w:pPr>
              <w:pStyle w:val="yTable"/>
              <w:rPr>
                <w:b/>
              </w:rPr>
            </w:pPr>
            <w:r>
              <w:rPr>
                <w:b/>
              </w:rPr>
              <w:t xml:space="preserve">When and </w:t>
            </w:r>
          </w:p>
          <w:p>
            <w:pPr>
              <w:pStyle w:val="yTable"/>
              <w:spacing w:before="0"/>
            </w:pPr>
            <w:r>
              <w:rPr>
                <w:b/>
              </w:rPr>
              <w:t>where</w:t>
            </w:r>
          </w:p>
        </w:tc>
        <w:tc>
          <w:tcPr>
            <w:tcW w:w="5750" w:type="dxa"/>
          </w:tcPr>
          <w:p>
            <w:pPr>
              <w:pStyle w:val="yTable"/>
            </w:pPr>
            <w:r>
              <w:t>When: ........ a.m./p.m. on the ............. day of ....................</w:t>
            </w:r>
          </w:p>
        </w:tc>
      </w:tr>
      <w:tr>
        <w:trPr>
          <w:cantSplit/>
        </w:trPr>
        <w:tc>
          <w:tcPr>
            <w:tcW w:w="1418" w:type="dxa"/>
            <w:vMerge/>
          </w:tcPr>
          <w:p>
            <w:pPr>
              <w:pStyle w:val="yTable"/>
            </w:pPr>
          </w:p>
        </w:tc>
        <w:tc>
          <w:tcPr>
            <w:tcW w:w="5750"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5</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5</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4 inserted in Gazette 11 Dec 1998 p. 6611.]</w:t>
      </w:r>
    </w:p>
    <w:p>
      <w:pPr>
        <w:sectPr>
          <w:headerReference w:type="even" r:id="rId21"/>
          <w:headerReference w:type="default" r:id="rId22"/>
          <w:pgSz w:w="11906" w:h="16838" w:code="9"/>
          <w:pgMar w:top="2376" w:right="2405" w:bottom="3542" w:left="2405" w:header="706" w:footer="3380" w:gutter="0"/>
          <w:cols w:space="720"/>
          <w:noEndnote/>
          <w:docGrid w:linePitch="326"/>
        </w:sectPr>
      </w:pPr>
      <w:bookmarkStart w:id="1385" w:name="_Toc81736966"/>
      <w:bookmarkStart w:id="1386" w:name="_Toc82486894"/>
      <w:bookmarkStart w:id="1387" w:name="_Toc82504446"/>
      <w:bookmarkStart w:id="1388" w:name="_Toc86642705"/>
      <w:bookmarkStart w:id="1389" w:name="_Toc87241784"/>
      <w:bookmarkStart w:id="1390" w:name="_Toc97455669"/>
      <w:bookmarkStart w:id="1391" w:name="_Toc97457460"/>
      <w:bookmarkStart w:id="1392" w:name="_Toc97630257"/>
    </w:p>
    <w:p>
      <w:pPr>
        <w:pStyle w:val="nHeading2"/>
      </w:pPr>
      <w:bookmarkStart w:id="1393" w:name="_Toc98053402"/>
      <w:bookmarkStart w:id="1394" w:name="_Toc99962388"/>
      <w:bookmarkStart w:id="1395" w:name="_Toc122159487"/>
      <w:bookmarkStart w:id="1396" w:name="_Toc122232810"/>
      <w:bookmarkStart w:id="1397" w:name="_Toc122232986"/>
      <w:bookmarkStart w:id="1398" w:name="_Toc147220623"/>
      <w:bookmarkStart w:id="1399" w:name="_Toc147223974"/>
      <w:bookmarkStart w:id="1400" w:name="_Toc165445009"/>
      <w:bookmarkStart w:id="1401" w:name="_Toc170557789"/>
      <w:bookmarkStart w:id="1402" w:name="_Toc170795180"/>
      <w:bookmarkStart w:id="1403" w:name="_Toc172709287"/>
      <w:bookmarkStart w:id="1404" w:name="_Toc172964771"/>
      <w:bookmarkStart w:id="1405" w:name="_Toc174158488"/>
      <w:bookmarkStart w:id="1406" w:name="_Toc174359041"/>
      <w:bookmarkStart w:id="1407" w:name="_Toc174518632"/>
      <w:bookmarkStart w:id="1408" w:name="_Toc176170577"/>
      <w:bookmarkStart w:id="1409" w:name="_Toc181431136"/>
      <w:bookmarkStart w:id="1410" w:name="_Toc181497592"/>
      <w:bookmarkStart w:id="1411" w:name="_Toc202254259"/>
      <w:r>
        <w:t>Notes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12" w:name="_Toc202254260"/>
      <w:bookmarkStart w:id="1413" w:name="_Toc181497593"/>
      <w:r>
        <w:rPr>
          <w:snapToGrid w:val="0"/>
        </w:rPr>
        <w:t>Compilation table</w:t>
      </w:r>
      <w:bookmarkEnd w:id="1412"/>
      <w:bookmarkEnd w:id="14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 r. 2)</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6</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7</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lang w:val="en-US"/>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 </w:t>
            </w:r>
            <w:r>
              <w:rPr>
                <w:sz w:val="19"/>
                <w:vertAlign w:val="superscript"/>
              </w:rPr>
              <w:t>4</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2) 2007</w:t>
            </w:r>
          </w:p>
        </w:tc>
        <w:tc>
          <w:tcPr>
            <w:tcW w:w="1276" w:type="dxa"/>
          </w:tcPr>
          <w:p>
            <w:pPr>
              <w:pStyle w:val="nTable"/>
              <w:spacing w:after="40"/>
              <w:rPr>
                <w:sz w:val="19"/>
              </w:rPr>
            </w:pPr>
            <w:r>
              <w:rPr>
                <w:sz w:val="19"/>
              </w:rPr>
              <w:t>30 Oct 2007 p. 5877</w:t>
            </w:r>
            <w:r>
              <w:rPr>
                <w:sz w:val="19"/>
              </w:rPr>
              <w:noBreakHyphen/>
              <w:t>8</w:t>
            </w:r>
          </w:p>
        </w:tc>
        <w:tc>
          <w:tcPr>
            <w:tcW w:w="2693" w:type="dxa"/>
          </w:tcPr>
          <w:p>
            <w:pPr>
              <w:pStyle w:val="nTable"/>
              <w:spacing w:after="40"/>
              <w:rPr>
                <w:sz w:val="19"/>
              </w:rPr>
            </w:pPr>
            <w:r>
              <w:rPr>
                <w:sz w:val="19"/>
              </w:rPr>
              <w:t>r. 1 and 2: 30 Oct 2007 (see r. 2(a));</w:t>
            </w:r>
            <w:r>
              <w:rPr>
                <w:sz w:val="19"/>
              </w:rPr>
              <w:br/>
              <w:t>Regulations other than r. 1 and 2: 1 Nov 2007 (see r. 2(b))</w:t>
            </w:r>
          </w:p>
        </w:tc>
      </w:tr>
      <w:tr>
        <w:trPr>
          <w:cantSplit/>
          <w:ins w:id="1414" w:author="Master Repository Process" w:date="2021-08-01T11:42:00Z"/>
        </w:trPr>
        <w:tc>
          <w:tcPr>
            <w:tcW w:w="3118" w:type="dxa"/>
            <w:tcBorders>
              <w:bottom w:val="single" w:sz="4" w:space="0" w:color="auto"/>
            </w:tcBorders>
          </w:tcPr>
          <w:p>
            <w:pPr>
              <w:pStyle w:val="nTable"/>
              <w:spacing w:after="40"/>
              <w:ind w:right="113"/>
              <w:rPr>
                <w:ins w:id="1415" w:author="Master Repository Process" w:date="2021-08-01T11:42:00Z"/>
              </w:rPr>
            </w:pPr>
            <w:ins w:id="1416" w:author="Master Repository Process" w:date="2021-08-01T11:42:00Z">
              <w:r>
                <w:rPr>
                  <w:i/>
                  <w:sz w:val="19"/>
                </w:rPr>
                <w:t>Waste Avoidance and Resource Recovery Regulations 2008</w:t>
              </w:r>
              <w:r>
                <w:t xml:space="preserve"> r. 22</w:t>
              </w:r>
            </w:ins>
          </w:p>
        </w:tc>
        <w:tc>
          <w:tcPr>
            <w:tcW w:w="1276" w:type="dxa"/>
            <w:tcBorders>
              <w:bottom w:val="single" w:sz="4" w:space="0" w:color="auto"/>
            </w:tcBorders>
          </w:tcPr>
          <w:p>
            <w:pPr>
              <w:pStyle w:val="nTable"/>
              <w:spacing w:after="40"/>
              <w:rPr>
                <w:ins w:id="1417" w:author="Master Repository Process" w:date="2021-08-01T11:42:00Z"/>
                <w:sz w:val="19"/>
              </w:rPr>
            </w:pPr>
            <w:ins w:id="1418" w:author="Master Repository Process" w:date="2021-08-01T11:42:00Z">
              <w:r>
                <w:rPr>
                  <w:sz w:val="19"/>
                </w:rPr>
                <w:t>20 Jun 2008 p. 2665-84</w:t>
              </w:r>
            </w:ins>
          </w:p>
        </w:tc>
        <w:tc>
          <w:tcPr>
            <w:tcW w:w="2693" w:type="dxa"/>
            <w:tcBorders>
              <w:bottom w:val="single" w:sz="4" w:space="0" w:color="auto"/>
            </w:tcBorders>
          </w:tcPr>
          <w:p>
            <w:pPr>
              <w:pStyle w:val="nTable"/>
              <w:spacing w:after="40"/>
              <w:rPr>
                <w:ins w:id="1419" w:author="Master Repository Process" w:date="2021-08-01T11:42:00Z"/>
                <w:sz w:val="19"/>
              </w:rPr>
            </w:pPr>
            <w:ins w:id="1420" w:author="Master Repository Process" w:date="2021-08-01T11:42:00Z">
              <w:r>
                <w:rPr>
                  <w:sz w:val="19"/>
                </w:rPr>
                <w:t>1 Jul 2008 (see r. 2(b))</w:t>
              </w:r>
            </w:ins>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4</w:t>
      </w:r>
      <w:r>
        <w:rPr>
          <w:snapToGrid w:val="0"/>
        </w:rPr>
        <w:tab/>
        <w:t xml:space="preserve">Expired on 1 July 2004; see </w:t>
      </w:r>
      <w:r>
        <w:rPr>
          <w:i/>
          <w:iCs/>
          <w:snapToGrid w:val="0"/>
        </w:rPr>
        <w:t>Gazette</w:t>
      </w:r>
      <w:r>
        <w:rPr>
          <w:snapToGrid w:val="0"/>
        </w:rPr>
        <w:t xml:space="preserve"> 23 July 2003 p. 3172. </w:t>
      </w:r>
    </w:p>
    <w:p>
      <w:pPr>
        <w:pStyle w:val="nSubsection"/>
        <w:keepNext/>
        <w:keepLines/>
        <w:rPr>
          <w:snapToGrid w:val="0"/>
        </w:rPr>
      </w:pPr>
      <w:r>
        <w:rPr>
          <w:snapToGrid w:val="0"/>
          <w:vertAlign w:val="superscript"/>
        </w:rPr>
        <w:t>5</w:t>
      </w:r>
      <w:r>
        <w:rPr>
          <w:snapToGrid w:val="0"/>
        </w:rPr>
        <w:tab/>
        <w:t xml:space="preserve">Under the </w:t>
      </w:r>
      <w:r>
        <w:rPr>
          <w:i/>
          <w:iCs/>
          <w:snapToGrid w:val="0"/>
        </w:rPr>
        <w:t>Alteration of Statutory Designations Order (No. 2) 2006</w:t>
      </w:r>
      <w:r>
        <w:rPr>
          <w:snapToGrid w:val="0"/>
        </w:rPr>
        <w:t xml:space="preserve"> a reference in a written law to the Department of Environmental Protection is, unless the contrary is intended, to be read and construed as a reference to the Department of Environment and Conservation.</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 (No. 6) 1996</w:t>
      </w:r>
      <w:r>
        <w:rPr>
          <w:snapToGrid w:val="0"/>
        </w:rPr>
        <w:t xml:space="preserve"> r. 10) is a transitional provision that is of no further effect.</w:t>
      </w:r>
    </w:p>
    <w:p>
      <w:pPr>
        <w:pStyle w:val="nSubsection"/>
        <w:rPr>
          <w:snapToGrid w:val="0"/>
        </w:rPr>
      </w:pPr>
      <w:r>
        <w:rPr>
          <w:vertAlign w:val="superscript"/>
        </w:rPr>
        <w:t>7</w:t>
      </w:r>
      <w:r>
        <w:tab/>
        <w:t xml:space="preserve">The amendment in regulation 12 referring to items 8 and 9 of Schedule 6 is not included because these items were previously deleted in </w:t>
      </w:r>
      <w:r>
        <w:rPr>
          <w:i/>
        </w:rPr>
        <w:t xml:space="preserve">Gazette </w:t>
      </w:r>
      <w:r>
        <w:t>19 December 2000 p. 7284.</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PartText ">
            <w:r>
              <w:rPr>
                <w:noProof/>
              </w:rPr>
              <w:t>Administrative matters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2A</w:instrText>
            </w:r>
          </w:fldSimple>
          <w:r>
            <w:instrText>" "</w:instrText>
          </w:r>
          <w:fldSimple w:instr=" STYLEREF CharSectNo \n ">
            <w:r>
              <w:rPr>
                <w:noProof/>
              </w:rPr>
              <w:instrText>0</w:instrText>
            </w:r>
          </w:fldSimple>
          <w:r>
            <w:instrText>"</w:instrText>
          </w:r>
          <w:r>
            <w:fldChar w:fldCharType="separate"/>
          </w:r>
          <w:r>
            <w:rPr>
              <w:noProof/>
            </w:rPr>
            <w:t>2A</w:t>
          </w:r>
          <w:r>
            <w:fldChar w:fldCharType="end"/>
          </w:r>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2</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Tyre landfill exclusion zone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Country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A5813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366B7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F02D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10465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6AF7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5E04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02E7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30ED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72CC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240CB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E4C68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963A9F8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7"/>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1542"/>
    <w:docVar w:name="WAFER_20151207171542" w:val="RemoveTrackChanges"/>
    <w:docVar w:name="WAFER_20151207171542_GUID" w:val="5ef7ae9e-70f1-4323-a258-2e0a2b487b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42BE49C-DE3E-4182-AED5-FD449561A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4.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header" Target="header16.xml"/><Relationship Id="rId10" Type="http://schemas.openxmlformats.org/officeDocument/2006/relationships/header" Target="header1.xm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header" Target="header3.xml"/><Relationship Id="rId22" Type="http://schemas.openxmlformats.org/officeDocument/2006/relationships/header" Target="header10.xml"/><Relationship Id="rId27" Type="http://schemas.openxmlformats.org/officeDocument/2006/relationships/header" Target="header15.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24676</Words>
  <Characters>118697</Characters>
  <Application>Microsoft Office Word</Application>
  <DocSecurity>0</DocSecurity>
  <Lines>4747</Lines>
  <Paragraphs>3186</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06-b0-04 - 06-c0-06</dc:title>
  <dc:subject/>
  <dc:creator/>
  <cp:keywords/>
  <dc:description/>
  <cp:lastModifiedBy>Master Repository Process</cp:lastModifiedBy>
  <cp:revision>2</cp:revision>
  <cp:lastPrinted>2007-08-13T01:29:00Z</cp:lastPrinted>
  <dcterms:created xsi:type="dcterms:W3CDTF">2021-08-01T03:42:00Z</dcterms:created>
  <dcterms:modified xsi:type="dcterms:W3CDTF">2021-08-01T03:42:00Z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4421</vt:i4>
  </property>
  <property fmtid="{D5CDD505-2E9C-101B-9397-08002B2CF9AE}" pid="6" name="ReprintNo">
    <vt:lpwstr>6</vt:lpwstr>
  </property>
  <property fmtid="{D5CDD505-2E9C-101B-9397-08002B2CF9AE}" pid="7" name="ReprintedAsAt">
    <vt:filetime>2007-08-16T16:00:00Z</vt:filetime>
  </property>
  <property fmtid="{D5CDD505-2E9C-101B-9397-08002B2CF9AE}" pid="8" name="FromSuffix">
    <vt:lpwstr>06-b0-04</vt:lpwstr>
  </property>
  <property fmtid="{D5CDD505-2E9C-101B-9397-08002B2CF9AE}" pid="9" name="FromAsAtDate">
    <vt:lpwstr>01 Nov 2007</vt:lpwstr>
  </property>
  <property fmtid="{D5CDD505-2E9C-101B-9397-08002B2CF9AE}" pid="10" name="ToSuffix">
    <vt:lpwstr>06-c0-06</vt:lpwstr>
  </property>
  <property fmtid="{D5CDD505-2E9C-101B-9397-08002B2CF9AE}" pid="11" name="ToAsAtDate">
    <vt:lpwstr>01 Jul 2008</vt:lpwstr>
  </property>
</Properties>
</file>