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Forrest Place and City Station Development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01-d0-09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Forrest Place and City Station Development Act 1985 </w:t>
      </w:r>
    </w:p>
    <w:p>
      <w:pPr>
        <w:pStyle w:val="LongTitle"/>
        <w:rPr>
          <w:snapToGrid w:val="0"/>
        </w:rPr>
      </w:pPr>
      <w:r>
        <w:rPr>
          <w:snapToGrid w:val="0"/>
        </w:rPr>
        <w:t>A</w:t>
      </w:r>
      <w:bookmarkStart w:id="0" w:name="_GoBack"/>
      <w:bookmarkEnd w:id="0"/>
      <w:r>
        <w:rPr>
          <w:snapToGrid w:val="0"/>
        </w:rPr>
        <w:t xml:space="preserve">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1" w:name="_Toc458487992"/>
      <w:bookmarkStart w:id="2" w:name="_Toc521463295"/>
      <w:bookmarkStart w:id="3" w:name="_Toc122750546"/>
      <w:bookmarkStart w:id="4" w:name="_Toc122750651"/>
      <w:bookmarkStart w:id="5" w:name="_Toc131394454"/>
      <w:bookmarkStart w:id="6" w:name="_Toc12275067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 xml:space="preserve"> </w:t>
      </w:r>
      <w:r>
        <w:rPr>
          <w:snapToGrid w:val="0"/>
          <w:vertAlign w:val="superscript"/>
        </w:rPr>
        <w:t>1</w:t>
      </w:r>
      <w:r>
        <w:rPr>
          <w:snapToGrid w:val="0"/>
        </w:rPr>
        <w:t>.</w:t>
      </w:r>
    </w:p>
    <w:p>
      <w:pPr>
        <w:pStyle w:val="Heading5"/>
        <w:rPr>
          <w:snapToGrid w:val="0"/>
        </w:rPr>
      </w:pPr>
      <w:bookmarkStart w:id="7" w:name="_Toc458487993"/>
      <w:bookmarkStart w:id="8" w:name="_Toc521463296"/>
      <w:bookmarkStart w:id="9" w:name="_Toc122750547"/>
      <w:bookmarkStart w:id="10" w:name="_Toc122750652"/>
      <w:bookmarkStart w:id="11" w:name="_Toc131394455"/>
      <w:bookmarkStart w:id="12" w:name="_Toc122750679"/>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3" w:name="_Toc458487994"/>
      <w:bookmarkStart w:id="14" w:name="_Toc521463297"/>
      <w:bookmarkStart w:id="15" w:name="_Toc122750548"/>
      <w:bookmarkStart w:id="16" w:name="_Toc122750653"/>
      <w:bookmarkStart w:id="17" w:name="_Toc131394456"/>
      <w:bookmarkStart w:id="18" w:name="_Toc122750680"/>
      <w:r>
        <w:rPr>
          <w:rStyle w:val="CharSectno"/>
        </w:rPr>
        <w:t>3</w:t>
      </w:r>
      <w:r>
        <w:rPr>
          <w:snapToGrid w:val="0"/>
        </w:rPr>
        <w:t>.</w:t>
      </w:r>
      <w:r>
        <w:rPr>
          <w:snapToGrid w:val="0"/>
        </w:rPr>
        <w:tab/>
        <w:t>Definitions</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del w:id="19" w:author="svcMRProcess" w:date="2015-12-14T16:15:00Z">
        <w:r>
          <w:rPr>
            <w:b/>
          </w:rPr>
          <w:delText>“</w:delText>
        </w:r>
      </w:del>
      <w:r>
        <w:rPr>
          <w:rStyle w:val="CharDefText"/>
        </w:rPr>
        <w:t>agreements</w:t>
      </w:r>
      <w:del w:id="20" w:author="svcMRProcess" w:date="2015-12-14T16:15:00Z">
        <w:r>
          <w:rPr>
            <w:b/>
          </w:rPr>
          <w:delText>”</w:delText>
        </w:r>
      </w:del>
      <w:r>
        <w:t xml:space="preserve"> means the enabling agreement and the development plan agreement;</w:t>
      </w:r>
    </w:p>
    <w:p>
      <w:pPr>
        <w:pStyle w:val="Defstart"/>
      </w:pPr>
      <w:r>
        <w:rPr>
          <w:b/>
        </w:rPr>
        <w:tab/>
      </w:r>
      <w:del w:id="21" w:author="svcMRProcess" w:date="2015-12-14T16:15:00Z">
        <w:r>
          <w:rPr>
            <w:b/>
          </w:rPr>
          <w:delText>“</w:delText>
        </w:r>
      </w:del>
      <w:r>
        <w:rPr>
          <w:rStyle w:val="CharDefText"/>
        </w:rPr>
        <w:t>development plan agreement</w:t>
      </w:r>
      <w:del w:id="22" w:author="svcMRProcess" w:date="2015-12-14T16:15:00Z">
        <w:r>
          <w:rPr>
            <w:b/>
          </w:rPr>
          <w:delText>”</w:delText>
        </w:r>
      </w:del>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tab/>
      </w:r>
      <w:del w:id="23" w:author="svcMRProcess" w:date="2015-12-14T16:15:00Z">
        <w:r>
          <w:rPr>
            <w:b/>
          </w:rPr>
          <w:delText>“</w:delText>
        </w:r>
      </w:del>
      <w:r>
        <w:rPr>
          <w:rStyle w:val="CharDefText"/>
        </w:rPr>
        <w:t>enabling agreement</w:t>
      </w:r>
      <w:del w:id="24" w:author="svcMRProcess" w:date="2015-12-14T16:15:00Z">
        <w:r>
          <w:rPr>
            <w:b/>
          </w:rPr>
          <w:delText>”</w:delText>
        </w:r>
      </w:del>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del w:id="25" w:author="svcMRProcess" w:date="2015-12-14T16:15:00Z">
        <w:r>
          <w:rPr>
            <w:b/>
          </w:rPr>
          <w:delText>“</w:delText>
        </w:r>
      </w:del>
      <w:r>
        <w:rPr>
          <w:rStyle w:val="CharDefText"/>
        </w:rPr>
        <w:t>law</w:t>
      </w:r>
      <w:del w:id="26" w:author="svcMRProcess" w:date="2015-12-14T16:15:00Z">
        <w:r>
          <w:rPr>
            <w:b/>
          </w:rPr>
          <w:delText>”</w:delText>
        </w:r>
      </w:del>
      <w:r>
        <w:t xml:space="preserve"> means a written or other law other than this Act;</w:t>
      </w:r>
    </w:p>
    <w:p>
      <w:pPr>
        <w:pStyle w:val="Defstart"/>
      </w:pPr>
      <w:r>
        <w:rPr>
          <w:b/>
        </w:rPr>
        <w:tab/>
      </w:r>
      <w:del w:id="27" w:author="svcMRProcess" w:date="2015-12-14T16:15:00Z">
        <w:r>
          <w:rPr>
            <w:b/>
          </w:rPr>
          <w:delText>“</w:delText>
        </w:r>
      </w:del>
      <w:r>
        <w:rPr>
          <w:rStyle w:val="CharDefText"/>
        </w:rPr>
        <w:t>reserved land</w:t>
      </w:r>
      <w:del w:id="28" w:author="svcMRProcess" w:date="2015-12-14T16:15:00Z">
        <w:r>
          <w:rPr>
            <w:b/>
          </w:rPr>
          <w:delText>”</w:delText>
        </w:r>
      </w:del>
      <w:r>
        <w:t xml:space="preserve"> means land reserved under Part 4 of the </w:t>
      </w:r>
      <w:r>
        <w:rPr>
          <w:i/>
        </w:rPr>
        <w:t>Land Administration Act 1997</w:t>
      </w:r>
      <w:r>
        <w:t xml:space="preserve"> in implementation of the agreements;</w:t>
      </w:r>
    </w:p>
    <w:p>
      <w:pPr>
        <w:pStyle w:val="Defstart"/>
      </w:pPr>
      <w:r>
        <w:tab/>
      </w:r>
      <w:del w:id="29" w:author="svcMRProcess" w:date="2015-12-14T16:15:00Z">
        <w:r>
          <w:rPr>
            <w:b/>
          </w:rPr>
          <w:delText>“</w:delText>
        </w:r>
      </w:del>
      <w:r>
        <w:rPr>
          <w:rStyle w:val="CharDefText"/>
        </w:rPr>
        <w:t>the Authority</w:t>
      </w:r>
      <w:del w:id="30" w:author="svcMRProcess" w:date="2015-12-14T16:15:00Z">
        <w:r>
          <w:rPr>
            <w:b/>
          </w:rPr>
          <w:delText>”</w:delText>
        </w:r>
      </w:del>
      <w:r>
        <w:t xml:space="preserve"> means the Public Transport Authority of Western Australia established by the </w:t>
      </w:r>
      <w:r>
        <w:rPr>
          <w:i/>
        </w:rPr>
        <w:t>Public Transport Authority Act 2003</w:t>
      </w:r>
      <w:r>
        <w:t>;</w:t>
      </w:r>
    </w:p>
    <w:p>
      <w:pPr>
        <w:pStyle w:val="Defstart"/>
      </w:pPr>
      <w:r>
        <w:rPr>
          <w:b/>
        </w:rPr>
        <w:tab/>
      </w:r>
      <w:del w:id="31" w:author="svcMRProcess" w:date="2015-12-14T16:15:00Z">
        <w:r>
          <w:rPr>
            <w:b/>
          </w:rPr>
          <w:delText>“</w:delText>
        </w:r>
      </w:del>
      <w:r>
        <w:rPr>
          <w:rStyle w:val="CharDefText"/>
        </w:rPr>
        <w:t>the City</w:t>
      </w:r>
      <w:del w:id="32" w:author="svcMRProcess" w:date="2015-12-14T16:15:00Z">
        <w:r>
          <w:rPr>
            <w:b/>
          </w:rPr>
          <w:delText>”</w:delText>
        </w:r>
      </w:del>
      <w:r>
        <w:t xml:space="preserve"> means the City of Perth.</w:t>
      </w:r>
    </w:p>
    <w:p>
      <w:pPr>
        <w:pStyle w:val="Footnotesection"/>
      </w:pPr>
      <w:r>
        <w:tab/>
        <w:t xml:space="preserve">[Section 3 amended by No. 14 of 1996 s. 4; No. 31 of 1997 s. 29(1); No. 31 of 2003 s. 205(2).] </w:t>
      </w:r>
    </w:p>
    <w:p>
      <w:pPr>
        <w:pStyle w:val="Heading5"/>
        <w:rPr>
          <w:snapToGrid w:val="0"/>
        </w:rPr>
      </w:pPr>
      <w:bookmarkStart w:id="33" w:name="_Toc458487995"/>
      <w:bookmarkStart w:id="34" w:name="_Toc521463298"/>
      <w:bookmarkStart w:id="35" w:name="_Toc122750549"/>
      <w:bookmarkStart w:id="36" w:name="_Toc122750654"/>
      <w:bookmarkStart w:id="37" w:name="_Toc131394457"/>
      <w:bookmarkStart w:id="38" w:name="_Toc122750681"/>
      <w:r>
        <w:rPr>
          <w:rStyle w:val="CharSectno"/>
        </w:rPr>
        <w:t>4</w:t>
      </w:r>
      <w:r>
        <w:rPr>
          <w:snapToGrid w:val="0"/>
        </w:rPr>
        <w:t>.</w:t>
      </w:r>
      <w:r>
        <w:rPr>
          <w:snapToGrid w:val="0"/>
        </w:rPr>
        <w:tab/>
        <w:t>Ratification and effect of enabling agreement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39" w:name="_Toc458487996"/>
      <w:bookmarkStart w:id="40" w:name="_Toc521463299"/>
      <w:bookmarkStart w:id="41" w:name="_Toc122750550"/>
      <w:bookmarkStart w:id="42" w:name="_Toc122750655"/>
      <w:bookmarkStart w:id="43" w:name="_Toc131394458"/>
      <w:bookmarkStart w:id="44" w:name="_Toc122750682"/>
      <w:r>
        <w:rPr>
          <w:rStyle w:val="CharSectno"/>
        </w:rPr>
        <w:t>5</w:t>
      </w:r>
      <w:r>
        <w:rPr>
          <w:snapToGrid w:val="0"/>
        </w:rPr>
        <w:t>.</w:t>
      </w:r>
      <w:r>
        <w:rPr>
          <w:snapToGrid w:val="0"/>
        </w:rPr>
        <w:tab/>
        <w:t>Effect of development plan agreement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by No. 66 of 1986 s. 4.] </w:t>
      </w:r>
    </w:p>
    <w:p>
      <w:pPr>
        <w:pStyle w:val="Heading5"/>
        <w:rPr>
          <w:snapToGrid w:val="0"/>
        </w:rPr>
      </w:pPr>
      <w:bookmarkStart w:id="45" w:name="_Toc458487997"/>
      <w:bookmarkStart w:id="46" w:name="_Toc521463300"/>
      <w:bookmarkStart w:id="47" w:name="_Toc122750551"/>
      <w:bookmarkStart w:id="48" w:name="_Toc122750656"/>
      <w:bookmarkStart w:id="49" w:name="_Toc131394459"/>
      <w:bookmarkStart w:id="50" w:name="_Toc122750683"/>
      <w:r>
        <w:rPr>
          <w:rStyle w:val="CharSectno"/>
        </w:rPr>
        <w:t>6</w:t>
      </w:r>
      <w:r>
        <w:rPr>
          <w:snapToGrid w:val="0"/>
        </w:rPr>
        <w:t>.</w:t>
      </w:r>
      <w:r>
        <w:rPr>
          <w:snapToGrid w:val="0"/>
        </w:rPr>
        <w:tab/>
        <w:t>Implementation of agreements and authorisation of statutory bodies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by No.31 of 2003 s. 205(3) and (4).]</w:t>
      </w:r>
    </w:p>
    <w:p>
      <w:pPr>
        <w:pStyle w:val="Heading5"/>
        <w:rPr>
          <w:snapToGrid w:val="0"/>
        </w:rPr>
      </w:pPr>
      <w:bookmarkStart w:id="51" w:name="_Toc458487998"/>
      <w:bookmarkStart w:id="52" w:name="_Toc521463301"/>
      <w:bookmarkStart w:id="53" w:name="_Toc122750552"/>
      <w:bookmarkStart w:id="54" w:name="_Toc122750657"/>
      <w:bookmarkStart w:id="55" w:name="_Toc131394460"/>
      <w:bookmarkStart w:id="56" w:name="_Toc122750684"/>
      <w:r>
        <w:rPr>
          <w:rStyle w:val="CharSectno"/>
        </w:rPr>
        <w:t>7</w:t>
      </w:r>
      <w:r>
        <w:rPr>
          <w:snapToGrid w:val="0"/>
        </w:rPr>
        <w:t>.</w:t>
      </w:r>
      <w:r>
        <w:rPr>
          <w:snapToGrid w:val="0"/>
        </w:rPr>
        <w:tab/>
        <w:t>Demolition of Padbury buildings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57" w:name="_Toc458487999"/>
      <w:bookmarkStart w:id="58" w:name="_Toc521463302"/>
      <w:bookmarkStart w:id="59" w:name="_Toc122750553"/>
      <w:bookmarkStart w:id="60" w:name="_Toc122750658"/>
      <w:bookmarkStart w:id="61" w:name="_Toc131394461"/>
      <w:bookmarkStart w:id="62" w:name="_Toc122750685"/>
      <w:r>
        <w:rPr>
          <w:rStyle w:val="CharSectno"/>
        </w:rPr>
        <w:t>8</w:t>
      </w:r>
      <w:r>
        <w:rPr>
          <w:snapToGrid w:val="0"/>
        </w:rPr>
        <w:t>.</w:t>
      </w:r>
      <w:r>
        <w:rPr>
          <w:snapToGrid w:val="0"/>
        </w:rPr>
        <w:tab/>
        <w:t>Land may be reserved in strata</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by No. 31 of 1997 s. 29(2).]</w:t>
      </w:r>
    </w:p>
    <w:p>
      <w:pPr>
        <w:pStyle w:val="Heading5"/>
        <w:rPr>
          <w:snapToGrid w:val="0"/>
        </w:rPr>
      </w:pPr>
      <w:bookmarkStart w:id="63" w:name="_Toc458488000"/>
      <w:bookmarkStart w:id="64" w:name="_Toc521463303"/>
      <w:bookmarkStart w:id="65" w:name="_Toc122750554"/>
      <w:bookmarkStart w:id="66" w:name="_Toc122750659"/>
      <w:bookmarkStart w:id="67" w:name="_Toc131394462"/>
      <w:bookmarkStart w:id="68" w:name="_Toc122750686"/>
      <w:r>
        <w:rPr>
          <w:rStyle w:val="CharSectno"/>
        </w:rPr>
        <w:t>9</w:t>
      </w:r>
      <w:r>
        <w:rPr>
          <w:snapToGrid w:val="0"/>
        </w:rPr>
        <w:t>.</w:t>
      </w:r>
      <w:r>
        <w:rPr>
          <w:snapToGrid w:val="0"/>
        </w:rPr>
        <w:tab/>
        <w:t>Power to grant easements over reserves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by No. 31 of 1997 s. 29(3) and (4).]</w:t>
      </w:r>
    </w:p>
    <w:p>
      <w:pPr>
        <w:pStyle w:val="Heading5"/>
        <w:rPr>
          <w:snapToGrid w:val="0"/>
        </w:rPr>
      </w:pPr>
      <w:bookmarkStart w:id="69" w:name="_Toc458488001"/>
      <w:bookmarkStart w:id="70" w:name="_Toc521463304"/>
      <w:bookmarkStart w:id="71" w:name="_Toc122750555"/>
      <w:bookmarkStart w:id="72" w:name="_Toc122750660"/>
      <w:bookmarkStart w:id="73" w:name="_Toc131394463"/>
      <w:bookmarkStart w:id="74" w:name="_Toc122750687"/>
      <w:r>
        <w:rPr>
          <w:rStyle w:val="CharSectno"/>
        </w:rPr>
        <w:t>10</w:t>
      </w:r>
      <w:r>
        <w:rPr>
          <w:snapToGrid w:val="0"/>
        </w:rPr>
        <w:t>.</w:t>
      </w:r>
      <w:r>
        <w:rPr>
          <w:snapToGrid w:val="0"/>
        </w:rPr>
        <w:tab/>
        <w:t>Public nature of development</w:t>
      </w:r>
      <w:bookmarkEnd w:id="69"/>
      <w:bookmarkEnd w:id="70"/>
      <w:bookmarkEnd w:id="71"/>
      <w:bookmarkEnd w:id="72"/>
      <w:bookmarkEnd w:id="73"/>
      <w:bookmarkEnd w:id="74"/>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75" w:name="_Toc458488002"/>
      <w:bookmarkStart w:id="76" w:name="_Toc521463305"/>
      <w:bookmarkStart w:id="77" w:name="_Toc122750556"/>
      <w:bookmarkStart w:id="78" w:name="_Toc122750661"/>
      <w:bookmarkStart w:id="79" w:name="_Toc131394464"/>
      <w:bookmarkStart w:id="80" w:name="_Toc122750688"/>
      <w:r>
        <w:rPr>
          <w:rStyle w:val="CharSectno"/>
        </w:rPr>
        <w:t>11</w:t>
      </w:r>
      <w:r>
        <w:rPr>
          <w:snapToGrid w:val="0"/>
        </w:rPr>
        <w:t>.</w:t>
      </w:r>
      <w:r>
        <w:rPr>
          <w:snapToGrid w:val="0"/>
        </w:rPr>
        <w:tab/>
        <w:t>Street closure</w:t>
      </w:r>
      <w:bookmarkEnd w:id="75"/>
      <w:bookmarkEnd w:id="76"/>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del w:id="81" w:author="svcMRProcess" w:date="2015-12-14T16:15:00Z">
        <w:r>
          <w:rPr>
            <w:b/>
          </w:rPr>
          <w:delText>“</w:delText>
        </w:r>
      </w:del>
      <w:r>
        <w:rPr>
          <w:rStyle w:val="CharDefText"/>
        </w:rPr>
        <w:t>public place</w:t>
      </w:r>
      <w:del w:id="82" w:author="svcMRProcess" w:date="2015-12-14T16:15:00Z">
        <w:r>
          <w:rPr>
            <w:b/>
          </w:rPr>
          <w:delText>”</w:delText>
        </w:r>
      </w:del>
      <w:r>
        <w:t xml:space="preserve"> means any place the public is allowed to use, including a street, a way, an alley or a court, whether or not the place is private property; </w:t>
      </w:r>
    </w:p>
    <w:p>
      <w:pPr>
        <w:pStyle w:val="Defstart"/>
      </w:pPr>
      <w:r>
        <w:rPr>
          <w:b/>
        </w:rPr>
        <w:tab/>
      </w:r>
      <w:del w:id="83" w:author="svcMRProcess" w:date="2015-12-14T16:15:00Z">
        <w:r>
          <w:rPr>
            <w:b/>
          </w:rPr>
          <w:delText>“</w:delText>
        </w:r>
      </w:del>
      <w:r>
        <w:rPr>
          <w:rStyle w:val="CharDefText"/>
        </w:rPr>
        <w:t>street</w:t>
      </w:r>
      <w:del w:id="84" w:author="svcMRProcess" w:date="2015-12-14T16:15:00Z">
        <w:r>
          <w:rPr>
            <w:b/>
          </w:rPr>
          <w:delText>”</w:delText>
        </w:r>
      </w:del>
      <w:r>
        <w:t xml:space="preserve"> means a thoroughfare as defined in section 1.4 of the </w:t>
      </w:r>
      <w:r>
        <w:rPr>
          <w:i/>
        </w:rPr>
        <w:t>Local Government Act 1995</w:t>
      </w:r>
      <w:r>
        <w:t>.</w:t>
      </w:r>
    </w:p>
    <w:p>
      <w:pPr>
        <w:pStyle w:val="Footnotesection"/>
      </w:pPr>
      <w:r>
        <w:tab/>
        <w:t>[Section 11 amended by No. 14 of 1996 s. 4; No. 31 of 1997 s. 29(5)</w:t>
      </w:r>
      <w:r>
        <w:noBreakHyphen/>
        <w:t xml:space="preserve">(7).] </w:t>
      </w:r>
    </w:p>
    <w:p>
      <w:pPr>
        <w:pStyle w:val="Heading5"/>
        <w:rPr>
          <w:snapToGrid w:val="0"/>
        </w:rPr>
      </w:pPr>
      <w:bookmarkStart w:id="85" w:name="_Toc458488003"/>
      <w:bookmarkStart w:id="86" w:name="_Toc521463306"/>
      <w:bookmarkStart w:id="87" w:name="_Toc122750557"/>
      <w:bookmarkStart w:id="88" w:name="_Toc122750662"/>
      <w:bookmarkStart w:id="89" w:name="_Toc131394465"/>
      <w:bookmarkStart w:id="90" w:name="_Toc122750689"/>
      <w:r>
        <w:rPr>
          <w:rStyle w:val="CharSectno"/>
        </w:rPr>
        <w:t>12</w:t>
      </w:r>
      <w:r>
        <w:rPr>
          <w:snapToGrid w:val="0"/>
        </w:rPr>
        <w:t>.</w:t>
      </w:r>
      <w:r>
        <w:rPr>
          <w:snapToGrid w:val="0"/>
        </w:rPr>
        <w:tab/>
        <w:t>Provisions as to land taken or acquired to implement the agreements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r>
      <w:del w:id="91" w:author="svcMRProcess" w:date="2015-12-14T16:15:00Z">
        <w:r>
          <w:delText>repealed</w:delText>
        </w:r>
      </w:del>
      <w:ins w:id="92" w:author="svcMRProcess" w:date="2015-12-14T16:15:00Z">
        <w:r>
          <w:t>deleted</w:t>
        </w:r>
      </w:ins>
      <w:r>
        <w:t>]</w:t>
      </w:r>
    </w:p>
    <w:p>
      <w:pPr>
        <w:pStyle w:val="Subsection"/>
        <w:rPr>
          <w:snapToGrid w:val="0"/>
        </w:rPr>
      </w:pPr>
      <w:r>
        <w:rPr>
          <w:snapToGrid w:val="0"/>
        </w:rPr>
        <w:tab/>
        <w:t>(5)</w:t>
      </w:r>
      <w:r>
        <w:rPr>
          <w:snapToGrid w:val="0"/>
        </w:rPr>
        <w:tab/>
      </w:r>
      <w:del w:id="93" w:author="svcMRProcess" w:date="2015-12-14T16:15:00Z">
        <w:r>
          <w:rPr>
            <w:snapToGrid w:val="0"/>
          </w:rPr>
          <w:delText>Part III</w:delText>
        </w:r>
      </w:del>
      <w:ins w:id="94" w:author="svcMRProcess" w:date="2015-12-14T16:15:00Z">
        <w:r>
          <w:t>Section 135</w:t>
        </w:r>
      </w:ins>
      <w:r>
        <w:t xml:space="preserve"> of the </w:t>
      </w:r>
      <w:del w:id="95" w:author="svcMRProcess" w:date="2015-12-14T16:15:00Z">
        <w:r>
          <w:rPr>
            <w:i/>
            <w:snapToGrid w:val="0"/>
          </w:rPr>
          <w:delText xml:space="preserve">Town </w:delText>
        </w:r>
      </w:del>
      <w:r>
        <w:rPr>
          <w:i/>
        </w:rPr>
        <w:t>Planning and Development Act </w:t>
      </w:r>
      <w:del w:id="96" w:author="svcMRProcess" w:date="2015-12-14T16:15:00Z">
        <w:r>
          <w:rPr>
            <w:i/>
            <w:snapToGrid w:val="0"/>
          </w:rPr>
          <w:delText>1928</w:delText>
        </w:r>
      </w:del>
      <w:ins w:id="97" w:author="svcMRProcess" w:date="2015-12-14T16:15:00Z">
        <w:r>
          <w:rPr>
            <w:i/>
          </w:rPr>
          <w:t>2005</w:t>
        </w:r>
      </w:ins>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by No. 66 of 1986 s. 5; No. 31 of 1997 s. 29(8)</w:t>
      </w:r>
      <w:r>
        <w:noBreakHyphen/>
        <w:t>(11</w:t>
      </w:r>
      <w:del w:id="98" w:author="svcMRProcess" w:date="2015-12-14T16:15:00Z">
        <w:r>
          <w:delText>).]</w:delText>
        </w:r>
      </w:del>
      <w:ins w:id="99" w:author="svcMRProcess" w:date="2015-12-14T16:15:00Z">
        <w:r>
          <w:t>); No. 38 of 2005 s. 15.]</w:t>
        </w:r>
      </w:ins>
      <w:r>
        <w:t xml:space="preserve"> </w:t>
      </w:r>
    </w:p>
    <w:p>
      <w:pPr>
        <w:pStyle w:val="Heading5"/>
        <w:rPr>
          <w:snapToGrid w:val="0"/>
        </w:rPr>
      </w:pPr>
      <w:bookmarkStart w:id="100" w:name="_Toc458488004"/>
      <w:bookmarkStart w:id="101" w:name="_Toc521463307"/>
      <w:bookmarkStart w:id="102" w:name="_Toc122750558"/>
      <w:bookmarkStart w:id="103" w:name="_Toc122750663"/>
      <w:bookmarkStart w:id="104" w:name="_Toc131394466"/>
      <w:bookmarkStart w:id="105" w:name="_Toc122750690"/>
      <w:r>
        <w:rPr>
          <w:rStyle w:val="CharSectno"/>
        </w:rPr>
        <w:t>12A</w:t>
      </w:r>
      <w:r>
        <w:rPr>
          <w:snapToGrid w:val="0"/>
        </w:rPr>
        <w:t>.</w:t>
      </w:r>
      <w:r>
        <w:rPr>
          <w:snapToGrid w:val="0"/>
        </w:rPr>
        <w:tab/>
        <w:t>Rights and obligations in relation to land affected by the development plan agreement</w:t>
      </w:r>
      <w:bookmarkEnd w:id="100"/>
      <w:bookmarkEnd w:id="101"/>
      <w:bookmarkEnd w:id="102"/>
      <w:bookmarkEnd w:id="103"/>
      <w:bookmarkEnd w:id="104"/>
      <w:bookmarkEnd w:id="10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del w:id="106" w:author="svcMRProcess" w:date="2015-12-14T16:15:00Z">
        <w:r>
          <w:rPr>
            <w:b/>
          </w:rPr>
          <w:delText>“</w:delText>
        </w:r>
      </w:del>
      <w:r>
        <w:rPr>
          <w:rStyle w:val="CharDefText"/>
        </w:rPr>
        <w:t>party</w:t>
      </w:r>
      <w:del w:id="107" w:author="svcMRProcess" w:date="2015-12-14T16:15:00Z">
        <w:r>
          <w:rPr>
            <w:b/>
          </w:rPr>
          <w:delText>”</w:delText>
        </w:r>
      </w:del>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rPr>
          <w:b/>
          <w:snapToGrid w:val="0"/>
        </w:rPr>
      </w:pPr>
      <w:r>
        <w:rPr>
          <w:b/>
          <w:snapToGrid w:val="0"/>
        </w:rPr>
        <w:t>Table</w:t>
      </w:r>
    </w:p>
    <w:tbl>
      <w:tblPr>
        <w:tblW w:w="0" w:type="auto"/>
        <w:tblInd w:w="71" w:type="dxa"/>
        <w:tblLayout w:type="fixed"/>
        <w:tblCellMar>
          <w:left w:w="71" w:type="dxa"/>
          <w:right w:w="71" w:type="dxa"/>
        </w:tblCellMar>
        <w:tblLook w:val="0000" w:firstRow="0" w:lastRow="0" w:firstColumn="0" w:lastColumn="0" w:noHBand="0" w:noVBand="0"/>
      </w:tblPr>
      <w:tblGrid>
        <w:gridCol w:w="709"/>
        <w:gridCol w:w="4253"/>
        <w:gridCol w:w="2126"/>
      </w:tblGrid>
      <w:tr>
        <w:trPr>
          <w:tblHeader/>
        </w:trPr>
        <w:tc>
          <w:tcPr>
            <w:tcW w:w="709" w:type="dxa"/>
            <w:tcBorders>
              <w:top w:val="single" w:sz="4" w:space="0" w:color="auto"/>
              <w:bottom w:val="single" w:sz="4" w:space="0" w:color="auto"/>
            </w:tcBorders>
          </w:tcPr>
          <w:p>
            <w:pPr>
              <w:pStyle w:val="Table"/>
              <w:rPr>
                <w:b/>
              </w:rPr>
            </w:pPr>
            <w:r>
              <w:rPr>
                <w:b/>
              </w:rPr>
              <w:t>Item</w:t>
            </w:r>
          </w:p>
        </w:tc>
        <w:tc>
          <w:tcPr>
            <w:tcW w:w="4253" w:type="dxa"/>
            <w:tcBorders>
              <w:top w:val="single" w:sz="4" w:space="0" w:color="auto"/>
              <w:bottom w:val="single" w:sz="4" w:space="0" w:color="auto"/>
            </w:tcBorders>
          </w:tcPr>
          <w:p>
            <w:pPr>
              <w:pStyle w:val="Table"/>
              <w:rPr>
                <w:b/>
              </w:rPr>
            </w:pPr>
            <w:r>
              <w:rPr>
                <w:b/>
              </w:rPr>
              <w:tab/>
              <w:t>Land description</w:t>
            </w:r>
          </w:p>
        </w:tc>
        <w:tc>
          <w:tcPr>
            <w:tcW w:w="2126" w:type="dxa"/>
            <w:tcBorders>
              <w:top w:val="single" w:sz="4" w:space="0" w:color="auto"/>
              <w:bottom w:val="single" w:sz="4" w:space="0" w:color="auto"/>
            </w:tcBorders>
          </w:tcPr>
          <w:p>
            <w:pPr>
              <w:pStyle w:val="Table"/>
              <w:rPr>
                <w:b/>
              </w:rPr>
            </w:pPr>
            <w:r>
              <w:rPr>
                <w:b/>
              </w:rPr>
              <w:t>Name of Party or Parties</w:t>
            </w:r>
          </w:p>
        </w:tc>
      </w:tr>
      <w:tr>
        <w:tc>
          <w:tcPr>
            <w:tcW w:w="709" w:type="dxa"/>
          </w:tcPr>
          <w:p>
            <w:pPr>
              <w:pStyle w:val="Table"/>
            </w:pPr>
            <w:r>
              <w:t>1.</w:t>
            </w:r>
          </w:p>
        </w:tc>
        <w:tc>
          <w:tcPr>
            <w:tcW w:w="4253" w:type="dxa"/>
          </w:tcPr>
          <w:p>
            <w:pPr>
              <w:pStyle w:val="Table"/>
            </w:pPr>
            <w:r>
              <w:t>All that land which, as at 9 August 1986, is Lot 53 the subject of Diagram 69649 and is the whole of the land comprised in Certificate of Title Volume 1737 Folio 328 and which is not reserved land.</w:t>
            </w:r>
          </w:p>
        </w:tc>
        <w:tc>
          <w:tcPr>
            <w:tcW w:w="2126" w:type="dxa"/>
          </w:tcPr>
          <w:p>
            <w:pPr>
              <w:pStyle w:val="Table"/>
            </w:pPr>
            <w:r>
              <w:t>N.M.L. Nominees (Canberra) Limited</w:t>
            </w:r>
          </w:p>
        </w:tc>
      </w:tr>
      <w:tr>
        <w:tc>
          <w:tcPr>
            <w:tcW w:w="709" w:type="dxa"/>
          </w:tcPr>
          <w:p>
            <w:pPr>
              <w:pStyle w:val="Table"/>
            </w:pPr>
            <w:r>
              <w:t>2.</w:t>
            </w:r>
          </w:p>
        </w:tc>
        <w:tc>
          <w:tcPr>
            <w:tcW w:w="4253" w:type="dxa"/>
          </w:tcPr>
          <w:p>
            <w:pPr>
              <w:pStyle w:val="Table"/>
            </w:pPr>
            <w:r>
              <w:t>All that land which, as at 9 August 1986, is Lot 100 the subject of Diagram 63404, and is the whole of the land comprised in Certificate of Title Volume 1642 Folio 686 and which is not reserved land.</w:t>
            </w:r>
          </w:p>
        </w:tc>
        <w:tc>
          <w:tcPr>
            <w:tcW w:w="2126" w:type="dxa"/>
          </w:tcPr>
          <w:p>
            <w:pPr>
              <w:pStyle w:val="Table"/>
            </w:pPr>
            <w:r>
              <w:t>The State of Western Australia and City of Perth</w:t>
            </w:r>
          </w:p>
        </w:tc>
      </w:tr>
      <w:tr>
        <w:tc>
          <w:tcPr>
            <w:tcW w:w="709" w:type="dxa"/>
          </w:tcPr>
          <w:p>
            <w:pPr>
              <w:pStyle w:val="Table"/>
            </w:pPr>
            <w:r>
              <w:t>3.</w:t>
            </w:r>
          </w:p>
        </w:tc>
        <w:tc>
          <w:tcPr>
            <w:tcW w:w="4253" w:type="dxa"/>
          </w:tcPr>
          <w:p>
            <w:pPr>
              <w:pStyle w:val="Table"/>
            </w:pPr>
            <w:r>
              <w:t>All that land which, as at 9 August 1986, is portion of each of Perth Town Lots V13, V14, V15 and V16 and is part of the land on Plan 4845 and is the whole of the land comprised in Certificate of Title Volume 1642 Folio 666.</w:t>
            </w:r>
          </w:p>
        </w:tc>
        <w:tc>
          <w:tcPr>
            <w:tcW w:w="2126" w:type="dxa"/>
          </w:tcPr>
          <w:p>
            <w:pPr>
              <w:pStyle w:val="Table"/>
            </w:pPr>
            <w:r>
              <w:t>The Commonwealth of Australia and Australian Postal Commission.</w:t>
            </w:r>
          </w:p>
        </w:tc>
      </w:tr>
      <w:tr>
        <w:tc>
          <w:tcPr>
            <w:tcW w:w="709" w:type="dxa"/>
          </w:tcPr>
          <w:p>
            <w:pPr>
              <w:pStyle w:val="Table"/>
              <w:keepNext/>
            </w:pPr>
            <w:r>
              <w:t>4.</w:t>
            </w:r>
          </w:p>
        </w:tc>
        <w:tc>
          <w:tcPr>
            <w:tcW w:w="4253" w:type="dxa"/>
          </w:tcPr>
          <w:p>
            <w:pPr>
              <w:pStyle w:val="Table"/>
              <w:keepNext/>
            </w:pPr>
            <w:r>
              <w:t>All that land which, as at 9 August 1986, is portions of Perth Town Lots V13, V14, V15 and V16 and is part of the land on Plan 4845 and is the whole of the land comprised in Certificate of Title Volume 1018 Folio 802.</w:t>
            </w:r>
          </w:p>
        </w:tc>
        <w:tc>
          <w:tcPr>
            <w:tcW w:w="2126" w:type="dxa"/>
          </w:tcPr>
          <w:p>
            <w:pPr>
              <w:pStyle w:val="Table"/>
              <w:keepNext/>
            </w:pPr>
            <w:r>
              <w:t>Commonwealth Banking Corporation.</w:t>
            </w:r>
          </w:p>
        </w:tc>
      </w:tr>
      <w:tr>
        <w:tc>
          <w:tcPr>
            <w:tcW w:w="709" w:type="dxa"/>
          </w:tcPr>
          <w:p>
            <w:pPr>
              <w:pStyle w:val="Table"/>
            </w:pPr>
            <w:r>
              <w:t>5.</w:t>
            </w:r>
          </w:p>
        </w:tc>
        <w:tc>
          <w:tcPr>
            <w:tcW w:w="4253" w:type="dxa"/>
          </w:tcPr>
          <w:p>
            <w:pPr>
              <w:pStyle w:val="Table"/>
            </w:pPr>
            <w:r>
              <w:t>All that land which, as at 9 August 1986, is Lot 101 the subject of Diagram 62479 and is the whole of the land comprised in Certificate of Title Volume 1669 Folio 980.</w:t>
            </w:r>
          </w:p>
        </w:tc>
        <w:tc>
          <w:tcPr>
            <w:tcW w:w="2126" w:type="dxa"/>
          </w:tcPr>
          <w:p>
            <w:pPr>
              <w:pStyle w:val="Table"/>
            </w:pPr>
            <w:r>
              <w:t>West Australian Trustees Limited</w:t>
            </w:r>
          </w:p>
        </w:tc>
      </w:tr>
      <w:tr>
        <w:tc>
          <w:tcPr>
            <w:tcW w:w="709" w:type="dxa"/>
          </w:tcPr>
          <w:p>
            <w:pPr>
              <w:pStyle w:val="Table"/>
            </w:pPr>
            <w:r>
              <w:t>6.</w:t>
            </w:r>
          </w:p>
        </w:tc>
        <w:tc>
          <w:tcPr>
            <w:tcW w:w="4253" w:type="dxa"/>
          </w:tcPr>
          <w:p>
            <w:pPr>
              <w:pStyle w:val="Table"/>
            </w:pPr>
            <w:r>
              <w:t>All that land which, as at 9 August 1986, is Lot 100 the subject of Diagram 60166 and is the whole of the land comprised in Certificate of Title Volume 1665 Folio 818.</w:t>
            </w:r>
          </w:p>
        </w:tc>
        <w:tc>
          <w:tcPr>
            <w:tcW w:w="2126" w:type="dxa"/>
          </w:tcPr>
          <w:p>
            <w:pPr>
              <w:pStyle w:val="Table"/>
            </w:pPr>
            <w:r>
              <w:t>Westpac Investment Management Pty. Ltd.</w:t>
            </w:r>
          </w:p>
        </w:tc>
      </w:tr>
      <w:tr>
        <w:tc>
          <w:tcPr>
            <w:tcW w:w="709" w:type="dxa"/>
            <w:tcBorders>
              <w:bottom w:val="single" w:sz="4" w:space="0" w:color="auto"/>
            </w:tcBorders>
          </w:tcPr>
          <w:p>
            <w:pPr>
              <w:pStyle w:val="Table"/>
            </w:pPr>
            <w:r>
              <w:t>7.</w:t>
            </w:r>
          </w:p>
        </w:tc>
        <w:tc>
          <w:tcPr>
            <w:tcW w:w="4253" w:type="dxa"/>
            <w:tcBorders>
              <w:bottom w:val="single" w:sz="4" w:space="0" w:color="auto"/>
            </w:tcBorders>
          </w:tcPr>
          <w:p>
            <w:pPr>
              <w:pStyle w:val="Table"/>
            </w:pPr>
            <w:r>
              <w:t>All that land which, as at 9 August 1986, is Lot 100 the subject of Diagram 60166 and is the whole of the land comprised in certificate of Title Volume 1665 Folio 819.</w:t>
            </w:r>
          </w:p>
        </w:tc>
        <w:tc>
          <w:tcPr>
            <w:tcW w:w="2126" w:type="dxa"/>
            <w:tcBorders>
              <w:bottom w:val="single" w:sz="4" w:space="0" w:color="auto"/>
            </w:tcBorders>
          </w:tcPr>
          <w:p>
            <w:pPr>
              <w:pStyle w:val="Table"/>
            </w:pPr>
            <w:r>
              <w:t>City Arcade Pty. Ltd.</w:t>
            </w:r>
          </w:p>
        </w:tc>
      </w:tr>
    </w:tbl>
    <w:p>
      <w:pPr>
        <w:pStyle w:val="Footnotesection"/>
      </w:pPr>
      <w:r>
        <w:tab/>
        <w:t xml:space="preserve">[Section 12A inserted by No. 66 of 1986 s. 6.] </w:t>
      </w:r>
    </w:p>
    <w:p>
      <w:pPr>
        <w:pStyle w:val="Heading5"/>
        <w:rPr>
          <w:snapToGrid w:val="0"/>
        </w:rPr>
      </w:pPr>
      <w:bookmarkStart w:id="108" w:name="_Toc458488005"/>
      <w:bookmarkStart w:id="109" w:name="_Toc521463308"/>
      <w:bookmarkStart w:id="110" w:name="_Toc122750559"/>
      <w:bookmarkStart w:id="111" w:name="_Toc122750664"/>
      <w:bookmarkStart w:id="112" w:name="_Toc131394467"/>
      <w:bookmarkStart w:id="113" w:name="_Toc122750691"/>
      <w:r>
        <w:rPr>
          <w:rStyle w:val="CharSectno"/>
        </w:rPr>
        <w:t>12B</w:t>
      </w:r>
      <w:r>
        <w:rPr>
          <w:snapToGrid w:val="0"/>
        </w:rPr>
        <w:t>.</w:t>
      </w:r>
      <w:r>
        <w:rPr>
          <w:snapToGrid w:val="0"/>
        </w:rPr>
        <w:tab/>
        <w:t>Endorsements as to rights and obligations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by No. 66 of 1986 s. 7.] </w:t>
      </w:r>
    </w:p>
    <w:p>
      <w:pPr>
        <w:pStyle w:val="Heading5"/>
        <w:rPr>
          <w:snapToGrid w:val="0"/>
        </w:rPr>
      </w:pPr>
      <w:bookmarkStart w:id="114" w:name="_Toc458488006"/>
      <w:bookmarkStart w:id="115" w:name="_Toc521463309"/>
      <w:bookmarkStart w:id="116" w:name="_Toc122750560"/>
      <w:bookmarkStart w:id="117" w:name="_Toc122750665"/>
      <w:bookmarkStart w:id="118" w:name="_Toc131394468"/>
      <w:bookmarkStart w:id="119" w:name="_Toc122750692"/>
      <w:r>
        <w:rPr>
          <w:rStyle w:val="CharSectno"/>
        </w:rPr>
        <w:t>13</w:t>
      </w:r>
      <w:r>
        <w:rPr>
          <w:snapToGrid w:val="0"/>
        </w:rPr>
        <w:t>.</w:t>
      </w:r>
      <w:r>
        <w:rPr>
          <w:snapToGrid w:val="0"/>
        </w:rPr>
        <w:tab/>
        <w:t>Reserved land vested in the City</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by No. 31 of 1997 s. 29(12).]</w:t>
      </w:r>
    </w:p>
    <w:p>
      <w:pPr>
        <w:pStyle w:val="Heading5"/>
        <w:rPr>
          <w:snapToGrid w:val="0"/>
        </w:rPr>
      </w:pPr>
      <w:bookmarkStart w:id="120" w:name="_Toc458488007"/>
      <w:bookmarkStart w:id="121" w:name="_Toc521463310"/>
      <w:bookmarkStart w:id="122" w:name="_Toc122750561"/>
      <w:bookmarkStart w:id="123" w:name="_Toc122750666"/>
      <w:bookmarkStart w:id="124" w:name="_Toc131394469"/>
      <w:bookmarkStart w:id="125" w:name="_Toc122750693"/>
      <w:r>
        <w:rPr>
          <w:rStyle w:val="CharSectno"/>
        </w:rPr>
        <w:t>14</w:t>
      </w:r>
      <w:r>
        <w:rPr>
          <w:snapToGrid w:val="0"/>
        </w:rPr>
        <w:t>.</w:t>
      </w:r>
      <w:r>
        <w:rPr>
          <w:snapToGrid w:val="0"/>
        </w:rPr>
        <w:tab/>
        <w:t>Disposal of land by City</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by No. 14 of 1996 s. 4.] </w:t>
      </w:r>
    </w:p>
    <w:p>
      <w:pPr>
        <w:pStyle w:val="Heading5"/>
        <w:rPr>
          <w:snapToGrid w:val="0"/>
        </w:rPr>
      </w:pPr>
      <w:bookmarkStart w:id="126" w:name="_Toc458488008"/>
      <w:bookmarkStart w:id="127" w:name="_Toc521463311"/>
      <w:bookmarkStart w:id="128" w:name="_Toc122750562"/>
      <w:bookmarkStart w:id="129" w:name="_Toc122750667"/>
      <w:bookmarkStart w:id="130" w:name="_Toc131394470"/>
      <w:bookmarkStart w:id="131" w:name="_Toc122750694"/>
      <w:r>
        <w:rPr>
          <w:rStyle w:val="CharSectno"/>
        </w:rPr>
        <w:t>15</w:t>
      </w:r>
      <w:r>
        <w:rPr>
          <w:snapToGrid w:val="0"/>
        </w:rPr>
        <w:t>.</w:t>
      </w:r>
      <w:r>
        <w:rPr>
          <w:snapToGrid w:val="0"/>
        </w:rPr>
        <w:tab/>
        <w:t>Expenditure and borrowing by City</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by No. 14 of 1996 s. 4; No. 31 of 1997 s. 29(13).] </w:t>
      </w:r>
    </w:p>
    <w:p>
      <w:pPr>
        <w:pStyle w:val="Heading5"/>
        <w:rPr>
          <w:snapToGrid w:val="0"/>
        </w:rPr>
      </w:pPr>
      <w:bookmarkStart w:id="132" w:name="_Toc458488009"/>
      <w:bookmarkStart w:id="133" w:name="_Toc521463312"/>
      <w:bookmarkStart w:id="134" w:name="_Toc122750563"/>
      <w:bookmarkStart w:id="135" w:name="_Toc122750668"/>
      <w:bookmarkStart w:id="136" w:name="_Toc131394471"/>
      <w:bookmarkStart w:id="137" w:name="_Toc122750695"/>
      <w:r>
        <w:rPr>
          <w:rStyle w:val="CharSectno"/>
        </w:rPr>
        <w:t>16</w:t>
      </w:r>
      <w:r>
        <w:rPr>
          <w:snapToGrid w:val="0"/>
        </w:rPr>
        <w:t>.</w:t>
      </w:r>
      <w:r>
        <w:rPr>
          <w:snapToGrid w:val="0"/>
        </w:rPr>
        <w:tab/>
        <w:t>City Station complex</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 xml:space="preserve">[(2) and (3)    </w:t>
      </w:r>
      <w:del w:id="138" w:author="svcMRProcess" w:date="2015-12-14T16:15:00Z">
        <w:r>
          <w:delText>repealed</w:delText>
        </w:r>
      </w:del>
      <w:ins w:id="139" w:author="svcMRProcess" w:date="2015-12-14T16:15:00Z">
        <w:r>
          <w:t>deleted</w:t>
        </w:r>
      </w:ins>
      <w:r>
        <w:t>]</w:t>
      </w:r>
    </w:p>
    <w:p>
      <w:pPr>
        <w:pStyle w:val="Subsection"/>
        <w:rPr>
          <w:snapToGrid w:val="0"/>
        </w:rPr>
      </w:pPr>
      <w:r>
        <w:rPr>
          <w:snapToGrid w:val="0"/>
        </w:rPr>
        <w:tab/>
        <w:t>(4)</w:t>
      </w:r>
      <w:r>
        <w:rPr>
          <w:snapToGrid w:val="0"/>
        </w:rPr>
        <w:tab/>
      </w:r>
      <w:del w:id="140" w:author="svcMRProcess" w:date="2015-12-14T16:15:00Z">
        <w:r>
          <w:rPr>
            <w:snapToGrid w:val="0"/>
          </w:rPr>
          <w:delText>Part III</w:delText>
        </w:r>
      </w:del>
      <w:ins w:id="141" w:author="svcMRProcess" w:date="2015-12-14T16:15:00Z">
        <w:r>
          <w:t>Section 135</w:t>
        </w:r>
      </w:ins>
      <w:r>
        <w:t xml:space="preserve"> of the </w:t>
      </w:r>
      <w:del w:id="142" w:author="svcMRProcess" w:date="2015-12-14T16:15:00Z">
        <w:r>
          <w:rPr>
            <w:i/>
            <w:snapToGrid w:val="0"/>
          </w:rPr>
          <w:delText xml:space="preserve">Town </w:delText>
        </w:r>
      </w:del>
      <w:r>
        <w:rPr>
          <w:i/>
        </w:rPr>
        <w:t>Planning and Development Act </w:t>
      </w:r>
      <w:del w:id="143" w:author="svcMRProcess" w:date="2015-12-14T16:15:00Z">
        <w:r>
          <w:rPr>
            <w:i/>
            <w:snapToGrid w:val="0"/>
          </w:rPr>
          <w:delText>1928</w:delText>
        </w:r>
      </w:del>
      <w:ins w:id="144" w:author="svcMRProcess" w:date="2015-12-14T16:15:00Z">
        <w:r>
          <w:rPr>
            <w:i/>
          </w:rPr>
          <w:t>2005</w:t>
        </w:r>
      </w:ins>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by No. 31 of 1997 s. 141; No. 16 of 1999 s. </w:t>
      </w:r>
      <w:del w:id="145" w:author="svcMRProcess" w:date="2015-12-14T16:15:00Z">
        <w:r>
          <w:delText>7(2).]</w:delText>
        </w:r>
      </w:del>
      <w:ins w:id="146" w:author="svcMRProcess" w:date="2015-12-14T16:15:00Z">
        <w:r>
          <w:t>7(2); No. 38 of 2005 s. 15.]</w:t>
        </w:r>
      </w:ins>
    </w:p>
    <w:p>
      <w:pPr>
        <w:pStyle w:val="Heading5"/>
        <w:rPr>
          <w:snapToGrid w:val="0"/>
        </w:rPr>
      </w:pPr>
      <w:bookmarkStart w:id="147" w:name="_Toc458488010"/>
      <w:bookmarkStart w:id="148" w:name="_Toc521463313"/>
      <w:bookmarkStart w:id="149" w:name="_Toc122750564"/>
      <w:bookmarkStart w:id="150" w:name="_Toc122750669"/>
      <w:bookmarkStart w:id="151" w:name="_Toc131394472"/>
      <w:bookmarkStart w:id="152" w:name="_Toc122750696"/>
      <w:r>
        <w:rPr>
          <w:rStyle w:val="CharSectno"/>
        </w:rPr>
        <w:t>17</w:t>
      </w:r>
      <w:r>
        <w:rPr>
          <w:snapToGrid w:val="0"/>
        </w:rPr>
        <w:t>.</w:t>
      </w:r>
      <w:r>
        <w:rPr>
          <w:snapToGrid w:val="0"/>
        </w:rPr>
        <w:tab/>
        <w:t>City not required to call tenders</w:t>
      </w:r>
      <w:bookmarkEnd w:id="147"/>
      <w:bookmarkEnd w:id="148"/>
      <w:bookmarkEnd w:id="149"/>
      <w:bookmarkEnd w:id="150"/>
      <w:bookmarkEnd w:id="151"/>
      <w:bookmarkEnd w:id="152"/>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by No. 14 of 1996 s. 4.] </w:t>
      </w:r>
    </w:p>
    <w:p>
      <w:pPr>
        <w:pStyle w:val="Heading5"/>
        <w:rPr>
          <w:snapToGrid w:val="0"/>
        </w:rPr>
      </w:pPr>
      <w:bookmarkStart w:id="153" w:name="_Toc458488011"/>
      <w:bookmarkStart w:id="154" w:name="_Toc521463314"/>
      <w:bookmarkStart w:id="155" w:name="_Toc122750565"/>
      <w:bookmarkStart w:id="156" w:name="_Toc122750670"/>
      <w:bookmarkStart w:id="157" w:name="_Toc131394473"/>
      <w:bookmarkStart w:id="158" w:name="_Toc122750697"/>
      <w:r>
        <w:rPr>
          <w:rStyle w:val="CharSectno"/>
        </w:rPr>
        <w:t>18</w:t>
      </w:r>
      <w:r>
        <w:rPr>
          <w:snapToGrid w:val="0"/>
        </w:rPr>
        <w:t>.</w:t>
      </w:r>
      <w:r>
        <w:rPr>
          <w:snapToGrid w:val="0"/>
        </w:rPr>
        <w:tab/>
        <w:t>Power of City to control access to development site</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r>
      <w:del w:id="159" w:author="svcMRProcess" w:date="2015-12-14T16:15:00Z">
        <w:r>
          <w:delText>repealed</w:delText>
        </w:r>
      </w:del>
      <w:ins w:id="160" w:author="svcMRProcess" w:date="2015-12-14T16:15:00Z">
        <w:r>
          <w:t>deleted</w:t>
        </w:r>
      </w:ins>
      <w:r>
        <w:t>]</w:t>
      </w:r>
    </w:p>
    <w:p>
      <w:pPr>
        <w:pStyle w:val="Footnotesection"/>
      </w:pPr>
      <w:r>
        <w:tab/>
        <w:t xml:space="preserve">[Section 18 amended by No. 14 of 1996 s. 4; No. 31 of 1997 s. 29(14); No. 70 of 2004 s. 82.] </w:t>
      </w:r>
    </w:p>
    <w:p>
      <w:pPr>
        <w:pStyle w:val="Heading5"/>
      </w:pPr>
      <w:bookmarkStart w:id="161" w:name="_Toc122750566"/>
      <w:bookmarkStart w:id="162" w:name="_Toc122750671"/>
      <w:bookmarkStart w:id="163" w:name="_Toc131394474"/>
      <w:bookmarkStart w:id="164" w:name="_Toc122750698"/>
      <w:bookmarkStart w:id="165" w:name="_Toc458488013"/>
      <w:bookmarkStart w:id="166" w:name="_Toc521463316"/>
      <w:r>
        <w:rPr>
          <w:rStyle w:val="CharSectno"/>
        </w:rPr>
        <w:t>19</w:t>
      </w:r>
      <w:r>
        <w:t>.</w:t>
      </w:r>
      <w:r>
        <w:tab/>
        <w:t>Power of Authority relating to leases and easements</w:t>
      </w:r>
      <w:bookmarkEnd w:id="161"/>
      <w:bookmarkEnd w:id="162"/>
      <w:bookmarkEnd w:id="163"/>
      <w:bookmarkEnd w:id="164"/>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pPr>
      <w:r>
        <w:tab/>
        <w:t>[Section 19 inserted by No. 31 of 2003 s. 205(5).]</w:t>
      </w:r>
    </w:p>
    <w:p>
      <w:pPr>
        <w:pStyle w:val="Heading5"/>
        <w:rPr>
          <w:snapToGrid w:val="0"/>
        </w:rPr>
      </w:pPr>
      <w:bookmarkStart w:id="167" w:name="_Toc122750567"/>
      <w:bookmarkStart w:id="168" w:name="_Toc122750672"/>
      <w:bookmarkStart w:id="169" w:name="_Toc131394475"/>
      <w:bookmarkStart w:id="170" w:name="_Toc122750699"/>
      <w:r>
        <w:rPr>
          <w:rStyle w:val="CharSectno"/>
        </w:rPr>
        <w:t>19A</w:t>
      </w:r>
      <w:r>
        <w:rPr>
          <w:snapToGrid w:val="0"/>
        </w:rPr>
        <w:t>.</w:t>
      </w:r>
      <w:r>
        <w:rPr>
          <w:snapToGrid w:val="0"/>
        </w:rPr>
        <w:tab/>
        <w:t>Limits of Government railways extended for certain purposes</w:t>
      </w:r>
      <w:bookmarkEnd w:id="165"/>
      <w:bookmarkEnd w:id="166"/>
      <w:bookmarkEnd w:id="167"/>
      <w:bookmarkEnd w:id="168"/>
      <w:bookmarkEnd w:id="169"/>
      <w:bookmarkEnd w:id="170"/>
      <w:r>
        <w:rPr>
          <w:snapToGrid w:val="0"/>
        </w:rPr>
        <w:t xml:space="preserve"> </w:t>
      </w:r>
    </w:p>
    <w:p>
      <w:pPr>
        <w:pStyle w:val="Subsection"/>
        <w:keepNext/>
        <w:rPr>
          <w:snapToGrid w:val="0"/>
        </w:rPr>
      </w:pPr>
      <w:r>
        <w:rPr>
          <w:snapToGrid w:val="0"/>
        </w:rPr>
        <w:tab/>
        <w:t>(1)</w:t>
      </w:r>
      <w:r>
        <w:rPr>
          <w:snapToGrid w:val="0"/>
        </w:rPr>
        <w:tab/>
        <w:t>In this section </w:t>
      </w:r>
      <w:del w:id="171" w:author="svcMRProcess" w:date="2015-12-14T16:15:00Z">
        <w:r>
          <w:rPr>
            <w:b/>
            <w:snapToGrid w:val="0"/>
          </w:rPr>
          <w:delText>“</w:delText>
        </w:r>
      </w:del>
      <w:r>
        <w:rPr>
          <w:rStyle w:val="CharDefText"/>
        </w:rPr>
        <w:t>concourse area</w:t>
      </w:r>
      <w:del w:id="172" w:author="svcMRProcess" w:date="2015-12-14T16:15:00Z">
        <w:r>
          <w:rPr>
            <w:b/>
            <w:snapToGrid w:val="0"/>
          </w:rPr>
          <w:delText>”</w:delText>
        </w:r>
      </w:del>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metres.</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pPr>
      <w:r>
        <w:tab/>
        <w:t xml:space="preserve">[Section 19A inserted by No. 6 of 1995 s. 3.] </w:t>
      </w:r>
    </w:p>
    <w:p>
      <w:pPr>
        <w:pStyle w:val="Heading5"/>
        <w:rPr>
          <w:snapToGrid w:val="0"/>
        </w:rPr>
      </w:pPr>
      <w:bookmarkStart w:id="173" w:name="_Toc458488014"/>
      <w:bookmarkStart w:id="174" w:name="_Toc521463317"/>
      <w:bookmarkStart w:id="175" w:name="_Toc122750568"/>
      <w:bookmarkStart w:id="176" w:name="_Toc122750673"/>
      <w:bookmarkStart w:id="177" w:name="_Toc131394476"/>
      <w:bookmarkStart w:id="178" w:name="_Toc122750700"/>
      <w:r>
        <w:rPr>
          <w:rStyle w:val="CharSectno"/>
        </w:rPr>
        <w:t>20</w:t>
      </w:r>
      <w:r>
        <w:rPr>
          <w:snapToGrid w:val="0"/>
        </w:rPr>
        <w:t>.</w:t>
      </w:r>
      <w:r>
        <w:rPr>
          <w:snapToGrid w:val="0"/>
        </w:rPr>
        <w:tab/>
        <w:t>Agreements to be published and laid before Parliament</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In this section </w:t>
      </w:r>
      <w:del w:id="179" w:author="svcMRProcess" w:date="2015-12-14T16:15:00Z">
        <w:r>
          <w:rPr>
            <w:b/>
            <w:snapToGrid w:val="0"/>
          </w:rPr>
          <w:delText>“</w:delText>
        </w:r>
      </w:del>
      <w:r>
        <w:rPr>
          <w:rStyle w:val="CharDefText"/>
        </w:rPr>
        <w:t>future agreement</w:t>
      </w:r>
      <w:del w:id="180" w:author="svcMRProcess" w:date="2015-12-14T16:15:00Z">
        <w:r>
          <w:rPr>
            <w:b/>
            <w:snapToGrid w:val="0"/>
          </w:rPr>
          <w:delText>”</w:delText>
        </w:r>
      </w:del>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1" w:name="_Toc122750569"/>
      <w:bookmarkStart w:id="182" w:name="_Toc122750647"/>
      <w:bookmarkStart w:id="183" w:name="_Toc122750674"/>
      <w:bookmarkStart w:id="184" w:name="_Toc122750701"/>
      <w:bookmarkStart w:id="185" w:name="_Toc131394477"/>
      <w:r>
        <w:rPr>
          <w:rStyle w:val="CharSchNo"/>
        </w:rPr>
        <w:t>Schedule</w:t>
      </w:r>
      <w:bookmarkEnd w:id="181"/>
      <w:bookmarkEnd w:id="182"/>
      <w:bookmarkEnd w:id="183"/>
      <w:bookmarkEnd w:id="184"/>
      <w:bookmarkEnd w:id="185"/>
      <w:r>
        <w:rPr>
          <w:rStyle w:val="CharSchText"/>
        </w:rPr>
        <w:t xml:space="preserve"> </w:t>
      </w:r>
    </w:p>
    <w:p>
      <w:pPr>
        <w:pStyle w:val="yTable"/>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ins w:id="186" w:author="svcMRProcess" w:date="2015-12-14T16:15:00Z">
        <w:r>
          <w:rPr>
            <w:snapToGrid w:val="0"/>
            <w:sz w:val="20"/>
            <w:vertAlign w:val="superscript"/>
          </w:rPr>
          <w:t> 2</w:t>
        </w:r>
      </w:ins>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187" w:name="endcomma"/>
      <w:bookmarkEnd w:id="187"/>
      <w:r>
        <w:rPr>
          <w:sz w:val="20"/>
        </w:rPr>
        <w:t xml:space="preserve">Westrail Timetable” </w:t>
      </w:r>
      <w:bookmarkStart w:id="188" w:name="comma"/>
      <w:bookmarkEnd w:id="188"/>
      <w:r>
        <w:rPr>
          <w:sz w:val="20"/>
        </w:rPr>
        <w:t>means the Timetable in Item 2 of the Sixth Schedule.</w:t>
      </w:r>
    </w:p>
    <w:p>
      <w:pPr>
        <w:pStyle w:val="yTable"/>
        <w:tabs>
          <w:tab w:val="left" w:pos="601"/>
        </w:tabs>
        <w:ind w:left="1168" w:hanging="1168"/>
        <w:rPr>
          <w:snapToGrid w:val="0"/>
          <w:sz w:val="20"/>
        </w:rPr>
      </w:pPr>
      <w:r>
        <w:rPr>
          <w:b/>
          <w:snapToGrid w:val="0"/>
          <w:sz w:val="20"/>
        </w:rPr>
        <w:t>Interpretation</w:t>
      </w:r>
      <w:r>
        <w:rPr>
          <w:snapToGrid w:val="0"/>
          <w:sz w:val="20"/>
          <w:vertAlign w:val="superscript"/>
        </w:rPr>
        <w:t> 3</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tabs>
          <w:tab w:val="left" w:pos="600"/>
        </w:tabs>
        <w:ind w:left="1167" w:hanging="1167"/>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 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spacing w:before="240"/>
        <w:jc w:val="center"/>
        <w:rPr>
          <w:snapToGrid w:val="0"/>
          <w:sz w:val="20"/>
        </w:rPr>
      </w:pPr>
      <w:r>
        <w:rPr>
          <w:snapToGrid w:val="0"/>
          <w:sz w:val="20"/>
        </w:rPr>
        <w:t>INSURANCE</w:t>
      </w:r>
    </w:p>
    <w:p>
      <w:pPr>
        <w:pStyle w:val="yTable"/>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tabs>
          <w:tab w:val="left" w:pos="600"/>
        </w:tabs>
        <w:ind w:left="1167" w:hanging="1167"/>
        <w:rPr>
          <w:snapToGrid w:val="0"/>
          <w:sz w:val="20"/>
        </w:rPr>
      </w:pPr>
      <w:r>
        <w:rPr>
          <w:snapToGrid w:val="0"/>
          <w:sz w:val="20"/>
        </w:rPr>
        <w:tab/>
      </w:r>
      <w:r>
        <w:rPr>
          <w:snapToGrid w:val="0"/>
          <w:sz w:val="20"/>
        </w:rPr>
        <w:tab/>
        <w:t>Westrail — </w:t>
      </w:r>
    </w:p>
    <w:p>
      <w:pPr>
        <w:pStyle w:val="yTable"/>
        <w:rPr>
          <w:snapToGrid w:val="0"/>
          <w:sz w:val="20"/>
        </w:rPr>
      </w:pPr>
      <w:r>
        <w:rPr>
          <w:snapToGrid w:val="0"/>
          <w:sz w:val="20"/>
        </w:rPr>
        <w:tab/>
      </w:r>
      <w:r>
        <w:rPr>
          <w:snapToGrid w:val="0"/>
          <w:sz w:val="20"/>
        </w:rPr>
        <w:tab/>
        <w:t>The Chief Civil Engineer</w:t>
      </w:r>
    </w:p>
    <w:p>
      <w:pPr>
        <w:pStyle w:val="yTable"/>
        <w:spacing w:before="0"/>
        <w:rPr>
          <w:snapToGrid w:val="0"/>
          <w:sz w:val="20"/>
        </w:rPr>
      </w:pPr>
      <w:r>
        <w:rPr>
          <w:snapToGrid w:val="0"/>
          <w:sz w:val="20"/>
        </w:rPr>
        <w:tab/>
      </w:r>
      <w:r>
        <w:rPr>
          <w:snapToGrid w:val="0"/>
          <w:sz w:val="20"/>
        </w:rPr>
        <w:tab/>
        <w:t>Westrail Centre</w:t>
      </w:r>
    </w:p>
    <w:p>
      <w:pPr>
        <w:pStyle w:val="yTable"/>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ind w:left="1167" w:hanging="1167"/>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sz w:val="20"/>
              </w:rPr>
            </w:pPr>
            <w:r>
              <w:rPr>
                <w:snapToGrid w:val="0"/>
                <w:sz w:val="20"/>
              </w:rPr>
              <w:t xml:space="preserve">Signed by the Minister for Western Australian Government Railways in the presence of: </w:t>
            </w:r>
          </w:p>
          <w:p>
            <w:pPr>
              <w:pStyle w:val="yTable"/>
              <w:rPr>
                <w:snapToGrid w:val="0"/>
              </w:rPr>
            </w:pP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p>
    <w:p>
      <w:pPr>
        <w:pStyle w:val="yTable"/>
        <w:tabs>
          <w:tab w:val="left" w:pos="4536"/>
          <w:tab w:val="left" w:pos="5103"/>
        </w:tabs>
        <w:spacing w:before="0"/>
        <w:rPr>
          <w:snapToGrid w:val="0"/>
          <w:sz w:val="20"/>
        </w:rPr>
      </w:pPr>
      <w:r>
        <w:rPr>
          <w:snapToGrid w:val="0"/>
          <w:sz w:val="20"/>
        </w:rPr>
        <w:tab/>
      </w:r>
      <w:r>
        <w:rPr>
          <w:snapToGrid w:val="0"/>
          <w:sz w:val="20"/>
        </w:rPr>
        <w:tab/>
        <w:t>Commissioner.</w:t>
      </w:r>
    </w:p>
    <w:p>
      <w:pPr>
        <w:pStyle w:val="yTable"/>
        <w:tabs>
          <w:tab w:val="left" w:pos="4536"/>
        </w:tabs>
        <w:rPr>
          <w:snapToGrid w:val="0"/>
          <w:sz w:val="20"/>
        </w:rPr>
      </w:pPr>
      <w:r>
        <w:rPr>
          <w:snapToGrid w:val="0"/>
          <w:sz w:val="20"/>
        </w:rPr>
        <w:tab/>
        <w:t xml:space="preserve">K. W. DONNELLY, </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89" w:name="_Toc90875406"/>
      <w:bookmarkStart w:id="190" w:name="_Toc104706872"/>
      <w:bookmarkStart w:id="191" w:name="_Toc122750570"/>
      <w:bookmarkStart w:id="192" w:name="_Toc122750648"/>
      <w:bookmarkStart w:id="193" w:name="_Toc122750675"/>
      <w:bookmarkStart w:id="194" w:name="_Toc122750702"/>
      <w:bookmarkStart w:id="195" w:name="_Toc131394478"/>
      <w:r>
        <w:t>Notes</w:t>
      </w:r>
      <w:bookmarkEnd w:id="189"/>
      <w:bookmarkEnd w:id="190"/>
      <w:bookmarkEnd w:id="191"/>
      <w:bookmarkEnd w:id="192"/>
      <w:bookmarkEnd w:id="193"/>
      <w:bookmarkEnd w:id="194"/>
      <w:bookmarkEnd w:id="195"/>
    </w:p>
    <w:p>
      <w:pPr>
        <w:pStyle w:val="nSubsection"/>
        <w:rPr>
          <w:snapToGrid w:val="0"/>
        </w:rPr>
      </w:pPr>
      <w:r>
        <w:rPr>
          <w:snapToGrid w:val="0"/>
          <w:vertAlign w:val="superscript"/>
        </w:rPr>
        <w:t>1</w:t>
      </w:r>
      <w:r>
        <w:rPr>
          <w:snapToGrid w:val="0"/>
        </w:rPr>
        <w:tab/>
        <w:t xml:space="preserve">This is a compilation of the </w:t>
      </w:r>
      <w:r>
        <w:rPr>
          <w:i/>
          <w:snapToGrid w:val="0"/>
        </w:rPr>
        <w:t>Forrest Place and City Station Development Act 1985</w:t>
      </w:r>
      <w:r>
        <w:rPr>
          <w:snapToGrid w:val="0"/>
        </w:rPr>
        <w:t xml:space="preserve"> and includes the amendments made by the other written laws referred to in the following table</w:t>
      </w:r>
      <w:del w:id="196" w:author="svcMRProcess" w:date="2015-12-14T16:1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97" w:name="_Toc122750571"/>
      <w:bookmarkStart w:id="198" w:name="_Toc122750676"/>
      <w:bookmarkStart w:id="199" w:name="_Toc131394479"/>
      <w:bookmarkStart w:id="200" w:name="_Toc122750703"/>
      <w:r>
        <w:rPr>
          <w:snapToGrid w:val="0"/>
        </w:rPr>
        <w:t>Compilation table</w:t>
      </w:r>
      <w:bookmarkEnd w:id="197"/>
      <w:bookmarkEnd w:id="198"/>
      <w:bookmarkEnd w:id="199"/>
      <w:bookmarkEnd w:id="200"/>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57"/>
              <w:rPr>
                <w:b/>
                <w:sz w:val="19"/>
              </w:rPr>
            </w:pPr>
            <w:r>
              <w:rPr>
                <w:b/>
                <w:sz w:val="19"/>
              </w:rPr>
              <w:t>Assent</w:t>
            </w:r>
          </w:p>
        </w:tc>
        <w:tc>
          <w:tcPr>
            <w:tcW w:w="2552"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Forrest Place and City Station Development Act 1985</w:t>
            </w:r>
          </w:p>
        </w:tc>
        <w:tc>
          <w:tcPr>
            <w:tcW w:w="1134" w:type="dxa"/>
            <w:tcBorders>
              <w:top w:val="single" w:sz="8" w:space="0" w:color="auto"/>
            </w:tcBorders>
          </w:tcPr>
          <w:p>
            <w:pPr>
              <w:pStyle w:val="nTable"/>
              <w:spacing w:after="40"/>
              <w:ind w:left="57"/>
              <w:rPr>
                <w:sz w:val="19"/>
              </w:rPr>
            </w:pPr>
            <w:r>
              <w:rPr>
                <w:sz w:val="19"/>
              </w:rPr>
              <w:t>106 of 1985</w:t>
            </w:r>
          </w:p>
        </w:tc>
        <w:tc>
          <w:tcPr>
            <w:tcW w:w="1134" w:type="dxa"/>
            <w:tcBorders>
              <w:top w:val="single" w:sz="8" w:space="0" w:color="auto"/>
            </w:tcBorders>
          </w:tcPr>
          <w:p>
            <w:pPr>
              <w:pStyle w:val="nTable"/>
              <w:spacing w:after="40"/>
              <w:ind w:left="57"/>
              <w:rPr>
                <w:sz w:val="19"/>
              </w:rPr>
            </w:pPr>
            <w:r>
              <w:rPr>
                <w:sz w:val="19"/>
              </w:rPr>
              <w:t>17 Dec 1985</w:t>
            </w:r>
          </w:p>
        </w:tc>
        <w:tc>
          <w:tcPr>
            <w:tcW w:w="2552" w:type="dxa"/>
            <w:tcBorders>
              <w:top w:val="single" w:sz="8" w:space="0" w:color="auto"/>
            </w:tcBorders>
          </w:tcPr>
          <w:p>
            <w:pPr>
              <w:pStyle w:val="nTable"/>
              <w:spacing w:after="40"/>
              <w:ind w:left="57"/>
              <w:rPr>
                <w:sz w:val="19"/>
              </w:rPr>
            </w:pPr>
            <w:r>
              <w:rPr>
                <w:sz w:val="19"/>
              </w:rPr>
              <w:t>17 Dec 1985 (see s. 2)</w:t>
            </w:r>
          </w:p>
        </w:tc>
      </w:tr>
      <w:tr>
        <w:trPr>
          <w:cantSplit/>
        </w:trPr>
        <w:tc>
          <w:tcPr>
            <w:tcW w:w="4536" w:type="dxa"/>
            <w:gridSpan w:val="3"/>
          </w:tcPr>
          <w:p>
            <w:pPr>
              <w:pStyle w:val="nTable"/>
              <w:spacing w:after="40"/>
              <w:rPr>
                <w:sz w:val="19"/>
              </w:rPr>
            </w:pPr>
            <w:r>
              <w:rPr>
                <w:sz w:val="19"/>
              </w:rPr>
              <w:t xml:space="preserve">Amendment to Enabling Agreement (see </w:t>
            </w:r>
            <w:r>
              <w:rPr>
                <w:i/>
                <w:sz w:val="19"/>
              </w:rPr>
              <w:t>Gazette</w:t>
            </w:r>
            <w:r>
              <w:rPr>
                <w:sz w:val="19"/>
              </w:rPr>
              <w:t xml:space="preserve"> 11 Apr 1986 p. 1407-8)</w:t>
            </w:r>
          </w:p>
        </w:tc>
        <w:tc>
          <w:tcPr>
            <w:tcW w:w="2552" w:type="dxa"/>
          </w:tcPr>
          <w:p>
            <w:pPr>
              <w:pStyle w:val="nTable"/>
              <w:spacing w:after="40"/>
              <w:ind w:left="57"/>
              <w:rPr>
                <w:sz w:val="19"/>
              </w:rPr>
            </w:pPr>
            <w:r>
              <w:rPr>
                <w:sz w:val="19"/>
              </w:rPr>
              <w:t>11 Apr 1986</w:t>
            </w:r>
          </w:p>
        </w:tc>
      </w:tr>
      <w:tr>
        <w:trPr>
          <w:cantSplit/>
        </w:trPr>
        <w:tc>
          <w:tcPr>
            <w:tcW w:w="4536" w:type="dxa"/>
            <w:gridSpan w:val="3"/>
          </w:tcPr>
          <w:p>
            <w:pPr>
              <w:pStyle w:val="nTable"/>
              <w:spacing w:after="40"/>
              <w:rPr>
                <w:sz w:val="19"/>
              </w:rPr>
            </w:pPr>
            <w:r>
              <w:rPr>
                <w:sz w:val="19"/>
              </w:rPr>
              <w:t xml:space="preserve">Amendment to Enabling Agreement (see </w:t>
            </w:r>
            <w:r>
              <w:rPr>
                <w:i/>
                <w:sz w:val="19"/>
              </w:rPr>
              <w:t>Gazette</w:t>
            </w:r>
            <w:r>
              <w:rPr>
                <w:sz w:val="19"/>
              </w:rPr>
              <w:t xml:space="preserve"> 1 Aug 1986 p. 2756-7)</w:t>
            </w:r>
          </w:p>
        </w:tc>
        <w:tc>
          <w:tcPr>
            <w:tcW w:w="2552" w:type="dxa"/>
          </w:tcPr>
          <w:p>
            <w:pPr>
              <w:pStyle w:val="nTable"/>
              <w:spacing w:after="40"/>
              <w:ind w:left="57"/>
              <w:rPr>
                <w:sz w:val="19"/>
              </w:rPr>
            </w:pPr>
            <w:r>
              <w:rPr>
                <w:sz w:val="19"/>
              </w:rPr>
              <w:t>1 Aug 1986</w:t>
            </w:r>
          </w:p>
        </w:tc>
      </w:tr>
      <w:tr>
        <w:trPr>
          <w:cantSplit/>
        </w:trPr>
        <w:tc>
          <w:tcPr>
            <w:tcW w:w="2268" w:type="dxa"/>
          </w:tcPr>
          <w:p>
            <w:pPr>
              <w:pStyle w:val="nTable"/>
              <w:spacing w:after="40"/>
              <w:ind w:right="113"/>
              <w:rPr>
                <w:sz w:val="19"/>
              </w:rPr>
            </w:pPr>
            <w:r>
              <w:rPr>
                <w:i/>
                <w:sz w:val="19"/>
              </w:rPr>
              <w:t>Forrest Place and City Station Development Amendment Act 1986</w:t>
            </w:r>
          </w:p>
        </w:tc>
        <w:tc>
          <w:tcPr>
            <w:tcW w:w="1134" w:type="dxa"/>
          </w:tcPr>
          <w:p>
            <w:pPr>
              <w:pStyle w:val="nTable"/>
              <w:spacing w:after="40"/>
              <w:ind w:left="57"/>
              <w:rPr>
                <w:sz w:val="19"/>
              </w:rPr>
            </w:pPr>
            <w:r>
              <w:rPr>
                <w:sz w:val="19"/>
              </w:rPr>
              <w:t>66 of 1986</w:t>
            </w:r>
          </w:p>
        </w:tc>
        <w:tc>
          <w:tcPr>
            <w:tcW w:w="1134" w:type="dxa"/>
          </w:tcPr>
          <w:p>
            <w:pPr>
              <w:pStyle w:val="nTable"/>
              <w:spacing w:after="40"/>
              <w:ind w:left="57"/>
              <w:rPr>
                <w:sz w:val="19"/>
              </w:rPr>
            </w:pPr>
            <w:r>
              <w:rPr>
                <w:sz w:val="19"/>
              </w:rPr>
              <w:t>28 Nov 1986</w:t>
            </w:r>
          </w:p>
        </w:tc>
        <w:tc>
          <w:tcPr>
            <w:tcW w:w="2552" w:type="dxa"/>
          </w:tcPr>
          <w:p>
            <w:pPr>
              <w:pStyle w:val="nTable"/>
              <w:spacing w:after="40"/>
              <w:ind w:left="57"/>
              <w:rPr>
                <w:sz w:val="19"/>
              </w:rPr>
            </w:pPr>
            <w:r>
              <w:rPr>
                <w:sz w:val="19"/>
              </w:rPr>
              <w:t xml:space="preserve">s. 4 deemed operative 17 Dec 1985 (see s. 2(2)); </w:t>
            </w:r>
            <w:r>
              <w:rPr>
                <w:sz w:val="19"/>
              </w:rPr>
              <w:br/>
              <w:t xml:space="preserve">s. 5 and 6 deemed operative 9 Aug 1986 (see s. 2(3)); </w:t>
            </w:r>
            <w:r>
              <w:rPr>
                <w:sz w:val="19"/>
              </w:rPr>
              <w:br/>
              <w:t>balance: 28 Nov 1986</w:t>
            </w:r>
          </w:p>
        </w:tc>
      </w:tr>
      <w:tr>
        <w:trPr>
          <w:cantSplit/>
        </w:trPr>
        <w:tc>
          <w:tcPr>
            <w:tcW w:w="2268" w:type="dxa"/>
          </w:tcPr>
          <w:p>
            <w:pPr>
              <w:pStyle w:val="nTable"/>
              <w:spacing w:after="40"/>
              <w:ind w:right="113"/>
              <w:rPr>
                <w:sz w:val="19"/>
              </w:rPr>
            </w:pPr>
            <w:r>
              <w:rPr>
                <w:i/>
                <w:sz w:val="19"/>
              </w:rPr>
              <w:t>Forrest Place and City Station Development Amendment Act 1995</w:t>
            </w:r>
          </w:p>
        </w:tc>
        <w:tc>
          <w:tcPr>
            <w:tcW w:w="1134" w:type="dxa"/>
          </w:tcPr>
          <w:p>
            <w:pPr>
              <w:pStyle w:val="nTable"/>
              <w:spacing w:after="40"/>
              <w:ind w:left="57"/>
              <w:rPr>
                <w:sz w:val="19"/>
              </w:rPr>
            </w:pPr>
            <w:r>
              <w:rPr>
                <w:sz w:val="19"/>
              </w:rPr>
              <w:t>6 of 1995</w:t>
            </w:r>
          </w:p>
        </w:tc>
        <w:tc>
          <w:tcPr>
            <w:tcW w:w="1134" w:type="dxa"/>
          </w:tcPr>
          <w:p>
            <w:pPr>
              <w:pStyle w:val="nTable"/>
              <w:spacing w:after="40"/>
              <w:ind w:left="57"/>
              <w:rPr>
                <w:sz w:val="19"/>
              </w:rPr>
            </w:pPr>
            <w:r>
              <w:rPr>
                <w:sz w:val="19"/>
              </w:rPr>
              <w:t>24 May 1995</w:t>
            </w:r>
          </w:p>
        </w:tc>
        <w:tc>
          <w:tcPr>
            <w:tcW w:w="2552" w:type="dxa"/>
          </w:tcPr>
          <w:p>
            <w:pPr>
              <w:pStyle w:val="nTable"/>
              <w:spacing w:after="40"/>
              <w:ind w:left="57"/>
              <w:rPr>
                <w:sz w:val="19"/>
              </w:rPr>
            </w:pPr>
            <w:r>
              <w:rPr>
                <w:sz w:val="19"/>
              </w:rPr>
              <w:t>24 May 1995 (see s. 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ind w:left="57"/>
              <w:rPr>
                <w:sz w:val="19"/>
              </w:rPr>
            </w:pPr>
            <w:r>
              <w:rPr>
                <w:sz w:val="19"/>
              </w:rPr>
              <w:t>14 of 1996</w:t>
            </w:r>
          </w:p>
        </w:tc>
        <w:tc>
          <w:tcPr>
            <w:tcW w:w="1134" w:type="dxa"/>
          </w:tcPr>
          <w:p>
            <w:pPr>
              <w:pStyle w:val="nTable"/>
              <w:spacing w:after="40"/>
              <w:ind w:left="57"/>
              <w:rPr>
                <w:sz w:val="19"/>
              </w:rPr>
            </w:pPr>
            <w:r>
              <w:rPr>
                <w:sz w:val="19"/>
              </w:rPr>
              <w:t>28 Jun 1996</w:t>
            </w:r>
          </w:p>
        </w:tc>
        <w:tc>
          <w:tcPr>
            <w:tcW w:w="2552" w:type="dxa"/>
          </w:tcPr>
          <w:p>
            <w:pPr>
              <w:pStyle w:val="nTable"/>
              <w:spacing w:after="40"/>
              <w:ind w:left="57"/>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27 and s. 141</w:t>
            </w:r>
          </w:p>
        </w:tc>
        <w:tc>
          <w:tcPr>
            <w:tcW w:w="1134" w:type="dxa"/>
          </w:tcPr>
          <w:p>
            <w:pPr>
              <w:pStyle w:val="nTable"/>
              <w:spacing w:after="40"/>
              <w:ind w:left="57"/>
              <w:rPr>
                <w:sz w:val="19"/>
              </w:rPr>
            </w:pPr>
            <w:r>
              <w:rPr>
                <w:sz w:val="19"/>
              </w:rPr>
              <w:t>31 of 1997</w:t>
            </w:r>
          </w:p>
        </w:tc>
        <w:tc>
          <w:tcPr>
            <w:tcW w:w="1134" w:type="dxa"/>
          </w:tcPr>
          <w:p>
            <w:pPr>
              <w:pStyle w:val="nTable"/>
              <w:spacing w:after="40"/>
              <w:ind w:left="57"/>
              <w:rPr>
                <w:sz w:val="19"/>
              </w:rPr>
            </w:pPr>
            <w:r>
              <w:rPr>
                <w:sz w:val="19"/>
              </w:rPr>
              <w:t>3 Oct 1997</w:t>
            </w:r>
          </w:p>
        </w:tc>
        <w:tc>
          <w:tcPr>
            <w:tcW w:w="2552" w:type="dxa"/>
          </w:tcPr>
          <w:p>
            <w:pPr>
              <w:pStyle w:val="nTable"/>
              <w:spacing w:after="40"/>
              <w:ind w:left="57"/>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i/>
                <w:sz w:val="19"/>
              </w:rPr>
            </w:pPr>
            <w:r>
              <w:rPr>
                <w:i/>
                <w:sz w:val="19"/>
              </w:rPr>
              <w:t>Perth Parking Management (Consequential Provisions) Act 1999</w:t>
            </w:r>
            <w:r>
              <w:rPr>
                <w:sz w:val="19"/>
              </w:rPr>
              <w:t xml:space="preserve"> s. 7(2)</w:t>
            </w:r>
          </w:p>
        </w:tc>
        <w:tc>
          <w:tcPr>
            <w:tcW w:w="1134" w:type="dxa"/>
          </w:tcPr>
          <w:p>
            <w:pPr>
              <w:pStyle w:val="nTable"/>
              <w:spacing w:after="40"/>
              <w:ind w:left="57"/>
              <w:rPr>
                <w:sz w:val="19"/>
              </w:rPr>
            </w:pPr>
            <w:r>
              <w:rPr>
                <w:sz w:val="19"/>
              </w:rPr>
              <w:t>16 of 1999</w:t>
            </w:r>
          </w:p>
        </w:tc>
        <w:tc>
          <w:tcPr>
            <w:tcW w:w="1134" w:type="dxa"/>
          </w:tcPr>
          <w:p>
            <w:pPr>
              <w:pStyle w:val="nTable"/>
              <w:spacing w:after="40"/>
              <w:ind w:left="57"/>
              <w:rPr>
                <w:sz w:val="19"/>
              </w:rPr>
            </w:pPr>
            <w:r>
              <w:rPr>
                <w:sz w:val="19"/>
              </w:rPr>
              <w:t>19 May 1999</w:t>
            </w:r>
          </w:p>
        </w:tc>
        <w:tc>
          <w:tcPr>
            <w:tcW w:w="2552" w:type="dxa"/>
          </w:tcPr>
          <w:p>
            <w:pPr>
              <w:pStyle w:val="nTable"/>
              <w:spacing w:after="40"/>
              <w:ind w:left="57"/>
              <w:rPr>
                <w:sz w:val="19"/>
              </w:rPr>
            </w:pPr>
            <w:r>
              <w:rPr>
                <w:sz w:val="19"/>
              </w:rPr>
              <w:t xml:space="preserve">7 Aug 1999 (see s. 2 and </w:t>
            </w:r>
            <w:r>
              <w:rPr>
                <w:i/>
                <w:sz w:val="19"/>
              </w:rPr>
              <w:t>Gazette</w:t>
            </w:r>
            <w:r>
              <w:rPr>
                <w:sz w:val="19"/>
              </w:rPr>
              <w:t xml:space="preserve"> 6 Aug 1999 p. 3727)</w:t>
            </w:r>
          </w:p>
        </w:tc>
      </w:tr>
      <w:tr>
        <w:trPr>
          <w:cantSplit/>
        </w:trPr>
        <w:tc>
          <w:tcPr>
            <w:tcW w:w="7088" w:type="dxa"/>
            <w:gridSpan w:val="4"/>
          </w:tcPr>
          <w:p>
            <w:pPr>
              <w:pStyle w:val="nTable"/>
              <w:spacing w:after="40"/>
              <w:ind w:left="57"/>
              <w:rPr>
                <w:sz w:val="19"/>
              </w:rPr>
            </w:pPr>
            <w:r>
              <w:rPr>
                <w:b/>
                <w:sz w:val="19"/>
              </w:rPr>
              <w:t xml:space="preserve">Reprint of the </w:t>
            </w:r>
            <w:r>
              <w:rPr>
                <w:b/>
                <w:i/>
                <w:sz w:val="19"/>
              </w:rPr>
              <w:t>Forrest Place and City Station Development Act 1985</w:t>
            </w:r>
            <w:r>
              <w:rPr>
                <w:b/>
                <w:sz w:val="19"/>
              </w:rPr>
              <w:t xml:space="preserve"> as at 14 September 2001 </w:t>
            </w:r>
            <w:r>
              <w:rPr>
                <w:sz w:val="19"/>
              </w:rPr>
              <w:t>(includes amendments listed above)</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205</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bl>
    <w:p>
      <w:pPr>
        <w:pStyle w:val="nSubsection"/>
        <w:rPr>
          <w:del w:id="201" w:author="svcMRProcess" w:date="2015-12-14T16:15:00Z"/>
          <w:snapToGrid w:val="0"/>
        </w:rPr>
      </w:pPr>
      <w:del w:id="202" w:author="svcMRProcess" w:date="2015-12-14T16: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3" w:author="svcMRProcess" w:date="2015-12-14T16:15:00Z"/>
          <w:snapToGrid w:val="0"/>
        </w:rPr>
      </w:pPr>
      <w:bookmarkStart w:id="204" w:name="_Toc534778309"/>
      <w:bookmarkStart w:id="205" w:name="_Toc7405063"/>
      <w:bookmarkStart w:id="206" w:name="_Toc117408453"/>
      <w:bookmarkStart w:id="207" w:name="_Toc122750572"/>
      <w:bookmarkStart w:id="208" w:name="_Toc122750677"/>
      <w:bookmarkStart w:id="209" w:name="_Toc122750704"/>
      <w:del w:id="210" w:author="svcMRProcess" w:date="2015-12-14T16:15:00Z">
        <w:r>
          <w:rPr>
            <w:snapToGrid w:val="0"/>
          </w:rPr>
          <w:delText>Provisions that have not come into operation</w:delText>
        </w:r>
        <w:bookmarkEnd w:id="204"/>
        <w:bookmarkEnd w:id="205"/>
        <w:bookmarkEnd w:id="206"/>
        <w:bookmarkEnd w:id="207"/>
        <w:bookmarkEnd w:id="208"/>
        <w:bookmarkEnd w:id="209"/>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211" w:author="svcMRProcess" w:date="2015-12-14T16:15:00Z"/>
        </w:trPr>
        <w:tc>
          <w:tcPr>
            <w:tcW w:w="2223" w:type="dxa"/>
          </w:tcPr>
          <w:p>
            <w:pPr>
              <w:pStyle w:val="nTable"/>
              <w:rPr>
                <w:del w:id="212" w:author="svcMRProcess" w:date="2015-12-14T16:15:00Z"/>
                <w:b/>
                <w:snapToGrid w:val="0"/>
                <w:lang w:val="en-US"/>
              </w:rPr>
            </w:pPr>
            <w:del w:id="213" w:author="svcMRProcess" w:date="2015-12-14T16:15:00Z">
              <w:r>
                <w:rPr>
                  <w:b/>
                  <w:snapToGrid w:val="0"/>
                  <w:lang w:val="en-US"/>
                </w:rPr>
                <w:delText>Short title</w:delText>
              </w:r>
            </w:del>
          </w:p>
        </w:tc>
        <w:tc>
          <w:tcPr>
            <w:tcW w:w="1118" w:type="dxa"/>
          </w:tcPr>
          <w:p>
            <w:pPr>
              <w:pStyle w:val="nTable"/>
              <w:rPr>
                <w:del w:id="214" w:author="svcMRProcess" w:date="2015-12-14T16:15:00Z"/>
                <w:b/>
                <w:snapToGrid w:val="0"/>
                <w:lang w:val="en-US"/>
              </w:rPr>
            </w:pPr>
            <w:del w:id="215" w:author="svcMRProcess" w:date="2015-12-14T16:15:00Z">
              <w:r>
                <w:rPr>
                  <w:b/>
                  <w:snapToGrid w:val="0"/>
                  <w:lang w:val="en-US"/>
                </w:rPr>
                <w:delText>Number and Year</w:delText>
              </w:r>
            </w:del>
          </w:p>
        </w:tc>
        <w:tc>
          <w:tcPr>
            <w:tcW w:w="1195" w:type="dxa"/>
            <w:gridSpan w:val="2"/>
          </w:tcPr>
          <w:p>
            <w:pPr>
              <w:pStyle w:val="nTable"/>
              <w:rPr>
                <w:del w:id="216" w:author="svcMRProcess" w:date="2015-12-14T16:15:00Z"/>
                <w:b/>
                <w:snapToGrid w:val="0"/>
                <w:lang w:val="en-US"/>
              </w:rPr>
            </w:pPr>
            <w:del w:id="217" w:author="svcMRProcess" w:date="2015-12-14T16:15:00Z">
              <w:r>
                <w:rPr>
                  <w:b/>
                  <w:snapToGrid w:val="0"/>
                  <w:lang w:val="en-US"/>
                </w:rPr>
                <w:delText>Assent</w:delText>
              </w:r>
            </w:del>
          </w:p>
        </w:tc>
        <w:tc>
          <w:tcPr>
            <w:tcW w:w="2552" w:type="dxa"/>
          </w:tcPr>
          <w:p>
            <w:pPr>
              <w:pStyle w:val="nTable"/>
              <w:rPr>
                <w:del w:id="218" w:author="svcMRProcess" w:date="2015-12-14T16:15:00Z"/>
                <w:b/>
                <w:snapToGrid w:val="0"/>
                <w:lang w:val="en-US"/>
              </w:rPr>
            </w:pPr>
            <w:del w:id="219" w:author="svcMRProcess" w:date="2015-12-14T16:1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gridSpan w:val="2"/>
            <w:tcBorders>
              <w:bottom w:val="single" w:sz="8" w:space="0" w:color="auto"/>
            </w:tcBorders>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del w:id="220" w:author="svcMRProcess" w:date="2015-12-14T16:15:00Z">
              <w:r>
                <w:rPr>
                  <w:iCs/>
                  <w:sz w:val="19"/>
                </w:rPr>
                <w:delText> </w:delText>
              </w:r>
              <w:r>
                <w:rPr>
                  <w:iCs/>
                  <w:sz w:val="19"/>
                  <w:vertAlign w:val="superscript"/>
                </w:rPr>
                <w:delText>4</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38 of 2005</w:t>
            </w:r>
          </w:p>
        </w:tc>
        <w:tc>
          <w:tcPr>
            <w:tcW w:w="1134" w:type="dxa"/>
            <w:tcBorders>
              <w:bottom w:val="single" w:sz="8" w:space="0" w:color="auto"/>
            </w:tcBorders>
          </w:tcPr>
          <w:p>
            <w:pPr>
              <w:pStyle w:val="nTable"/>
              <w:spacing w:after="40"/>
              <w:rPr>
                <w:snapToGrid w:val="0"/>
                <w:sz w:val="19"/>
                <w:lang w:val="en-US"/>
              </w:rPr>
            </w:pPr>
            <w:r>
              <w:rPr>
                <w:snapToGrid w:val="0"/>
                <w:sz w:val="19"/>
                <w:lang w:val="en-US"/>
              </w:rPr>
              <w:t>12 Dec 2005</w:t>
            </w:r>
          </w:p>
        </w:tc>
        <w:tc>
          <w:tcPr>
            <w:tcW w:w="2551" w:type="dxa"/>
            <w:tcBorders>
              <w:bottom w:val="single" w:sz="8" w:space="0" w:color="auto"/>
            </w:tcBorders>
          </w:tcPr>
          <w:p>
            <w:pPr>
              <w:pStyle w:val="nTable"/>
              <w:spacing w:after="40"/>
              <w:rPr>
                <w:snapToGrid w:val="0"/>
                <w:sz w:val="19"/>
                <w:lang w:val="en-US"/>
              </w:rPr>
            </w:pPr>
            <w:del w:id="221" w:author="svcMRProcess" w:date="2015-12-14T16:15:00Z">
              <w:r>
                <w:rPr>
                  <w:sz w:val="19"/>
                </w:rPr>
                <w:delText>To be proclaimed</w:delText>
              </w:r>
            </w:del>
            <w:ins w:id="222" w:author="svcMRProcess" w:date="2015-12-14T16:15:00Z">
              <w:r>
                <w:rPr>
                  <w:snapToGrid w:val="0"/>
                  <w:sz w:val="19"/>
                  <w:lang w:val="en-US"/>
                </w:rPr>
                <w:t>9 Apr 2006</w:t>
              </w:r>
            </w:ins>
            <w:r>
              <w:rPr>
                <w:snapToGrid w:val="0"/>
                <w:sz w:val="19"/>
                <w:lang w:val="en-US"/>
              </w:rPr>
              <w:t xml:space="preserve"> (see s. 2</w:t>
            </w:r>
            <w:ins w:id="223" w:author="svcMRProcess" w:date="2015-12-14T16:15:00Z">
              <w:r>
                <w:rPr>
                  <w:snapToGrid w:val="0"/>
                  <w:sz w:val="19"/>
                  <w:lang w:val="en-US"/>
                </w:rPr>
                <w:t xml:space="preserve"> and </w:t>
              </w:r>
              <w:r>
                <w:rPr>
                  <w:i/>
                  <w:iCs/>
                  <w:snapToGrid w:val="0"/>
                  <w:sz w:val="19"/>
                  <w:lang w:val="en-US"/>
                </w:rPr>
                <w:t>Gazette</w:t>
              </w:r>
              <w:r>
                <w:rPr>
                  <w:snapToGrid w:val="0"/>
                  <w:sz w:val="19"/>
                  <w:lang w:val="en-US"/>
                </w:rPr>
                <w:t xml:space="preserve"> 21 Mar 2006 p. 1078</w:t>
              </w:r>
            </w:ins>
            <w:r>
              <w:rPr>
                <w:snapToGrid w:val="0"/>
                <w:sz w:val="19"/>
                <w:lang w:val="en-US"/>
              </w:rPr>
              <w:t>)</w:t>
            </w:r>
          </w:p>
        </w:tc>
      </w:tr>
    </w:tbl>
    <w:p>
      <w:pPr>
        <w:pStyle w:val="nSubsection"/>
        <w:rPr>
          <w:del w:id="224" w:author="svcMRProcess" w:date="2015-12-14T16:15:00Z"/>
        </w:rPr>
      </w:pPr>
      <w:del w:id="225" w:author="svcMRProcess" w:date="2015-12-14T16:15:00Z">
        <w:r>
          <w:rPr>
            <w:vertAlign w:val="superscript"/>
          </w:rPr>
          <w:delText>2</w:delText>
        </w:r>
        <w:r>
          <w:tab/>
          <w:delText>Footnote no longer applicable.</w:delText>
        </w:r>
      </w:del>
    </w:p>
    <w:p>
      <w:pPr>
        <w:pStyle w:val="nSubsection"/>
        <w:rPr>
          <w:ins w:id="226" w:author="svcMRProcess" w:date="2015-12-14T16:15:00Z"/>
        </w:rPr>
      </w:pPr>
      <w:ins w:id="227" w:author="svcMRProcess" w:date="2015-12-14T16:15:00Z">
        <w:r>
          <w:rPr>
            <w:vertAlign w:val="superscript"/>
          </w:rPr>
          <w:t>2</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ins>
    </w:p>
    <w:p>
      <w:pPr>
        <w:pStyle w:val="nSubsection"/>
      </w:pPr>
      <w:r>
        <w:rPr>
          <w:vertAlign w:val="superscript"/>
        </w:rPr>
        <w:t>3</w:t>
      </w:r>
      <w:r>
        <w:tab/>
        <w:t>Marginal notes in the agreement have been represented as bold headnotes in this reprint but that does not change their status as marginal notes.</w:t>
      </w:r>
    </w:p>
    <w:p>
      <w:pPr>
        <w:pStyle w:val="nSubsection"/>
        <w:rPr>
          <w:del w:id="228" w:author="svcMRProcess" w:date="2015-12-14T16:15:00Z"/>
          <w:snapToGrid w:val="0"/>
        </w:rPr>
      </w:pPr>
      <w:del w:id="229" w:author="svcMRProcess" w:date="2015-12-14T16:15:00Z">
        <w:r>
          <w:rPr>
            <w:vertAlign w:val="superscript"/>
          </w:rPr>
          <w:delText>4</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230" w:author="svcMRProcess" w:date="2015-12-14T16:15:00Z"/>
          <w:snapToGrid w:val="0"/>
        </w:rPr>
      </w:pPr>
      <w:del w:id="231" w:author="svcMRProcess" w:date="2015-12-14T16:15:00Z">
        <w:r>
          <w:rPr>
            <w:snapToGrid w:val="0"/>
          </w:rPr>
          <w:delText>“</w:delText>
        </w:r>
      </w:del>
    </w:p>
    <w:p>
      <w:pPr>
        <w:pStyle w:val="nzHeading5"/>
        <w:rPr>
          <w:del w:id="232" w:author="svcMRProcess" w:date="2015-12-14T16:15:00Z"/>
        </w:rPr>
      </w:pPr>
      <w:bookmarkStart w:id="233" w:name="_Toc476631191"/>
      <w:bookmarkStart w:id="234" w:name="_Toc477066412"/>
      <w:bookmarkStart w:id="235" w:name="_Toc497301942"/>
      <w:bookmarkStart w:id="236" w:name="_Toc83657956"/>
      <w:bookmarkStart w:id="237" w:name="_Toc122243710"/>
      <w:bookmarkStart w:id="238" w:name="_Toc122425166"/>
      <w:del w:id="239" w:author="svcMRProcess" w:date="2015-12-14T16:15:00Z">
        <w:r>
          <w:rPr>
            <w:rStyle w:val="CharSectno"/>
          </w:rPr>
          <w:delText>15</w:delText>
        </w:r>
        <w:r>
          <w:delText>.</w:delText>
        </w:r>
        <w:r>
          <w:tab/>
          <w:delText>Acts in Schedule 2 amended</w:delText>
        </w:r>
        <w:bookmarkEnd w:id="233"/>
        <w:bookmarkEnd w:id="234"/>
        <w:bookmarkEnd w:id="235"/>
        <w:bookmarkEnd w:id="236"/>
        <w:bookmarkEnd w:id="237"/>
        <w:bookmarkEnd w:id="238"/>
      </w:del>
    </w:p>
    <w:p>
      <w:pPr>
        <w:pStyle w:val="nzSubsection"/>
        <w:rPr>
          <w:del w:id="240" w:author="svcMRProcess" w:date="2015-12-14T16:15:00Z"/>
        </w:rPr>
      </w:pPr>
      <w:del w:id="241" w:author="svcMRProcess" w:date="2015-12-14T16:15:00Z">
        <w:r>
          <w:tab/>
        </w:r>
        <w:r>
          <w:tab/>
          <w:delText>The Acts mentioned in Schedule 2 are amended as set out in that Schedule.</w:delText>
        </w:r>
      </w:del>
    </w:p>
    <w:p>
      <w:pPr>
        <w:pStyle w:val="MiscClose"/>
        <w:rPr>
          <w:del w:id="242" w:author="svcMRProcess" w:date="2015-12-14T16:15:00Z"/>
          <w:snapToGrid w:val="0"/>
        </w:rPr>
      </w:pPr>
      <w:del w:id="243" w:author="svcMRProcess" w:date="2015-12-14T16:15:00Z">
        <w:r>
          <w:rPr>
            <w:snapToGrid w:val="0"/>
          </w:rPr>
          <w:delText>”.</w:delText>
        </w:r>
      </w:del>
    </w:p>
    <w:p>
      <w:pPr>
        <w:pStyle w:val="nSubsection"/>
        <w:rPr>
          <w:del w:id="244" w:author="svcMRProcess" w:date="2015-12-14T16:15:00Z"/>
        </w:rPr>
      </w:pPr>
      <w:del w:id="245" w:author="svcMRProcess" w:date="2015-12-14T16:15:00Z">
        <w:r>
          <w:tab/>
          <w:delText>Schedule 2, cl. 25 reads as follows:</w:delText>
        </w:r>
      </w:del>
    </w:p>
    <w:p>
      <w:pPr>
        <w:pStyle w:val="MiscOpen"/>
        <w:rPr>
          <w:del w:id="246" w:author="svcMRProcess" w:date="2015-12-14T16:15:00Z"/>
        </w:rPr>
      </w:pPr>
      <w:del w:id="247" w:author="svcMRProcess" w:date="2015-12-14T16:15:00Z">
        <w:r>
          <w:delText>“</w:delText>
        </w:r>
      </w:del>
    </w:p>
    <w:p>
      <w:pPr>
        <w:pStyle w:val="nzHeading2"/>
        <w:rPr>
          <w:del w:id="248" w:author="svcMRProcess" w:date="2015-12-14T16:15:00Z"/>
        </w:rPr>
      </w:pPr>
      <w:bookmarkStart w:id="249" w:name="_Toc122243734"/>
      <w:bookmarkStart w:id="250" w:name="_Toc122425190"/>
      <w:del w:id="251" w:author="svcMRProcess" w:date="2015-12-14T16:15: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249"/>
        <w:bookmarkEnd w:id="250"/>
      </w:del>
    </w:p>
    <w:p>
      <w:pPr>
        <w:pStyle w:val="nzMiscellaneousBody"/>
        <w:jc w:val="right"/>
        <w:rPr>
          <w:del w:id="252" w:author="svcMRProcess" w:date="2015-12-14T16:15:00Z"/>
        </w:rPr>
      </w:pPr>
      <w:del w:id="253" w:author="svcMRProcess" w:date="2015-12-14T16:15:00Z">
        <w:r>
          <w:delText>[s.</w:delText>
        </w:r>
        <w:bookmarkStart w:id="254" w:name="_Hlt485012328"/>
        <w:r>
          <w:delText> 15</w:delText>
        </w:r>
        <w:bookmarkEnd w:id="254"/>
        <w:r>
          <w:delText>]</w:delText>
        </w:r>
      </w:del>
    </w:p>
    <w:p>
      <w:pPr>
        <w:pStyle w:val="nzHeading5"/>
        <w:rPr>
          <w:del w:id="255" w:author="svcMRProcess" w:date="2015-12-14T16:15:00Z"/>
        </w:rPr>
      </w:pPr>
      <w:bookmarkStart w:id="256" w:name="_Toc476631222"/>
      <w:bookmarkStart w:id="257" w:name="_Toc477066442"/>
      <w:bookmarkStart w:id="258" w:name="_Toc497301972"/>
      <w:bookmarkStart w:id="259" w:name="_Toc83658036"/>
      <w:bookmarkStart w:id="260" w:name="_Toc122243759"/>
      <w:bookmarkStart w:id="261" w:name="_Toc122425215"/>
      <w:del w:id="262" w:author="svcMRProcess" w:date="2015-12-14T16:15:00Z">
        <w:r>
          <w:rPr>
            <w:rStyle w:val="CharSClsNo"/>
          </w:rPr>
          <w:delText>25</w:delText>
        </w:r>
        <w:r>
          <w:delText>.</w:delText>
        </w:r>
        <w:r>
          <w:tab/>
        </w:r>
        <w:r>
          <w:rPr>
            <w:i/>
          </w:rPr>
          <w:delText>Forrest Place and City Station Development Act 1985</w:delText>
        </w:r>
        <w:bookmarkEnd w:id="256"/>
        <w:bookmarkEnd w:id="257"/>
        <w:bookmarkEnd w:id="258"/>
        <w:bookmarkEnd w:id="259"/>
        <w:bookmarkEnd w:id="260"/>
        <w:bookmarkEnd w:id="261"/>
      </w:del>
    </w:p>
    <w:p>
      <w:pPr>
        <w:pStyle w:val="nzSubsection"/>
        <w:rPr>
          <w:del w:id="263" w:author="svcMRProcess" w:date="2015-12-14T16:15:00Z"/>
        </w:rPr>
      </w:pPr>
      <w:del w:id="264" w:author="svcMRProcess" w:date="2015-12-14T16:15:00Z">
        <w:r>
          <w:tab/>
          <w:delText>(1)</w:delText>
        </w:r>
        <w:r>
          <w:tab/>
          <w:delText xml:space="preserve">Section 12(5) is amended by deleting “Part III of the </w:delText>
        </w:r>
        <w:r>
          <w:rPr>
            <w:i/>
          </w:rPr>
          <w:delText>Town Planning and Development Act 1928</w:delText>
        </w:r>
        <w:r>
          <w:delText xml:space="preserve">” and inserting instead — </w:delText>
        </w:r>
      </w:del>
    </w:p>
    <w:p>
      <w:pPr>
        <w:pStyle w:val="nzSubsection"/>
        <w:rPr>
          <w:del w:id="265" w:author="svcMRProcess" w:date="2015-12-14T16:15:00Z"/>
        </w:rPr>
      </w:pPr>
      <w:del w:id="266" w:author="svcMRProcess" w:date="2015-12-14T16:15:00Z">
        <w:r>
          <w:tab/>
        </w:r>
        <w:r>
          <w:tab/>
          <w:delText xml:space="preserve">“    Section 135 of the </w:delText>
        </w:r>
        <w:r>
          <w:rPr>
            <w:i/>
          </w:rPr>
          <w:delText>Planning and Development Act 2005</w:delText>
        </w:r>
        <w:r>
          <w:delText xml:space="preserve">    ”.</w:delText>
        </w:r>
      </w:del>
    </w:p>
    <w:p>
      <w:pPr>
        <w:pStyle w:val="nzSubsection"/>
        <w:rPr>
          <w:del w:id="267" w:author="svcMRProcess" w:date="2015-12-14T16:15:00Z"/>
        </w:rPr>
      </w:pPr>
      <w:del w:id="268" w:author="svcMRProcess" w:date="2015-12-14T16:15:00Z">
        <w:r>
          <w:tab/>
          <w:delText>(2)</w:delText>
        </w:r>
        <w:r>
          <w:tab/>
          <w:delText xml:space="preserve">Section 16(4) is amended by deleting “Part III of the </w:delText>
        </w:r>
        <w:r>
          <w:rPr>
            <w:i/>
          </w:rPr>
          <w:delText>Town Planning and Development Act 1928</w:delText>
        </w:r>
        <w:r>
          <w:delText xml:space="preserve">” and inserting instead — </w:delText>
        </w:r>
      </w:del>
    </w:p>
    <w:p>
      <w:pPr>
        <w:pStyle w:val="nzSubsection"/>
        <w:rPr>
          <w:del w:id="269" w:author="svcMRProcess" w:date="2015-12-14T16:15:00Z"/>
        </w:rPr>
      </w:pPr>
      <w:del w:id="270" w:author="svcMRProcess" w:date="2015-12-14T16:15:00Z">
        <w:r>
          <w:tab/>
        </w:r>
        <w:r>
          <w:tab/>
          <w:delText xml:space="preserve">“    Section 135 of the </w:delText>
        </w:r>
        <w:r>
          <w:rPr>
            <w:i/>
          </w:rPr>
          <w:delText>Planning and Development Act 2005</w:delText>
        </w:r>
        <w:r>
          <w:delText xml:space="preserve">    ”.</w:delText>
        </w:r>
      </w:del>
    </w:p>
    <w:p>
      <w:pPr>
        <w:pStyle w:val="MiscClose"/>
        <w:rPr>
          <w:del w:id="271" w:author="svcMRProcess" w:date="2015-12-14T16:15:00Z"/>
          <w:snapToGrid w:val="0"/>
        </w:rPr>
      </w:pPr>
      <w:del w:id="272" w:author="svcMRProcess" w:date="2015-12-14T16:15:00Z">
        <w:r>
          <w:rPr>
            <w:snapToGrid w:val="0"/>
          </w:rPr>
          <w:delText>”.</w:delText>
        </w:r>
      </w:del>
    </w:p>
    <w:p>
      <w:bookmarkStart w:id="273" w:name="UpToHere"/>
      <w:bookmarkEnd w:id="273"/>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ench Script MT">
    <w:altName w:val="Courier New"/>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E8F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8A47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4C54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A00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225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D60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C69B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AE94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A24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1EF3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2C17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70B9C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958"/>
    <w:docVar w:name="WAFER_20151211140958" w:val="RemoveTrackChanges"/>
    <w:docVar w:name="WAFER_20151211140958_GUID" w:val="5d1a41bd-d04d-4edf-b981-79aa8dea6a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14224</Words>
  <Characters>68703</Characters>
  <Application>Microsoft Office Word</Application>
  <DocSecurity>0</DocSecurity>
  <Lines>1717</Lines>
  <Paragraphs>854</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01-c0-04 - 01-d0-09</dc:title>
  <dc:subject/>
  <dc:creator/>
  <cp:keywords/>
  <dc:description/>
  <cp:lastModifiedBy>svcMRProcess</cp:lastModifiedBy>
  <cp:revision>2</cp:revision>
  <cp:lastPrinted>2001-09-21T03:53:00Z</cp:lastPrinted>
  <dcterms:created xsi:type="dcterms:W3CDTF">2015-12-14T08:15:00Z</dcterms:created>
  <dcterms:modified xsi:type="dcterms:W3CDTF">2015-12-14T08:15:00Z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288</vt:i4>
  </property>
  <property fmtid="{D5CDD505-2E9C-101B-9397-08002B2CF9AE}" pid="6" name="FromSuffix">
    <vt:lpwstr>01-c0-04</vt:lpwstr>
  </property>
  <property fmtid="{D5CDD505-2E9C-101B-9397-08002B2CF9AE}" pid="7" name="FromAsAtDate">
    <vt:lpwstr>12 Dec 2005</vt:lpwstr>
  </property>
  <property fmtid="{D5CDD505-2E9C-101B-9397-08002B2CF9AE}" pid="8" name="ToSuffix">
    <vt:lpwstr>01-d0-09</vt:lpwstr>
  </property>
  <property fmtid="{D5CDD505-2E9C-101B-9397-08002B2CF9AE}" pid="9" name="ToAsAtDate">
    <vt:lpwstr>09 Apr 2006</vt:lpwstr>
  </property>
</Properties>
</file>