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Anzac Day Act 1960 </w:t>
      </w:r>
    </w:p>
    <w:p>
      <w:pPr>
        <w:pStyle w:val="LongTitle"/>
        <w:spacing w:after="480"/>
        <w:rPr>
          <w:snapToGrid w:val="0"/>
        </w:rPr>
      </w:pPr>
      <w:r>
        <w:rPr>
          <w:snapToGrid w:val="0"/>
        </w:rPr>
        <w:t>A</w:t>
      </w:r>
      <w:bookmarkStart w:id="0" w:name="_GoBack"/>
      <w:bookmarkEnd w:id="0"/>
      <w:r>
        <w:rPr>
          <w:snapToGrid w:val="0"/>
        </w:rPr>
        <w:t xml:space="preserve">n Act to amend and consolidate the law relating to the observance of Anzac Day as a public holiday; to establish an Anzac Day Trust Fund; and for other and incidental purposes. </w:t>
      </w:r>
    </w:p>
    <w:p>
      <w:pPr>
        <w:pStyle w:val="Heading5"/>
        <w:rPr>
          <w:snapToGrid w:val="0"/>
        </w:rPr>
      </w:pPr>
      <w:bookmarkStart w:id="1" w:name="_Toc411397699"/>
      <w:bookmarkStart w:id="2" w:name="_Toc8013405"/>
      <w:bookmarkStart w:id="3" w:name="_Toc131325007"/>
      <w:bookmarkStart w:id="4" w:name="_Toc12294874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5" w:name="_Toc411397701"/>
      <w:bookmarkStart w:id="6" w:name="_Toc8013407"/>
      <w:r>
        <w:rPr>
          <w:rStyle w:val="CharSectno"/>
        </w:rPr>
        <w:t>[</w:t>
      </w:r>
      <w:r>
        <w:rPr>
          <w:b/>
          <w:bCs/>
        </w:rPr>
        <w:t>2</w:t>
      </w:r>
      <w:r>
        <w:rPr>
          <w:rStyle w:val="CharSectno"/>
          <w:b/>
        </w:rPr>
        <w:t>.</w:t>
      </w:r>
      <w:r>
        <w:rPr>
          <w:rStyle w:val="CharSectno"/>
        </w:rPr>
        <w:tab/>
        <w:t>Omitted under the Reprints Act 1984 s. 7(4)(f).]</w:t>
      </w:r>
    </w:p>
    <w:p>
      <w:pPr>
        <w:pStyle w:val="Heading5"/>
        <w:rPr>
          <w:snapToGrid w:val="0"/>
        </w:rPr>
      </w:pPr>
      <w:bookmarkStart w:id="7" w:name="_Toc131325008"/>
      <w:bookmarkStart w:id="8" w:name="_Toc122948743"/>
      <w:r>
        <w:rPr>
          <w:rStyle w:val="CharSectno"/>
        </w:rPr>
        <w:t>3</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Anzac Day</w:t>
      </w:r>
      <w:r>
        <w:rPr>
          <w:b/>
        </w:rPr>
        <w:t>”</w:t>
      </w:r>
      <w:r>
        <w:t xml:space="preserve"> means 25 April in each year;</w:t>
      </w:r>
    </w:p>
    <w:p>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t>“</w:t>
      </w:r>
      <w:r>
        <w:rPr>
          <w:rStyle w:val="CharDefText"/>
        </w:rPr>
        <w:t>Trust</w:t>
      </w:r>
      <w:r>
        <w:rPr>
          <w:b/>
        </w:rPr>
        <w:t>”</w:t>
      </w:r>
      <w:r>
        <w:t xml:space="preserve"> means the body corporate constituted under this Act as The Anzac Day Trust;</w:t>
      </w:r>
    </w:p>
    <w:p>
      <w:pPr>
        <w:pStyle w:val="Defstart"/>
      </w:pPr>
      <w:r>
        <w:rPr>
          <w:b/>
        </w:rPr>
        <w:tab/>
        <w:t>“</w:t>
      </w:r>
      <w:bookmarkStart w:id="9" w:name="endcomma"/>
      <w:bookmarkEnd w:id="9"/>
      <w:r>
        <w:rPr>
          <w:rStyle w:val="CharDefText"/>
        </w:rPr>
        <w:t>Trustee</w:t>
      </w:r>
      <w:r>
        <w:rPr>
          <w:b/>
        </w:rPr>
        <w:t>”</w:t>
      </w:r>
      <w:r>
        <w:t xml:space="preserve"> </w:t>
      </w:r>
      <w:bookmarkStart w:id="10" w:name="comma"/>
      <w:bookmarkEnd w:id="10"/>
      <w:r>
        <w:t>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1" w:name="_Toc411397702"/>
      <w:bookmarkStart w:id="12" w:name="_Toc8013408"/>
      <w:bookmarkStart w:id="13" w:name="_Toc131325009"/>
      <w:bookmarkStart w:id="14" w:name="_Toc122948744"/>
      <w:r>
        <w:rPr>
          <w:rStyle w:val="CharSectno"/>
        </w:rPr>
        <w:t>4</w:t>
      </w:r>
      <w:r>
        <w:rPr>
          <w:snapToGrid w:val="0"/>
        </w:rPr>
        <w:t>.</w:t>
      </w:r>
      <w:r>
        <w:rPr>
          <w:snapToGrid w:val="0"/>
        </w:rPr>
        <w:tab/>
        <w:t>Race meetings on Anzac Day</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No license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license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repealed]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Ednotesubsection"/>
      </w:pPr>
      <w:r>
        <w:tab/>
        <w:t>[(5)</w:t>
      </w:r>
      <w:r>
        <w:tab/>
        <w:t>repealed]</w:t>
      </w:r>
    </w:p>
    <w:p>
      <w:pPr>
        <w:pStyle w:val="Footnotesection"/>
      </w:pPr>
      <w:r>
        <w:tab/>
        <w:t xml:space="preserve">[Section 4 amended by No. 113 of 1965 s. 8(1); No. 9 of 1975 s. 3; No. 35 of 2003 s. 73(2), (3); No. 62 of 2003 s. 4.] </w:t>
      </w:r>
    </w:p>
    <w:p>
      <w:pPr>
        <w:pStyle w:val="Heading5"/>
        <w:rPr>
          <w:snapToGrid w:val="0"/>
        </w:rPr>
      </w:pPr>
      <w:bookmarkStart w:id="15" w:name="_Toc411397703"/>
      <w:bookmarkStart w:id="16" w:name="_Toc8013409"/>
      <w:bookmarkStart w:id="17" w:name="_Toc131325010"/>
      <w:bookmarkStart w:id="18" w:name="_Toc122948745"/>
      <w:r>
        <w:rPr>
          <w:rStyle w:val="CharSectno"/>
        </w:rPr>
        <w:t>5</w:t>
      </w:r>
      <w:r>
        <w:rPr>
          <w:snapToGrid w:val="0"/>
        </w:rPr>
        <w:t>.</w:t>
      </w:r>
      <w:r>
        <w:rPr>
          <w:snapToGrid w:val="0"/>
        </w:rPr>
        <w:tab/>
        <w:t>Proceeds of race meetings on Anzac Day to be paid to Trust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 xml:space="preserve">in the case of a race meeting held in the metropolitan </w:t>
      </w:r>
      <w:del w:id="19" w:author="svcMRProcess" w:date="2015-10-26T23:05:00Z">
        <w:r>
          <w:rPr>
            <w:snapToGrid w:val="0"/>
          </w:rPr>
          <w:delText>area</w:delText>
        </w:r>
      </w:del>
      <w:ins w:id="20" w:author="svcMRProcess" w:date="2015-10-26T23:05:00Z">
        <w:r>
          <w:rPr>
            <w:snapToGrid w:val="0"/>
          </w:rPr>
          <w:t>region</w:t>
        </w:r>
      </w:ins>
      <w:r>
        <w:rPr>
          <w:snapToGrid w:val="0"/>
        </w:rPr>
        <w:t>, the whole of the net proceeds derived from that race meeting; or</w:t>
      </w:r>
    </w:p>
    <w:p>
      <w:pPr>
        <w:pStyle w:val="Indenti"/>
        <w:rPr>
          <w:snapToGrid w:val="0"/>
        </w:rPr>
      </w:pPr>
      <w:r>
        <w:rPr>
          <w:snapToGrid w:val="0"/>
        </w:rPr>
        <w:tab/>
        <w:t>(ii)</w:t>
      </w:r>
      <w:r>
        <w:rPr>
          <w:snapToGrid w:val="0"/>
        </w:rPr>
        <w:tab/>
        <w:t xml:space="preserve">in the case of a race meeting held outside the metropolitan </w:t>
      </w:r>
      <w:del w:id="21" w:author="svcMRProcess" w:date="2015-10-26T23:05:00Z">
        <w:r>
          <w:rPr>
            <w:snapToGrid w:val="0"/>
          </w:rPr>
          <w:delText>area</w:delText>
        </w:r>
      </w:del>
      <w:ins w:id="22" w:author="svcMRProcess" w:date="2015-10-26T23:05:00Z">
        <w:r>
          <w:rPr>
            <w:snapToGrid w:val="0"/>
          </w:rPr>
          <w:t>region</w:t>
        </w:r>
      </w:ins>
      <w:r>
        <w:rPr>
          <w:snapToGrid w:val="0"/>
        </w:rPr>
        <w:t>,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b/>
        </w:rPr>
        <w:t>“</w:t>
      </w:r>
      <w:r>
        <w:rPr>
          <w:rStyle w:val="CharDefText"/>
        </w:rPr>
        <w:t xml:space="preserve">metropolitan </w:t>
      </w:r>
      <w:del w:id="23" w:author="svcMRProcess" w:date="2015-10-26T23:05:00Z">
        <w:r>
          <w:rPr>
            <w:rStyle w:val="CharDefText"/>
          </w:rPr>
          <w:delText>area</w:delText>
        </w:r>
        <w:r>
          <w:delText>” means</w:delText>
        </w:r>
      </w:del>
      <w:ins w:id="24" w:author="svcMRProcess" w:date="2015-10-26T23:05:00Z">
        <w:r>
          <w:rPr>
            <w:rStyle w:val="CharDefText"/>
          </w:rPr>
          <w:t>region</w:t>
        </w:r>
        <w:r>
          <w:rPr>
            <w:b/>
          </w:rPr>
          <w:t>”</w:t>
        </w:r>
        <w:r>
          <w:t xml:space="preserve"> has</w:t>
        </w:r>
      </w:ins>
      <w:r>
        <w:t xml:space="preserve"> the </w:t>
      </w:r>
      <w:del w:id="25" w:author="svcMRProcess" w:date="2015-10-26T23:05:00Z">
        <w:r>
          <w:delText xml:space="preserve">part of the State </w:delText>
        </w:r>
      </w:del>
      <w:ins w:id="26" w:author="svcMRProcess" w:date="2015-10-26T23:05:00Z">
        <w:r>
          <w:t xml:space="preserve">meaning given to </w:t>
        </w:r>
      </w:ins>
      <w:r>
        <w:t xml:space="preserve">that </w:t>
      </w:r>
      <w:del w:id="27" w:author="svcMRProcess" w:date="2015-10-26T23:05:00Z">
        <w:r>
          <w:delText>comprises the region described</w:delText>
        </w:r>
      </w:del>
      <w:ins w:id="28" w:author="svcMRProcess" w:date="2015-10-26T23:05:00Z">
        <w:r>
          <w:t>term</w:t>
        </w:r>
      </w:ins>
      <w:r>
        <w:t xml:space="preserve"> in the </w:t>
      </w:r>
      <w:del w:id="29" w:author="svcMRProcess" w:date="2015-10-26T23:05:00Z">
        <w:r>
          <w:delText xml:space="preserve">Third Schedule to the </w:delText>
        </w:r>
        <w:r>
          <w:rPr>
            <w:i/>
          </w:rPr>
          <w:delText xml:space="preserve">Metropolitan Region Town </w:delText>
        </w:r>
      </w:del>
      <w:r>
        <w:rPr>
          <w:i/>
        </w:rPr>
        <w:t xml:space="preserve">Planning </w:t>
      </w:r>
      <w:del w:id="30" w:author="svcMRProcess" w:date="2015-10-26T23:05:00Z">
        <w:r>
          <w:rPr>
            <w:i/>
          </w:rPr>
          <w:delText>Scheme</w:delText>
        </w:r>
      </w:del>
      <w:ins w:id="31" w:author="svcMRProcess" w:date="2015-10-26T23:05:00Z">
        <w:r>
          <w:rPr>
            <w:i/>
          </w:rPr>
          <w:t>and Development</w:t>
        </w:r>
      </w:ins>
      <w:r>
        <w:rPr>
          <w:i/>
        </w:rPr>
        <w:t xml:space="preserve"> Act </w:t>
      </w:r>
      <w:del w:id="32" w:author="svcMRProcess" w:date="2015-10-26T23:05:00Z">
        <w:r>
          <w:rPr>
            <w:i/>
          </w:rPr>
          <w:delText>1959</w:delText>
        </w:r>
      </w:del>
      <w:ins w:id="33" w:author="svcMRProcess" w:date="2015-10-26T23:05:00Z">
        <w:r>
          <w:rPr>
            <w:i/>
          </w:rPr>
          <w:t>2005</w:t>
        </w:r>
        <w:r>
          <w:rPr>
            <w:iCs/>
          </w:rPr>
          <w:t xml:space="preserve"> section 4</w:t>
        </w:r>
      </w:ins>
      <w:r>
        <w:t>.</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[Section 5 amended by No. 14 of 1964 s. 3; No. 113 of 1965 s. 8(1); No. 1 of 1976 s. 2; No. 35 of 2003 s. 73(4</w:t>
      </w:r>
      <w:del w:id="34" w:author="svcMRProcess" w:date="2015-10-26T23:05:00Z">
        <w:r>
          <w:delText>).]</w:delText>
        </w:r>
      </w:del>
      <w:ins w:id="35" w:author="svcMRProcess" w:date="2015-10-26T23:05:00Z">
        <w:r>
          <w:t>); No. 38 of 2005 s. 15.]</w:t>
        </w:r>
      </w:ins>
      <w:r>
        <w:t xml:space="preserve"> </w:t>
      </w:r>
    </w:p>
    <w:p>
      <w:pPr>
        <w:pStyle w:val="Heading5"/>
        <w:rPr>
          <w:snapToGrid w:val="0"/>
        </w:rPr>
      </w:pPr>
      <w:bookmarkStart w:id="36" w:name="_Toc411397704"/>
      <w:bookmarkStart w:id="37" w:name="_Toc8013410"/>
      <w:bookmarkStart w:id="38" w:name="_Toc131325011"/>
      <w:bookmarkStart w:id="39" w:name="_Toc122948746"/>
      <w:r>
        <w:rPr>
          <w:rStyle w:val="CharSectno"/>
        </w:rPr>
        <w:t>6</w:t>
      </w:r>
      <w:r>
        <w:rPr>
          <w:snapToGrid w:val="0"/>
        </w:rPr>
        <w:t>.</w:t>
      </w:r>
      <w:r>
        <w:rPr>
          <w:snapToGrid w:val="0"/>
        </w:rPr>
        <w:tab/>
        <w:t>Sports on Anzac Day</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40" w:name="_Toc411397705"/>
      <w:bookmarkStart w:id="41" w:name="_Toc8013411"/>
      <w:bookmarkStart w:id="42" w:name="_Toc131325012"/>
      <w:bookmarkStart w:id="43" w:name="_Toc122948747"/>
      <w:r>
        <w:rPr>
          <w:rStyle w:val="CharSectno"/>
        </w:rPr>
        <w:t>7</w:t>
      </w:r>
      <w:r>
        <w:rPr>
          <w:snapToGrid w:val="0"/>
        </w:rPr>
        <w:t>.</w:t>
      </w:r>
      <w:r>
        <w:rPr>
          <w:snapToGrid w:val="0"/>
        </w:rPr>
        <w:tab/>
        <w:t>Proceeds of sports on Anzac Day to be paid to Trust</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keepLines/>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pPr>
      <w:r>
        <w:t>[</w:t>
      </w:r>
      <w:r>
        <w:rPr>
          <w:b/>
        </w:rPr>
        <w:t>8.</w:t>
      </w:r>
      <w:r>
        <w:tab/>
        <w:t>Omitted under the Reprints Act 1984 s. 7(4)(e).]</w:t>
      </w:r>
    </w:p>
    <w:p>
      <w:pPr>
        <w:pStyle w:val="Ednotesection"/>
      </w:pPr>
      <w:r>
        <w:t>[</w:t>
      </w:r>
      <w:r>
        <w:rPr>
          <w:b/>
        </w:rPr>
        <w:t>9.</w:t>
      </w:r>
      <w:r>
        <w:t xml:space="preserve"> </w:t>
      </w:r>
      <w:r>
        <w:tab/>
        <w:t xml:space="preserve">Repealed by No. 34 of 1985 s. 9.] </w:t>
      </w:r>
    </w:p>
    <w:p>
      <w:pPr>
        <w:pStyle w:val="Heading5"/>
        <w:rPr>
          <w:snapToGrid w:val="0"/>
        </w:rPr>
      </w:pPr>
      <w:bookmarkStart w:id="44" w:name="_Toc411397707"/>
      <w:bookmarkStart w:id="45" w:name="_Toc8013413"/>
      <w:bookmarkStart w:id="46" w:name="_Toc131325013"/>
      <w:bookmarkStart w:id="47" w:name="_Toc122948748"/>
      <w:r>
        <w:rPr>
          <w:rStyle w:val="CharSectno"/>
        </w:rPr>
        <w:t>10</w:t>
      </w:r>
      <w:r>
        <w:rPr>
          <w:snapToGrid w:val="0"/>
        </w:rPr>
        <w:t>.</w:t>
      </w:r>
      <w:r>
        <w:rPr>
          <w:snapToGrid w:val="0"/>
        </w:rPr>
        <w:tab/>
        <w:t>Establishment of Anzac Day Trust Fund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There shall be established at the Treasury, forming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pPr>
        <w:pStyle w:val="Subsection"/>
        <w:rPr>
          <w:snapToGrid w:val="0"/>
        </w:rPr>
      </w:pPr>
      <w:r>
        <w:rPr>
          <w:snapToGrid w:val="0"/>
        </w:rPr>
        <w:tab/>
        <w:t>(2)</w:t>
      </w:r>
      <w:r>
        <w:rPr>
          <w:snapToGrid w:val="0"/>
        </w:rPr>
        <w:tab/>
        <w:t>There shall be credited to the Treasury to the credit of the Fund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w:t>
      </w:r>
    </w:p>
    <w:p>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43; No. 2 of 1970 s. 2; No. 49 of 1996 s. 64; No. 28 of 2003 s. 13; No. 62 of 2003 s. 5.] </w:t>
      </w:r>
    </w:p>
    <w:p>
      <w:pPr>
        <w:pStyle w:val="Heading5"/>
        <w:rPr>
          <w:snapToGrid w:val="0"/>
        </w:rPr>
      </w:pPr>
      <w:bookmarkStart w:id="48" w:name="_Toc411397708"/>
      <w:bookmarkStart w:id="49" w:name="_Toc8013414"/>
      <w:bookmarkStart w:id="50" w:name="_Toc131325014"/>
      <w:bookmarkStart w:id="51" w:name="_Toc122948749"/>
      <w:r>
        <w:rPr>
          <w:rStyle w:val="CharSectno"/>
        </w:rPr>
        <w:t>11</w:t>
      </w:r>
      <w:r>
        <w:rPr>
          <w:snapToGrid w:val="0"/>
        </w:rPr>
        <w:t>.</w:t>
      </w:r>
      <w:r>
        <w:rPr>
          <w:snapToGrid w:val="0"/>
        </w:rPr>
        <w:tab/>
        <w:t>The Anzac Day Trust constituted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licenses under the provisions of the </w:t>
      </w:r>
      <w:r>
        <w:rPr>
          <w:i/>
          <w:snapToGrid w:val="0"/>
        </w:rPr>
        <w:t>Charitable Collections Act 1946</w:t>
      </w:r>
      <w:r>
        <w:rPr>
          <w:snapToGrid w:val="0"/>
        </w:rPr>
        <w:t>.</w:t>
      </w:r>
    </w:p>
    <w:p>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Where the Treasurer intends to nominate a Trustee mentioned in paragraph (b) or in paragraph (c) of subsection (3), he shall before making the nomination give written notice of that intention — </w:t>
      </w:r>
    </w:p>
    <w:p>
      <w:pPr>
        <w:pStyle w:val="Indenti"/>
        <w:rPr>
          <w:snapToGrid w:val="0"/>
        </w:rPr>
      </w:pPr>
      <w:r>
        <w:rPr>
          <w:snapToGrid w:val="0"/>
        </w:rPr>
        <w:tab/>
        <w:t>(i)</w:t>
      </w:r>
      <w:r>
        <w:rPr>
          <w:snapToGrid w:val="0"/>
        </w:rPr>
        <w:tab/>
        <w:t>in the case of the Trustee mentioned in that paragraph (b), to the State President of the body referred to in that paragraph; or</w:t>
      </w:r>
    </w:p>
    <w:p>
      <w:pPr>
        <w:pStyle w:val="Indenti"/>
        <w:rPr>
          <w:snapToGrid w:val="0"/>
        </w:rPr>
      </w:pPr>
      <w:r>
        <w:rPr>
          <w:snapToGrid w:val="0"/>
        </w:rPr>
        <w:tab/>
        <w:t>(ii)</w:t>
      </w:r>
      <w:r>
        <w:rPr>
          <w:snapToGrid w:val="0"/>
        </w:rPr>
        <w:tab/>
        <w:t>in the case of the Trustee mentioned in that paragraph (c), to the President of the body referred to in that paragraph.</w:t>
      </w:r>
    </w:p>
    <w:p>
      <w:pPr>
        <w:pStyle w:val="Indenta"/>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tabs>
          <w:tab w:val="clear" w:pos="879"/>
          <w:tab w:val="right" w:pos="1332"/>
          <w:tab w:val="left" w:pos="1616"/>
        </w:tabs>
        <w:ind w:left="1616" w:hanging="1616"/>
        <w:rPr>
          <w:snapToGrid w:val="0"/>
        </w:rPr>
      </w:pPr>
      <w:r>
        <w:rPr>
          <w:snapToGrid w:val="0"/>
        </w:rPr>
        <w:tab/>
        <w:t>(5)</w:t>
      </w:r>
      <w:r>
        <w:rPr>
          <w:snapToGrid w:val="0"/>
        </w:rPr>
        <w:tab/>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Indenta"/>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52" w:name="_Toc411397709"/>
      <w:bookmarkStart w:id="53" w:name="_Toc8013415"/>
      <w:bookmarkStart w:id="54" w:name="_Toc131325015"/>
      <w:bookmarkStart w:id="55" w:name="_Toc122948750"/>
      <w:r>
        <w:rPr>
          <w:rStyle w:val="CharSectno"/>
        </w:rPr>
        <w:t>12</w:t>
      </w:r>
      <w:r>
        <w:rPr>
          <w:snapToGrid w:val="0"/>
        </w:rPr>
        <w:t>.</w:t>
      </w:r>
      <w:r>
        <w:rPr>
          <w:snapToGrid w:val="0"/>
        </w:rPr>
        <w:tab/>
        <w:t>Trust to be a body corporate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56" w:name="_Toc411397710"/>
      <w:bookmarkStart w:id="57" w:name="_Toc8013416"/>
      <w:bookmarkStart w:id="58" w:name="_Toc131325016"/>
      <w:bookmarkStart w:id="59" w:name="_Toc122948751"/>
      <w:r>
        <w:rPr>
          <w:rStyle w:val="CharSectno"/>
        </w:rPr>
        <w:t>13</w:t>
      </w:r>
      <w:r>
        <w:rPr>
          <w:snapToGrid w:val="0"/>
        </w:rPr>
        <w:t>.</w:t>
      </w:r>
      <w:r>
        <w:rPr>
          <w:snapToGrid w:val="0"/>
        </w:rPr>
        <w:tab/>
        <w:t>Eligibility of Trustees</w:t>
      </w:r>
      <w:bookmarkEnd w:id="56"/>
      <w:bookmarkEnd w:id="57"/>
      <w:bookmarkEnd w:id="58"/>
      <w:bookmarkEnd w:id="59"/>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rPr>
          <w:snapToGrid w:val="0"/>
        </w:rPr>
      </w:pPr>
      <w:r>
        <w:rPr>
          <w:snapToGrid w:val="0"/>
        </w:rPr>
        <w:tab/>
        <w:t>(a)</w:t>
      </w:r>
      <w:r>
        <w:rPr>
          <w:snapToGrid w:val="0"/>
        </w:rPr>
        <w:tab/>
        <w:t>if he is bankrupt;</w:t>
      </w:r>
    </w:p>
    <w:p>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Heading5"/>
        <w:rPr>
          <w:snapToGrid w:val="0"/>
        </w:rPr>
      </w:pPr>
      <w:bookmarkStart w:id="60" w:name="_Toc411397711"/>
      <w:bookmarkStart w:id="61" w:name="_Toc8013417"/>
      <w:bookmarkStart w:id="62" w:name="_Toc131325017"/>
      <w:bookmarkStart w:id="63" w:name="_Toc122948752"/>
      <w:r>
        <w:rPr>
          <w:rStyle w:val="CharSectno"/>
        </w:rPr>
        <w:t>14</w:t>
      </w:r>
      <w:r>
        <w:rPr>
          <w:snapToGrid w:val="0"/>
        </w:rPr>
        <w:t>.</w:t>
      </w:r>
      <w:r>
        <w:rPr>
          <w:snapToGrid w:val="0"/>
        </w:rPr>
        <w:tab/>
        <w:t>Tenure of offices of Trustees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Heading5"/>
        <w:rPr>
          <w:snapToGrid w:val="0"/>
        </w:rPr>
      </w:pPr>
      <w:bookmarkStart w:id="64" w:name="_Toc411397712"/>
      <w:bookmarkStart w:id="65" w:name="_Toc8013418"/>
      <w:bookmarkStart w:id="66" w:name="_Toc131325018"/>
      <w:bookmarkStart w:id="67" w:name="_Toc122948753"/>
      <w:r>
        <w:rPr>
          <w:rStyle w:val="CharSectno"/>
        </w:rPr>
        <w:t>14A</w:t>
      </w:r>
      <w:r>
        <w:rPr>
          <w:snapToGrid w:val="0"/>
        </w:rPr>
        <w:t>.</w:t>
      </w:r>
      <w:r>
        <w:rPr>
          <w:snapToGrid w:val="0"/>
        </w:rPr>
        <w:tab/>
        <w:t>Recovery of proceeds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pPr>
      <w:r>
        <w:tab/>
        <w:t xml:space="preserve">[Section 14A inserted by No. 14 of 1964 s. 6.] </w:t>
      </w:r>
    </w:p>
    <w:p>
      <w:pPr>
        <w:pStyle w:val="Heading5"/>
        <w:rPr>
          <w:snapToGrid w:val="0"/>
        </w:rPr>
      </w:pPr>
      <w:bookmarkStart w:id="68" w:name="_Toc411397713"/>
      <w:bookmarkStart w:id="69" w:name="_Toc8013419"/>
      <w:bookmarkStart w:id="70" w:name="_Toc131325019"/>
      <w:bookmarkStart w:id="71" w:name="_Toc122948754"/>
      <w:r>
        <w:rPr>
          <w:rStyle w:val="CharSectno"/>
        </w:rPr>
        <w:t>15</w:t>
      </w:r>
      <w:r>
        <w:rPr>
          <w:snapToGrid w:val="0"/>
        </w:rPr>
        <w:t>.</w:t>
      </w:r>
      <w:r>
        <w:rPr>
          <w:snapToGrid w:val="0"/>
        </w:rPr>
        <w:tab/>
        <w:t xml:space="preserve">Application of the </w:t>
      </w:r>
      <w:r>
        <w:rPr>
          <w:i/>
          <w:snapToGrid w:val="0"/>
        </w:rPr>
        <w:t>Financial Administration and Audit Act 1985</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pPr>
        <w:pStyle w:val="Footnotesection"/>
      </w:pPr>
      <w:r>
        <w:tab/>
        <w:t xml:space="preserve">[Section 15 inserted by No. 98 of 1985 s. 3 (as amended by No. 4 of 1986 s. 3).] </w:t>
      </w:r>
    </w:p>
    <w:p>
      <w:pPr>
        <w:pStyle w:val="Heading5"/>
        <w:rPr>
          <w:snapToGrid w:val="0"/>
        </w:rPr>
      </w:pPr>
      <w:bookmarkStart w:id="72" w:name="_Toc411397714"/>
      <w:bookmarkStart w:id="73" w:name="_Toc8013420"/>
      <w:bookmarkStart w:id="74" w:name="_Toc131325020"/>
      <w:bookmarkStart w:id="75" w:name="_Toc122948755"/>
      <w:r>
        <w:rPr>
          <w:rStyle w:val="CharSectno"/>
        </w:rPr>
        <w:t>16</w:t>
      </w:r>
      <w:r>
        <w:rPr>
          <w:snapToGrid w:val="0"/>
        </w:rPr>
        <w:t>.</w:t>
      </w:r>
      <w:r>
        <w:rPr>
          <w:snapToGrid w:val="0"/>
        </w:rPr>
        <w:tab/>
        <w:t>Authentication of documents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rPr>
          <w:snapToGrid w:val="0"/>
        </w:rPr>
      </w:pPr>
      <w:bookmarkStart w:id="76" w:name="_Toc411397715"/>
      <w:bookmarkStart w:id="77" w:name="_Toc8013421"/>
      <w:bookmarkStart w:id="78" w:name="_Toc131325021"/>
      <w:bookmarkStart w:id="79" w:name="_Toc122948756"/>
      <w:r>
        <w:rPr>
          <w:rStyle w:val="CharSectno"/>
        </w:rPr>
        <w:t>17</w:t>
      </w:r>
      <w:r>
        <w:rPr>
          <w:snapToGrid w:val="0"/>
        </w:rPr>
        <w:t>.</w:t>
      </w:r>
      <w:r>
        <w:rPr>
          <w:snapToGrid w:val="0"/>
        </w:rPr>
        <w:tab/>
        <w:t>Regulations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and duty imposed by those regulations.</w:t>
      </w:r>
    </w:p>
    <w:p>
      <w:pPr>
        <w:pStyle w:val="Footnotesection"/>
      </w:pPr>
      <w:r>
        <w:tab/>
        <w:t xml:space="preserve">[Section 17 amended by No. 113 of 1965 s. 8(1); No. 2 of 1970 s. 3.] </w:t>
      </w:r>
    </w:p>
    <w:p>
      <w:pPr>
        <w:pStyle w:val="yEdnoteschedule"/>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0" w:name="_Toc122430298"/>
      <w:bookmarkStart w:id="81" w:name="_Toc122948757"/>
      <w:bookmarkStart w:id="82" w:name="_Toc131325022"/>
      <w:r>
        <w:t>Notes</w:t>
      </w:r>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Anzac Day Act 1960</w:t>
      </w:r>
      <w:r>
        <w:rPr>
          <w:snapToGrid w:val="0"/>
        </w:rPr>
        <w:t xml:space="preserve"> and includes the amendments made by the other written laws referred to in the following table</w:t>
      </w:r>
      <w:del w:id="83" w:author="svcMRProcess" w:date="2015-10-26T23:0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84" w:name="_Toc131325023"/>
      <w:bookmarkStart w:id="85" w:name="_Toc122948758"/>
      <w:r>
        <w:rPr>
          <w:snapToGrid w:val="0"/>
        </w:rPr>
        <w:t>Compilation table</w:t>
      </w:r>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Anzac Day Act 1960</w:t>
            </w:r>
          </w:p>
        </w:tc>
        <w:tc>
          <w:tcPr>
            <w:tcW w:w="1134" w:type="dxa"/>
          </w:tcPr>
          <w:p>
            <w:pPr>
              <w:pStyle w:val="nTable"/>
              <w:spacing w:before="120"/>
              <w:rPr>
                <w:sz w:val="19"/>
              </w:rPr>
            </w:pPr>
            <w:r>
              <w:rPr>
                <w:sz w:val="19"/>
              </w:rPr>
              <w:t>73 of 1960</w:t>
            </w:r>
          </w:p>
        </w:tc>
        <w:tc>
          <w:tcPr>
            <w:tcW w:w="1134" w:type="dxa"/>
          </w:tcPr>
          <w:p>
            <w:pPr>
              <w:pStyle w:val="nTable"/>
              <w:spacing w:before="120"/>
              <w:rPr>
                <w:sz w:val="19"/>
              </w:rPr>
            </w:pPr>
            <w:r>
              <w:rPr>
                <w:sz w:val="19"/>
              </w:rPr>
              <w:t>12 Dec 1960</w:t>
            </w:r>
          </w:p>
        </w:tc>
        <w:tc>
          <w:tcPr>
            <w:tcW w:w="2552" w:type="dxa"/>
          </w:tcPr>
          <w:p>
            <w:pPr>
              <w:pStyle w:val="nTable"/>
              <w:spacing w:before="120"/>
              <w:rPr>
                <w:sz w:val="19"/>
              </w:rPr>
            </w:pPr>
            <w:r>
              <w:rPr>
                <w:sz w:val="19"/>
              </w:rPr>
              <w:t>12 Dec 1960</w:t>
            </w:r>
          </w:p>
        </w:tc>
      </w:tr>
      <w:tr>
        <w:trPr>
          <w:cantSplit/>
        </w:trPr>
        <w:tc>
          <w:tcPr>
            <w:tcW w:w="2268" w:type="dxa"/>
          </w:tcPr>
          <w:p>
            <w:pPr>
              <w:pStyle w:val="nTable"/>
              <w:spacing w:before="120"/>
              <w:ind w:right="113"/>
              <w:rPr>
                <w:sz w:val="19"/>
              </w:rPr>
            </w:pPr>
            <w:r>
              <w:rPr>
                <w:i/>
                <w:sz w:val="19"/>
              </w:rPr>
              <w:t>Anzac Day Act Amendment Act 1964</w:t>
            </w:r>
          </w:p>
        </w:tc>
        <w:tc>
          <w:tcPr>
            <w:tcW w:w="1134" w:type="dxa"/>
          </w:tcPr>
          <w:p>
            <w:pPr>
              <w:pStyle w:val="nTable"/>
              <w:spacing w:before="120"/>
              <w:rPr>
                <w:sz w:val="19"/>
              </w:rPr>
            </w:pPr>
            <w:r>
              <w:rPr>
                <w:sz w:val="19"/>
              </w:rPr>
              <w:t>14 of 1964</w:t>
            </w:r>
          </w:p>
        </w:tc>
        <w:tc>
          <w:tcPr>
            <w:tcW w:w="1134" w:type="dxa"/>
          </w:tcPr>
          <w:p>
            <w:pPr>
              <w:pStyle w:val="nTable"/>
              <w:spacing w:before="120"/>
              <w:rPr>
                <w:sz w:val="19"/>
              </w:rPr>
            </w:pPr>
            <w:r>
              <w:rPr>
                <w:sz w:val="19"/>
              </w:rPr>
              <w:t>2 Oct 1964</w:t>
            </w:r>
          </w:p>
        </w:tc>
        <w:tc>
          <w:tcPr>
            <w:tcW w:w="2552" w:type="dxa"/>
          </w:tcPr>
          <w:p>
            <w:pPr>
              <w:pStyle w:val="nTable"/>
              <w:spacing w:before="120"/>
              <w:rPr>
                <w:sz w:val="19"/>
              </w:rPr>
            </w:pPr>
            <w:r>
              <w:rPr>
                <w:sz w:val="19"/>
              </w:rPr>
              <w:t>2 Oct 1964</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 (see s. 2(1))</w:t>
            </w:r>
          </w:p>
        </w:tc>
      </w:tr>
      <w:tr>
        <w:trPr>
          <w:cantSplit/>
        </w:trPr>
        <w:tc>
          <w:tcPr>
            <w:tcW w:w="2268" w:type="dxa"/>
          </w:tcPr>
          <w:p>
            <w:pPr>
              <w:pStyle w:val="nTable"/>
              <w:spacing w:before="120"/>
              <w:ind w:right="113"/>
              <w:rPr>
                <w:sz w:val="19"/>
              </w:rPr>
            </w:pPr>
            <w:r>
              <w:rPr>
                <w:i/>
                <w:sz w:val="19"/>
              </w:rPr>
              <w:t>Anzac Day Act Amendment Act 1970</w:t>
            </w:r>
          </w:p>
        </w:tc>
        <w:tc>
          <w:tcPr>
            <w:tcW w:w="1134" w:type="dxa"/>
          </w:tcPr>
          <w:p>
            <w:pPr>
              <w:pStyle w:val="nTable"/>
              <w:spacing w:before="120"/>
              <w:rPr>
                <w:sz w:val="19"/>
              </w:rPr>
            </w:pPr>
            <w:r>
              <w:rPr>
                <w:sz w:val="19"/>
              </w:rPr>
              <w:t>2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7088" w:type="dxa"/>
            <w:gridSpan w:val="4"/>
          </w:tcPr>
          <w:p>
            <w:pPr>
              <w:pStyle w:val="nTable"/>
              <w:spacing w:before="12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Anzac Day Act Amendment Act 1975</w:t>
            </w:r>
          </w:p>
        </w:tc>
        <w:tc>
          <w:tcPr>
            <w:tcW w:w="1134" w:type="dxa"/>
          </w:tcPr>
          <w:p>
            <w:pPr>
              <w:pStyle w:val="nTable"/>
              <w:spacing w:before="120"/>
              <w:rPr>
                <w:sz w:val="19"/>
              </w:rPr>
            </w:pPr>
            <w:r>
              <w:rPr>
                <w:sz w:val="19"/>
              </w:rPr>
              <w:t>9 of 1975</w:t>
            </w:r>
          </w:p>
        </w:tc>
        <w:tc>
          <w:tcPr>
            <w:tcW w:w="1134" w:type="dxa"/>
          </w:tcPr>
          <w:p>
            <w:pPr>
              <w:pStyle w:val="nTable"/>
              <w:spacing w:before="120"/>
              <w:rPr>
                <w:sz w:val="19"/>
              </w:rPr>
            </w:pPr>
            <w:r>
              <w:rPr>
                <w:sz w:val="19"/>
              </w:rPr>
              <w:t>9 May 1975</w:t>
            </w:r>
          </w:p>
        </w:tc>
        <w:tc>
          <w:tcPr>
            <w:tcW w:w="2552" w:type="dxa"/>
          </w:tcPr>
          <w:p>
            <w:pPr>
              <w:pStyle w:val="nTable"/>
              <w:spacing w:before="120"/>
              <w:rPr>
                <w:sz w:val="19"/>
              </w:rPr>
            </w:pPr>
            <w:r>
              <w:rPr>
                <w:sz w:val="19"/>
              </w:rPr>
              <w:t>9 May 1975</w:t>
            </w:r>
          </w:p>
        </w:tc>
      </w:tr>
      <w:tr>
        <w:trPr>
          <w:cantSplit/>
        </w:trPr>
        <w:tc>
          <w:tcPr>
            <w:tcW w:w="2268" w:type="dxa"/>
          </w:tcPr>
          <w:p>
            <w:pPr>
              <w:pStyle w:val="nTable"/>
              <w:spacing w:before="120"/>
              <w:ind w:right="113"/>
              <w:rPr>
                <w:sz w:val="19"/>
              </w:rPr>
            </w:pPr>
            <w:r>
              <w:rPr>
                <w:i/>
                <w:sz w:val="19"/>
              </w:rPr>
              <w:t>Anzac Day Act Amendment Act 1976</w:t>
            </w:r>
          </w:p>
        </w:tc>
        <w:tc>
          <w:tcPr>
            <w:tcW w:w="1134" w:type="dxa"/>
          </w:tcPr>
          <w:p>
            <w:pPr>
              <w:pStyle w:val="nTable"/>
              <w:spacing w:before="120"/>
              <w:rPr>
                <w:sz w:val="19"/>
              </w:rPr>
            </w:pPr>
            <w:r>
              <w:rPr>
                <w:sz w:val="19"/>
              </w:rPr>
              <w:t>1 of 1976</w:t>
            </w:r>
          </w:p>
        </w:tc>
        <w:tc>
          <w:tcPr>
            <w:tcW w:w="1134" w:type="dxa"/>
          </w:tcPr>
          <w:p>
            <w:pPr>
              <w:pStyle w:val="nTable"/>
              <w:spacing w:before="120"/>
              <w:rPr>
                <w:sz w:val="19"/>
              </w:rPr>
            </w:pPr>
            <w:r>
              <w:rPr>
                <w:sz w:val="19"/>
              </w:rPr>
              <w:t>12 Apr 1976</w:t>
            </w:r>
          </w:p>
        </w:tc>
        <w:tc>
          <w:tcPr>
            <w:tcW w:w="2552" w:type="dxa"/>
          </w:tcPr>
          <w:p>
            <w:pPr>
              <w:pStyle w:val="nTable"/>
              <w:spacing w:before="120"/>
              <w:rPr>
                <w:sz w:val="19"/>
              </w:rPr>
            </w:pPr>
            <w:r>
              <w:rPr>
                <w:sz w:val="19"/>
              </w:rPr>
              <w:t>12 Apr 1976</w:t>
            </w:r>
          </w:p>
        </w:tc>
      </w:tr>
      <w:tr>
        <w:trPr>
          <w:cantSplit/>
        </w:trPr>
        <w:tc>
          <w:tcPr>
            <w:tcW w:w="2268" w:type="dxa"/>
          </w:tcPr>
          <w:p>
            <w:pPr>
              <w:pStyle w:val="nTable"/>
              <w:spacing w:before="120"/>
              <w:ind w:right="113"/>
              <w:rPr>
                <w:sz w:val="19"/>
              </w:rPr>
            </w:pPr>
            <w:r>
              <w:rPr>
                <w:i/>
                <w:sz w:val="19"/>
              </w:rPr>
              <w:t>Acts Amendment (Betting Control) Act 1985</w:t>
            </w:r>
            <w:r>
              <w:rPr>
                <w:sz w:val="19"/>
              </w:rPr>
              <w:t xml:space="preserve"> Pt. III</w:t>
            </w:r>
          </w:p>
        </w:tc>
        <w:tc>
          <w:tcPr>
            <w:tcW w:w="1134" w:type="dxa"/>
          </w:tcPr>
          <w:p>
            <w:pPr>
              <w:pStyle w:val="nTable"/>
              <w:spacing w:before="120"/>
              <w:rPr>
                <w:sz w:val="19"/>
              </w:rPr>
            </w:pPr>
            <w:r>
              <w:rPr>
                <w:sz w:val="19"/>
              </w:rPr>
              <w:t>34 of 1985</w:t>
            </w:r>
          </w:p>
        </w:tc>
        <w:tc>
          <w:tcPr>
            <w:tcW w:w="1134" w:type="dxa"/>
          </w:tcPr>
          <w:p>
            <w:pPr>
              <w:pStyle w:val="nTable"/>
              <w:spacing w:before="120"/>
              <w:rPr>
                <w:sz w:val="19"/>
              </w:rPr>
            </w:pPr>
            <w:r>
              <w:rPr>
                <w:sz w:val="19"/>
              </w:rPr>
              <w:t>24 Apr 1985</w:t>
            </w:r>
          </w:p>
        </w:tc>
        <w:tc>
          <w:tcPr>
            <w:tcW w:w="2552" w:type="dxa"/>
          </w:tcPr>
          <w:p>
            <w:pPr>
              <w:pStyle w:val="nTable"/>
              <w:spacing w:before="120"/>
              <w:rPr>
                <w:sz w:val="19"/>
              </w:rPr>
            </w:pPr>
            <w:r>
              <w:rPr>
                <w:sz w:val="19"/>
              </w:rPr>
              <w:t>24 Apr 1985 (see s. 2)</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after="60"/>
              <w:ind w:right="113"/>
              <w:rPr>
                <w:sz w:val="19"/>
              </w:rPr>
            </w:pPr>
            <w:r>
              <w:rPr>
                <w:i/>
                <w:sz w:val="19"/>
              </w:rPr>
              <w:t>Financial Legislation Amendment Act 1996</w:t>
            </w:r>
            <w:r>
              <w:rPr>
                <w:sz w:val="19"/>
              </w:rPr>
              <w:t xml:space="preserve"> s. 64 </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Anzac Day Act 1960</w:t>
            </w:r>
            <w:r>
              <w:rPr>
                <w:b/>
                <w:sz w:val="19"/>
              </w:rPr>
              <w:t xml:space="preserve"> as at 24 May 2002</w:t>
            </w:r>
            <w:r>
              <w:rPr>
                <w:sz w:val="19"/>
              </w:rPr>
              <w:t xml:space="preserve"> </w:t>
            </w:r>
            <w:r>
              <w:rPr>
                <w:sz w:val="19"/>
              </w:rPr>
              <w:br/>
              <w:t>(includes amendments listed above)</w:t>
            </w:r>
          </w:p>
        </w:tc>
      </w:tr>
      <w:tr>
        <w:trPr>
          <w:cantSplit/>
        </w:trPr>
        <w:tc>
          <w:tcPr>
            <w:tcW w:w="2268" w:type="dxa"/>
          </w:tcPr>
          <w:p>
            <w:pPr>
              <w:pStyle w:val="nTable"/>
              <w:spacing w:before="120" w:after="60"/>
              <w:ind w:right="113"/>
              <w:rPr>
                <w:sz w:val="19"/>
              </w:rPr>
            </w:pPr>
            <w:r>
              <w:rPr>
                <w:i/>
                <w:sz w:val="19"/>
              </w:rPr>
              <w:t>Acts Amendment (Equality of Status) Act 2003</w:t>
            </w:r>
            <w:r>
              <w:rPr>
                <w:sz w:val="19"/>
              </w:rPr>
              <w:t xml:space="preserve"> Pt. 3</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2" w:type="dxa"/>
          </w:tcPr>
          <w:p>
            <w:pPr>
              <w:pStyle w:val="nTable"/>
              <w:spacing w:before="12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before="120" w:after="60"/>
              <w:ind w:right="113"/>
              <w:rPr>
                <w:i/>
                <w:sz w:val="19"/>
              </w:rPr>
            </w:pPr>
            <w:r>
              <w:rPr>
                <w:i/>
                <w:sz w:val="19"/>
              </w:rPr>
              <w:t>Racing and Gambling Legislation Amendment and Repeal Act 2003</w:t>
            </w:r>
            <w:r>
              <w:rPr>
                <w:sz w:val="19"/>
              </w:rPr>
              <w:t xml:space="preserve"> s. 73</w:t>
            </w:r>
            <w:r>
              <w:rPr>
                <w:sz w:val="19"/>
                <w:vertAlign w:val="superscript"/>
              </w:rPr>
              <w:t> 4</w:t>
            </w:r>
          </w:p>
        </w:tc>
        <w:tc>
          <w:tcPr>
            <w:tcW w:w="1134" w:type="dxa"/>
          </w:tcPr>
          <w:p>
            <w:pPr>
              <w:pStyle w:val="nTable"/>
              <w:spacing w:before="120"/>
              <w:rPr>
                <w:sz w:val="19"/>
              </w:rPr>
            </w:pPr>
            <w:r>
              <w:rPr>
                <w:sz w:val="19"/>
              </w:rPr>
              <w:t>35 of 2003</w:t>
            </w:r>
          </w:p>
        </w:tc>
        <w:tc>
          <w:tcPr>
            <w:tcW w:w="1134" w:type="dxa"/>
          </w:tcPr>
          <w:p>
            <w:pPr>
              <w:pStyle w:val="nTable"/>
              <w:spacing w:before="120"/>
              <w:rPr>
                <w:sz w:val="19"/>
              </w:rPr>
            </w:pPr>
            <w:r>
              <w:rPr>
                <w:sz w:val="19"/>
              </w:rPr>
              <w:t>26 Jun 2003</w:t>
            </w:r>
          </w:p>
        </w:tc>
        <w:tc>
          <w:tcPr>
            <w:tcW w:w="2552" w:type="dxa"/>
          </w:tcPr>
          <w:p>
            <w:pPr>
              <w:pStyle w:val="nTable"/>
              <w:spacing w:before="12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before="120" w:after="60"/>
              <w:ind w:right="113"/>
              <w:rPr>
                <w:i/>
                <w:sz w:val="19"/>
              </w:rPr>
            </w:pPr>
            <w:r>
              <w:rPr>
                <w:i/>
                <w:sz w:val="19"/>
              </w:rPr>
              <w:t>Anzac Day Amendment Act 2003</w:t>
            </w:r>
          </w:p>
        </w:tc>
        <w:tc>
          <w:tcPr>
            <w:tcW w:w="1134" w:type="dxa"/>
          </w:tcPr>
          <w:p>
            <w:pPr>
              <w:pStyle w:val="nTable"/>
              <w:spacing w:before="120"/>
              <w:rPr>
                <w:sz w:val="19"/>
              </w:rPr>
            </w:pPr>
            <w:r>
              <w:rPr>
                <w:sz w:val="19"/>
              </w:rPr>
              <w:t>62 of 2003</w:t>
            </w:r>
          </w:p>
        </w:tc>
        <w:tc>
          <w:tcPr>
            <w:tcW w:w="1134" w:type="dxa"/>
          </w:tcPr>
          <w:p>
            <w:pPr>
              <w:pStyle w:val="nTable"/>
              <w:spacing w:before="120"/>
              <w:rPr>
                <w:sz w:val="19"/>
              </w:rPr>
            </w:pPr>
            <w:r>
              <w:rPr>
                <w:sz w:val="19"/>
              </w:rPr>
              <w:t>26 Nov 2003</w:t>
            </w:r>
          </w:p>
        </w:tc>
        <w:tc>
          <w:tcPr>
            <w:tcW w:w="2552" w:type="dxa"/>
          </w:tcPr>
          <w:p>
            <w:pPr>
              <w:pStyle w:val="nTable"/>
              <w:spacing w:before="120"/>
              <w:rPr>
                <w:sz w:val="19"/>
              </w:rPr>
            </w:pPr>
            <w:r>
              <w:rPr>
                <w:sz w:val="19"/>
              </w:rPr>
              <w:t>26 Nov 2003 (see s. 2)</w:t>
            </w:r>
          </w:p>
        </w:tc>
      </w:tr>
    </w:tbl>
    <w:p>
      <w:pPr>
        <w:pStyle w:val="nSubsection"/>
        <w:rPr>
          <w:del w:id="86" w:author="svcMRProcess" w:date="2015-10-26T23:05:00Z"/>
          <w:snapToGrid w:val="0"/>
        </w:rPr>
      </w:pPr>
      <w:del w:id="87" w:author="svcMRProcess" w:date="2015-10-26T23: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 w:author="svcMRProcess" w:date="2015-10-26T23:05:00Z"/>
          <w:snapToGrid w:val="0"/>
        </w:rPr>
      </w:pPr>
      <w:bookmarkStart w:id="89" w:name="_Toc534778309"/>
      <w:bookmarkStart w:id="90" w:name="_Toc7405063"/>
      <w:bookmarkStart w:id="91" w:name="_Toc122948759"/>
      <w:del w:id="92" w:author="svcMRProcess" w:date="2015-10-26T23:05:00Z">
        <w:r>
          <w:rPr>
            <w:snapToGrid w:val="0"/>
          </w:rPr>
          <w:delText>Provisions that have not come into operation</w:delText>
        </w:r>
        <w:bookmarkEnd w:id="89"/>
        <w:bookmarkEnd w:id="90"/>
        <w:bookmarkEnd w:id="9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93" w:author="svcMRProcess" w:date="2015-10-26T23:05:00Z"/>
        </w:trPr>
        <w:tc>
          <w:tcPr>
            <w:tcW w:w="2223" w:type="dxa"/>
          </w:tcPr>
          <w:p>
            <w:pPr>
              <w:pStyle w:val="nTable"/>
              <w:rPr>
                <w:del w:id="94" w:author="svcMRProcess" w:date="2015-10-26T23:05:00Z"/>
                <w:b/>
                <w:snapToGrid w:val="0"/>
                <w:sz w:val="19"/>
                <w:lang w:val="en-US"/>
              </w:rPr>
            </w:pPr>
            <w:del w:id="95" w:author="svcMRProcess" w:date="2015-10-26T23:05:00Z">
              <w:r>
                <w:rPr>
                  <w:b/>
                  <w:snapToGrid w:val="0"/>
                  <w:sz w:val="19"/>
                  <w:lang w:val="en-US"/>
                </w:rPr>
                <w:delText>Short title</w:delText>
              </w:r>
            </w:del>
          </w:p>
        </w:tc>
        <w:tc>
          <w:tcPr>
            <w:tcW w:w="1118" w:type="dxa"/>
          </w:tcPr>
          <w:p>
            <w:pPr>
              <w:pStyle w:val="nTable"/>
              <w:rPr>
                <w:del w:id="96" w:author="svcMRProcess" w:date="2015-10-26T23:05:00Z"/>
                <w:b/>
                <w:snapToGrid w:val="0"/>
                <w:sz w:val="19"/>
                <w:lang w:val="en-US"/>
              </w:rPr>
            </w:pPr>
            <w:del w:id="97" w:author="svcMRProcess" w:date="2015-10-26T23:05:00Z">
              <w:r>
                <w:rPr>
                  <w:b/>
                  <w:snapToGrid w:val="0"/>
                  <w:sz w:val="19"/>
                  <w:lang w:val="en-US"/>
                </w:rPr>
                <w:delText>Number and Year</w:delText>
              </w:r>
            </w:del>
          </w:p>
        </w:tc>
        <w:tc>
          <w:tcPr>
            <w:tcW w:w="1195" w:type="dxa"/>
          </w:tcPr>
          <w:p>
            <w:pPr>
              <w:pStyle w:val="nTable"/>
              <w:rPr>
                <w:del w:id="98" w:author="svcMRProcess" w:date="2015-10-26T23:05:00Z"/>
                <w:b/>
                <w:snapToGrid w:val="0"/>
                <w:sz w:val="19"/>
                <w:lang w:val="en-US"/>
              </w:rPr>
            </w:pPr>
            <w:del w:id="99" w:author="svcMRProcess" w:date="2015-10-26T23:05:00Z">
              <w:r>
                <w:rPr>
                  <w:b/>
                  <w:snapToGrid w:val="0"/>
                  <w:sz w:val="19"/>
                  <w:lang w:val="en-US"/>
                </w:rPr>
                <w:delText>Assent</w:delText>
              </w:r>
            </w:del>
          </w:p>
        </w:tc>
        <w:tc>
          <w:tcPr>
            <w:tcW w:w="2552" w:type="dxa"/>
          </w:tcPr>
          <w:p>
            <w:pPr>
              <w:pStyle w:val="nTable"/>
              <w:rPr>
                <w:del w:id="100" w:author="svcMRProcess" w:date="2015-10-26T23:05:00Z"/>
                <w:b/>
                <w:snapToGrid w:val="0"/>
                <w:sz w:val="19"/>
                <w:lang w:val="en-US"/>
              </w:rPr>
            </w:pPr>
            <w:del w:id="101" w:author="svcMRProcess" w:date="2015-10-26T23:0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tcBorders>
              <w:bottom w:val="single" w:sz="4" w:space="0" w:color="auto"/>
            </w:tcBorders>
          </w:tcPr>
          <w:p>
            <w:pPr>
              <w:pStyle w:val="nTable"/>
              <w:spacing w:before="120" w:after="60"/>
              <w:ind w:right="113"/>
              <w:rPr>
                <w:i/>
                <w:sz w:val="19"/>
              </w:rPr>
            </w:pPr>
            <w:r>
              <w:rPr>
                <w:i/>
                <w:snapToGrid w:val="0"/>
                <w:sz w:val="19"/>
                <w:lang w:val="en-US"/>
              </w:rPr>
              <w:t>Planning and Development (Consequential and Transitional Provisions) Act 2005</w:t>
            </w:r>
            <w:r>
              <w:rPr>
                <w:iCs/>
                <w:sz w:val="19"/>
              </w:rPr>
              <w:t xml:space="preserve"> s. 15</w:t>
            </w:r>
            <w:del w:id="102" w:author="svcMRProcess" w:date="2015-10-26T23:05:00Z">
              <w:r>
                <w:rPr>
                  <w:iCs/>
                  <w:snapToGrid w:val="0"/>
                  <w:sz w:val="19"/>
                  <w:lang w:val="en-US"/>
                </w:rPr>
                <w:delText xml:space="preserve"> </w:delText>
              </w:r>
              <w:r>
                <w:rPr>
                  <w:iCs/>
                  <w:snapToGrid w:val="0"/>
                  <w:sz w:val="19"/>
                  <w:vertAlign w:val="superscript"/>
                  <w:lang w:val="en-US"/>
                </w:rPr>
                <w:delText>5</w:delText>
              </w:r>
            </w:del>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del w:id="103" w:author="svcMRProcess" w:date="2015-10-26T23:05:00Z">
              <w:r>
                <w:rPr>
                  <w:snapToGrid w:val="0"/>
                  <w:sz w:val="19"/>
                  <w:lang w:val="en-US"/>
                </w:rPr>
                <w:delText>To be proclaimed</w:delText>
              </w:r>
            </w:del>
            <w:ins w:id="104" w:author="svcMRProcess" w:date="2015-10-26T23:05:00Z">
              <w:r>
                <w:rPr>
                  <w:sz w:val="19"/>
                </w:rPr>
                <w:t>9 Apr 2006</w:t>
              </w:r>
            </w:ins>
            <w:r>
              <w:rPr>
                <w:sz w:val="19"/>
              </w:rPr>
              <w:t xml:space="preserve"> (see s. 2</w:t>
            </w:r>
            <w:ins w:id="105" w:author="svcMRProcess" w:date="2015-10-26T23:05:00Z">
              <w:r>
                <w:rPr>
                  <w:sz w:val="19"/>
                </w:rPr>
                <w:t xml:space="preserve"> and </w:t>
              </w:r>
              <w:r>
                <w:rPr>
                  <w:i/>
                  <w:iCs/>
                  <w:sz w:val="19"/>
                </w:rPr>
                <w:t>Gazette</w:t>
              </w:r>
              <w:r>
                <w:rPr>
                  <w:sz w:val="19"/>
                </w:rPr>
                <w:t xml:space="preserve"> 21 Mar 2006 p. 1078</w:t>
              </w:r>
            </w:ins>
            <w:r>
              <w:rPr>
                <w:sz w:val="19"/>
              </w:rPr>
              <w:t>)</w:t>
            </w:r>
          </w:p>
        </w:tc>
      </w:tr>
    </w:tbl>
    <w:p>
      <w:pPr>
        <w:pStyle w:val="nSubsection"/>
        <w:keepNext/>
        <w:rPr>
          <w:snapToGrid w:val="0"/>
        </w:rPr>
      </w:pPr>
      <w:r>
        <w:rPr>
          <w:snapToGrid w:val="0"/>
          <w:vertAlign w:val="superscript"/>
        </w:rPr>
        <w:t>2</w:t>
      </w:r>
      <w:r>
        <w:rPr>
          <w:snapToGrid w:val="0"/>
        </w:rPr>
        <w:tab/>
        <w:t>Footnote no longer applicable.</w:t>
      </w:r>
      <w:bookmarkStart w:id="106" w:name="UpToHere"/>
      <w:bookmarkEnd w:id="106"/>
    </w:p>
    <w:p>
      <w:pPr>
        <w:pStyle w:val="nSubsection"/>
        <w:keepNext/>
        <w:rPr>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107" w:name="_Toc20219085"/>
      <w:bookmarkStart w:id="108" w:name="_Toc20710666"/>
      <w:bookmarkStart w:id="109" w:name="_Toc22632825"/>
      <w:bookmarkStart w:id="110" w:name="_Toc44146574"/>
      <w:r>
        <w:rPr>
          <w:rStyle w:val="CharSectno"/>
        </w:rPr>
        <w:t>19</w:t>
      </w:r>
      <w:r>
        <w:t>.</w:t>
      </w:r>
      <w:r>
        <w:tab/>
        <w:t>Power to amend regulations</w:t>
      </w:r>
      <w:bookmarkEnd w:id="107"/>
      <w:bookmarkEnd w:id="108"/>
      <w:bookmarkEnd w:id="109"/>
      <w:bookmarkEnd w:id="11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del w:id="111" w:author="svcMRProcess" w:date="2015-10-26T23:05:00Z"/>
          <w:snapToGrid w:val="0"/>
        </w:rPr>
      </w:pPr>
      <w:del w:id="112" w:author="svcMRProcess" w:date="2015-10-26T23:05:00Z">
        <w:r>
          <w:rPr>
            <w:vertAlign w:val="superscript"/>
          </w:rPr>
          <w:delText>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3" w:author="svcMRProcess" w:date="2015-10-26T23:05:00Z"/>
          <w:snapToGrid w:val="0"/>
        </w:rPr>
      </w:pPr>
      <w:del w:id="114" w:author="svcMRProcess" w:date="2015-10-26T23:05:00Z">
        <w:r>
          <w:rPr>
            <w:snapToGrid w:val="0"/>
          </w:rPr>
          <w:delText>“</w:delText>
        </w:r>
      </w:del>
    </w:p>
    <w:p>
      <w:pPr>
        <w:pStyle w:val="nzHeading5"/>
        <w:rPr>
          <w:del w:id="115" w:author="svcMRProcess" w:date="2015-10-26T23:05:00Z"/>
        </w:rPr>
      </w:pPr>
      <w:bookmarkStart w:id="116" w:name="_Toc476631191"/>
      <w:bookmarkStart w:id="117" w:name="_Toc477066412"/>
      <w:bookmarkStart w:id="118" w:name="_Toc497301942"/>
      <w:bookmarkStart w:id="119" w:name="_Toc83657956"/>
      <w:bookmarkStart w:id="120" w:name="_Toc122243710"/>
      <w:bookmarkStart w:id="121" w:name="_Toc122425166"/>
      <w:del w:id="122" w:author="svcMRProcess" w:date="2015-10-26T23:05:00Z">
        <w:r>
          <w:rPr>
            <w:rStyle w:val="CharSectno"/>
          </w:rPr>
          <w:delText>15</w:delText>
        </w:r>
        <w:r>
          <w:delText>.</w:delText>
        </w:r>
        <w:r>
          <w:tab/>
          <w:delText>Acts in Schedule 2 amended</w:delText>
        </w:r>
        <w:bookmarkEnd w:id="116"/>
        <w:bookmarkEnd w:id="117"/>
        <w:bookmarkEnd w:id="118"/>
        <w:bookmarkEnd w:id="119"/>
        <w:bookmarkEnd w:id="120"/>
        <w:bookmarkEnd w:id="121"/>
      </w:del>
    </w:p>
    <w:p>
      <w:pPr>
        <w:pStyle w:val="nzSubsection"/>
        <w:rPr>
          <w:del w:id="123" w:author="svcMRProcess" w:date="2015-10-26T23:05:00Z"/>
        </w:rPr>
      </w:pPr>
      <w:del w:id="124" w:author="svcMRProcess" w:date="2015-10-26T23:05:00Z">
        <w:r>
          <w:tab/>
        </w:r>
        <w:r>
          <w:tab/>
          <w:delText>The Acts mentioned in Schedule 2 are amended as set out in that Schedule.</w:delText>
        </w:r>
      </w:del>
    </w:p>
    <w:p>
      <w:pPr>
        <w:pStyle w:val="MiscClose"/>
        <w:rPr>
          <w:del w:id="125" w:author="svcMRProcess" w:date="2015-10-26T23:05:00Z"/>
          <w:snapToGrid w:val="0"/>
        </w:rPr>
      </w:pPr>
      <w:del w:id="126" w:author="svcMRProcess" w:date="2015-10-26T23:05:00Z">
        <w:r>
          <w:rPr>
            <w:snapToGrid w:val="0"/>
          </w:rPr>
          <w:delText>”.</w:delText>
        </w:r>
      </w:del>
    </w:p>
    <w:p>
      <w:pPr>
        <w:pStyle w:val="nSubsection"/>
        <w:rPr>
          <w:del w:id="127" w:author="svcMRProcess" w:date="2015-10-26T23:05:00Z"/>
        </w:rPr>
      </w:pPr>
      <w:del w:id="128" w:author="svcMRProcess" w:date="2015-10-26T23:05:00Z">
        <w:r>
          <w:tab/>
          <w:delText>Schedule 2, cl. 2 reads as follows:</w:delText>
        </w:r>
      </w:del>
    </w:p>
    <w:p>
      <w:pPr>
        <w:pStyle w:val="MiscOpen"/>
        <w:rPr>
          <w:del w:id="129" w:author="svcMRProcess" w:date="2015-10-26T23:05:00Z"/>
        </w:rPr>
      </w:pPr>
      <w:del w:id="130" w:author="svcMRProcess" w:date="2015-10-26T23:05:00Z">
        <w:r>
          <w:delText>“</w:delText>
        </w:r>
      </w:del>
    </w:p>
    <w:p>
      <w:pPr>
        <w:pStyle w:val="nzHeading2"/>
        <w:rPr>
          <w:del w:id="131" w:author="svcMRProcess" w:date="2015-10-26T23:05:00Z"/>
        </w:rPr>
      </w:pPr>
      <w:bookmarkStart w:id="132" w:name="_Toc122243734"/>
      <w:bookmarkStart w:id="133" w:name="_Toc122425190"/>
      <w:del w:id="134" w:author="svcMRProcess" w:date="2015-10-26T23:0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32"/>
        <w:bookmarkEnd w:id="133"/>
      </w:del>
    </w:p>
    <w:p>
      <w:pPr>
        <w:pStyle w:val="nzMiscellaneousBody"/>
        <w:jc w:val="right"/>
        <w:rPr>
          <w:del w:id="135" w:author="svcMRProcess" w:date="2015-10-26T23:05:00Z"/>
        </w:rPr>
      </w:pPr>
      <w:del w:id="136" w:author="svcMRProcess" w:date="2015-10-26T23:05:00Z">
        <w:r>
          <w:delText>[s.</w:delText>
        </w:r>
        <w:bookmarkStart w:id="137" w:name="_Hlt485012328"/>
        <w:r>
          <w:delText> 15</w:delText>
        </w:r>
        <w:bookmarkEnd w:id="137"/>
        <w:r>
          <w:delText>]</w:delText>
        </w:r>
      </w:del>
    </w:p>
    <w:p>
      <w:pPr>
        <w:pStyle w:val="nzHeading5"/>
        <w:rPr>
          <w:del w:id="138" w:author="svcMRProcess" w:date="2015-10-26T23:05:00Z"/>
        </w:rPr>
      </w:pPr>
      <w:bookmarkStart w:id="139" w:name="_Toc83658016"/>
      <w:bookmarkStart w:id="140" w:name="_Toc122243736"/>
      <w:bookmarkStart w:id="141" w:name="_Toc122425192"/>
      <w:del w:id="142" w:author="svcMRProcess" w:date="2015-10-26T23:05:00Z">
        <w:r>
          <w:rPr>
            <w:rStyle w:val="CharSClsNo"/>
          </w:rPr>
          <w:delText>2</w:delText>
        </w:r>
        <w:r>
          <w:delText>.</w:delText>
        </w:r>
        <w:r>
          <w:tab/>
        </w:r>
        <w:r>
          <w:rPr>
            <w:i/>
          </w:rPr>
          <w:delText>Anzac Day Act 1960</w:delText>
        </w:r>
        <w:bookmarkEnd w:id="139"/>
        <w:bookmarkEnd w:id="140"/>
        <w:bookmarkEnd w:id="141"/>
      </w:del>
    </w:p>
    <w:p>
      <w:pPr>
        <w:pStyle w:val="nzSubsection"/>
        <w:rPr>
          <w:del w:id="143" w:author="svcMRProcess" w:date="2015-10-26T23:05:00Z"/>
        </w:rPr>
      </w:pPr>
      <w:del w:id="144" w:author="svcMRProcess" w:date="2015-10-26T23:05:00Z">
        <w:r>
          <w:tab/>
          <w:delText>(1)</w:delText>
        </w:r>
        <w:r>
          <w:tab/>
          <w:delText xml:space="preserve">Section 5(1)(b) is amended by deleting “area” in both places where it occurs and inserting instead — </w:delText>
        </w:r>
      </w:del>
    </w:p>
    <w:p>
      <w:pPr>
        <w:pStyle w:val="nzSubsection"/>
        <w:rPr>
          <w:del w:id="145" w:author="svcMRProcess" w:date="2015-10-26T23:05:00Z"/>
        </w:rPr>
      </w:pPr>
      <w:del w:id="146" w:author="svcMRProcess" w:date="2015-10-26T23:05:00Z">
        <w:r>
          <w:tab/>
        </w:r>
        <w:r>
          <w:tab/>
          <w:delText>“    region    ”.</w:delText>
        </w:r>
      </w:del>
    </w:p>
    <w:p>
      <w:pPr>
        <w:pStyle w:val="nzSubsection"/>
        <w:rPr>
          <w:del w:id="147" w:author="svcMRProcess" w:date="2015-10-26T23:05:00Z"/>
        </w:rPr>
      </w:pPr>
      <w:del w:id="148" w:author="svcMRProcess" w:date="2015-10-26T23:05:00Z">
        <w:r>
          <w:tab/>
          <w:delText>(2)</w:delText>
        </w:r>
        <w:r>
          <w:tab/>
          <w:delText xml:space="preserve">Section 5(3) is repealed and the following subsection is inserted instead — </w:delText>
        </w:r>
      </w:del>
    </w:p>
    <w:p>
      <w:pPr>
        <w:pStyle w:val="MiscOpen"/>
        <w:ind w:left="600"/>
        <w:rPr>
          <w:del w:id="149" w:author="svcMRProcess" w:date="2015-10-26T23:05:00Z"/>
          <w:sz w:val="22"/>
        </w:rPr>
      </w:pPr>
      <w:del w:id="150" w:author="svcMRProcess" w:date="2015-10-26T23:05:00Z">
        <w:r>
          <w:rPr>
            <w:sz w:val="22"/>
          </w:rPr>
          <w:delText xml:space="preserve">“    </w:delText>
        </w:r>
      </w:del>
    </w:p>
    <w:p>
      <w:pPr>
        <w:pStyle w:val="nzSubsection"/>
        <w:rPr>
          <w:del w:id="151" w:author="svcMRProcess" w:date="2015-10-26T23:05:00Z"/>
        </w:rPr>
      </w:pPr>
      <w:del w:id="152" w:author="svcMRProcess" w:date="2015-10-26T23:05:00Z">
        <w:r>
          <w:tab/>
          <w:delText>(3)</w:delText>
        </w:r>
        <w:r>
          <w:tab/>
          <w:delText xml:space="preserve">In this section — </w:delText>
        </w:r>
      </w:del>
    </w:p>
    <w:p>
      <w:pPr>
        <w:pStyle w:val="nzDefstart"/>
        <w:rPr>
          <w:del w:id="153" w:author="svcMRProcess" w:date="2015-10-26T23:05:00Z"/>
        </w:rPr>
      </w:pPr>
      <w:del w:id="154" w:author="svcMRProcess" w:date="2015-10-26T23:05: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ind w:right="142"/>
        <w:rPr>
          <w:del w:id="155" w:author="svcMRProcess" w:date="2015-10-26T23:05:00Z"/>
          <w:sz w:val="22"/>
        </w:rPr>
      </w:pPr>
      <w:del w:id="156" w:author="svcMRProcess" w:date="2015-10-26T23:05:00Z">
        <w:r>
          <w:rPr>
            <w:sz w:val="22"/>
          </w:rPr>
          <w:delText xml:space="preserve">    ”.</w:delText>
        </w:r>
      </w:del>
    </w:p>
    <w:p>
      <w:pPr>
        <w:pStyle w:val="MiscClose"/>
        <w:rPr>
          <w:del w:id="157" w:author="svcMRProcess" w:date="2015-10-26T23:05:00Z"/>
        </w:rPr>
      </w:pPr>
      <w:del w:id="158" w:author="svcMRProcess" w:date="2015-10-26T23:05: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A41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2881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1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4A2A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5010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52ED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32F4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DC98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18E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07AC8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18A2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910AB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3900</Words>
  <Characters>17477</Characters>
  <Application>Microsoft Office Word</Application>
  <DocSecurity>0</DocSecurity>
  <Lines>499</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02-d0-02 - 02-e0-02</dc:title>
  <dc:subject/>
  <dc:creator/>
  <cp:keywords/>
  <dc:description/>
  <cp:lastModifiedBy>svcMRProcess</cp:lastModifiedBy>
  <cp:revision>2</cp:revision>
  <cp:lastPrinted>2002-05-30T07:00:00Z</cp:lastPrinted>
  <dcterms:created xsi:type="dcterms:W3CDTF">2015-10-26T15:05:00Z</dcterms:created>
  <dcterms:modified xsi:type="dcterms:W3CDTF">2015-10-26T15:05:00Z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vt:i4>
  </property>
  <property fmtid="{D5CDD505-2E9C-101B-9397-08002B2CF9AE}" pid="6" name="FromSuffix">
    <vt:lpwstr>02-d0-02</vt:lpwstr>
  </property>
  <property fmtid="{D5CDD505-2E9C-101B-9397-08002B2CF9AE}" pid="7" name="FromAsAtDate">
    <vt:lpwstr>12 Dec 2005</vt:lpwstr>
  </property>
  <property fmtid="{D5CDD505-2E9C-101B-9397-08002B2CF9AE}" pid="8" name="ToSuffix">
    <vt:lpwstr>02-e0-02</vt:lpwstr>
  </property>
  <property fmtid="{D5CDD505-2E9C-101B-9397-08002B2CF9AE}" pid="9" name="ToAsAtDate">
    <vt:lpwstr>09 Apr 2006</vt:lpwstr>
  </property>
</Properties>
</file>