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Insurance Commission of Western Australia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right="150"/>
      </w:pPr>
      <w:r>
        <w:fldChar w:fldCharType="begin"/>
      </w:r>
      <w:r>
        <w:instrText xml:space="preserve"> STYLEREF "Name Of Act/Reg"</w:instrText>
      </w:r>
      <w:r>
        <w:fldChar w:fldCharType="separate"/>
      </w:r>
      <w:r>
        <w:rPr>
          <w:noProof/>
        </w:rPr>
        <w:t>Insurance Commission of Western Australia Act 1986</w:t>
      </w:r>
      <w:r>
        <w:fldChar w:fldCharType="end"/>
      </w:r>
    </w:p>
    <w:p>
      <w:pPr>
        <w:pStyle w:val="Arrangement"/>
        <w:ind w:left="2302" w:right="2302"/>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_Toc139707283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_Toc139707284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_Toc139707285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3A.</w:t>
      </w:r>
      <w:r>
        <w:rPr>
          <w:noProof/>
          <w:sz w:val="24"/>
          <w:szCs w:val="24"/>
        </w:rPr>
        <w:tab/>
      </w:r>
      <w:r>
        <w:rPr>
          <w:noProof/>
          <w:szCs w:val="24"/>
        </w:rPr>
        <w:t>Eligible community organisations</w:t>
      </w:r>
      <w:r>
        <w:rPr>
          <w:noProof/>
        </w:rPr>
        <w:tab/>
      </w:r>
      <w:r>
        <w:rPr>
          <w:noProof/>
        </w:rPr>
        <w:fldChar w:fldCharType="begin"/>
      </w:r>
      <w:r>
        <w:rPr>
          <w:noProof/>
        </w:rPr>
        <w:instrText xml:space="preserve"> PAGEREF _Toc139707286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II — Insurance Commission of Western Australia</w:t>
      </w:r>
    </w:p>
    <w:p>
      <w:pPr>
        <w:pStyle w:val="TOC3"/>
        <w:rPr>
          <w:b w:val="0"/>
          <w:noProof/>
          <w:sz w:val="24"/>
          <w:szCs w:val="24"/>
        </w:rPr>
      </w:pPr>
      <w:r>
        <w:rPr>
          <w:noProof/>
          <w:szCs w:val="26"/>
        </w:rPr>
        <w:t>Division 1</w:t>
      </w:r>
      <w:r>
        <w:rPr>
          <w:noProof/>
          <w:snapToGrid w:val="0"/>
          <w:szCs w:val="26"/>
        </w:rPr>
        <w:t> — </w:t>
      </w:r>
      <w:r>
        <w:rPr>
          <w:noProof/>
          <w:szCs w:val="26"/>
        </w:rPr>
        <w:t>The Commission and the board of commissioners</w:t>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Insurance Commission of Western Australia: corporate identity and status</w:t>
      </w:r>
      <w:r>
        <w:rPr>
          <w:noProof/>
        </w:rPr>
        <w:tab/>
      </w:r>
      <w:r>
        <w:rPr>
          <w:noProof/>
        </w:rPr>
        <w:fldChar w:fldCharType="begin"/>
      </w:r>
      <w:r>
        <w:rPr>
          <w:noProof/>
        </w:rPr>
        <w:instrText xml:space="preserve"> PAGEREF _Toc139707289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4A</w:t>
      </w:r>
      <w:r>
        <w:rPr>
          <w:noProof/>
          <w:snapToGrid w:val="0"/>
          <w:szCs w:val="24"/>
        </w:rPr>
        <w:t>.</w:t>
      </w:r>
      <w:r>
        <w:rPr>
          <w:noProof/>
          <w:sz w:val="24"/>
          <w:szCs w:val="24"/>
        </w:rPr>
        <w:tab/>
      </w:r>
      <w:r>
        <w:rPr>
          <w:noProof/>
          <w:snapToGrid w:val="0"/>
          <w:szCs w:val="24"/>
        </w:rPr>
        <w:t>Agent of Crown</w:t>
      </w:r>
      <w:r>
        <w:rPr>
          <w:noProof/>
        </w:rPr>
        <w:tab/>
      </w:r>
      <w:r>
        <w:rPr>
          <w:noProof/>
        </w:rPr>
        <w:fldChar w:fldCharType="begin"/>
      </w:r>
      <w:r>
        <w:rPr>
          <w:noProof/>
        </w:rPr>
        <w:instrText xml:space="preserve"> PAGEREF _Toc139707290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Board of commissioners</w:t>
      </w:r>
      <w:r>
        <w:rPr>
          <w:noProof/>
        </w:rPr>
        <w:tab/>
      </w:r>
      <w:r>
        <w:rPr>
          <w:noProof/>
        </w:rPr>
        <w:fldChar w:fldCharType="begin"/>
      </w:r>
      <w:r>
        <w:rPr>
          <w:noProof/>
        </w:rPr>
        <w:instrText xml:space="preserve"> PAGEREF _Toc139707291 \h </w:instrText>
      </w:r>
      <w:r>
        <w:rPr>
          <w:noProof/>
        </w:rPr>
      </w:r>
      <w:r>
        <w:rPr>
          <w:noProof/>
        </w:rPr>
        <w:fldChar w:fldCharType="separate"/>
      </w:r>
      <w:r>
        <w:rPr>
          <w:noProof/>
        </w:rPr>
        <w:t>5</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Functions and powers of the Commission</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Functions</w:t>
      </w:r>
      <w:r>
        <w:rPr>
          <w:noProof/>
        </w:rPr>
        <w:tab/>
      </w:r>
      <w:r>
        <w:rPr>
          <w:noProof/>
        </w:rPr>
        <w:fldChar w:fldCharType="begin"/>
      </w:r>
      <w:r>
        <w:rPr>
          <w:noProof/>
        </w:rPr>
        <w:instrText xml:space="preserve"> PAGEREF _Toc139707293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Powers</w:t>
      </w:r>
      <w:r>
        <w:rPr>
          <w:noProof/>
        </w:rPr>
        <w:tab/>
      </w:r>
      <w:r>
        <w:rPr>
          <w:noProof/>
        </w:rPr>
        <w:fldChar w:fldCharType="begin"/>
      </w:r>
      <w:r>
        <w:rPr>
          <w:noProof/>
        </w:rPr>
        <w:instrText xml:space="preserve"> PAGEREF _Toc139707294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Commission to act efficiently and economically</w:t>
      </w:r>
      <w:r>
        <w:rPr>
          <w:noProof/>
        </w:rPr>
        <w:tab/>
      </w:r>
      <w:r>
        <w:rPr>
          <w:noProof/>
        </w:rPr>
        <w:fldChar w:fldCharType="begin"/>
      </w:r>
      <w:r>
        <w:rPr>
          <w:noProof/>
        </w:rPr>
        <w:instrText xml:space="preserve"> PAGEREF _Toc139707295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_Toc139707296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Directions by Minister</w:t>
      </w:r>
      <w:r>
        <w:rPr>
          <w:noProof/>
        </w:rPr>
        <w:tab/>
      </w:r>
      <w:r>
        <w:rPr>
          <w:noProof/>
        </w:rPr>
        <w:fldChar w:fldCharType="begin"/>
      </w:r>
      <w:r>
        <w:rPr>
          <w:noProof/>
        </w:rPr>
        <w:instrText xml:space="preserve"> PAGEREF _Toc139707297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10A</w:t>
      </w:r>
      <w:r>
        <w:rPr>
          <w:noProof/>
          <w:snapToGrid w:val="0"/>
          <w:szCs w:val="24"/>
        </w:rPr>
        <w:t>.</w:t>
      </w:r>
      <w:r>
        <w:rPr>
          <w:noProof/>
          <w:sz w:val="24"/>
          <w:szCs w:val="24"/>
        </w:rPr>
        <w:tab/>
      </w:r>
      <w:r>
        <w:rPr>
          <w:noProof/>
          <w:snapToGrid w:val="0"/>
          <w:szCs w:val="24"/>
        </w:rPr>
        <w:t>Minister to have access to information</w:t>
      </w:r>
      <w:r>
        <w:rPr>
          <w:noProof/>
        </w:rPr>
        <w:tab/>
      </w:r>
      <w:r>
        <w:rPr>
          <w:noProof/>
        </w:rPr>
        <w:fldChar w:fldCharType="begin"/>
      </w:r>
      <w:r>
        <w:rPr>
          <w:noProof/>
        </w:rPr>
        <w:instrText xml:space="preserve"> PAGEREF _Toc139707298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10B</w:t>
      </w:r>
      <w:r>
        <w:rPr>
          <w:noProof/>
          <w:snapToGrid w:val="0"/>
          <w:szCs w:val="24"/>
        </w:rPr>
        <w:t>.</w:t>
      </w:r>
      <w:r>
        <w:rPr>
          <w:noProof/>
          <w:sz w:val="24"/>
          <w:szCs w:val="24"/>
        </w:rPr>
        <w:tab/>
      </w:r>
      <w:r>
        <w:rPr>
          <w:noProof/>
          <w:snapToGrid w:val="0"/>
          <w:szCs w:val="24"/>
        </w:rPr>
        <w:t>Confidential information</w:t>
      </w:r>
      <w:r>
        <w:rPr>
          <w:noProof/>
        </w:rPr>
        <w:tab/>
      </w:r>
      <w:r>
        <w:rPr>
          <w:noProof/>
        </w:rPr>
        <w:fldChar w:fldCharType="begin"/>
      </w:r>
      <w:r>
        <w:rPr>
          <w:noProof/>
        </w:rPr>
        <w:instrText xml:space="preserve"> PAGEREF _Toc139707299 \h </w:instrText>
      </w:r>
      <w:r>
        <w:rPr>
          <w:noProof/>
        </w:rPr>
      </w:r>
      <w:r>
        <w:rPr>
          <w:noProof/>
        </w:rPr>
        <w:fldChar w:fldCharType="separate"/>
      </w:r>
      <w:r>
        <w:rPr>
          <w:noProof/>
        </w:rPr>
        <w:t>12</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Staff of the Commission</w:t>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Managing director</w:t>
      </w:r>
      <w:r>
        <w:rPr>
          <w:noProof/>
        </w:rPr>
        <w:tab/>
      </w:r>
      <w:r>
        <w:rPr>
          <w:noProof/>
        </w:rPr>
        <w:fldChar w:fldCharType="begin"/>
      </w:r>
      <w:r>
        <w:rPr>
          <w:noProof/>
        </w:rPr>
        <w:instrText xml:space="preserve"> PAGEREF _Toc139707301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Appointment of staff and consultants</w:t>
      </w:r>
      <w:r>
        <w:rPr>
          <w:noProof/>
        </w:rPr>
        <w:tab/>
      </w:r>
      <w:r>
        <w:rPr>
          <w:noProof/>
        </w:rPr>
        <w:fldChar w:fldCharType="begin"/>
      </w:r>
      <w:r>
        <w:rPr>
          <w:noProof/>
        </w:rPr>
        <w:instrText xml:space="preserve"> PAGEREF _Toc139707302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12A</w:t>
      </w:r>
      <w:r>
        <w:rPr>
          <w:noProof/>
          <w:snapToGrid w:val="0"/>
          <w:szCs w:val="24"/>
        </w:rPr>
        <w:t>.</w:t>
      </w:r>
      <w:r>
        <w:rPr>
          <w:noProof/>
          <w:sz w:val="24"/>
          <w:szCs w:val="24"/>
        </w:rPr>
        <w:tab/>
      </w:r>
      <w:r>
        <w:rPr>
          <w:noProof/>
          <w:snapToGrid w:val="0"/>
          <w:szCs w:val="24"/>
        </w:rPr>
        <w:t>Status of managing director and officers and employees of Commission</w:t>
      </w:r>
      <w:r>
        <w:rPr>
          <w:noProof/>
        </w:rPr>
        <w:tab/>
      </w:r>
      <w:r>
        <w:rPr>
          <w:noProof/>
        </w:rPr>
        <w:fldChar w:fldCharType="begin"/>
      </w:r>
      <w:r>
        <w:rPr>
          <w:noProof/>
        </w:rPr>
        <w:instrText xml:space="preserve"> PAGEREF _Toc139707303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Use of staff and facilities of departments and instrumentalities</w:t>
      </w:r>
      <w:r>
        <w:rPr>
          <w:noProof/>
        </w:rPr>
        <w:tab/>
      </w:r>
      <w:r>
        <w:rPr>
          <w:noProof/>
        </w:rPr>
        <w:fldChar w:fldCharType="begin"/>
      </w:r>
      <w:r>
        <w:rPr>
          <w:noProof/>
        </w:rPr>
        <w:instrText xml:space="preserve"> PAGEREF _Toc139707304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13A</w:t>
      </w:r>
      <w:r>
        <w:rPr>
          <w:noProof/>
          <w:snapToGrid w:val="0"/>
          <w:szCs w:val="24"/>
        </w:rPr>
        <w:t>.</w:t>
      </w:r>
      <w:r>
        <w:rPr>
          <w:noProof/>
          <w:sz w:val="24"/>
          <w:szCs w:val="24"/>
        </w:rPr>
        <w:tab/>
      </w:r>
      <w:r>
        <w:rPr>
          <w:noProof/>
          <w:snapToGrid w:val="0"/>
          <w:szCs w:val="24"/>
        </w:rPr>
        <w:t>Use of staff and facilities of an insurer</w:t>
      </w:r>
      <w:r>
        <w:rPr>
          <w:noProof/>
        </w:rPr>
        <w:tab/>
      </w:r>
      <w:r>
        <w:rPr>
          <w:noProof/>
        </w:rPr>
        <w:fldChar w:fldCharType="begin"/>
      </w:r>
      <w:r>
        <w:rPr>
          <w:noProof/>
        </w:rPr>
        <w:instrText xml:space="preserve"> PAGEREF _Toc139707305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Superannuation</w:t>
      </w:r>
      <w:r>
        <w:rPr>
          <w:noProof/>
        </w:rPr>
        <w:tab/>
      </w:r>
      <w:r>
        <w:rPr>
          <w:noProof/>
        </w:rPr>
        <w:fldChar w:fldCharType="begin"/>
      </w:r>
      <w:r>
        <w:rPr>
          <w:noProof/>
        </w:rPr>
        <w:instrText xml:space="preserve"> PAGEREF _Toc139707306 \h </w:instrText>
      </w:r>
      <w:r>
        <w:rPr>
          <w:noProof/>
        </w:rPr>
      </w:r>
      <w:r>
        <w:rPr>
          <w:noProof/>
        </w:rPr>
        <w:fldChar w:fldCharType="separate"/>
      </w:r>
      <w:r>
        <w:rPr>
          <w:noProof/>
        </w:rPr>
        <w:t>15</w:t>
      </w:r>
      <w:r>
        <w:rPr>
          <w:noProof/>
        </w:rPr>
        <w:fldChar w:fldCharType="end"/>
      </w:r>
    </w:p>
    <w:p>
      <w:pPr>
        <w:pStyle w:val="TOC3"/>
        <w:rPr>
          <w:b w:val="0"/>
          <w:noProof/>
          <w:sz w:val="24"/>
          <w:szCs w:val="24"/>
        </w:rPr>
      </w:pPr>
      <w:r>
        <w:rPr>
          <w:noProof/>
          <w:szCs w:val="26"/>
        </w:rPr>
        <w:t>Division 3A — Strategic development plan and statement of corporate intent</w:t>
      </w:r>
    </w:p>
    <w:p>
      <w:pPr>
        <w:pStyle w:val="TOC4"/>
        <w:tabs>
          <w:tab w:val="left" w:pos="1701"/>
        </w:tabs>
        <w:rPr>
          <w:noProof/>
          <w:sz w:val="24"/>
          <w:szCs w:val="24"/>
        </w:rPr>
      </w:pPr>
      <w:r>
        <w:rPr>
          <w:noProof/>
          <w:szCs w:val="24"/>
        </w:rPr>
        <w:t>14A.</w:t>
      </w:r>
      <w:r>
        <w:rPr>
          <w:noProof/>
          <w:sz w:val="24"/>
          <w:szCs w:val="24"/>
        </w:rPr>
        <w:tab/>
      </w:r>
      <w:r>
        <w:rPr>
          <w:noProof/>
          <w:szCs w:val="24"/>
        </w:rPr>
        <w:t>Duty to observe policy instruments</w:t>
      </w:r>
      <w:r>
        <w:rPr>
          <w:noProof/>
        </w:rPr>
        <w:tab/>
      </w:r>
      <w:r>
        <w:rPr>
          <w:noProof/>
        </w:rPr>
        <w:fldChar w:fldCharType="begin"/>
      </w:r>
      <w:r>
        <w:rPr>
          <w:noProof/>
        </w:rPr>
        <w:instrText xml:space="preserve"> PAGEREF _Toc139707308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14B.</w:t>
      </w:r>
      <w:r>
        <w:rPr>
          <w:noProof/>
          <w:sz w:val="24"/>
          <w:szCs w:val="24"/>
        </w:rPr>
        <w:tab/>
      </w:r>
      <w:r>
        <w:rPr>
          <w:noProof/>
          <w:szCs w:val="24"/>
        </w:rPr>
        <w:t>Strategic development plan and statement of corporate intent</w:t>
      </w:r>
      <w:r>
        <w:rPr>
          <w:noProof/>
        </w:rPr>
        <w:tab/>
      </w:r>
      <w:r>
        <w:rPr>
          <w:noProof/>
        </w:rPr>
        <w:fldChar w:fldCharType="begin"/>
      </w:r>
      <w:r>
        <w:rPr>
          <w:noProof/>
        </w:rPr>
        <w:instrText xml:space="preserve"> PAGEREF _Toc139707309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14C.</w:t>
      </w:r>
      <w:r>
        <w:rPr>
          <w:noProof/>
          <w:sz w:val="24"/>
          <w:szCs w:val="24"/>
        </w:rPr>
        <w:tab/>
      </w:r>
      <w:r>
        <w:rPr>
          <w:noProof/>
          <w:szCs w:val="24"/>
        </w:rPr>
        <w:t>Laying directions about strategic development plan or statement of corporate intent before Parliament</w:t>
      </w:r>
      <w:r>
        <w:rPr>
          <w:noProof/>
        </w:rPr>
        <w:tab/>
      </w:r>
      <w:r>
        <w:rPr>
          <w:noProof/>
        </w:rPr>
        <w:fldChar w:fldCharType="begin"/>
      </w:r>
      <w:r>
        <w:rPr>
          <w:noProof/>
        </w:rPr>
        <w:instrText xml:space="preserve"> PAGEREF _Toc139707310 \h </w:instrText>
      </w:r>
      <w:r>
        <w:rPr>
          <w:noProof/>
        </w:rPr>
      </w:r>
      <w:r>
        <w:rPr>
          <w:noProof/>
        </w:rPr>
        <w:fldChar w:fldCharType="separate"/>
      </w:r>
      <w:r>
        <w:rPr>
          <w:noProof/>
        </w:rPr>
        <w:t>17</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Financial provisions relating to the Commission</w:t>
      </w:r>
    </w:p>
    <w:p>
      <w:pPr>
        <w:pStyle w:val="TOC3"/>
        <w:rPr>
          <w:b w:val="0"/>
          <w:noProof/>
          <w:sz w:val="24"/>
          <w:szCs w:val="24"/>
        </w:rPr>
      </w:pPr>
      <w:r>
        <w:rPr>
          <w:noProof/>
          <w:snapToGrid w:val="0"/>
          <w:szCs w:val="24"/>
        </w:rPr>
        <w:t>Subdivision A — Income, expenditure and property of the Commission</w:t>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Moneys available to the Commission</w:t>
      </w:r>
      <w:r>
        <w:rPr>
          <w:noProof/>
        </w:rPr>
        <w:tab/>
      </w:r>
      <w:r>
        <w:rPr>
          <w:noProof/>
        </w:rPr>
        <w:fldChar w:fldCharType="begin"/>
      </w:r>
      <w:r>
        <w:rPr>
          <w:noProof/>
        </w:rPr>
        <w:instrText xml:space="preserve"> PAGEREF _Toc139707313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Establishment and composition of Funds</w:t>
      </w:r>
      <w:r>
        <w:rPr>
          <w:noProof/>
        </w:rPr>
        <w:tab/>
      </w:r>
      <w:r>
        <w:rPr>
          <w:noProof/>
        </w:rPr>
        <w:fldChar w:fldCharType="begin"/>
      </w:r>
      <w:r>
        <w:rPr>
          <w:noProof/>
        </w:rPr>
        <w:instrText xml:space="preserve"> PAGEREF _Toc139707314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Apportionment of income, expenditure and assets</w:t>
      </w:r>
      <w:r>
        <w:rPr>
          <w:noProof/>
        </w:rPr>
        <w:tab/>
      </w:r>
      <w:r>
        <w:rPr>
          <w:noProof/>
        </w:rPr>
        <w:fldChar w:fldCharType="begin"/>
      </w:r>
      <w:r>
        <w:rPr>
          <w:noProof/>
        </w:rPr>
        <w:instrText xml:space="preserve"> PAGEREF _Toc139707315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Transfer between Funds</w:t>
      </w:r>
      <w:r>
        <w:rPr>
          <w:noProof/>
        </w:rPr>
        <w:tab/>
      </w:r>
      <w:r>
        <w:rPr>
          <w:noProof/>
        </w:rPr>
        <w:fldChar w:fldCharType="begin"/>
      </w:r>
      <w:r>
        <w:rPr>
          <w:noProof/>
        </w:rPr>
        <w:instrText xml:space="preserve"> PAGEREF _Toc139707316 \h </w:instrText>
      </w:r>
      <w:r>
        <w:rPr>
          <w:noProof/>
        </w:rPr>
      </w:r>
      <w:r>
        <w:rPr>
          <w:noProof/>
        </w:rPr>
        <w:fldChar w:fldCharType="separate"/>
      </w:r>
      <w:r>
        <w:rPr>
          <w:noProof/>
        </w:rPr>
        <w:t>22</w:t>
      </w:r>
      <w:r>
        <w:rPr>
          <w:noProof/>
        </w:rPr>
        <w:fldChar w:fldCharType="end"/>
      </w:r>
    </w:p>
    <w:p>
      <w:pPr>
        <w:pStyle w:val="TOC3"/>
        <w:rPr>
          <w:b w:val="0"/>
          <w:noProof/>
          <w:sz w:val="24"/>
          <w:szCs w:val="24"/>
        </w:rPr>
      </w:pPr>
      <w:r>
        <w:rPr>
          <w:noProof/>
          <w:snapToGrid w:val="0"/>
          <w:szCs w:val="24"/>
        </w:rPr>
        <w:t>Subdivision Aa — Investment and property management</w:t>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Arrangements for appointment of investment managers</w:t>
      </w:r>
      <w:r>
        <w:rPr>
          <w:noProof/>
        </w:rPr>
        <w:tab/>
      </w:r>
      <w:r>
        <w:rPr>
          <w:noProof/>
        </w:rPr>
        <w:fldChar w:fldCharType="begin"/>
      </w:r>
      <w:r>
        <w:rPr>
          <w:noProof/>
        </w:rPr>
        <w:instrText xml:space="preserve"> PAGEREF _Toc139707318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19A</w:t>
      </w:r>
      <w:r>
        <w:rPr>
          <w:noProof/>
          <w:snapToGrid w:val="0"/>
          <w:szCs w:val="24"/>
        </w:rPr>
        <w:t>.</w:t>
      </w:r>
      <w:r>
        <w:rPr>
          <w:noProof/>
          <w:sz w:val="24"/>
          <w:szCs w:val="24"/>
        </w:rPr>
        <w:tab/>
      </w:r>
      <w:r>
        <w:rPr>
          <w:noProof/>
          <w:snapToGrid w:val="0"/>
          <w:szCs w:val="24"/>
        </w:rPr>
        <w:t>Investment policy</w:t>
      </w:r>
      <w:r>
        <w:rPr>
          <w:noProof/>
        </w:rPr>
        <w:tab/>
      </w:r>
      <w:r>
        <w:rPr>
          <w:noProof/>
        </w:rPr>
        <w:fldChar w:fldCharType="begin"/>
      </w:r>
      <w:r>
        <w:rPr>
          <w:noProof/>
        </w:rPr>
        <w:instrText xml:space="preserve"> PAGEREF _Toc139707319 \h </w:instrText>
      </w:r>
      <w:r>
        <w:rPr>
          <w:noProof/>
        </w:rPr>
      </w:r>
      <w:r>
        <w:rPr>
          <w:noProof/>
        </w:rPr>
        <w:fldChar w:fldCharType="separate"/>
      </w:r>
      <w:r>
        <w:rPr>
          <w:noProof/>
        </w:rPr>
        <w:t>24</w:t>
      </w:r>
      <w:r>
        <w:rPr>
          <w:noProof/>
        </w:rPr>
        <w:fldChar w:fldCharType="end"/>
      </w:r>
    </w:p>
    <w:p>
      <w:pPr>
        <w:pStyle w:val="TOC3"/>
        <w:rPr>
          <w:b w:val="0"/>
          <w:noProof/>
          <w:sz w:val="24"/>
          <w:szCs w:val="24"/>
        </w:rPr>
      </w:pPr>
      <w:r>
        <w:rPr>
          <w:noProof/>
          <w:snapToGrid w:val="0"/>
          <w:szCs w:val="24"/>
        </w:rPr>
        <w:t>Subdivision B — Financial administration, audit and reporting</w:t>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snapToGrid w:val="0"/>
          <w:szCs w:val="24"/>
        </w:rPr>
        <w:t xml:space="preserve"> to the Commission</w:t>
      </w:r>
      <w:r>
        <w:rPr>
          <w:noProof/>
        </w:rPr>
        <w:tab/>
      </w:r>
      <w:r>
        <w:rPr>
          <w:noProof/>
        </w:rPr>
        <w:fldChar w:fldCharType="begin"/>
      </w:r>
      <w:r>
        <w:rPr>
          <w:noProof/>
        </w:rPr>
        <w:instrText xml:space="preserve"> PAGEREF _Toc139707321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Provisions and reserves</w:t>
      </w:r>
      <w:r>
        <w:rPr>
          <w:noProof/>
        </w:rPr>
        <w:tab/>
      </w:r>
      <w:r>
        <w:rPr>
          <w:noProof/>
        </w:rPr>
        <w:fldChar w:fldCharType="begin"/>
      </w:r>
      <w:r>
        <w:rPr>
          <w:noProof/>
        </w:rPr>
        <w:instrText xml:space="preserve"> PAGEREF _Toc139707322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Accounts</w:t>
      </w:r>
      <w:r>
        <w:rPr>
          <w:noProof/>
        </w:rPr>
        <w:tab/>
      </w:r>
      <w:r>
        <w:rPr>
          <w:noProof/>
        </w:rPr>
        <w:fldChar w:fldCharType="begin"/>
      </w:r>
      <w:r>
        <w:rPr>
          <w:noProof/>
        </w:rPr>
        <w:instrText xml:space="preserve"> PAGEREF _Toc139707323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Annual reports, financial statements</w:t>
      </w:r>
      <w:r>
        <w:rPr>
          <w:noProof/>
        </w:rPr>
        <w:tab/>
      </w:r>
      <w:r>
        <w:rPr>
          <w:noProof/>
        </w:rPr>
        <w:fldChar w:fldCharType="begin"/>
      </w:r>
      <w:r>
        <w:rPr>
          <w:noProof/>
        </w:rPr>
        <w:instrText xml:space="preserve"> PAGEREF _Toc139707324 \h </w:instrText>
      </w:r>
      <w:r>
        <w:rPr>
          <w:noProof/>
        </w:rPr>
      </w:r>
      <w:r>
        <w:rPr>
          <w:noProof/>
        </w:rPr>
        <w:fldChar w:fldCharType="separate"/>
      </w:r>
      <w:r>
        <w:rPr>
          <w:noProof/>
        </w:rPr>
        <w:t>25</w:t>
      </w:r>
      <w:r>
        <w:rPr>
          <w:noProof/>
        </w:rPr>
        <w:fldChar w:fldCharType="end"/>
      </w:r>
    </w:p>
    <w:p>
      <w:pPr>
        <w:pStyle w:val="TOC3"/>
        <w:rPr>
          <w:b w:val="0"/>
          <w:noProof/>
          <w:sz w:val="24"/>
          <w:szCs w:val="24"/>
        </w:rPr>
      </w:pPr>
      <w:r>
        <w:rPr>
          <w:noProof/>
          <w:snapToGrid w:val="0"/>
          <w:szCs w:val="24"/>
        </w:rPr>
        <w:t>Subdivision C — Borrowing and financial accommodation</w:t>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Power to borrow etc., generally</w:t>
      </w:r>
      <w:r>
        <w:rPr>
          <w:noProof/>
        </w:rPr>
        <w:tab/>
      </w:r>
      <w:r>
        <w:rPr>
          <w:noProof/>
        </w:rPr>
        <w:fldChar w:fldCharType="begin"/>
      </w:r>
      <w:r>
        <w:rPr>
          <w:noProof/>
        </w:rPr>
        <w:instrText xml:space="preserve"> PAGEREF _Toc139707326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Power to make provision to pay off loans</w:t>
      </w:r>
      <w:r>
        <w:rPr>
          <w:noProof/>
        </w:rPr>
        <w:tab/>
      </w:r>
      <w:r>
        <w:rPr>
          <w:noProof/>
        </w:rPr>
        <w:fldChar w:fldCharType="begin"/>
      </w:r>
      <w:r>
        <w:rPr>
          <w:noProof/>
        </w:rPr>
        <w:instrText xml:space="preserve"> PAGEREF _Toc139707327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Borrowing power, from Treasury sources</w:t>
      </w:r>
      <w:r>
        <w:rPr>
          <w:noProof/>
        </w:rPr>
        <w:tab/>
      </w:r>
      <w:r>
        <w:rPr>
          <w:noProof/>
        </w:rPr>
        <w:fldChar w:fldCharType="begin"/>
      </w:r>
      <w:r>
        <w:rPr>
          <w:noProof/>
        </w:rPr>
        <w:instrText xml:space="preserve"> PAGEREF _Toc139707328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Specific State guarantees</w:t>
      </w:r>
      <w:r>
        <w:rPr>
          <w:noProof/>
        </w:rPr>
        <w:tab/>
      </w:r>
      <w:r>
        <w:rPr>
          <w:noProof/>
        </w:rPr>
        <w:fldChar w:fldCharType="begin"/>
      </w:r>
      <w:r>
        <w:rPr>
          <w:noProof/>
        </w:rPr>
        <w:instrText xml:space="preserve"> PAGEREF _Toc139707329 \h </w:instrText>
      </w:r>
      <w:r>
        <w:rPr>
          <w:noProof/>
        </w:rPr>
      </w:r>
      <w:r>
        <w:rPr>
          <w:noProof/>
        </w:rPr>
        <w:fldChar w:fldCharType="separate"/>
      </w:r>
      <w:r>
        <w:rPr>
          <w:noProof/>
        </w:rPr>
        <w:t>26</w:t>
      </w:r>
      <w:r>
        <w:rPr>
          <w:noProof/>
        </w:rPr>
        <w:fldChar w:fldCharType="end"/>
      </w:r>
    </w:p>
    <w:p>
      <w:pPr>
        <w:pStyle w:val="TOC2"/>
        <w:tabs>
          <w:tab w:val="right" w:leader="dot" w:pos="7086"/>
        </w:tabs>
        <w:rPr>
          <w:b w:val="0"/>
          <w:noProof/>
          <w:sz w:val="24"/>
          <w:szCs w:val="24"/>
        </w:rPr>
      </w:pPr>
      <w:r>
        <w:rPr>
          <w:noProof/>
          <w:szCs w:val="30"/>
        </w:rPr>
        <w:t>Part III — State Government Insurance Corporation</w:t>
      </w:r>
    </w:p>
    <w:p>
      <w:pPr>
        <w:pStyle w:val="TOC3"/>
        <w:rPr>
          <w:b w:val="0"/>
          <w:noProof/>
          <w:sz w:val="24"/>
          <w:szCs w:val="24"/>
        </w:rPr>
      </w:pPr>
      <w:r>
        <w:rPr>
          <w:noProof/>
          <w:szCs w:val="26"/>
        </w:rPr>
        <w:t>Division 1</w:t>
      </w:r>
      <w:r>
        <w:rPr>
          <w:noProof/>
          <w:snapToGrid w:val="0"/>
          <w:szCs w:val="26"/>
        </w:rPr>
        <w:t> — </w:t>
      </w:r>
      <w:r>
        <w:rPr>
          <w:noProof/>
          <w:szCs w:val="26"/>
        </w:rPr>
        <w:t>Establishment of the Corporation</w:t>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State Government Insurance Corporation established as a body corporate</w:t>
      </w:r>
      <w:r>
        <w:rPr>
          <w:noProof/>
        </w:rPr>
        <w:tab/>
      </w:r>
      <w:r>
        <w:rPr>
          <w:noProof/>
        </w:rPr>
        <w:fldChar w:fldCharType="begin"/>
      </w:r>
      <w:r>
        <w:rPr>
          <w:noProof/>
        </w:rPr>
        <w:instrText xml:space="preserve"> PAGEREF _Toc139707332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Board of directors</w:t>
      </w:r>
      <w:r>
        <w:rPr>
          <w:noProof/>
        </w:rPr>
        <w:tab/>
      </w:r>
      <w:r>
        <w:rPr>
          <w:noProof/>
        </w:rPr>
        <w:fldChar w:fldCharType="begin"/>
      </w:r>
      <w:r>
        <w:rPr>
          <w:noProof/>
        </w:rPr>
        <w:instrText xml:space="preserve"> PAGEREF _Toc139707333 \h </w:instrText>
      </w:r>
      <w:r>
        <w:rPr>
          <w:noProof/>
        </w:rPr>
      </w:r>
      <w:r>
        <w:rPr>
          <w:noProof/>
        </w:rPr>
        <w:fldChar w:fldCharType="separate"/>
      </w:r>
      <w:r>
        <w:rPr>
          <w:noProof/>
        </w:rPr>
        <w:t>29</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Function and powers of the Corporation</w:t>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Function and powers</w:t>
      </w:r>
      <w:r>
        <w:rPr>
          <w:noProof/>
        </w:rPr>
        <w:tab/>
      </w:r>
      <w:r>
        <w:rPr>
          <w:noProof/>
        </w:rPr>
        <w:fldChar w:fldCharType="begin"/>
      </w:r>
      <w:r>
        <w:rPr>
          <w:noProof/>
        </w:rPr>
        <w:instrText xml:space="preserve"> PAGEREF _Toc139707335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34.</w:t>
      </w:r>
      <w:r>
        <w:rPr>
          <w:noProof/>
          <w:sz w:val="24"/>
          <w:szCs w:val="24"/>
        </w:rPr>
        <w:tab/>
      </w:r>
      <w:r>
        <w:rPr>
          <w:noProof/>
          <w:szCs w:val="24"/>
        </w:rPr>
        <w:t>Liability in respect or in lieu of taxation</w:t>
      </w:r>
      <w:r>
        <w:rPr>
          <w:noProof/>
        </w:rPr>
        <w:tab/>
      </w:r>
      <w:r>
        <w:rPr>
          <w:noProof/>
        </w:rPr>
        <w:fldChar w:fldCharType="begin"/>
      </w:r>
      <w:r>
        <w:rPr>
          <w:noProof/>
        </w:rPr>
        <w:instrText xml:space="preserve"> PAGEREF _Toc139707336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_Toc139707337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Directions by the Commission</w:t>
      </w:r>
      <w:r>
        <w:rPr>
          <w:noProof/>
        </w:rPr>
        <w:tab/>
      </w:r>
      <w:r>
        <w:rPr>
          <w:noProof/>
        </w:rPr>
        <w:fldChar w:fldCharType="begin"/>
      </w:r>
      <w:r>
        <w:rPr>
          <w:noProof/>
        </w:rPr>
        <w:instrText xml:space="preserve"> PAGEREF _Toc139707338 \h </w:instrText>
      </w:r>
      <w:r>
        <w:rPr>
          <w:noProof/>
        </w:rPr>
      </w:r>
      <w:r>
        <w:rPr>
          <w:noProof/>
        </w:rPr>
        <w:fldChar w:fldCharType="separate"/>
      </w:r>
      <w:r>
        <w:rPr>
          <w:noProof/>
        </w:rPr>
        <w:t>31</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Staff of the Corporation</w:t>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Classification, employment conditions, and duties of staff allocated to the Corporation</w:t>
      </w:r>
      <w:r>
        <w:rPr>
          <w:noProof/>
        </w:rPr>
        <w:tab/>
      </w:r>
      <w:r>
        <w:rPr>
          <w:noProof/>
        </w:rPr>
        <w:fldChar w:fldCharType="begin"/>
      </w:r>
      <w:r>
        <w:rPr>
          <w:noProof/>
        </w:rPr>
        <w:instrText xml:space="preserve"> PAGEREF _Toc139707340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Use of services and facilities of the Commission, departments and instrumentalities</w:t>
      </w:r>
      <w:r>
        <w:rPr>
          <w:noProof/>
        </w:rPr>
        <w:tab/>
      </w:r>
      <w:r>
        <w:rPr>
          <w:noProof/>
        </w:rPr>
        <w:fldChar w:fldCharType="begin"/>
      </w:r>
      <w:r>
        <w:rPr>
          <w:noProof/>
        </w:rPr>
        <w:instrText xml:space="preserve"> PAGEREF _Toc139707341 \h </w:instrText>
      </w:r>
      <w:r>
        <w:rPr>
          <w:noProof/>
        </w:rPr>
      </w:r>
      <w:r>
        <w:rPr>
          <w:noProof/>
        </w:rPr>
        <w:fldChar w:fldCharType="separate"/>
      </w:r>
      <w:r>
        <w:rPr>
          <w:noProof/>
        </w:rPr>
        <w:t>32</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Financial provisions relating to the Corporation</w:t>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Capital of the Corporation</w:t>
      </w:r>
      <w:r>
        <w:rPr>
          <w:noProof/>
        </w:rPr>
        <w:tab/>
      </w:r>
      <w:r>
        <w:rPr>
          <w:noProof/>
        </w:rPr>
        <w:fldChar w:fldCharType="begin"/>
      </w:r>
      <w:r>
        <w:rPr>
          <w:noProof/>
        </w:rPr>
        <w:instrText xml:space="preserve"> PAGEREF _Toc139707343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Temporary investment of funds</w:t>
      </w:r>
      <w:r>
        <w:rPr>
          <w:noProof/>
        </w:rPr>
        <w:tab/>
      </w:r>
      <w:r>
        <w:rPr>
          <w:noProof/>
        </w:rPr>
        <w:fldChar w:fldCharType="begin"/>
      </w:r>
      <w:r>
        <w:rPr>
          <w:noProof/>
        </w:rPr>
        <w:instrText xml:space="preserve"> PAGEREF _Toc139707344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snapToGrid w:val="0"/>
          <w:szCs w:val="24"/>
        </w:rPr>
        <w:t xml:space="preserve"> to the Corporation</w:t>
      </w:r>
      <w:r>
        <w:rPr>
          <w:noProof/>
        </w:rPr>
        <w:tab/>
      </w:r>
      <w:r>
        <w:rPr>
          <w:noProof/>
        </w:rPr>
        <w:fldChar w:fldCharType="begin"/>
      </w:r>
      <w:r>
        <w:rPr>
          <w:noProof/>
        </w:rPr>
        <w:instrText xml:space="preserve"> PAGEREF _Toc139707345 \h </w:instrText>
      </w:r>
      <w:r>
        <w:rPr>
          <w:noProof/>
        </w:rPr>
      </w:r>
      <w:r>
        <w:rPr>
          <w:noProof/>
        </w:rPr>
        <w:fldChar w:fldCharType="separate"/>
      </w:r>
      <w:r>
        <w:rPr>
          <w:noProof/>
        </w:rPr>
        <w:t>34</w:t>
      </w:r>
      <w:r>
        <w:rPr>
          <w:noProof/>
        </w:rPr>
        <w:fldChar w:fldCharType="end"/>
      </w:r>
    </w:p>
    <w:p>
      <w:pPr>
        <w:pStyle w:val="TOC2"/>
        <w:tabs>
          <w:tab w:val="right" w:leader="dot" w:pos="7086"/>
        </w:tabs>
        <w:rPr>
          <w:b w:val="0"/>
          <w:noProof/>
          <w:sz w:val="24"/>
          <w:szCs w:val="24"/>
        </w:rPr>
      </w:pPr>
      <w:r>
        <w:rPr>
          <w:noProof/>
          <w:szCs w:val="30"/>
        </w:rPr>
        <w:t>Part IV — General</w:t>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Secrecy</w:t>
      </w:r>
      <w:r>
        <w:rPr>
          <w:noProof/>
        </w:rPr>
        <w:tab/>
      </w:r>
      <w:r>
        <w:rPr>
          <w:noProof/>
        </w:rPr>
        <w:fldChar w:fldCharType="begin"/>
      </w:r>
      <w:r>
        <w:rPr>
          <w:noProof/>
        </w:rPr>
        <w:instrText xml:space="preserve"> PAGEREF _Toc139707347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Execution of documents and entry into contracts</w:t>
      </w:r>
      <w:r>
        <w:rPr>
          <w:noProof/>
        </w:rPr>
        <w:tab/>
      </w:r>
      <w:r>
        <w:rPr>
          <w:noProof/>
        </w:rPr>
        <w:fldChar w:fldCharType="begin"/>
      </w:r>
      <w:r>
        <w:rPr>
          <w:noProof/>
        </w:rPr>
        <w:instrText xml:space="preserve"> PAGEREF _Toc139707348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Exemption of certain public authorities from workers’ compensation insurance requirements</w:t>
      </w:r>
      <w:r>
        <w:rPr>
          <w:noProof/>
        </w:rPr>
        <w:tab/>
      </w:r>
      <w:r>
        <w:rPr>
          <w:noProof/>
        </w:rPr>
        <w:fldChar w:fldCharType="begin"/>
      </w:r>
      <w:r>
        <w:rPr>
          <w:noProof/>
        </w:rPr>
        <w:instrText xml:space="preserve"> PAGEREF _Toc139707349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_Toc139707350 \h </w:instrText>
      </w:r>
      <w:r>
        <w:rPr>
          <w:noProof/>
        </w:rPr>
      </w:r>
      <w:r>
        <w:rPr>
          <w:noProof/>
        </w:rPr>
        <w:fldChar w:fldCharType="separate"/>
      </w:r>
      <w:r>
        <w:rPr>
          <w:noProof/>
        </w:rPr>
        <w:t>37</w:t>
      </w:r>
      <w:r>
        <w:rPr>
          <w:noProof/>
        </w:rPr>
        <w:fldChar w:fldCharType="end"/>
      </w:r>
    </w:p>
    <w:p>
      <w:pPr>
        <w:pStyle w:val="TOC2"/>
        <w:tabs>
          <w:tab w:val="right" w:leader="dot" w:pos="7086"/>
        </w:tabs>
        <w:rPr>
          <w:b w:val="0"/>
          <w:noProof/>
          <w:sz w:val="24"/>
          <w:szCs w:val="24"/>
        </w:rPr>
      </w:pPr>
      <w:r>
        <w:rPr>
          <w:noProof/>
          <w:szCs w:val="30"/>
        </w:rPr>
        <w:t>Part V — Repeal, amendments, saving, validation and transitional</w:t>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Repeal and amendments</w:t>
      </w:r>
      <w:r>
        <w:rPr>
          <w:noProof/>
        </w:rPr>
        <w:tab/>
      </w:r>
      <w:r>
        <w:rPr>
          <w:noProof/>
        </w:rPr>
        <w:fldChar w:fldCharType="begin"/>
      </w:r>
      <w:r>
        <w:rPr>
          <w:noProof/>
        </w:rPr>
        <w:instrText xml:space="preserve"> PAGEREF _Toc139707352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Saving, validation and transitional provisions</w:t>
      </w:r>
      <w:r>
        <w:rPr>
          <w:noProof/>
        </w:rPr>
        <w:tab/>
      </w:r>
      <w:r>
        <w:rPr>
          <w:noProof/>
        </w:rPr>
        <w:fldChar w:fldCharType="begin"/>
      </w:r>
      <w:r>
        <w:rPr>
          <w:noProof/>
        </w:rPr>
        <w:instrText xml:space="preserve"> PAGEREF _Toc139707353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Oversight by Public Accounts Committee</w:t>
      </w:r>
      <w:r>
        <w:rPr>
          <w:noProof/>
        </w:rPr>
        <w:tab/>
      </w:r>
      <w:r>
        <w:rPr>
          <w:noProof/>
        </w:rPr>
        <w:fldChar w:fldCharType="begin"/>
      </w:r>
      <w:r>
        <w:rPr>
          <w:noProof/>
        </w:rPr>
        <w:instrText xml:space="preserve"> PAGEREF _Toc139707354 \h </w:instrText>
      </w:r>
      <w:r>
        <w:rPr>
          <w:noProof/>
        </w:rPr>
      </w:r>
      <w:r>
        <w:rPr>
          <w:noProof/>
        </w:rPr>
        <w:fldChar w:fldCharType="separate"/>
      </w:r>
      <w:r>
        <w:rPr>
          <w:noProof/>
        </w:rPr>
        <w:t>39</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_Toc139707355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Definitions</w:t>
      </w:r>
      <w:r>
        <w:rPr>
          <w:noProof/>
        </w:rPr>
        <w:tab/>
      </w:r>
      <w:r>
        <w:rPr>
          <w:noProof/>
        </w:rPr>
        <w:fldChar w:fldCharType="begin"/>
      </w:r>
      <w:r>
        <w:rPr>
          <w:noProof/>
        </w:rPr>
        <w:instrText xml:space="preserve"> PAGEREF _Toc139707356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Commissioners — terms and vacation of office</w:t>
      </w:r>
      <w:r>
        <w:rPr>
          <w:noProof/>
        </w:rPr>
        <w:tab/>
      </w:r>
      <w:r>
        <w:rPr>
          <w:noProof/>
        </w:rPr>
        <w:fldChar w:fldCharType="begin"/>
      </w:r>
      <w:r>
        <w:rPr>
          <w:noProof/>
        </w:rPr>
        <w:instrText xml:space="preserve"> PAGEREF _Toc139707357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Alternate commissioners</w:t>
      </w:r>
      <w:r>
        <w:rPr>
          <w:noProof/>
        </w:rPr>
        <w:tab/>
      </w:r>
      <w:r>
        <w:rPr>
          <w:noProof/>
        </w:rPr>
        <w:fldChar w:fldCharType="begin"/>
      </w:r>
      <w:r>
        <w:rPr>
          <w:noProof/>
        </w:rPr>
        <w:instrText xml:space="preserve"> PAGEREF _Toc139707358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Chairman and deputy chairman — term and vacation of office</w:t>
      </w:r>
      <w:r>
        <w:rPr>
          <w:noProof/>
        </w:rPr>
        <w:tab/>
      </w:r>
      <w:r>
        <w:rPr>
          <w:noProof/>
        </w:rPr>
        <w:fldChar w:fldCharType="begin"/>
      </w:r>
      <w:r>
        <w:rPr>
          <w:noProof/>
        </w:rPr>
        <w:instrText xml:space="preserve"> PAGEREF _Toc139707359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Disclosure of pecuniary interests</w:t>
      </w:r>
      <w:r>
        <w:rPr>
          <w:noProof/>
        </w:rPr>
        <w:tab/>
      </w:r>
      <w:r>
        <w:rPr>
          <w:noProof/>
        </w:rPr>
        <w:fldChar w:fldCharType="begin"/>
      </w:r>
      <w:r>
        <w:rPr>
          <w:noProof/>
        </w:rPr>
        <w:instrText xml:space="preserve"> PAGEREF _Toc139707360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Meetings</w:t>
      </w:r>
      <w:r>
        <w:rPr>
          <w:noProof/>
        </w:rPr>
        <w:tab/>
      </w:r>
      <w:r>
        <w:rPr>
          <w:noProof/>
        </w:rPr>
        <w:fldChar w:fldCharType="begin"/>
      </w:r>
      <w:r>
        <w:rPr>
          <w:noProof/>
        </w:rPr>
        <w:instrText xml:space="preserve"> PAGEREF _Toc139707361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napToGrid w:val="0"/>
          <w:szCs w:val="22"/>
        </w:rPr>
        <w:t>6A.</w:t>
      </w:r>
      <w:r>
        <w:rPr>
          <w:noProof/>
          <w:sz w:val="24"/>
          <w:szCs w:val="24"/>
        </w:rPr>
        <w:tab/>
      </w:r>
      <w:r>
        <w:rPr>
          <w:noProof/>
          <w:snapToGrid w:val="0"/>
          <w:szCs w:val="22"/>
        </w:rPr>
        <w:t>Telephone and video meetings</w:t>
      </w:r>
      <w:r>
        <w:rPr>
          <w:noProof/>
        </w:rPr>
        <w:tab/>
      </w:r>
      <w:r>
        <w:rPr>
          <w:noProof/>
        </w:rPr>
        <w:fldChar w:fldCharType="begin"/>
      </w:r>
      <w:r>
        <w:rPr>
          <w:noProof/>
        </w:rPr>
        <w:instrText xml:space="preserve"> PAGEREF _Toc139707362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napToGrid w:val="0"/>
          <w:szCs w:val="22"/>
        </w:rPr>
        <w:t>7.</w:t>
      </w:r>
      <w:r>
        <w:rPr>
          <w:noProof/>
          <w:sz w:val="24"/>
          <w:szCs w:val="24"/>
        </w:rPr>
        <w:tab/>
      </w:r>
      <w:r>
        <w:rPr>
          <w:noProof/>
          <w:snapToGrid w:val="0"/>
          <w:szCs w:val="22"/>
        </w:rPr>
        <w:t>Committees</w:t>
      </w:r>
      <w:r>
        <w:rPr>
          <w:noProof/>
        </w:rPr>
        <w:tab/>
      </w:r>
      <w:r>
        <w:rPr>
          <w:noProof/>
        </w:rPr>
        <w:fldChar w:fldCharType="begin"/>
      </w:r>
      <w:r>
        <w:rPr>
          <w:noProof/>
        </w:rPr>
        <w:instrText xml:space="preserve"> PAGEREF _Toc139707363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napToGrid w:val="0"/>
          <w:szCs w:val="22"/>
        </w:rPr>
        <w:t>8.</w:t>
      </w:r>
      <w:r>
        <w:rPr>
          <w:noProof/>
          <w:sz w:val="24"/>
          <w:szCs w:val="24"/>
        </w:rPr>
        <w:tab/>
      </w:r>
      <w:r>
        <w:rPr>
          <w:noProof/>
          <w:snapToGrid w:val="0"/>
          <w:szCs w:val="22"/>
        </w:rPr>
        <w:t>Resolution may be passed without meeting</w:t>
      </w:r>
      <w:r>
        <w:rPr>
          <w:noProof/>
        </w:rPr>
        <w:tab/>
      </w:r>
      <w:r>
        <w:rPr>
          <w:noProof/>
        </w:rPr>
        <w:fldChar w:fldCharType="begin"/>
      </w:r>
      <w:r>
        <w:rPr>
          <w:noProof/>
        </w:rPr>
        <w:instrText xml:space="preserve"> PAGEREF _Toc139707364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napToGrid w:val="0"/>
          <w:szCs w:val="22"/>
        </w:rPr>
        <w:t>8A.</w:t>
      </w:r>
      <w:r>
        <w:rPr>
          <w:noProof/>
          <w:sz w:val="24"/>
          <w:szCs w:val="24"/>
        </w:rPr>
        <w:tab/>
      </w:r>
      <w:r>
        <w:rPr>
          <w:noProof/>
          <w:snapToGrid w:val="0"/>
          <w:szCs w:val="22"/>
        </w:rPr>
        <w:t>Minutes of meetings etc.</w:t>
      </w:r>
      <w:r>
        <w:rPr>
          <w:noProof/>
        </w:rPr>
        <w:tab/>
      </w:r>
      <w:r>
        <w:rPr>
          <w:noProof/>
        </w:rPr>
        <w:fldChar w:fldCharType="begin"/>
      </w:r>
      <w:r>
        <w:rPr>
          <w:noProof/>
        </w:rPr>
        <w:instrText xml:space="preserve"> PAGEREF _Toc139707365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napToGrid w:val="0"/>
          <w:szCs w:val="22"/>
        </w:rPr>
        <w:t>9.</w:t>
      </w:r>
      <w:r>
        <w:rPr>
          <w:noProof/>
          <w:sz w:val="24"/>
          <w:szCs w:val="24"/>
        </w:rPr>
        <w:tab/>
      </w:r>
      <w:r>
        <w:rPr>
          <w:noProof/>
          <w:snapToGrid w:val="0"/>
          <w:szCs w:val="22"/>
        </w:rPr>
        <w:t>Leave of absence</w:t>
      </w:r>
      <w:r>
        <w:rPr>
          <w:noProof/>
        </w:rPr>
        <w:tab/>
      </w:r>
      <w:r>
        <w:rPr>
          <w:noProof/>
        </w:rPr>
        <w:fldChar w:fldCharType="begin"/>
      </w:r>
      <w:r>
        <w:rPr>
          <w:noProof/>
        </w:rPr>
        <w:instrText xml:space="preserve"> PAGEREF _Toc139707366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napToGrid w:val="0"/>
          <w:szCs w:val="22"/>
        </w:rPr>
        <w:t>10.</w:t>
      </w:r>
      <w:r>
        <w:rPr>
          <w:noProof/>
          <w:sz w:val="24"/>
          <w:szCs w:val="24"/>
        </w:rPr>
        <w:tab/>
      </w:r>
      <w:r>
        <w:rPr>
          <w:noProof/>
          <w:snapToGrid w:val="0"/>
          <w:szCs w:val="22"/>
        </w:rPr>
        <w:t>Board to determine own procedures</w:t>
      </w:r>
      <w:r>
        <w:rPr>
          <w:noProof/>
        </w:rPr>
        <w:tab/>
      </w:r>
      <w:r>
        <w:rPr>
          <w:noProof/>
        </w:rPr>
        <w:fldChar w:fldCharType="begin"/>
      </w:r>
      <w:r>
        <w:rPr>
          <w:noProof/>
        </w:rPr>
        <w:instrText xml:space="preserve"> PAGEREF _Toc139707367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napToGrid w:val="0"/>
          <w:szCs w:val="22"/>
        </w:rPr>
        <w:t>11.</w:t>
      </w:r>
      <w:r>
        <w:rPr>
          <w:noProof/>
          <w:sz w:val="24"/>
          <w:szCs w:val="24"/>
        </w:rPr>
        <w:tab/>
      </w:r>
      <w:r>
        <w:rPr>
          <w:noProof/>
          <w:snapToGrid w:val="0"/>
          <w:szCs w:val="22"/>
        </w:rPr>
        <w:t>Protection of commissioners</w:t>
      </w:r>
      <w:r>
        <w:rPr>
          <w:noProof/>
        </w:rPr>
        <w:tab/>
      </w:r>
      <w:r>
        <w:rPr>
          <w:noProof/>
        </w:rPr>
        <w:fldChar w:fldCharType="begin"/>
      </w:r>
      <w:r>
        <w:rPr>
          <w:noProof/>
        </w:rPr>
        <w:instrText xml:space="preserve"> PAGEREF _Toc139707368 \h </w:instrText>
      </w:r>
      <w:r>
        <w:rPr>
          <w:noProof/>
        </w:rPr>
      </w:r>
      <w:r>
        <w:rPr>
          <w:noProof/>
        </w:rPr>
        <w:fldChar w:fldCharType="separate"/>
      </w:r>
      <w:r>
        <w:rPr>
          <w:noProof/>
        </w:rPr>
        <w:t>44</w:t>
      </w:r>
      <w:r>
        <w:rPr>
          <w:noProof/>
        </w:rPr>
        <w:fldChar w:fldCharType="end"/>
      </w:r>
    </w:p>
    <w:p>
      <w:pPr>
        <w:pStyle w:val="TOC5"/>
        <w:rPr>
          <w:b w:val="0"/>
          <w:noProof/>
          <w:sz w:val="24"/>
          <w:szCs w:val="24"/>
        </w:rPr>
      </w:pPr>
      <w:r>
        <w:rPr>
          <w:noProof/>
          <w:szCs w:val="28"/>
        </w:rPr>
        <w:t>Schedule 2</w:t>
      </w:r>
      <w:r>
        <w:rPr>
          <w:noProof/>
        </w:rPr>
        <w:tab/>
      </w:r>
      <w:r>
        <w:rPr>
          <w:noProof/>
        </w:rPr>
        <w:fldChar w:fldCharType="begin"/>
      </w:r>
      <w:r>
        <w:rPr>
          <w:noProof/>
        </w:rPr>
        <w:instrText xml:space="preserve"> PAGEREF _Toc139707369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Definition</w:t>
      </w:r>
      <w:r>
        <w:rPr>
          <w:noProof/>
        </w:rPr>
        <w:tab/>
      </w:r>
      <w:r>
        <w:rPr>
          <w:noProof/>
        </w:rPr>
        <w:fldChar w:fldCharType="begin"/>
      </w:r>
      <w:r>
        <w:rPr>
          <w:noProof/>
        </w:rPr>
        <w:instrText xml:space="preserve"> PAGEREF _Toc139707370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Directors — terms and vacation of office</w:t>
      </w:r>
      <w:r>
        <w:rPr>
          <w:noProof/>
        </w:rPr>
        <w:tab/>
      </w:r>
      <w:r>
        <w:rPr>
          <w:noProof/>
        </w:rPr>
        <w:fldChar w:fldCharType="begin"/>
      </w:r>
      <w:r>
        <w:rPr>
          <w:noProof/>
        </w:rPr>
        <w:instrText xml:space="preserve"> PAGEREF _Toc139707371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Alternate directors</w:t>
      </w:r>
      <w:r>
        <w:rPr>
          <w:noProof/>
        </w:rPr>
        <w:tab/>
      </w:r>
      <w:r>
        <w:rPr>
          <w:noProof/>
        </w:rPr>
        <w:fldChar w:fldCharType="begin"/>
      </w:r>
      <w:r>
        <w:rPr>
          <w:noProof/>
        </w:rPr>
        <w:instrText xml:space="preserve"> PAGEREF _Toc139707372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Deputy chairman — term and vacation of office</w:t>
      </w:r>
      <w:r>
        <w:rPr>
          <w:noProof/>
        </w:rPr>
        <w:tab/>
      </w:r>
      <w:r>
        <w:rPr>
          <w:noProof/>
        </w:rPr>
        <w:fldChar w:fldCharType="begin"/>
      </w:r>
      <w:r>
        <w:rPr>
          <w:noProof/>
        </w:rPr>
        <w:instrText xml:space="preserve"> PAGEREF _Toc139707373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Meetings</w:t>
      </w:r>
      <w:r>
        <w:rPr>
          <w:noProof/>
        </w:rPr>
        <w:tab/>
      </w:r>
      <w:r>
        <w:rPr>
          <w:noProof/>
        </w:rPr>
        <w:fldChar w:fldCharType="begin"/>
      </w:r>
      <w:r>
        <w:rPr>
          <w:noProof/>
        </w:rPr>
        <w:instrText xml:space="preserve"> PAGEREF _Toc139707374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Certain provisions of Schedule 1 to apply</w:t>
      </w:r>
      <w:r>
        <w:rPr>
          <w:noProof/>
        </w:rPr>
        <w:tab/>
      </w:r>
      <w:r>
        <w:rPr>
          <w:noProof/>
        </w:rPr>
        <w:fldChar w:fldCharType="begin"/>
      </w:r>
      <w:r>
        <w:rPr>
          <w:noProof/>
        </w:rPr>
        <w:instrText xml:space="preserve"> PAGEREF _Toc139707375 \h </w:instrText>
      </w:r>
      <w:r>
        <w:rPr>
          <w:noProof/>
        </w:rPr>
      </w:r>
      <w:r>
        <w:rPr>
          <w:noProof/>
        </w:rPr>
        <w:fldChar w:fldCharType="separate"/>
      </w:r>
      <w:r>
        <w:rPr>
          <w:noProof/>
        </w:rPr>
        <w:t>48</w:t>
      </w:r>
      <w:r>
        <w:rPr>
          <w:noProof/>
        </w:rPr>
        <w:fldChar w:fldCharType="end"/>
      </w:r>
    </w:p>
    <w:p>
      <w:pPr>
        <w:pStyle w:val="TOC5"/>
        <w:rPr>
          <w:b w:val="0"/>
          <w:noProof/>
          <w:sz w:val="24"/>
          <w:szCs w:val="24"/>
        </w:rPr>
      </w:pPr>
      <w:r>
        <w:rPr>
          <w:noProof/>
          <w:szCs w:val="28"/>
        </w:rPr>
        <w:t>Schedule 4</w:t>
      </w:r>
      <w:r>
        <w:rPr>
          <w:noProof/>
        </w:rPr>
        <w:tab/>
      </w:r>
      <w:r>
        <w:rPr>
          <w:noProof/>
        </w:rPr>
        <w:fldChar w:fldCharType="begin"/>
      </w:r>
      <w:r>
        <w:rPr>
          <w:noProof/>
        </w:rPr>
        <w:instrText xml:space="preserve"> PAGEREF _Toc139707376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Terms used</w:t>
      </w:r>
      <w:r>
        <w:rPr>
          <w:noProof/>
        </w:rPr>
        <w:tab/>
      </w:r>
      <w:r>
        <w:rPr>
          <w:noProof/>
        </w:rPr>
        <w:fldChar w:fldCharType="begin"/>
      </w:r>
      <w:r>
        <w:rPr>
          <w:noProof/>
        </w:rPr>
        <w:instrText xml:space="preserve"> PAGEREF _Toc139707377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Transfer of assets, liabilities and records of the MVIT</w:t>
      </w:r>
      <w:r>
        <w:rPr>
          <w:noProof/>
        </w:rPr>
        <w:tab/>
      </w:r>
      <w:r>
        <w:rPr>
          <w:noProof/>
        </w:rPr>
        <w:fldChar w:fldCharType="begin"/>
      </w:r>
      <w:r>
        <w:rPr>
          <w:noProof/>
        </w:rPr>
        <w:instrText xml:space="preserve"> PAGEREF _Toc139707378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MVIT insurance policies</w:t>
      </w:r>
      <w:r>
        <w:rPr>
          <w:noProof/>
        </w:rPr>
        <w:tab/>
      </w:r>
      <w:r>
        <w:rPr>
          <w:noProof/>
        </w:rPr>
        <w:fldChar w:fldCharType="begin"/>
      </w:r>
      <w:r>
        <w:rPr>
          <w:noProof/>
        </w:rPr>
        <w:instrText xml:space="preserve"> PAGEREF _Toc139707379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Agreements, instruments, determinations and proceedings generally</w:t>
      </w:r>
      <w:r>
        <w:rPr>
          <w:noProof/>
        </w:rPr>
        <w:tab/>
      </w:r>
      <w:r>
        <w:rPr>
          <w:noProof/>
        </w:rPr>
        <w:fldChar w:fldCharType="begin"/>
      </w:r>
      <w:r>
        <w:rPr>
          <w:noProof/>
        </w:rPr>
        <w:instrText xml:space="preserve"> PAGEREF _Toc139707380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Final reports on the operations of the MVIT</w:t>
      </w:r>
      <w:r>
        <w:rPr>
          <w:noProof/>
        </w:rPr>
        <w:tab/>
      </w:r>
      <w:r>
        <w:rPr>
          <w:noProof/>
        </w:rPr>
        <w:fldChar w:fldCharType="begin"/>
      </w:r>
      <w:r>
        <w:rPr>
          <w:noProof/>
        </w:rPr>
        <w:instrText xml:space="preserve"> PAGEREF _Toc139707381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Assessment as to sufficiency of income</w:t>
      </w:r>
      <w:r>
        <w:rPr>
          <w:noProof/>
        </w:rPr>
        <w:tab/>
      </w:r>
      <w:r>
        <w:rPr>
          <w:noProof/>
        </w:rPr>
        <w:fldChar w:fldCharType="begin"/>
      </w:r>
      <w:r>
        <w:rPr>
          <w:noProof/>
        </w:rPr>
        <w:instrText xml:space="preserve"> PAGEREF _Toc139707382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napToGrid w:val="0"/>
          <w:szCs w:val="22"/>
        </w:rPr>
        <w:t>7.</w:t>
      </w:r>
      <w:r>
        <w:rPr>
          <w:noProof/>
          <w:sz w:val="24"/>
          <w:szCs w:val="24"/>
        </w:rPr>
        <w:tab/>
      </w:r>
      <w:r>
        <w:rPr>
          <w:noProof/>
          <w:snapToGrid w:val="0"/>
          <w:szCs w:val="22"/>
        </w:rPr>
        <w:t>Employment of current officers</w:t>
      </w:r>
      <w:r>
        <w:rPr>
          <w:noProof/>
        </w:rPr>
        <w:tab/>
      </w:r>
      <w:r>
        <w:rPr>
          <w:noProof/>
        </w:rPr>
        <w:fldChar w:fldCharType="begin"/>
      </w:r>
      <w:r>
        <w:rPr>
          <w:noProof/>
        </w:rPr>
        <w:instrText xml:space="preserve"> PAGEREF _Toc139707383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napToGrid w:val="0"/>
          <w:szCs w:val="22"/>
        </w:rPr>
        <w:t>8.</w:t>
      </w:r>
      <w:r>
        <w:rPr>
          <w:noProof/>
          <w:sz w:val="24"/>
          <w:szCs w:val="24"/>
        </w:rPr>
        <w:tab/>
      </w:r>
      <w:r>
        <w:rPr>
          <w:noProof/>
          <w:snapToGrid w:val="0"/>
          <w:szCs w:val="22"/>
        </w:rPr>
        <w:t>References to the MVIT in laws</w:t>
      </w:r>
      <w:r>
        <w:rPr>
          <w:noProof/>
        </w:rPr>
        <w:tab/>
      </w:r>
      <w:r>
        <w:rPr>
          <w:noProof/>
        </w:rPr>
        <w:fldChar w:fldCharType="begin"/>
      </w:r>
      <w:r>
        <w:rPr>
          <w:noProof/>
        </w:rPr>
        <w:instrText xml:space="preserve"> PAGEREF _Toc139707384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napToGrid w:val="0"/>
          <w:szCs w:val="22"/>
        </w:rPr>
        <w:t>9.</w:t>
      </w:r>
      <w:r>
        <w:rPr>
          <w:noProof/>
          <w:sz w:val="24"/>
          <w:szCs w:val="24"/>
        </w:rPr>
        <w:tab/>
      </w:r>
      <w:r>
        <w:rPr>
          <w:noProof/>
          <w:snapToGrid w:val="0"/>
          <w:szCs w:val="22"/>
        </w:rPr>
        <w:t>Transfer of assets, liabilities and records of the SGIO</w:t>
      </w:r>
      <w:r>
        <w:rPr>
          <w:noProof/>
        </w:rPr>
        <w:tab/>
      </w:r>
      <w:r>
        <w:rPr>
          <w:noProof/>
        </w:rPr>
        <w:fldChar w:fldCharType="begin"/>
      </w:r>
      <w:r>
        <w:rPr>
          <w:noProof/>
        </w:rPr>
        <w:instrText xml:space="preserve"> PAGEREF _Toc139707385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napToGrid w:val="0"/>
          <w:szCs w:val="22"/>
        </w:rPr>
        <w:t>10.</w:t>
      </w:r>
      <w:r>
        <w:rPr>
          <w:noProof/>
          <w:sz w:val="24"/>
          <w:szCs w:val="24"/>
        </w:rPr>
        <w:tab/>
      </w:r>
      <w:r>
        <w:rPr>
          <w:noProof/>
          <w:snapToGrid w:val="0"/>
          <w:szCs w:val="22"/>
        </w:rPr>
        <w:t>SGIO insurance policies and re</w:t>
      </w:r>
      <w:r>
        <w:rPr>
          <w:noProof/>
          <w:snapToGrid w:val="0"/>
          <w:szCs w:val="22"/>
        </w:rPr>
        <w:noBreakHyphen/>
        <w:t>insurance</w:t>
      </w:r>
      <w:r>
        <w:rPr>
          <w:noProof/>
        </w:rPr>
        <w:tab/>
      </w:r>
      <w:r>
        <w:rPr>
          <w:noProof/>
        </w:rPr>
        <w:fldChar w:fldCharType="begin"/>
      </w:r>
      <w:r>
        <w:rPr>
          <w:noProof/>
        </w:rPr>
        <w:instrText xml:space="preserve"> PAGEREF _Toc139707386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napToGrid w:val="0"/>
          <w:szCs w:val="22"/>
        </w:rPr>
        <w:t>11.</w:t>
      </w:r>
      <w:r>
        <w:rPr>
          <w:noProof/>
          <w:sz w:val="24"/>
          <w:szCs w:val="24"/>
        </w:rPr>
        <w:tab/>
      </w:r>
      <w:r>
        <w:rPr>
          <w:noProof/>
          <w:snapToGrid w:val="0"/>
          <w:szCs w:val="22"/>
        </w:rPr>
        <w:t>Agents and brokers</w:t>
      </w:r>
      <w:r>
        <w:rPr>
          <w:noProof/>
        </w:rPr>
        <w:tab/>
      </w:r>
      <w:r>
        <w:rPr>
          <w:noProof/>
        </w:rPr>
        <w:fldChar w:fldCharType="begin"/>
      </w:r>
      <w:r>
        <w:rPr>
          <w:noProof/>
        </w:rPr>
        <w:instrText xml:space="preserve"> PAGEREF _Toc139707387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napToGrid w:val="0"/>
          <w:szCs w:val="22"/>
        </w:rPr>
        <w:t>12.</w:t>
      </w:r>
      <w:r>
        <w:rPr>
          <w:noProof/>
          <w:sz w:val="24"/>
          <w:szCs w:val="24"/>
        </w:rPr>
        <w:tab/>
      </w:r>
      <w:r>
        <w:rPr>
          <w:noProof/>
          <w:snapToGrid w:val="0"/>
          <w:szCs w:val="22"/>
        </w:rPr>
        <w:t>Agreements, instruments and proceedings generally</w:t>
      </w:r>
      <w:r>
        <w:rPr>
          <w:noProof/>
        </w:rPr>
        <w:tab/>
      </w:r>
      <w:r>
        <w:rPr>
          <w:noProof/>
        </w:rPr>
        <w:fldChar w:fldCharType="begin"/>
      </w:r>
      <w:r>
        <w:rPr>
          <w:noProof/>
        </w:rPr>
        <w:instrText xml:space="preserve"> PAGEREF _Toc139707388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napToGrid w:val="0"/>
          <w:szCs w:val="22"/>
        </w:rPr>
        <w:t>13.</w:t>
      </w:r>
      <w:r>
        <w:rPr>
          <w:noProof/>
          <w:sz w:val="24"/>
          <w:szCs w:val="24"/>
        </w:rPr>
        <w:tab/>
      </w:r>
      <w:r>
        <w:rPr>
          <w:noProof/>
          <w:snapToGrid w:val="0"/>
          <w:szCs w:val="22"/>
        </w:rPr>
        <w:t>Final reports on the operations of the SGIO</w:t>
      </w:r>
      <w:r>
        <w:rPr>
          <w:noProof/>
        </w:rPr>
        <w:tab/>
      </w:r>
      <w:r>
        <w:rPr>
          <w:noProof/>
        </w:rPr>
        <w:fldChar w:fldCharType="begin"/>
      </w:r>
      <w:r>
        <w:rPr>
          <w:noProof/>
        </w:rPr>
        <w:instrText xml:space="preserve"> PAGEREF _Toc139707389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napToGrid w:val="0"/>
          <w:szCs w:val="22"/>
        </w:rPr>
        <w:t>14.</w:t>
      </w:r>
      <w:r>
        <w:rPr>
          <w:noProof/>
          <w:sz w:val="24"/>
          <w:szCs w:val="24"/>
        </w:rPr>
        <w:tab/>
      </w:r>
      <w:r>
        <w:rPr>
          <w:noProof/>
          <w:snapToGrid w:val="0"/>
          <w:szCs w:val="22"/>
        </w:rPr>
        <w:t>Certain outstanding obligations to be met by the Commission</w:t>
      </w:r>
      <w:r>
        <w:rPr>
          <w:noProof/>
        </w:rPr>
        <w:tab/>
      </w:r>
      <w:r>
        <w:rPr>
          <w:noProof/>
        </w:rPr>
        <w:fldChar w:fldCharType="begin"/>
      </w:r>
      <w:r>
        <w:rPr>
          <w:noProof/>
        </w:rPr>
        <w:instrText xml:space="preserve"> PAGEREF _Toc139707390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napToGrid w:val="0"/>
          <w:szCs w:val="22"/>
        </w:rPr>
        <w:t>15.</w:t>
      </w:r>
      <w:r>
        <w:rPr>
          <w:noProof/>
          <w:sz w:val="24"/>
          <w:szCs w:val="24"/>
        </w:rPr>
        <w:tab/>
      </w:r>
      <w:r>
        <w:rPr>
          <w:noProof/>
          <w:snapToGrid w:val="0"/>
          <w:szCs w:val="22"/>
        </w:rPr>
        <w:t>Saving of presumption and protection</w:t>
      </w:r>
      <w:r>
        <w:rPr>
          <w:noProof/>
        </w:rPr>
        <w:tab/>
      </w:r>
      <w:r>
        <w:rPr>
          <w:noProof/>
        </w:rPr>
        <w:fldChar w:fldCharType="begin"/>
      </w:r>
      <w:r>
        <w:rPr>
          <w:noProof/>
        </w:rPr>
        <w:instrText xml:space="preserve"> PAGEREF _Toc139707391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napToGrid w:val="0"/>
          <w:szCs w:val="22"/>
        </w:rPr>
        <w:t>16.</w:t>
      </w:r>
      <w:r>
        <w:rPr>
          <w:noProof/>
          <w:sz w:val="24"/>
          <w:szCs w:val="24"/>
        </w:rPr>
        <w:tab/>
      </w:r>
      <w:r>
        <w:rPr>
          <w:noProof/>
          <w:snapToGrid w:val="0"/>
          <w:szCs w:val="22"/>
        </w:rPr>
        <w:t>Employment of staff of the SGIO</w:t>
      </w:r>
      <w:r>
        <w:rPr>
          <w:noProof/>
        </w:rPr>
        <w:tab/>
      </w:r>
      <w:r>
        <w:rPr>
          <w:noProof/>
        </w:rPr>
        <w:fldChar w:fldCharType="begin"/>
      </w:r>
      <w:r>
        <w:rPr>
          <w:noProof/>
        </w:rPr>
        <w:instrText xml:space="preserve"> PAGEREF _Toc139707392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napToGrid w:val="0"/>
          <w:szCs w:val="22"/>
        </w:rPr>
        <w:t>17.</w:t>
      </w:r>
      <w:r>
        <w:rPr>
          <w:noProof/>
          <w:sz w:val="24"/>
          <w:szCs w:val="24"/>
        </w:rPr>
        <w:tab/>
      </w:r>
      <w:r>
        <w:rPr>
          <w:noProof/>
          <w:snapToGrid w:val="0"/>
          <w:szCs w:val="22"/>
        </w:rPr>
        <w:t>References to the SGIO in laws</w:t>
      </w:r>
      <w:r>
        <w:rPr>
          <w:noProof/>
        </w:rPr>
        <w:tab/>
      </w:r>
      <w:r>
        <w:rPr>
          <w:noProof/>
        </w:rPr>
        <w:fldChar w:fldCharType="begin"/>
      </w:r>
      <w:r>
        <w:rPr>
          <w:noProof/>
        </w:rPr>
        <w:instrText xml:space="preserve"> PAGEREF _Toc139707393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napToGrid w:val="0"/>
          <w:szCs w:val="22"/>
        </w:rPr>
        <w:t>18.</w:t>
      </w:r>
      <w:r>
        <w:rPr>
          <w:noProof/>
          <w:sz w:val="24"/>
          <w:szCs w:val="24"/>
        </w:rPr>
        <w:tab/>
      </w:r>
      <w:r>
        <w:rPr>
          <w:noProof/>
          <w:snapToGrid w:val="0"/>
          <w:szCs w:val="22"/>
        </w:rPr>
        <w:t>Apportionment of assets and liabilities</w:t>
      </w:r>
      <w:r>
        <w:rPr>
          <w:noProof/>
        </w:rPr>
        <w:tab/>
      </w:r>
      <w:r>
        <w:rPr>
          <w:noProof/>
        </w:rPr>
        <w:fldChar w:fldCharType="begin"/>
      </w:r>
      <w:r>
        <w:rPr>
          <w:noProof/>
        </w:rPr>
        <w:instrText xml:space="preserve"> PAGEREF _Toc139707394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napToGrid w:val="0"/>
          <w:szCs w:val="22"/>
        </w:rPr>
        <w:t>19.</w:t>
      </w:r>
      <w:r>
        <w:rPr>
          <w:noProof/>
          <w:sz w:val="24"/>
          <w:szCs w:val="24"/>
        </w:rPr>
        <w:tab/>
      </w:r>
      <w:r>
        <w:rPr>
          <w:noProof/>
          <w:snapToGrid w:val="0"/>
          <w:szCs w:val="22"/>
        </w:rPr>
        <w:t>Interpretation Act to apply</w:t>
      </w:r>
      <w:r>
        <w:rPr>
          <w:noProof/>
        </w:rPr>
        <w:tab/>
      </w:r>
      <w:r>
        <w:rPr>
          <w:noProof/>
        </w:rPr>
        <w:fldChar w:fldCharType="begin"/>
      </w:r>
      <w:r>
        <w:rPr>
          <w:noProof/>
        </w:rPr>
        <w:instrText xml:space="preserve"> PAGEREF _Toc139707395 \h </w:instrText>
      </w:r>
      <w:r>
        <w:rPr>
          <w:noProof/>
        </w:rPr>
      </w:r>
      <w:r>
        <w:rPr>
          <w:noProof/>
        </w:rPr>
        <w:fldChar w:fldCharType="separate"/>
      </w:r>
      <w:r>
        <w:rPr>
          <w:noProof/>
        </w:rPr>
        <w:t>58</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Compilation table</w:t>
      </w:r>
      <w:r>
        <w:rPr>
          <w:noProof/>
        </w:rPr>
        <w:tab/>
      </w:r>
      <w:r>
        <w:rPr>
          <w:noProof/>
        </w:rPr>
        <w:fldChar w:fldCharType="begin"/>
      </w:r>
      <w:r>
        <w:rPr>
          <w:noProof/>
        </w:rPr>
        <w:instrText xml:space="preserve"> PAGEREF _Toc139707397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Provisions that have not come into operation</w:t>
      </w:r>
      <w:r>
        <w:rPr>
          <w:noProof/>
        </w:rPr>
        <w:tab/>
      </w:r>
      <w:r>
        <w:rPr>
          <w:noProof/>
        </w:rPr>
        <w:fldChar w:fldCharType="begin"/>
      </w:r>
      <w:r>
        <w:rPr>
          <w:noProof/>
        </w:rPr>
        <w:instrText xml:space="preserve"> PAGEREF _Toc139707398 \h </w:instrText>
      </w:r>
      <w:r>
        <w:rPr>
          <w:noProof/>
        </w:rPr>
      </w:r>
      <w:r>
        <w:rPr>
          <w:noProof/>
        </w:rPr>
        <w:fldChar w:fldCharType="separate"/>
      </w:r>
      <w:r>
        <w:rPr>
          <w:noProof/>
        </w:rPr>
        <w:t>61</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pPr>
      <w:r>
        <w:t xml:space="preserve">Insurance Commission of Western Australia Act 1986 </w:t>
      </w:r>
    </w:p>
    <w:p>
      <w:pPr>
        <w:pStyle w:val="LongTitle"/>
        <w:spacing w:before="240"/>
        <w:rPr>
          <w:snapToGrid w:val="0"/>
        </w:rPr>
      </w:pPr>
      <w:r>
        <w:rPr>
          <w:snapToGrid w:val="0"/>
        </w:rPr>
        <w:t xml:space="preserve">An Act to provide for the constitution and functions of the Insurance Commission of Western Australia, and for related purposes. </w:t>
      </w:r>
    </w:p>
    <w:p>
      <w:pPr>
        <w:pStyle w:val="Footnotelongtitle"/>
      </w:pPr>
      <w:r>
        <w:tab/>
        <w:t>[Long title inserted by No. 45 of 1996 s.4.]</w:t>
      </w:r>
    </w:p>
    <w:p>
      <w:pPr>
        <w:pStyle w:val="Heading2"/>
      </w:pPr>
      <w:bookmarkStart w:id="2" w:name="_Toc92782859"/>
      <w:bookmarkStart w:id="3" w:name="_Toc92782973"/>
      <w:bookmarkStart w:id="4" w:name="_Toc139707282"/>
      <w:r>
        <w:rPr>
          <w:rStyle w:val="CharPartNo"/>
        </w:rPr>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517674442"/>
      <w:bookmarkStart w:id="6" w:name="_Toc139707283"/>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Insurance Commission of Western Australia Act 1986</w:t>
      </w:r>
      <w:r>
        <w:rPr>
          <w:snapToGrid w:val="0"/>
          <w:vertAlign w:val="superscript"/>
        </w:rPr>
        <w:t xml:space="preserve"> 1</w:t>
      </w:r>
      <w:r>
        <w:rPr>
          <w:snapToGrid w:val="0"/>
        </w:rPr>
        <w:t>.</w:t>
      </w:r>
    </w:p>
    <w:p>
      <w:pPr>
        <w:pStyle w:val="Footnotesection"/>
      </w:pPr>
      <w:r>
        <w:tab/>
        <w:t>[Section 1 amended by No. 45 of 1996 s.5.]</w:t>
      </w:r>
    </w:p>
    <w:p>
      <w:pPr>
        <w:pStyle w:val="Heading5"/>
        <w:rPr>
          <w:snapToGrid w:val="0"/>
        </w:rPr>
      </w:pPr>
      <w:bookmarkStart w:id="7" w:name="_Toc517674443"/>
      <w:bookmarkStart w:id="8" w:name="_Toc139707284"/>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9" w:name="_Toc517674444"/>
      <w:bookmarkStart w:id="10" w:name="_Toc139707285"/>
      <w:r>
        <w:rPr>
          <w:rStyle w:val="CharSectno"/>
        </w:rPr>
        <w:t>3</w:t>
      </w:r>
      <w:r>
        <w:rPr>
          <w:snapToGrid w:val="0"/>
        </w:rPr>
        <w:t>.</w:t>
      </w:r>
      <w:r>
        <w:rPr>
          <w:snapToGrid w:val="0"/>
        </w:rPr>
        <w:tab/>
        <w:t>Definitions</w:t>
      </w:r>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board of commissioners</w:t>
      </w:r>
      <w:r>
        <w:rPr>
          <w:b/>
        </w:rPr>
        <w:t>”</w:t>
      </w:r>
      <w:r>
        <w:t xml:space="preserve"> means the governing body of the Commission provided for by section 5(1);</w:t>
      </w:r>
    </w:p>
    <w:p>
      <w:pPr>
        <w:pStyle w:val="Defstart"/>
      </w:pPr>
      <w:r>
        <w:rPr>
          <w:b/>
        </w:rPr>
        <w:tab/>
        <w:t>“</w:t>
      </w:r>
      <w:r>
        <w:rPr>
          <w:rStyle w:val="CharDefText"/>
        </w:rPr>
        <w:t>board of directors</w:t>
      </w:r>
      <w:r>
        <w:rPr>
          <w:b/>
        </w:rPr>
        <w:t>”</w:t>
      </w:r>
      <w:r>
        <w:t xml:space="preserve"> means the governing body of the Corporation provided for by section 29(1);</w:t>
      </w:r>
    </w:p>
    <w:p>
      <w:pPr>
        <w:pStyle w:val="Defstart"/>
      </w:pPr>
      <w:r>
        <w:rPr>
          <w:b/>
        </w:rPr>
        <w:tab/>
        <w:t>“</w:t>
      </w:r>
      <w:r>
        <w:rPr>
          <w:rStyle w:val="CharDefText"/>
        </w:rPr>
        <w:t>borrow</w:t>
      </w:r>
      <w:r>
        <w:rPr>
          <w:b/>
        </w:rPr>
        <w:t>”</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t>“</w:t>
      </w:r>
      <w:r>
        <w:rPr>
          <w:rStyle w:val="CharDefText"/>
        </w:rPr>
        <w:t>business undertaking</w:t>
      </w:r>
      <w:r>
        <w:rPr>
          <w:b/>
        </w:rPr>
        <w:t>”</w:t>
      </w:r>
      <w:r>
        <w:t xml:space="preserve"> includes any person, corporation, trust, joint venture, government agency or other entity engaging or intending to engage in economic activity;</w:t>
      </w:r>
    </w:p>
    <w:p>
      <w:pPr>
        <w:pStyle w:val="Defstart"/>
      </w:pPr>
      <w:r>
        <w:rPr>
          <w:b/>
        </w:rPr>
        <w:tab/>
        <w:t>“</w:t>
      </w:r>
      <w:r>
        <w:rPr>
          <w:rStyle w:val="CharDefText"/>
        </w:rPr>
        <w:t>Commission</w:t>
      </w:r>
      <w:r>
        <w:rPr>
          <w:b/>
        </w:rPr>
        <w:t>”</w:t>
      </w:r>
      <w:r>
        <w:t xml:space="preserve"> means the body continued by section 4 under the corporate name “Insurance Commission of Western Australia”;</w:t>
      </w:r>
    </w:p>
    <w:p>
      <w:pPr>
        <w:pStyle w:val="Defstart"/>
      </w:pPr>
      <w:r>
        <w:rPr>
          <w:b/>
        </w:rPr>
        <w:tab/>
        <w:t>“</w:t>
      </w:r>
      <w:r>
        <w:rPr>
          <w:rStyle w:val="CharDefText"/>
        </w:rPr>
        <w:t>Commission account</w:t>
      </w:r>
      <w:r>
        <w:rPr>
          <w:b/>
        </w:rPr>
        <w:t>”</w:t>
      </w:r>
      <w:r>
        <w:t xml:space="preserve"> means a Fund, a fund established under section 7(4)(a) or a trust of which the Commission is a trustee under section 7(4)(c);</w:t>
      </w:r>
    </w:p>
    <w:p>
      <w:pPr>
        <w:pStyle w:val="Defstart"/>
        <w:keepNext/>
      </w:pPr>
      <w:r>
        <w:rPr>
          <w:b/>
        </w:rPr>
        <w:tab/>
        <w:t>“</w:t>
      </w:r>
      <w:r>
        <w:rPr>
          <w:rStyle w:val="CharDefText"/>
        </w:rPr>
        <w:t>commissioner</w:t>
      </w:r>
      <w:r>
        <w:rPr>
          <w:b/>
        </w:rPr>
        <w:t>”</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tab/>
        <w:t>“</w:t>
      </w:r>
      <w:r>
        <w:rPr>
          <w:rStyle w:val="CharDefText"/>
        </w:rPr>
        <w:t>community organisation</w:t>
      </w:r>
      <w:r>
        <w:rPr>
          <w:b/>
        </w:rPr>
        <w:t>”</w:t>
      </w:r>
      <w:r>
        <w:t xml:space="preserve"> means — </w:t>
      </w:r>
    </w:p>
    <w:p>
      <w:pPr>
        <w:pStyle w:val="Defpara"/>
      </w:pPr>
      <w:r>
        <w:tab/>
        <w:t>(a)</w:t>
      </w:r>
      <w:r>
        <w:tab/>
        <w:t xml:space="preserve">an association incorporated under the </w:t>
      </w:r>
      <w:r>
        <w:rPr>
          <w:i/>
        </w:rPr>
        <w:t>Associations Incorporation Act 1987</w:t>
      </w:r>
      <w:r>
        <w:t>;</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t>“</w:t>
      </w:r>
      <w:r>
        <w:rPr>
          <w:rStyle w:val="CharDefText"/>
        </w:rPr>
        <w:t>Corporation</w:t>
      </w:r>
      <w:r>
        <w:rPr>
          <w:b/>
        </w:rPr>
        <w:t>”</w:t>
      </w:r>
      <w:r>
        <w:t xml:space="preserve"> means the State Government Insurance Corporation established by this Act;</w:t>
      </w:r>
    </w:p>
    <w:p>
      <w:pPr>
        <w:pStyle w:val="Defstart"/>
      </w:pPr>
      <w:r>
        <w:rPr>
          <w:b/>
        </w:rPr>
        <w:tab/>
        <w:t>“</w:t>
      </w:r>
      <w:r>
        <w:rPr>
          <w:rStyle w:val="CharDefText"/>
        </w:rPr>
        <w:t>debt paper</w:t>
      </w:r>
      <w:r>
        <w:rPr>
          <w:b/>
        </w:rPr>
        <w:t>”</w:t>
      </w:r>
      <w:r>
        <w:t xml:space="preserve"> means inscribed stock, bonds, debentures, debentures with coupons annexed or any other bearer securities, or instrument evidencing indebtedness;</w:t>
      </w:r>
    </w:p>
    <w:p>
      <w:pPr>
        <w:pStyle w:val="Defstart"/>
      </w:pPr>
      <w:r>
        <w:rPr>
          <w:b/>
        </w:rPr>
        <w:tab/>
        <w:t>“</w:t>
      </w:r>
      <w:r>
        <w:rPr>
          <w:rStyle w:val="CharDefText"/>
        </w:rPr>
        <w:t>director of the Corporation</w:t>
      </w:r>
      <w:r>
        <w:rPr>
          <w:b/>
        </w:rPr>
        <w:t>”</w:t>
      </w:r>
      <w:r>
        <w:t xml:space="preserve"> means — </w:t>
      </w:r>
    </w:p>
    <w:p>
      <w:pPr>
        <w:pStyle w:val="Defpara"/>
      </w:pPr>
      <w:r>
        <w:tab/>
        <w:t>(a)</w:t>
      </w:r>
      <w:r>
        <w:tab/>
        <w:t>the managing director; or</w:t>
      </w:r>
    </w:p>
    <w:p>
      <w:pPr>
        <w:pStyle w:val="Defpara"/>
      </w:pPr>
      <w:r>
        <w:tab/>
        <w:t>(b)</w:t>
      </w:r>
      <w:r>
        <w:tab/>
        <w:t>a person appointed to the board of directors under section 29(1)(b), including the deputy chairman of the board of directors;</w:t>
      </w:r>
    </w:p>
    <w:p>
      <w:pPr>
        <w:pStyle w:val="Defstart"/>
      </w:pPr>
      <w:r>
        <w:rPr>
          <w:b/>
        </w:rPr>
        <w:tab/>
        <w:t>“</w:t>
      </w:r>
      <w:r>
        <w:rPr>
          <w:rStyle w:val="CharDefText"/>
        </w:rPr>
        <w:t>eligible community organisation</w:t>
      </w:r>
      <w:r>
        <w:rPr>
          <w:b/>
        </w:rPr>
        <w:t>”</w:t>
      </w:r>
      <w:r>
        <w:t xml:space="preserve"> has the meaning given in section 3A;</w:t>
      </w:r>
    </w:p>
    <w:p>
      <w:pPr>
        <w:pStyle w:val="Defstart"/>
      </w:pPr>
      <w:r>
        <w:rPr>
          <w:b/>
        </w:rPr>
        <w:tab/>
        <w:t>“</w:t>
      </w:r>
      <w:r>
        <w:rPr>
          <w:rStyle w:val="CharDefText"/>
        </w:rPr>
        <w:t>Fund</w:t>
      </w:r>
      <w:r>
        <w:rPr>
          <w:b/>
        </w:rPr>
        <w:t>”</w:t>
      </w:r>
      <w:r>
        <w:t xml:space="preserve"> means a fund established under section 16;</w:t>
      </w:r>
    </w:p>
    <w:p>
      <w:pPr>
        <w:pStyle w:val="Defstart"/>
      </w:pPr>
      <w:r>
        <w:rPr>
          <w:b/>
        </w:rPr>
        <w:tab/>
        <w:t>“</w:t>
      </w:r>
      <w:r>
        <w:rPr>
          <w:rStyle w:val="CharDefText"/>
        </w:rPr>
        <w:t>insurance</w:t>
      </w:r>
      <w:r>
        <w:rPr>
          <w:b/>
        </w:rPr>
        <w:t>”</w:t>
      </w:r>
      <w:r>
        <w:t xml:space="preserve"> includes assurance, co</w:t>
      </w:r>
      <w:r>
        <w:noBreakHyphen/>
        <w:t>insurance, re</w:t>
      </w:r>
      <w:r>
        <w:noBreakHyphen/>
        <w:t>insurance, guarantee and surety;</w:t>
      </w:r>
    </w:p>
    <w:p>
      <w:pPr>
        <w:pStyle w:val="Defstart"/>
      </w:pPr>
      <w:r>
        <w:rPr>
          <w:b/>
        </w:rPr>
        <w:tab/>
        <w:t>“</w:t>
      </w:r>
      <w:r>
        <w:rPr>
          <w:rStyle w:val="CharDefText"/>
        </w:rPr>
        <w:t>insurer</w:t>
      </w:r>
      <w:r>
        <w:rPr>
          <w:b/>
        </w:rPr>
        <w:t>”</w:t>
      </w:r>
      <w:r>
        <w:t xml:space="preserve"> means a corporation carrying on business under the </w:t>
      </w:r>
      <w:r>
        <w:rPr>
          <w:i/>
        </w:rPr>
        <w:t>Insurance Act 1973</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t>“</w:t>
      </w:r>
      <w:r>
        <w:rPr>
          <w:rStyle w:val="CharDefText"/>
        </w:rPr>
        <w:t>managing director</w:t>
      </w:r>
      <w:r>
        <w:rPr>
          <w:b/>
        </w:rPr>
        <w:t>”</w:t>
      </w:r>
      <w:r>
        <w:t xml:space="preserve"> means the chief executive officer of the Commission appointed under section 11;</w:t>
      </w:r>
    </w:p>
    <w:p>
      <w:pPr>
        <w:pStyle w:val="Defstart"/>
      </w:pPr>
      <w:r>
        <w:rPr>
          <w:b/>
        </w:rPr>
        <w:tab/>
        <w:t>“</w:t>
      </w:r>
      <w:r>
        <w:rPr>
          <w:rStyle w:val="CharDefText"/>
        </w:rPr>
        <w:t>policy</w:t>
      </w:r>
      <w:r>
        <w:rPr>
          <w:b/>
        </w:rPr>
        <w:t>”</w:t>
      </w:r>
      <w:r>
        <w:t xml:space="preserve"> includes contract;</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t>“</w:t>
      </w:r>
      <w:r>
        <w:rPr>
          <w:rStyle w:val="CharDefText"/>
        </w:rPr>
        <w:t>risk management</w:t>
      </w:r>
      <w:r>
        <w:rPr>
          <w:b/>
        </w:rPr>
        <w:t>”</w:t>
      </w:r>
      <w:r>
        <w:t xml:space="preserve"> does not include the management of risks associated with an investment;</w:t>
      </w:r>
    </w:p>
    <w:p>
      <w:pPr>
        <w:pStyle w:val="Defstart"/>
      </w:pPr>
      <w:r>
        <w:rPr>
          <w:b/>
        </w:rPr>
        <w:tab/>
        <w:t>“</w:t>
      </w:r>
      <w:r>
        <w:rPr>
          <w:rStyle w:val="CharDefText"/>
        </w:rPr>
        <w:t>Treasurer</w:t>
      </w:r>
      <w:r>
        <w:rPr>
          <w:b/>
        </w:rPr>
        <w:t>”</w:t>
      </w:r>
      <w:r>
        <w:t xml:space="preserve"> means the Treasurer of the State.</w:t>
      </w:r>
    </w:p>
    <w:p>
      <w:pPr>
        <w:pStyle w:val="Footnotesection"/>
      </w:pPr>
      <w:r>
        <w:tab/>
        <w:t xml:space="preserve">[Section 3 amended by No. 45 of 1996 s.6; No. 34 of 2002 s.4.] </w:t>
      </w:r>
    </w:p>
    <w:p>
      <w:pPr>
        <w:pStyle w:val="Heading5"/>
      </w:pPr>
      <w:bookmarkStart w:id="11" w:name="_Toc139707286"/>
      <w:r>
        <w:rPr>
          <w:rStyle w:val="CharSectno"/>
        </w:rPr>
        <w:t>3A</w:t>
      </w:r>
      <w:r>
        <w:t>.</w:t>
      </w:r>
      <w:r>
        <w:tab/>
        <w:t>Eligible community organisations</w:t>
      </w:r>
      <w:bookmarkEnd w:id="11"/>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s.5.]</w:t>
      </w:r>
    </w:p>
    <w:p>
      <w:pPr>
        <w:pStyle w:val="Heading2"/>
      </w:pPr>
      <w:bookmarkStart w:id="12" w:name="_Toc92782864"/>
      <w:bookmarkStart w:id="13" w:name="_Toc92782978"/>
      <w:bookmarkStart w:id="14" w:name="_Toc139707287"/>
      <w:r>
        <w:rPr>
          <w:rStyle w:val="CharPartNo"/>
        </w:rPr>
        <w:t>Part II</w:t>
      </w:r>
      <w:r>
        <w:t> — </w:t>
      </w:r>
      <w:r>
        <w:rPr>
          <w:rStyle w:val="CharPartText"/>
        </w:rPr>
        <w:t>Insurance Commission of Western Australia</w:t>
      </w:r>
      <w:bookmarkEnd w:id="12"/>
      <w:bookmarkEnd w:id="13"/>
      <w:bookmarkEnd w:id="14"/>
      <w:r>
        <w:rPr>
          <w:rStyle w:val="CharPartText"/>
        </w:rPr>
        <w:t xml:space="preserve"> </w:t>
      </w:r>
    </w:p>
    <w:p>
      <w:pPr>
        <w:pStyle w:val="Footnoteheading"/>
        <w:rPr>
          <w:snapToGrid w:val="0"/>
        </w:rPr>
      </w:pPr>
      <w:r>
        <w:rPr>
          <w:snapToGrid w:val="0"/>
        </w:rPr>
        <w:tab/>
        <w:t xml:space="preserve">[Heading inserted by No. 45 of 1996 s.7.] </w:t>
      </w:r>
    </w:p>
    <w:p>
      <w:pPr>
        <w:pStyle w:val="Heading3"/>
        <w:rPr>
          <w:snapToGrid w:val="0"/>
        </w:rPr>
      </w:pPr>
      <w:bookmarkStart w:id="15" w:name="_Toc92782865"/>
      <w:bookmarkStart w:id="16" w:name="_Toc92782979"/>
      <w:bookmarkStart w:id="17" w:name="_Toc139707288"/>
      <w:r>
        <w:rPr>
          <w:rStyle w:val="CharDivNo"/>
        </w:rPr>
        <w:t>Division 1</w:t>
      </w:r>
      <w:r>
        <w:rPr>
          <w:snapToGrid w:val="0"/>
        </w:rPr>
        <w:t> — </w:t>
      </w:r>
      <w:r>
        <w:rPr>
          <w:rStyle w:val="CharDivText"/>
        </w:rPr>
        <w:t>The Commission and the board of commissioners</w:t>
      </w:r>
      <w:bookmarkEnd w:id="15"/>
      <w:bookmarkEnd w:id="16"/>
      <w:bookmarkEnd w:id="17"/>
      <w:r>
        <w:rPr>
          <w:rStyle w:val="CharDivText"/>
        </w:rPr>
        <w:t xml:space="preserve"> </w:t>
      </w:r>
    </w:p>
    <w:p>
      <w:pPr>
        <w:pStyle w:val="Footnoteheading"/>
        <w:rPr>
          <w:snapToGrid w:val="0"/>
        </w:rPr>
      </w:pPr>
      <w:r>
        <w:rPr>
          <w:snapToGrid w:val="0"/>
        </w:rPr>
        <w:tab/>
        <w:t xml:space="preserve">[Heading inserted by No. 45 of 1996 s.7.] </w:t>
      </w:r>
    </w:p>
    <w:p>
      <w:pPr>
        <w:pStyle w:val="Heading5"/>
        <w:rPr>
          <w:snapToGrid w:val="0"/>
        </w:rPr>
      </w:pPr>
      <w:bookmarkStart w:id="18" w:name="_Toc517674445"/>
      <w:bookmarkStart w:id="19" w:name="_Toc139707289"/>
      <w:r>
        <w:rPr>
          <w:rStyle w:val="CharSectno"/>
        </w:rPr>
        <w:t>4</w:t>
      </w:r>
      <w:r>
        <w:rPr>
          <w:snapToGrid w:val="0"/>
        </w:rPr>
        <w:t>.</w:t>
      </w:r>
      <w:r>
        <w:rPr>
          <w:snapToGrid w:val="0"/>
        </w:rPr>
        <w:tab/>
        <w:t>Insurance Commission of Western Australia: corporate identity and status</w:t>
      </w:r>
      <w:bookmarkEnd w:id="18"/>
      <w:bookmarkEnd w:id="19"/>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i/>
          <w:snapToGrid w:val="0"/>
        </w:rPr>
        <w:t xml:space="preserve"> </w:t>
      </w:r>
      <w:r>
        <w:rPr>
          <w:snapToGrid w:val="0"/>
        </w:rPr>
        <w:t>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s.8.] </w:t>
      </w:r>
    </w:p>
    <w:p>
      <w:pPr>
        <w:pStyle w:val="Heading5"/>
        <w:rPr>
          <w:snapToGrid w:val="0"/>
        </w:rPr>
      </w:pPr>
      <w:bookmarkStart w:id="20" w:name="_Toc517674446"/>
      <w:bookmarkStart w:id="21" w:name="_Toc139707290"/>
      <w:r>
        <w:rPr>
          <w:rStyle w:val="CharSectno"/>
        </w:rPr>
        <w:t>4A</w:t>
      </w:r>
      <w:r>
        <w:rPr>
          <w:snapToGrid w:val="0"/>
        </w:rPr>
        <w:t>.</w:t>
      </w:r>
      <w:r>
        <w:rPr>
          <w:snapToGrid w:val="0"/>
        </w:rPr>
        <w:tab/>
        <w:t>Agent of Crown</w:t>
      </w:r>
      <w:bookmarkEnd w:id="20"/>
      <w:bookmarkEnd w:id="21"/>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s.8.]</w:t>
      </w:r>
    </w:p>
    <w:p>
      <w:pPr>
        <w:pStyle w:val="Heading5"/>
        <w:rPr>
          <w:snapToGrid w:val="0"/>
        </w:rPr>
      </w:pPr>
      <w:bookmarkStart w:id="22" w:name="_Toc517674447"/>
      <w:bookmarkStart w:id="23" w:name="_Toc139707291"/>
      <w:r>
        <w:rPr>
          <w:rStyle w:val="CharSectno"/>
        </w:rPr>
        <w:t>5</w:t>
      </w:r>
      <w:r>
        <w:rPr>
          <w:snapToGrid w:val="0"/>
        </w:rPr>
        <w:t>.</w:t>
      </w:r>
      <w:r>
        <w:rPr>
          <w:snapToGrid w:val="0"/>
        </w:rPr>
        <w:tab/>
        <w:t>Board of commissioners</w:t>
      </w:r>
      <w:bookmarkEnd w:id="22"/>
      <w:bookmarkEnd w:id="23"/>
      <w:r>
        <w:rPr>
          <w:snapToGrid w:val="0"/>
        </w:rPr>
        <w:t xml:space="preserve"> </w:t>
      </w:r>
    </w:p>
    <w:p>
      <w:pPr>
        <w:pStyle w:val="Subsection"/>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 Minister for Public Sector Management.</w:t>
      </w:r>
    </w:p>
    <w:p>
      <w:pPr>
        <w:pStyle w:val="Footnotesection"/>
      </w:pPr>
      <w:r>
        <w:tab/>
        <w:t>[Section 5 amended by No. 45 of 1996 s.9.]</w:t>
      </w:r>
    </w:p>
    <w:p>
      <w:pPr>
        <w:pStyle w:val="Heading3"/>
        <w:rPr>
          <w:snapToGrid w:val="0"/>
        </w:rPr>
      </w:pPr>
      <w:bookmarkStart w:id="24" w:name="_Toc92782869"/>
      <w:bookmarkStart w:id="25" w:name="_Toc92782983"/>
      <w:bookmarkStart w:id="26" w:name="_Toc139707292"/>
      <w:r>
        <w:rPr>
          <w:rStyle w:val="CharDivNo"/>
        </w:rPr>
        <w:t>Division 2</w:t>
      </w:r>
      <w:r>
        <w:rPr>
          <w:snapToGrid w:val="0"/>
        </w:rPr>
        <w:t> — </w:t>
      </w:r>
      <w:r>
        <w:rPr>
          <w:rStyle w:val="CharDivText"/>
        </w:rPr>
        <w:t>Functions and powers of the Commission</w:t>
      </w:r>
      <w:bookmarkEnd w:id="24"/>
      <w:bookmarkEnd w:id="25"/>
      <w:bookmarkEnd w:id="26"/>
      <w:r>
        <w:rPr>
          <w:rStyle w:val="CharDivText"/>
        </w:rPr>
        <w:t xml:space="preserve"> </w:t>
      </w:r>
    </w:p>
    <w:p>
      <w:pPr>
        <w:pStyle w:val="Heading5"/>
        <w:rPr>
          <w:snapToGrid w:val="0"/>
        </w:rPr>
      </w:pPr>
      <w:bookmarkStart w:id="27" w:name="_Toc517674448"/>
      <w:bookmarkStart w:id="28" w:name="_Toc139707293"/>
      <w:r>
        <w:rPr>
          <w:rStyle w:val="CharSectno"/>
        </w:rPr>
        <w:t>6</w:t>
      </w:r>
      <w:r>
        <w:rPr>
          <w:snapToGrid w:val="0"/>
        </w:rPr>
        <w:t>.</w:t>
      </w:r>
      <w:r>
        <w:rPr>
          <w:snapToGrid w:val="0"/>
        </w:rPr>
        <w:tab/>
        <w:t>Functions</w:t>
      </w:r>
      <w:bookmarkEnd w:id="27"/>
      <w:bookmarkEnd w:id="28"/>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w:t>
      </w:r>
    </w:p>
    <w:p>
      <w:pPr>
        <w:pStyle w:val="Indenta"/>
        <w:rPr>
          <w:snapToGrid w:val="0"/>
        </w:rPr>
      </w:pPr>
      <w:r>
        <w:rPr>
          <w:snapToGrid w:val="0"/>
        </w:rPr>
        <w:tab/>
        <w:t>(b)</w:t>
      </w:r>
      <w:r>
        <w:rPr>
          <w:snapToGrid w:val="0"/>
        </w:rPr>
        <w:tab/>
        <w:t>to issue and undertake liability under policies of insurance as required by — </w:t>
      </w:r>
    </w:p>
    <w:p>
      <w:pPr>
        <w:pStyle w:val="Indenti"/>
        <w:rPr>
          <w:snapToGrid w:val="0"/>
        </w:rPr>
      </w:pPr>
      <w:r>
        <w:rPr>
          <w:snapToGrid w:val="0"/>
        </w:rPr>
        <w:tab/>
        <w:t>(i)</w:t>
      </w:r>
      <w:r>
        <w:rPr>
          <w:snapToGrid w:val="0"/>
        </w:rPr>
        <w:tab/>
        <w:t>section 154(6); or</w:t>
      </w:r>
    </w:p>
    <w:p>
      <w:pPr>
        <w:pStyle w:val="Indenti"/>
        <w:rPr>
          <w:snapToGrid w:val="0"/>
        </w:rPr>
      </w:pPr>
      <w:r>
        <w:rPr>
          <w:snapToGrid w:val="0"/>
        </w:rPr>
        <w:tab/>
        <w:t>(ii)</w:t>
      </w:r>
      <w:r>
        <w:rPr>
          <w:snapToGrid w:val="0"/>
        </w:rPr>
        <w:tab/>
        <w:t>section 163,</w:t>
      </w:r>
    </w:p>
    <w:p>
      <w:pPr>
        <w:pStyle w:val="Indenta"/>
        <w:rPr>
          <w:snapToGrid w:val="0"/>
        </w:rPr>
      </w:pPr>
      <w:r>
        <w:rPr>
          <w:snapToGrid w:val="0"/>
        </w:rPr>
        <w:tab/>
      </w:r>
      <w:r>
        <w:rPr>
          <w:snapToGrid w:val="0"/>
        </w:rPr>
        <w:tab/>
        <w:t>of the</w:t>
      </w:r>
      <w:r>
        <w:rPr>
          <w:i/>
        </w:rPr>
        <w:t xml:space="preserve"> Workers’ Compensation and Injury Management Act 1981</w:t>
      </w:r>
      <w:r>
        <w:rPr>
          <w:snapToGrid w:val="0"/>
        </w:rPr>
        <w:t>;</w:t>
      </w:r>
    </w:p>
    <w:p>
      <w:pPr>
        <w:pStyle w:val="Indenta"/>
        <w:rPr>
          <w:snapToGrid w:val="0"/>
        </w:rPr>
      </w:pPr>
      <w:r>
        <w:rPr>
          <w:snapToGrid w:val="0"/>
        </w:rPr>
        <w:tab/>
        <w:t>(c)</w:t>
      </w:r>
      <w:r>
        <w:rPr>
          <w:snapToGrid w:val="0"/>
        </w:rPr>
        <w:tab/>
        <w:t>to manage and administer insurance and risk management arrangements on behalf of public authorities;</w:t>
      </w:r>
    </w:p>
    <w:p>
      <w:pPr>
        <w:pStyle w:val="Indenta"/>
      </w:pPr>
      <w:r>
        <w:tab/>
        <w:t>(ca)</w:t>
      </w:r>
      <w:r>
        <w:tab/>
        <w:t xml:space="preserve">to manage and administer insurance and risk management arrangements on behalf of eligible community organisations; </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w:t>
      </w:r>
    </w:p>
    <w:p>
      <w:pPr>
        <w:pStyle w:val="Indenta"/>
        <w:rPr>
          <w:snapToGrid w:val="0"/>
        </w:rPr>
      </w:pPr>
      <w:r>
        <w:rPr>
          <w:snapToGrid w:val="0"/>
        </w:rPr>
        <w:tab/>
        <w:t>(f)</w:t>
      </w:r>
      <w:r>
        <w:rPr>
          <w:snapToGrid w:val="0"/>
        </w:rPr>
        <w:tab/>
        <w:t>to provide advice to the Government on matters relating to insurance and risk management;</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authorized or required to do or engage in under any written law.</w:t>
      </w:r>
    </w:p>
    <w:p>
      <w:pPr>
        <w:pStyle w:val="Footnotesection"/>
      </w:pPr>
      <w:r>
        <w:tab/>
        <w:t xml:space="preserve">[Section 6 amended by No. 49 of 1992 s.28; No. 45 of 1996 s.10; No. 34 of 2002 s.6; No. 42 of 2004 s. 174.] </w:t>
      </w:r>
    </w:p>
    <w:p>
      <w:pPr>
        <w:pStyle w:val="Heading5"/>
        <w:rPr>
          <w:snapToGrid w:val="0"/>
        </w:rPr>
      </w:pPr>
      <w:bookmarkStart w:id="29" w:name="_Toc517674449"/>
      <w:bookmarkStart w:id="30" w:name="_Toc139707294"/>
      <w:r>
        <w:rPr>
          <w:rStyle w:val="CharSectno"/>
        </w:rPr>
        <w:t>7</w:t>
      </w:r>
      <w:r>
        <w:rPr>
          <w:snapToGrid w:val="0"/>
        </w:rPr>
        <w:t>.</w:t>
      </w:r>
      <w:r>
        <w:rPr>
          <w:snapToGrid w:val="0"/>
        </w:rPr>
        <w:tab/>
        <w:t>Powers</w:t>
      </w:r>
      <w:bookmarkEnd w:id="29"/>
      <w:bookmarkEnd w:id="30"/>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w:t>
      </w:r>
    </w:p>
    <w:p>
      <w:pPr>
        <w:pStyle w:val="Indenta"/>
        <w:rPr>
          <w:snapToGrid w:val="0"/>
        </w:rPr>
      </w:pPr>
      <w:r>
        <w:rPr>
          <w:snapToGrid w:val="0"/>
        </w:rPr>
        <w:tab/>
        <w:t>(aa)</w:t>
      </w:r>
      <w:r>
        <w:rPr>
          <w:snapToGrid w:val="0"/>
        </w:rPr>
        <w:tab/>
        <w:t>to fix and collect such fees, charges or other payments as it considers appropriate for or in respect of services it provides;</w:t>
      </w:r>
    </w:p>
    <w:p>
      <w:pPr>
        <w:pStyle w:val="Indenta"/>
        <w:rPr>
          <w:snapToGrid w:val="0"/>
        </w:rPr>
      </w:pPr>
      <w:r>
        <w:rPr>
          <w:snapToGrid w:val="0"/>
        </w:rPr>
        <w:tab/>
        <w:t>(b)</w:t>
      </w:r>
      <w:r>
        <w:rPr>
          <w:snapToGrid w:val="0"/>
        </w:rPr>
        <w:tab/>
        <w:t>to lend moneys and provide credit;</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w:t>
      </w:r>
    </w:p>
    <w:p>
      <w:pPr>
        <w:pStyle w:val="Indenta"/>
        <w:rPr>
          <w:snapToGrid w:val="0"/>
        </w:rPr>
      </w:pPr>
      <w:r>
        <w:rPr>
          <w:snapToGrid w:val="0"/>
        </w:rPr>
        <w:tab/>
        <w:t>(d)</w:t>
      </w:r>
      <w:r>
        <w:rPr>
          <w:snapToGrid w:val="0"/>
        </w:rPr>
        <w:tab/>
        <w:t>to issue, draw, make, accept, endorse, and discount bills of exchange and promissory notes;</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w:t>
      </w:r>
    </w:p>
    <w:p>
      <w:pPr>
        <w:pStyle w:val="Indenta"/>
        <w:rPr>
          <w:snapToGrid w:val="0"/>
        </w:rPr>
      </w:pPr>
      <w:r>
        <w:rPr>
          <w:snapToGrid w:val="0"/>
        </w:rPr>
        <w:tab/>
        <w:t>(f)</w:t>
      </w:r>
      <w:r>
        <w:rPr>
          <w:snapToGrid w:val="0"/>
        </w:rPr>
        <w:tab/>
        <w:t>to form or establish, or participate in the formation or establishment of, any business undertaking;</w:t>
      </w:r>
    </w:p>
    <w:p>
      <w:pPr>
        <w:pStyle w:val="Indenta"/>
        <w:rPr>
          <w:snapToGrid w:val="0"/>
        </w:rPr>
      </w:pPr>
      <w:r>
        <w:rPr>
          <w:snapToGrid w:val="0"/>
        </w:rPr>
        <w:tab/>
        <w:t>(g)</w:t>
      </w:r>
      <w:r>
        <w:rPr>
          <w:snapToGrid w:val="0"/>
        </w:rPr>
        <w:tab/>
        <w:t>to subscribe for, invest in or otherwise acquire any investment and to deal in or dispose of any investment;</w:t>
      </w:r>
    </w:p>
    <w:p>
      <w:pPr>
        <w:pStyle w:val="Indenta"/>
        <w:rPr>
          <w:snapToGrid w:val="0"/>
        </w:rPr>
      </w:pPr>
      <w:r>
        <w:rPr>
          <w:snapToGrid w:val="0"/>
        </w:rPr>
        <w:tab/>
        <w:t>(h)</w:t>
      </w:r>
      <w:r>
        <w:rPr>
          <w:snapToGrid w:val="0"/>
        </w:rPr>
        <w:tab/>
        <w:t>to enter into a partnership or an arrangement for sharing of profits;</w:t>
      </w:r>
    </w:p>
    <w:p>
      <w:pPr>
        <w:pStyle w:val="Indenta"/>
        <w:rPr>
          <w:snapToGrid w:val="0"/>
        </w:rPr>
      </w:pPr>
      <w:r>
        <w:rPr>
          <w:snapToGrid w:val="0"/>
        </w:rPr>
        <w:tab/>
        <w:t>(i)</w:t>
      </w:r>
      <w:r>
        <w:rPr>
          <w:snapToGrid w:val="0"/>
        </w:rPr>
        <w:tab/>
        <w:t>to underwrite issues of shares in, or debentures or other securities of, any business undertaking;</w:t>
      </w:r>
    </w:p>
    <w:p>
      <w:pPr>
        <w:pStyle w:val="Indenta"/>
        <w:rPr>
          <w:snapToGrid w:val="0"/>
        </w:rPr>
      </w:pPr>
      <w:r>
        <w:rPr>
          <w:snapToGrid w:val="0"/>
        </w:rPr>
        <w:tab/>
        <w:t>(j)</w:t>
      </w:r>
      <w:r>
        <w:rPr>
          <w:snapToGrid w:val="0"/>
        </w:rPr>
        <w:tab/>
        <w:t>to appoint or engage agents, custodians, brokers and attorneys;</w:t>
      </w:r>
    </w:p>
    <w:p>
      <w:pPr>
        <w:pStyle w:val="Indenta"/>
        <w:rPr>
          <w:snapToGrid w:val="0"/>
        </w:rPr>
      </w:pPr>
      <w:r>
        <w:rPr>
          <w:snapToGrid w:val="0"/>
        </w:rPr>
        <w:tab/>
        <w:t>(k)</w:t>
      </w:r>
      <w:r>
        <w:rPr>
          <w:snapToGrid w:val="0"/>
        </w:rPr>
        <w:tab/>
        <w:t>to exercise any right conferred upon the Commission to appoint a director of, or hold office in, a business undertaking;</w:t>
      </w:r>
    </w:p>
    <w:p>
      <w:pPr>
        <w:pStyle w:val="Indenta"/>
        <w:rPr>
          <w:snapToGrid w:val="0"/>
        </w:rPr>
      </w:pPr>
      <w:r>
        <w:rPr>
          <w:snapToGrid w:val="0"/>
        </w:rPr>
        <w:tab/>
        <w:t>(l)</w:t>
      </w:r>
      <w:r>
        <w:rPr>
          <w:snapToGrid w:val="0"/>
        </w:rPr>
        <w:tab/>
        <w:t>to establish advisory groups and act on the advice of such groups;</w:t>
      </w:r>
    </w:p>
    <w:p>
      <w:pPr>
        <w:pStyle w:val="Indenta"/>
        <w:rPr>
          <w:snapToGrid w:val="0"/>
        </w:rPr>
      </w:pPr>
      <w:r>
        <w:rPr>
          <w:snapToGrid w:val="0"/>
        </w:rPr>
        <w:tab/>
        <w:t>(m)</w:t>
      </w:r>
      <w:r>
        <w:rPr>
          <w:snapToGrid w:val="0"/>
        </w:rPr>
        <w:tab/>
        <w:t>to act as agent for other persons or public authorities;</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w:t>
      </w:r>
    </w:p>
    <w:p>
      <w:pPr>
        <w:pStyle w:val="Ednotepara"/>
        <w:rPr>
          <w:snapToGrid w:val="0"/>
        </w:rPr>
      </w:pPr>
      <w:r>
        <w:rPr>
          <w:snapToGrid w:val="0"/>
        </w:rPr>
        <w:tab/>
        <w:t>[(o)</w:t>
      </w:r>
      <w:r>
        <w:rPr>
          <w:snapToGrid w:val="0"/>
        </w:rPr>
        <w:tab/>
        <w:t>deleted]</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rPr>
          <w:snapToGrid w:val="0"/>
        </w:rPr>
      </w:pPr>
      <w:r>
        <w:rPr>
          <w:snapToGrid w:val="0"/>
        </w:rPr>
        <w:tab/>
        <w:t>(a)</w:t>
      </w:r>
      <w:r>
        <w:rPr>
          <w:snapToGrid w:val="0"/>
        </w:rPr>
        <w:tab/>
        <w:t>power to invest in real or personal property of any kind; and</w:t>
      </w:r>
    </w:p>
    <w:p>
      <w:pPr>
        <w:pStyle w:val="Indenta"/>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pPr>
      <w:r>
        <w:tab/>
        <w:t xml:space="preserve">[Section 7 amended by No. 49 of 1992 s.28; No. 45 of 1996 s.11; No. 34 of 2002 s.7; No. 42 of 2004 s. 174.] </w:t>
      </w:r>
    </w:p>
    <w:p>
      <w:pPr>
        <w:pStyle w:val="Heading5"/>
        <w:spacing w:before="120"/>
        <w:rPr>
          <w:snapToGrid w:val="0"/>
        </w:rPr>
      </w:pPr>
      <w:bookmarkStart w:id="31" w:name="_Toc517674450"/>
      <w:bookmarkStart w:id="32" w:name="_Toc139707295"/>
      <w:r>
        <w:rPr>
          <w:rStyle w:val="CharSectno"/>
        </w:rPr>
        <w:t>8</w:t>
      </w:r>
      <w:r>
        <w:rPr>
          <w:snapToGrid w:val="0"/>
        </w:rPr>
        <w:t>.</w:t>
      </w:r>
      <w:r>
        <w:rPr>
          <w:snapToGrid w:val="0"/>
        </w:rPr>
        <w:tab/>
        <w:t>Commission to act efficiently and economically</w:t>
      </w:r>
      <w:bookmarkEnd w:id="31"/>
      <w:bookmarkEnd w:id="32"/>
      <w:r>
        <w:rPr>
          <w:snapToGrid w:val="0"/>
        </w:rPr>
        <w:t xml:space="preserve"> </w:t>
      </w:r>
    </w:p>
    <w:p>
      <w:pPr>
        <w:pStyle w:val="Subsection"/>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20"/>
        <w:rPr>
          <w:snapToGrid w:val="0"/>
        </w:rPr>
      </w:pPr>
      <w:bookmarkStart w:id="33" w:name="_Toc517674451"/>
      <w:bookmarkStart w:id="34" w:name="_Toc139707296"/>
      <w:r>
        <w:rPr>
          <w:rStyle w:val="CharSectno"/>
        </w:rPr>
        <w:t>9</w:t>
      </w:r>
      <w:r>
        <w:rPr>
          <w:snapToGrid w:val="0"/>
        </w:rPr>
        <w:t>.</w:t>
      </w:r>
      <w:r>
        <w:rPr>
          <w:snapToGrid w:val="0"/>
        </w:rPr>
        <w:tab/>
        <w:t>Delegation</w:t>
      </w:r>
      <w:bookmarkEnd w:id="33"/>
      <w:bookmarkEnd w:id="34"/>
      <w:r>
        <w:rPr>
          <w:snapToGrid w:val="0"/>
        </w:rPr>
        <w:t xml:space="preserve"> </w:t>
      </w:r>
    </w:p>
    <w:p>
      <w:pPr>
        <w:pStyle w:val="Subsection"/>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pPr>
      <w:r>
        <w:tab/>
        <w:t>[Section 9 amended by No. 49 of 1992 s.28.]</w:t>
      </w:r>
    </w:p>
    <w:p>
      <w:pPr>
        <w:pStyle w:val="Heading5"/>
        <w:rPr>
          <w:snapToGrid w:val="0"/>
        </w:rPr>
      </w:pPr>
      <w:bookmarkStart w:id="35" w:name="_Toc517674452"/>
      <w:bookmarkStart w:id="36" w:name="_Toc139707297"/>
      <w:r>
        <w:rPr>
          <w:rStyle w:val="CharSectno"/>
        </w:rPr>
        <w:t>10</w:t>
      </w:r>
      <w:r>
        <w:rPr>
          <w:snapToGrid w:val="0"/>
        </w:rPr>
        <w:t>.</w:t>
      </w:r>
      <w:r>
        <w:rPr>
          <w:snapToGrid w:val="0"/>
        </w:rPr>
        <w:tab/>
        <w:t>Directions by Minister</w:t>
      </w:r>
      <w:bookmarkEnd w:id="35"/>
      <w:bookmarkEnd w:id="36"/>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its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section 66 of the </w:t>
      </w:r>
      <w:r>
        <w:rPr>
          <w:i/>
          <w:snapToGrid w:val="0"/>
        </w:rPr>
        <w:t>Financial Administration and Audit Act 1985</w:t>
      </w:r>
      <w:r>
        <w:rPr>
          <w:snapToGrid w:val="0"/>
        </w:rP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10 amended by No. 5 of 1989 s.16; No. 41 of 1996 s.3.]</w:t>
      </w:r>
    </w:p>
    <w:p>
      <w:pPr>
        <w:pStyle w:val="Heading5"/>
        <w:rPr>
          <w:snapToGrid w:val="0"/>
        </w:rPr>
      </w:pPr>
      <w:bookmarkStart w:id="37" w:name="_Toc517674453"/>
      <w:bookmarkStart w:id="38" w:name="_Toc139707298"/>
      <w:r>
        <w:rPr>
          <w:rStyle w:val="CharSectno"/>
        </w:rPr>
        <w:t>10A</w:t>
      </w:r>
      <w:r>
        <w:rPr>
          <w:snapToGrid w:val="0"/>
        </w:rPr>
        <w:t>.</w:t>
      </w:r>
      <w:r>
        <w:rPr>
          <w:snapToGrid w:val="0"/>
        </w:rPr>
        <w:tab/>
        <w:t>Minister to have access to information</w:t>
      </w:r>
      <w:bookmarkEnd w:id="37"/>
      <w:bookmarkEnd w:id="38"/>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Commission;</w:t>
      </w:r>
    </w:p>
    <w:p>
      <w:pPr>
        <w:pStyle w:val="Defstart"/>
      </w:pPr>
      <w:r>
        <w:rPr>
          <w:b/>
        </w:rPr>
        <w:tab/>
        <w:t>“</w:t>
      </w:r>
      <w:r>
        <w:rPr>
          <w:rStyle w:val="CharDefText"/>
        </w:rPr>
        <w:t xml:space="preserve">staff </w:t>
      </w:r>
      <w:r>
        <w:rPr>
          <w:b/>
        </w:rPr>
        <w:t>”</w:t>
      </w:r>
      <w:r>
        <w:t xml:space="preserve"> includes persons whose services are used under section 13.</w:t>
      </w:r>
    </w:p>
    <w:p>
      <w:pPr>
        <w:pStyle w:val="Footnotesection"/>
      </w:pPr>
      <w:r>
        <w:tab/>
        <w:t xml:space="preserve">[Section 10A inserted by No. 45 of 1996 s.12.] </w:t>
      </w:r>
    </w:p>
    <w:p>
      <w:pPr>
        <w:pStyle w:val="Heading5"/>
        <w:rPr>
          <w:snapToGrid w:val="0"/>
        </w:rPr>
      </w:pPr>
      <w:bookmarkStart w:id="39" w:name="_Toc517674454"/>
      <w:bookmarkStart w:id="40" w:name="_Toc139707299"/>
      <w:r>
        <w:rPr>
          <w:rStyle w:val="CharSectno"/>
        </w:rPr>
        <w:t>10B</w:t>
      </w:r>
      <w:r>
        <w:rPr>
          <w:snapToGrid w:val="0"/>
        </w:rPr>
        <w:t>.</w:t>
      </w:r>
      <w:r>
        <w:rPr>
          <w:snapToGrid w:val="0"/>
        </w:rPr>
        <w:tab/>
        <w:t>Confidential information</w:t>
      </w:r>
      <w:bookmarkEnd w:id="39"/>
      <w:bookmarkEnd w:id="40"/>
      <w:r>
        <w:rPr>
          <w:snapToGrid w:val="0"/>
        </w:rPr>
        <w:t xml:space="preserve"> </w:t>
      </w:r>
    </w:p>
    <w:p>
      <w:pPr>
        <w:pStyle w:val="Subsection"/>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authorized by the customer.</w:t>
      </w:r>
    </w:p>
    <w:p>
      <w:pPr>
        <w:pStyle w:val="Subsection"/>
        <w:rPr>
          <w:snapToGrid w:val="0"/>
        </w:rPr>
      </w:pPr>
      <w:r>
        <w:rPr>
          <w:snapToGrid w:val="0"/>
        </w:rPr>
        <w:tab/>
        <w:t>(3)</w:t>
      </w:r>
      <w:r>
        <w:rPr>
          <w:snapToGrid w:val="0"/>
        </w:rPr>
        <w:tab/>
        <w:t xml:space="preserve">In this section — </w:t>
      </w:r>
    </w:p>
    <w:p>
      <w:pPr>
        <w:pStyle w:val="Defstart"/>
      </w:pPr>
      <w:r>
        <w:rPr>
          <w:b/>
        </w:rPr>
        <w:tab/>
        <w:t>“</w:t>
      </w:r>
      <w:r>
        <w:rPr>
          <w:rStyle w:val="CharDefText"/>
        </w:rPr>
        <w:t>Commission</w:t>
      </w:r>
      <w:r>
        <w:rPr>
          <w:b/>
        </w:rPr>
        <w:t>”</w:t>
      </w:r>
      <w:r>
        <w:t xml:space="preserve"> includes the State Government Insurance Office established by the </w:t>
      </w:r>
      <w:r>
        <w:rPr>
          <w:i/>
        </w:rPr>
        <w:t>State Government Insurance Office Act 1938</w:t>
      </w:r>
      <w:r>
        <w:t xml:space="preserve"> and the Motor Vehicle Insurance Trust constituted by the </w:t>
      </w:r>
      <w:r>
        <w:rPr>
          <w:i/>
        </w:rPr>
        <w:t>Motor Vehicle (Third Party Insurance) Act 1943</w:t>
      </w:r>
      <w:r>
        <w:t>;</w:t>
      </w:r>
    </w:p>
    <w:p>
      <w:pPr>
        <w:pStyle w:val="Defstart"/>
      </w:pPr>
      <w:r>
        <w:rPr>
          <w:b/>
        </w:rPr>
        <w:tab/>
        <w:t>“</w:t>
      </w:r>
      <w:r>
        <w:rPr>
          <w:rStyle w:val="CharDefText"/>
        </w:rPr>
        <w:t>customer</w:t>
      </w:r>
      <w:r>
        <w:rPr>
          <w:b/>
        </w:rPr>
        <w:t>”</w:t>
      </w:r>
      <w:r>
        <w:t xml:space="preserve"> means a person who is or may become a current or former insured party of, or a claimant against, the Commission and an agent, broker or attorney appointed or engaged by the Commission.</w:t>
      </w:r>
    </w:p>
    <w:p>
      <w:pPr>
        <w:pStyle w:val="Footnotesection"/>
      </w:pPr>
      <w:r>
        <w:tab/>
        <w:t xml:space="preserve">[Section 10B inserted by No. 45 of 1996 s.12.] </w:t>
      </w:r>
    </w:p>
    <w:p>
      <w:pPr>
        <w:pStyle w:val="Heading3"/>
        <w:rPr>
          <w:snapToGrid w:val="0"/>
        </w:rPr>
      </w:pPr>
      <w:bookmarkStart w:id="41" w:name="_Toc92782877"/>
      <w:bookmarkStart w:id="42" w:name="_Toc92782991"/>
      <w:bookmarkStart w:id="43" w:name="_Toc139707300"/>
      <w:r>
        <w:rPr>
          <w:rStyle w:val="CharDivNo"/>
        </w:rPr>
        <w:t>Division 3</w:t>
      </w:r>
      <w:r>
        <w:rPr>
          <w:snapToGrid w:val="0"/>
        </w:rPr>
        <w:t> — </w:t>
      </w:r>
      <w:r>
        <w:rPr>
          <w:rStyle w:val="CharDivText"/>
        </w:rPr>
        <w:t>Staff of the Commission</w:t>
      </w:r>
      <w:bookmarkEnd w:id="41"/>
      <w:bookmarkEnd w:id="42"/>
      <w:bookmarkEnd w:id="43"/>
      <w:r>
        <w:rPr>
          <w:rStyle w:val="CharDivText"/>
        </w:rPr>
        <w:t xml:space="preserve"> </w:t>
      </w:r>
    </w:p>
    <w:p>
      <w:pPr>
        <w:pStyle w:val="Heading5"/>
        <w:rPr>
          <w:snapToGrid w:val="0"/>
        </w:rPr>
      </w:pPr>
      <w:bookmarkStart w:id="44" w:name="_Toc517674455"/>
      <w:bookmarkStart w:id="45" w:name="_Toc139707301"/>
      <w:r>
        <w:rPr>
          <w:rStyle w:val="CharSectno"/>
        </w:rPr>
        <w:t>11</w:t>
      </w:r>
      <w:r>
        <w:rPr>
          <w:snapToGrid w:val="0"/>
        </w:rPr>
        <w:t>.</w:t>
      </w:r>
      <w:r>
        <w:rPr>
          <w:snapToGrid w:val="0"/>
        </w:rPr>
        <w:tab/>
        <w:t>Managing director</w:t>
      </w:r>
      <w:bookmarkEnd w:id="44"/>
      <w:bookmarkEnd w:id="45"/>
      <w:r>
        <w:rPr>
          <w:snapToGrid w:val="0"/>
        </w:rPr>
        <w:t xml:space="preserve"> </w:t>
      </w:r>
    </w:p>
    <w:p>
      <w:pPr>
        <w:pStyle w:val="Subsection"/>
        <w:rPr>
          <w:snapToGrid w:val="0"/>
        </w:rPr>
      </w:pPr>
      <w:r>
        <w:rPr>
          <w:snapToGrid w:val="0"/>
        </w:rPr>
        <w:tab/>
        <w:t>(1)</w:t>
      </w:r>
      <w:r>
        <w:rPr>
          <w:snapToGrid w:val="0"/>
        </w:rPr>
        <w:tab/>
        <w:t>There shall be an office of managing director of the Commission.</w:t>
      </w:r>
    </w:p>
    <w:p>
      <w:pPr>
        <w:pStyle w:val="Subsection"/>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rPr>
          <w:snapToGrid w:val="0"/>
        </w:rPr>
      </w:pPr>
      <w:r>
        <w:rPr>
          <w:snapToGrid w:val="0"/>
        </w:rPr>
        <w:tab/>
        <w:t>(3)</w:t>
      </w:r>
      <w:r>
        <w:rPr>
          <w:snapToGrid w:val="0"/>
        </w:rPr>
        <w:tab/>
        <w:t>The managing director shall be appointed by the Governor on the nomination of the Minister.</w:t>
      </w:r>
    </w:p>
    <w:p>
      <w:pPr>
        <w:pStyle w:val="Subsection"/>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rPr>
          <w:snapToGrid w:val="0"/>
        </w:rPr>
      </w:pPr>
      <w:r>
        <w:rPr>
          <w:snapToGrid w:val="0"/>
        </w:rPr>
        <w:tab/>
        <w:t>(5)</w:t>
      </w:r>
      <w:r>
        <w:rPr>
          <w:snapToGrid w:val="0"/>
        </w:rPr>
        <w:tab/>
        <w:t xml:space="preserve">Subject to the </w:t>
      </w:r>
      <w:r>
        <w:rPr>
          <w:i/>
          <w:snapToGrid w:val="0"/>
        </w:rPr>
        <w:t>Salaries and Allowances Act 1975</w:t>
      </w:r>
      <w:r>
        <w:rPr>
          <w:snapToGrid w:val="0"/>
        </w:rPr>
        <w:t>, the remuneration and allowances payable to, and the conditions of service of, the managing director shall be such as are determined by the Minister on the recommendation of the Public Service Board</w:t>
      </w:r>
      <w:r>
        <w:rPr>
          <w:snapToGrid w:val="0"/>
          <w:vertAlign w:val="superscript"/>
        </w:rPr>
        <w:t xml:space="preserve"> 3</w:t>
      </w:r>
      <w:r>
        <w:rPr>
          <w:snapToGrid w:val="0"/>
        </w:rPr>
        <w:t>.</w:t>
      </w:r>
    </w:p>
    <w:p>
      <w:pPr>
        <w:pStyle w:val="Subsection"/>
        <w:rPr>
          <w:snapToGrid w:val="0"/>
        </w:rPr>
      </w:pPr>
      <w:r>
        <w:rPr>
          <w:snapToGrid w:val="0"/>
        </w:rPr>
        <w:tab/>
        <w:t>(6)</w:t>
      </w:r>
      <w:r>
        <w:rPr>
          <w:snapToGrid w:val="0"/>
        </w:rPr>
        <w:tab/>
        <w:t>The managing director may resign his office by notice in writing delivered to the Minister.</w:t>
      </w:r>
    </w:p>
    <w:p>
      <w:pPr>
        <w:pStyle w:val="Subsection"/>
        <w:rPr>
          <w:snapToGrid w:val="0"/>
        </w:rPr>
      </w:pPr>
      <w:r>
        <w:rPr>
          <w:snapToGrid w:val="0"/>
        </w:rPr>
        <w:tab/>
        <w:t>(7)</w:t>
      </w:r>
      <w:r>
        <w:rPr>
          <w:snapToGrid w:val="0"/>
        </w:rPr>
        <w:tab/>
        <w:t>The managing director may be removed from office by the Governor for any reason mentioned in clause 2(4) of Schedule 1.</w:t>
      </w:r>
    </w:p>
    <w:p>
      <w:pPr>
        <w:pStyle w:val="Subsection"/>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Heading5"/>
        <w:rPr>
          <w:snapToGrid w:val="0"/>
        </w:rPr>
      </w:pPr>
      <w:bookmarkStart w:id="46" w:name="_Toc517674456"/>
      <w:bookmarkStart w:id="47" w:name="_Toc139707302"/>
      <w:r>
        <w:rPr>
          <w:rStyle w:val="CharSectno"/>
        </w:rPr>
        <w:t>12</w:t>
      </w:r>
      <w:r>
        <w:rPr>
          <w:snapToGrid w:val="0"/>
        </w:rPr>
        <w:t>.</w:t>
      </w:r>
      <w:r>
        <w:rPr>
          <w:snapToGrid w:val="0"/>
        </w:rPr>
        <w:tab/>
        <w:t>Appointment of staff and consultants</w:t>
      </w:r>
      <w:bookmarkEnd w:id="46"/>
      <w:bookmarkEnd w:id="47"/>
      <w:r>
        <w:rPr>
          <w:snapToGrid w:val="0"/>
        </w:rPr>
        <w:t xml:space="preserve"> </w:t>
      </w:r>
    </w:p>
    <w:p>
      <w:pPr>
        <w:pStyle w:val="Subsection"/>
        <w:rPr>
          <w:snapToGrid w:val="0"/>
        </w:rPr>
      </w:pPr>
      <w:r>
        <w:rPr>
          <w:snapToGrid w:val="0"/>
        </w:rPr>
        <w:tab/>
        <w:t>(1)</w:t>
      </w:r>
      <w:r>
        <w:rPr>
          <w:snapToGrid w:val="0"/>
        </w:rPr>
        <w:tab/>
        <w:t>The Commission may appoint such officers and employees, either full time or part time, as the board considers necessary to enable the Commission and the Corporation to carry out their respective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considers necessary to enable the Commission and the Corporation to carry out their respective functions.</w:t>
      </w:r>
    </w:p>
    <w:p>
      <w:pPr>
        <w:pStyle w:val="Heading5"/>
        <w:rPr>
          <w:snapToGrid w:val="0"/>
        </w:rPr>
      </w:pPr>
      <w:bookmarkStart w:id="48" w:name="_Toc517674457"/>
      <w:bookmarkStart w:id="49" w:name="_Toc139707303"/>
      <w:r>
        <w:rPr>
          <w:rStyle w:val="CharSectno"/>
        </w:rPr>
        <w:t>12A</w:t>
      </w:r>
      <w:r>
        <w:rPr>
          <w:snapToGrid w:val="0"/>
        </w:rPr>
        <w:t>.</w:t>
      </w:r>
      <w:r>
        <w:rPr>
          <w:snapToGrid w:val="0"/>
        </w:rPr>
        <w:tab/>
        <w:t>Status of managing director and officers and employees of Commission</w:t>
      </w:r>
      <w:bookmarkEnd w:id="48"/>
      <w:bookmarkEnd w:id="49"/>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Service Act 1978</w:t>
      </w:r>
      <w:r>
        <w:rPr>
          <w:snapToGrid w:val="0"/>
          <w:vertAlign w:val="superscript"/>
        </w:rPr>
        <w:t xml:space="preserve"> 4</w:t>
      </w:r>
      <w:r>
        <w:rPr>
          <w:snapToGrid w:val="0"/>
        </w:rPr>
        <w:t xml:space="preserve"> an inconsistency between this Act and that Act that Act shall prevail.</w:t>
      </w:r>
    </w:p>
    <w:p>
      <w:pPr>
        <w:pStyle w:val="Footnotesection"/>
      </w:pPr>
      <w:r>
        <w:tab/>
        <w:t xml:space="preserve">[Section 12A inserted by No. 113 of 1987 s.32.] </w:t>
      </w:r>
    </w:p>
    <w:p>
      <w:pPr>
        <w:pStyle w:val="Heading5"/>
        <w:rPr>
          <w:snapToGrid w:val="0"/>
        </w:rPr>
      </w:pPr>
      <w:bookmarkStart w:id="50" w:name="_Toc517674458"/>
      <w:bookmarkStart w:id="51" w:name="_Toc139707304"/>
      <w:r>
        <w:rPr>
          <w:rStyle w:val="CharSectno"/>
        </w:rPr>
        <w:t>13</w:t>
      </w:r>
      <w:r>
        <w:rPr>
          <w:snapToGrid w:val="0"/>
        </w:rPr>
        <w:t>.</w:t>
      </w:r>
      <w:r>
        <w:rPr>
          <w:snapToGrid w:val="0"/>
        </w:rPr>
        <w:tab/>
        <w:t>Use of staff and facilities of departments and instrumentalities</w:t>
      </w:r>
      <w:bookmarkEnd w:id="50"/>
      <w:bookmarkEnd w:id="51"/>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full-time or part-time,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s.19.]</w:t>
      </w:r>
    </w:p>
    <w:p>
      <w:pPr>
        <w:pStyle w:val="Heading5"/>
        <w:rPr>
          <w:snapToGrid w:val="0"/>
        </w:rPr>
      </w:pPr>
      <w:bookmarkStart w:id="52" w:name="_Toc517674459"/>
      <w:bookmarkStart w:id="53" w:name="_Toc139707305"/>
      <w:r>
        <w:rPr>
          <w:rStyle w:val="CharSectno"/>
        </w:rPr>
        <w:t>13A</w:t>
      </w:r>
      <w:r>
        <w:rPr>
          <w:snapToGrid w:val="0"/>
        </w:rPr>
        <w:t>.</w:t>
      </w:r>
      <w:r>
        <w:rPr>
          <w:snapToGrid w:val="0"/>
        </w:rPr>
        <w:tab/>
        <w:t>Use of staff and facilities of an insurer</w:t>
      </w:r>
      <w:bookmarkEnd w:id="52"/>
      <w:bookmarkEnd w:id="53"/>
      <w:r>
        <w:rPr>
          <w:snapToGrid w:val="0"/>
        </w:rPr>
        <w:t xml:space="preserve"> </w:t>
      </w:r>
    </w:p>
    <w:p>
      <w:pPr>
        <w:pStyle w:val="Subsection"/>
        <w:rPr>
          <w:snapToGrid w:val="0"/>
        </w:rPr>
      </w:pPr>
      <w:r>
        <w:rPr>
          <w:snapToGrid w:val="0"/>
        </w:rPr>
        <w:tab/>
      </w:r>
      <w:r>
        <w:rPr>
          <w:snapToGrid w:val="0"/>
        </w:rPr>
        <w:tab/>
        <w:t>The Commission may arrange to make use, either full-time or part-time,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s.28.] </w:t>
      </w:r>
    </w:p>
    <w:p>
      <w:pPr>
        <w:pStyle w:val="Heading5"/>
        <w:rPr>
          <w:snapToGrid w:val="0"/>
        </w:rPr>
      </w:pPr>
      <w:bookmarkStart w:id="54" w:name="_Toc517674460"/>
      <w:bookmarkStart w:id="55" w:name="_Toc139707306"/>
      <w:r>
        <w:rPr>
          <w:rStyle w:val="CharSectno"/>
        </w:rPr>
        <w:t>14</w:t>
      </w:r>
      <w:r>
        <w:rPr>
          <w:snapToGrid w:val="0"/>
        </w:rPr>
        <w:t>.</w:t>
      </w:r>
      <w:r>
        <w:rPr>
          <w:snapToGrid w:val="0"/>
        </w:rPr>
        <w:tab/>
        <w:t>Superannuation</w:t>
      </w:r>
      <w:bookmarkEnd w:id="54"/>
      <w:bookmarkEnd w:id="55"/>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b/>
          <w:snapToGrid w:val="0"/>
        </w:rPr>
        <w:t>“</w:t>
      </w:r>
      <w:r>
        <w:rPr>
          <w:rStyle w:val="CharDefText"/>
        </w:rPr>
        <w:t>officers and employees</w:t>
      </w:r>
      <w:r>
        <w:rPr>
          <w:b/>
          <w:snapToGrid w:val="0"/>
        </w:rPr>
        <w:t>”</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s.28.] </w:t>
      </w:r>
    </w:p>
    <w:p>
      <w:pPr>
        <w:pStyle w:val="Heading3"/>
        <w:rPr>
          <w:rStyle w:val="CharDivText"/>
        </w:rPr>
      </w:pPr>
      <w:bookmarkStart w:id="56" w:name="_Toc138750588"/>
      <w:bookmarkStart w:id="57" w:name="_Toc138751273"/>
      <w:bookmarkStart w:id="58" w:name="_Toc139167014"/>
      <w:bookmarkStart w:id="59" w:name="_Toc139707307"/>
      <w:bookmarkStart w:id="60" w:name="_Toc92782884"/>
      <w:bookmarkStart w:id="61" w:name="_Toc92782998"/>
      <w:r>
        <w:rPr>
          <w:rStyle w:val="CharDivNo"/>
        </w:rPr>
        <w:t>Division 3A</w:t>
      </w:r>
      <w:r>
        <w:t> — </w:t>
      </w:r>
      <w:r>
        <w:rPr>
          <w:rStyle w:val="CharDivText"/>
        </w:rPr>
        <w:t>Strategic development plan and statement of corporate intent</w:t>
      </w:r>
      <w:bookmarkEnd w:id="56"/>
      <w:bookmarkEnd w:id="57"/>
      <w:bookmarkEnd w:id="58"/>
      <w:bookmarkEnd w:id="59"/>
    </w:p>
    <w:p>
      <w:pPr>
        <w:pStyle w:val="Footnoteheading"/>
      </w:pPr>
      <w:r>
        <w:tab/>
        <w:t>[Heading inserted by No. 28 of 2006 s. 425.]</w:t>
      </w:r>
    </w:p>
    <w:p>
      <w:pPr>
        <w:pStyle w:val="Heading5"/>
      </w:pPr>
      <w:bookmarkStart w:id="62" w:name="_Toc138751274"/>
      <w:bookmarkStart w:id="63" w:name="_Toc139167015"/>
      <w:bookmarkStart w:id="64" w:name="_Toc139707308"/>
      <w:r>
        <w:rPr>
          <w:rStyle w:val="CharSectno"/>
        </w:rPr>
        <w:t>14A</w:t>
      </w:r>
      <w:r>
        <w:t>.</w:t>
      </w:r>
      <w:r>
        <w:tab/>
        <w:t>Duty to observe policy instruments</w:t>
      </w:r>
      <w:bookmarkEnd w:id="62"/>
      <w:bookmarkEnd w:id="63"/>
      <w:bookmarkEnd w:id="64"/>
    </w:p>
    <w:p>
      <w:pPr>
        <w:pStyle w:val="Subsection"/>
      </w:pPr>
      <w:r>
        <w:tab/>
      </w:r>
      <w:r>
        <w:tab/>
        <w:t>The Commission is to perform its functions in accordance with its strategic development plan and its statement of corporate intent as existing from time to time.</w:t>
      </w:r>
    </w:p>
    <w:p>
      <w:pPr>
        <w:pStyle w:val="Footnotesection"/>
      </w:pPr>
      <w:bookmarkStart w:id="65" w:name="_Toc138751275"/>
      <w:bookmarkStart w:id="66" w:name="_Toc139167016"/>
      <w:r>
        <w:tab/>
        <w:t>[Section 14A inserted by No. 28 of 2006 s. 425.]</w:t>
      </w:r>
    </w:p>
    <w:p>
      <w:pPr>
        <w:pStyle w:val="Heading5"/>
      </w:pPr>
      <w:bookmarkStart w:id="67" w:name="_Toc139707309"/>
      <w:r>
        <w:rPr>
          <w:rStyle w:val="CharSectno"/>
        </w:rPr>
        <w:t>14B</w:t>
      </w:r>
      <w:r>
        <w:t>.</w:t>
      </w:r>
      <w:r>
        <w:tab/>
        <w:t>Strategic development plan and statement of corporate intent</w:t>
      </w:r>
      <w:bookmarkEnd w:id="65"/>
      <w:bookmarkEnd w:id="66"/>
      <w:bookmarkEnd w:id="67"/>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68" w:name="_Toc138751276"/>
      <w:bookmarkStart w:id="69" w:name="_Toc139167017"/>
      <w:r>
        <w:tab/>
        <w:t>[Section 14B inserted by No. 28 of 2006 s. 425.]</w:t>
      </w:r>
    </w:p>
    <w:p>
      <w:pPr>
        <w:pStyle w:val="Heading5"/>
      </w:pPr>
      <w:bookmarkStart w:id="70" w:name="_Toc139707310"/>
      <w:r>
        <w:rPr>
          <w:rStyle w:val="CharSectno"/>
        </w:rPr>
        <w:t>14C</w:t>
      </w:r>
      <w:r>
        <w:t>.</w:t>
      </w:r>
      <w:r>
        <w:tab/>
        <w:t>Laying directions about strategic development plan or statement of corporate intent before Parliament</w:t>
      </w:r>
      <w:bookmarkEnd w:id="68"/>
      <w:bookmarkEnd w:id="69"/>
      <w:bookmarkEnd w:id="70"/>
    </w:p>
    <w:p>
      <w:pPr>
        <w:pStyle w:val="Subsection"/>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section 66 of the </w:t>
      </w:r>
      <w:r>
        <w:rPr>
          <w:i/>
        </w:rPr>
        <w:t>Financial Administration and Audit Act 1985</w:t>
      </w:r>
      <w:r>
        <w:t>.</w:t>
      </w:r>
    </w:p>
    <w:p>
      <w:pPr>
        <w:pStyle w:val="Footnotesection"/>
      </w:pPr>
      <w:r>
        <w:tab/>
        <w:t>[Section 14C inserted by No. 28 of 2006 s. 425.]</w:t>
      </w:r>
    </w:p>
    <w:p>
      <w:pPr>
        <w:pStyle w:val="Heading3"/>
        <w:rPr>
          <w:snapToGrid w:val="0"/>
        </w:rPr>
      </w:pPr>
      <w:bookmarkStart w:id="71" w:name="_Toc139707311"/>
      <w:r>
        <w:rPr>
          <w:rStyle w:val="CharDivNo"/>
        </w:rPr>
        <w:t>Division 4</w:t>
      </w:r>
      <w:r>
        <w:rPr>
          <w:snapToGrid w:val="0"/>
        </w:rPr>
        <w:t> — </w:t>
      </w:r>
      <w:r>
        <w:rPr>
          <w:rStyle w:val="CharDivText"/>
        </w:rPr>
        <w:t>Financial provisions relating to the Commission</w:t>
      </w:r>
      <w:bookmarkEnd w:id="60"/>
      <w:bookmarkEnd w:id="61"/>
      <w:bookmarkEnd w:id="71"/>
      <w:r>
        <w:rPr>
          <w:rStyle w:val="CharDivText"/>
        </w:rPr>
        <w:t xml:space="preserve"> </w:t>
      </w:r>
    </w:p>
    <w:p>
      <w:pPr>
        <w:pStyle w:val="Heading4"/>
        <w:rPr>
          <w:snapToGrid w:val="0"/>
        </w:rPr>
      </w:pPr>
      <w:bookmarkStart w:id="72" w:name="_Toc92782885"/>
      <w:bookmarkStart w:id="73" w:name="_Toc92782999"/>
      <w:bookmarkStart w:id="74" w:name="_Toc139707312"/>
      <w:r>
        <w:rPr>
          <w:snapToGrid w:val="0"/>
        </w:rPr>
        <w:t>Subdivision A — Income, expenditure and property of the Commission</w:t>
      </w:r>
      <w:bookmarkEnd w:id="72"/>
      <w:bookmarkEnd w:id="73"/>
      <w:bookmarkEnd w:id="74"/>
      <w:r>
        <w:rPr>
          <w:snapToGrid w:val="0"/>
        </w:rPr>
        <w:t xml:space="preserve"> </w:t>
      </w:r>
    </w:p>
    <w:p>
      <w:pPr>
        <w:pStyle w:val="Heading5"/>
        <w:rPr>
          <w:snapToGrid w:val="0"/>
        </w:rPr>
      </w:pPr>
      <w:bookmarkStart w:id="75" w:name="_Toc517674461"/>
      <w:bookmarkStart w:id="76" w:name="_Toc139707313"/>
      <w:r>
        <w:rPr>
          <w:rStyle w:val="CharSectno"/>
        </w:rPr>
        <w:t>15</w:t>
      </w:r>
      <w:r>
        <w:rPr>
          <w:snapToGrid w:val="0"/>
        </w:rPr>
        <w:t>.</w:t>
      </w:r>
      <w:r>
        <w:rPr>
          <w:snapToGrid w:val="0"/>
        </w:rPr>
        <w:tab/>
        <w:t>Moneys available to the Commission</w:t>
      </w:r>
      <w:bookmarkEnd w:id="75"/>
      <w:bookmarkEnd w:id="76"/>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the Commission, pursuant to any written law, by way of premiums, charges, fees, interest or payment for services;</w:t>
      </w:r>
    </w:p>
    <w:p>
      <w:pPr>
        <w:pStyle w:val="Indenta"/>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w:t>
      </w:r>
    </w:p>
    <w:p>
      <w:pPr>
        <w:pStyle w:val="Indenta"/>
        <w:rPr>
          <w:snapToGrid w:val="0"/>
        </w:rPr>
      </w:pPr>
      <w:r>
        <w:rPr>
          <w:snapToGrid w:val="0"/>
        </w:rPr>
        <w:tab/>
        <w:t>(d)</w:t>
      </w:r>
      <w:r>
        <w:rPr>
          <w:snapToGrid w:val="0"/>
        </w:rPr>
        <w:tab/>
        <w:t>moneys received from the Corporation by way of dividends;</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Heading5"/>
        <w:rPr>
          <w:snapToGrid w:val="0"/>
        </w:rPr>
      </w:pPr>
      <w:bookmarkStart w:id="77" w:name="_Toc517674462"/>
      <w:bookmarkStart w:id="78" w:name="_Toc139707314"/>
      <w:r>
        <w:rPr>
          <w:rStyle w:val="CharSectno"/>
        </w:rPr>
        <w:t>16</w:t>
      </w:r>
      <w:r>
        <w:rPr>
          <w:snapToGrid w:val="0"/>
        </w:rPr>
        <w:t>.</w:t>
      </w:r>
      <w:r>
        <w:rPr>
          <w:snapToGrid w:val="0"/>
        </w:rPr>
        <w:tab/>
        <w:t>Establishment and composition of Funds</w:t>
      </w:r>
      <w:bookmarkEnd w:id="77"/>
      <w:bookmarkEnd w:id="78"/>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w:t>
      </w:r>
    </w:p>
    <w:p>
      <w:pPr>
        <w:pStyle w:val="Indenta"/>
        <w:rPr>
          <w:snapToGrid w:val="0"/>
        </w:rPr>
      </w:pPr>
      <w:r>
        <w:rPr>
          <w:snapToGrid w:val="0"/>
        </w:rPr>
        <w:tab/>
        <w:t>(b)</w:t>
      </w:r>
      <w:r>
        <w:rPr>
          <w:snapToGrid w:val="0"/>
        </w:rPr>
        <w:tab/>
        <w:t>a fund to be called the “Compensation (Miscellaneous Risks) Insurance Fund”;</w:t>
      </w:r>
    </w:p>
    <w:p>
      <w:pPr>
        <w:pStyle w:val="Indenta"/>
        <w:rPr>
          <w:snapToGrid w:val="0"/>
        </w:rPr>
      </w:pPr>
      <w:r>
        <w:rPr>
          <w:snapToGrid w:val="0"/>
        </w:rPr>
        <w:tab/>
        <w:t>(c)</w:t>
      </w:r>
      <w:r>
        <w:rPr>
          <w:snapToGrid w:val="0"/>
        </w:rPr>
        <w:tab/>
        <w:t>a fund to be called the “Compensation (Industrial Diseases) Fund”;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(3)</w:t>
      </w:r>
      <w:r>
        <w:rPr>
          <w:snapToGrid w:val="0"/>
        </w:rPr>
        <w:tab/>
        <w:t>The Compensation (Miscellaneous Risks)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6(b)(i);</w:t>
      </w:r>
    </w:p>
    <w:p>
      <w:pPr>
        <w:pStyle w:val="Indenta"/>
        <w:rPr>
          <w:snapToGrid w:val="0"/>
        </w:rPr>
      </w:pPr>
      <w:r>
        <w:rPr>
          <w:snapToGrid w:val="0"/>
        </w:rPr>
        <w:tab/>
        <w:t>(b)</w:t>
      </w:r>
      <w:r>
        <w:rPr>
          <w:snapToGrid w:val="0"/>
        </w:rPr>
        <w:tab/>
        <w:t>other property received or acquired by the Commission in connection with the Commission’s functions under section 6(b)(i);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6(b)(i) and for that purpose only.</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6(b)(ii) or its functions under section 6(e) in so far as they relate to industrial diseases;</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rPr>
          <w:snapToGrid w:val="0"/>
        </w:rPr>
      </w:pPr>
      <w:r>
        <w:rPr>
          <w:snapToGrid w:val="0"/>
        </w:rPr>
        <w:tab/>
        <w:t>(7)</w:t>
      </w:r>
      <w:r>
        <w:rPr>
          <w:snapToGrid w:val="0"/>
        </w:rPr>
        <w:tab/>
        <w:t xml:space="preserve">An account or accounts shall be maintained at the Treasury, forming part of the Trust Fund constituted under section 9 of the </w:t>
      </w:r>
      <w:r>
        <w:rPr>
          <w:i/>
          <w:snapToGrid w:val="0"/>
        </w:rPr>
        <w:t>Financial Administration and Audit Act 1985</w:t>
      </w:r>
      <w:r>
        <w:rPr>
          <w:snapToGrid w:val="0"/>
        </w:rPr>
        <w:t>, or in a bank or banks approved by the Treasurer under section 7(2)(c) in respect of each Fund.</w:t>
      </w:r>
    </w:p>
    <w:p>
      <w:pPr>
        <w:pStyle w:val="Subsection"/>
        <w:rPr>
          <w:snapToGrid w:val="0"/>
        </w:rPr>
      </w:pPr>
      <w:r>
        <w:rPr>
          <w:snapToGrid w:val="0"/>
        </w:rPr>
        <w:tab/>
        <w:t>(8)</w:t>
      </w:r>
      <w:r>
        <w:rPr>
          <w:snapToGrid w:val="0"/>
        </w:rPr>
        <w:tab/>
        <w:t>One account may be maintained under subsection (7) in respect of 2 or more Funds.</w:t>
      </w:r>
    </w:p>
    <w:p>
      <w:pPr>
        <w:pStyle w:val="Footnotesection"/>
      </w:pPr>
      <w:r>
        <w:tab/>
        <w:t>[Section 16 amended by No. 49 of 1996 s.64; No. 45 of 1996 s.15; No. 34 of 2002 s.8.]</w:t>
      </w:r>
    </w:p>
    <w:p>
      <w:pPr>
        <w:pStyle w:val="Heading5"/>
        <w:rPr>
          <w:snapToGrid w:val="0"/>
        </w:rPr>
      </w:pPr>
      <w:bookmarkStart w:id="79" w:name="_Toc517674463"/>
      <w:bookmarkStart w:id="80" w:name="_Toc139707315"/>
      <w:r>
        <w:rPr>
          <w:rStyle w:val="CharSectno"/>
        </w:rPr>
        <w:t>17</w:t>
      </w:r>
      <w:r>
        <w:rPr>
          <w:snapToGrid w:val="0"/>
        </w:rPr>
        <w:t>.</w:t>
      </w:r>
      <w:r>
        <w:rPr>
          <w:snapToGrid w:val="0"/>
        </w:rPr>
        <w:tab/>
        <w:t>Apportionment of income, expenditure and assets</w:t>
      </w:r>
      <w:bookmarkEnd w:id="79"/>
      <w:bookmarkEnd w:id="80"/>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s.16.] </w:t>
      </w:r>
    </w:p>
    <w:p>
      <w:pPr>
        <w:pStyle w:val="Heading5"/>
        <w:rPr>
          <w:snapToGrid w:val="0"/>
        </w:rPr>
      </w:pPr>
      <w:bookmarkStart w:id="81" w:name="_Toc517674464"/>
      <w:bookmarkStart w:id="82" w:name="_Toc139707316"/>
      <w:r>
        <w:rPr>
          <w:rStyle w:val="CharSectno"/>
        </w:rPr>
        <w:t>18</w:t>
      </w:r>
      <w:r>
        <w:rPr>
          <w:snapToGrid w:val="0"/>
        </w:rPr>
        <w:t>.</w:t>
      </w:r>
      <w:r>
        <w:rPr>
          <w:snapToGrid w:val="0"/>
        </w:rPr>
        <w:tab/>
        <w:t>Transfer between Funds</w:t>
      </w:r>
      <w:bookmarkEnd w:id="81"/>
      <w:bookmarkEnd w:id="82"/>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snapToGrid w:val="0"/>
        </w:rPr>
        <w:t>Financial Administration and Audit Act 1985</w:t>
      </w:r>
      <w:r>
        <w:rPr>
          <w:snapToGrid w:val="0"/>
        </w:rPr>
        <w:t xml:space="preserve"> 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w:t>
      </w:r>
    </w:p>
    <w:p>
      <w:pPr>
        <w:pStyle w:val="Indenta"/>
        <w:rPr>
          <w:snapToGrid w:val="0"/>
        </w:rPr>
      </w:pPr>
      <w:r>
        <w:rPr>
          <w:snapToGrid w:val="0"/>
        </w:rPr>
        <w:tab/>
        <w:t>(b)</w:t>
      </w:r>
      <w:r>
        <w:rPr>
          <w:snapToGrid w:val="0"/>
        </w:rPr>
        <w:tab/>
        <w:t>the Consolidated Fund; or</w:t>
      </w:r>
    </w:p>
    <w:p>
      <w:pPr>
        <w:pStyle w:val="Indenta"/>
        <w:rPr>
          <w:snapToGrid w:val="0"/>
        </w:rPr>
      </w:pPr>
      <w:r>
        <w:rPr>
          <w:snapToGrid w:val="0"/>
        </w:rPr>
        <w:tab/>
        <w:t>(c)</w:t>
      </w:r>
      <w:r>
        <w:rPr>
          <w:snapToGrid w:val="0"/>
        </w:rPr>
        <w:tab/>
        <w:t>any other fund or account.</w:t>
      </w:r>
    </w:p>
    <w:p>
      <w:pPr>
        <w:pStyle w:val="Subsection"/>
        <w:rPr>
          <w:snapToGrid w:val="0"/>
        </w:rPr>
      </w:pPr>
      <w:r>
        <w:rPr>
          <w:snapToGrid w:val="0"/>
        </w:rPr>
        <w:tab/>
        <w:t>(3)</w:t>
      </w:r>
      <w:r>
        <w:rPr>
          <w:snapToGrid w:val="0"/>
        </w:rPr>
        <w:tab/>
        <w:t xml:space="preserve">The Commission may transfer moneys from the Compensation (Industrial Diseases) Fund to the Insurance Commission General Fund to meet or assist in meeting any amounts required to be expended by the Commission under paragraph 6 of Schedule 2 to the </w:t>
      </w:r>
      <w:r>
        <w:rPr>
          <w:i/>
          <w:snapToGrid w:val="0"/>
        </w:rPr>
        <w:t>Mine Workers’ Relief Act 1932</w:t>
      </w:r>
      <w:r>
        <w:rPr>
          <w:snapToGrid w:val="0"/>
        </w:rPr>
        <w:t>.</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b/>
          <w:snapToGrid w:val="0"/>
        </w:rPr>
        <w:t>“</w:t>
      </w:r>
      <w:r>
        <w:rPr>
          <w:rStyle w:val="CharDefText"/>
        </w:rPr>
        <w:t>surplus</w:t>
      </w:r>
      <w:r>
        <w:rPr>
          <w:b/>
          <w:snapToGrid w:val="0"/>
        </w:rPr>
        <w:t>”</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s.11; No. 34 of 2002 s.9.]</w:t>
      </w:r>
    </w:p>
    <w:p>
      <w:pPr>
        <w:pStyle w:val="Heading4"/>
        <w:rPr>
          <w:snapToGrid w:val="0"/>
        </w:rPr>
      </w:pPr>
      <w:bookmarkStart w:id="83" w:name="_Toc92782890"/>
      <w:bookmarkStart w:id="84" w:name="_Toc92783004"/>
      <w:bookmarkStart w:id="85" w:name="_Toc139707317"/>
      <w:r>
        <w:rPr>
          <w:snapToGrid w:val="0"/>
        </w:rPr>
        <w:t>Subdivision Aa — Investment and property management</w:t>
      </w:r>
      <w:bookmarkEnd w:id="83"/>
      <w:bookmarkEnd w:id="84"/>
      <w:bookmarkEnd w:id="85"/>
      <w:r>
        <w:rPr>
          <w:snapToGrid w:val="0"/>
        </w:rPr>
        <w:t xml:space="preserve"> </w:t>
      </w:r>
    </w:p>
    <w:p>
      <w:pPr>
        <w:pStyle w:val="Footnoteheading"/>
      </w:pPr>
      <w:r>
        <w:tab/>
        <w:t>[Heading inserted by No. 45 of 1996 s.17.]</w:t>
      </w:r>
    </w:p>
    <w:p>
      <w:pPr>
        <w:pStyle w:val="Heading5"/>
        <w:rPr>
          <w:snapToGrid w:val="0"/>
        </w:rPr>
      </w:pPr>
      <w:bookmarkStart w:id="86" w:name="_Toc517674465"/>
      <w:bookmarkStart w:id="87" w:name="_Toc139707318"/>
      <w:r>
        <w:rPr>
          <w:rStyle w:val="CharSectno"/>
        </w:rPr>
        <w:t>19</w:t>
      </w:r>
      <w:r>
        <w:rPr>
          <w:snapToGrid w:val="0"/>
        </w:rPr>
        <w:t>.</w:t>
      </w:r>
      <w:r>
        <w:rPr>
          <w:snapToGrid w:val="0"/>
        </w:rPr>
        <w:tab/>
        <w:t>Arrangements for appointment of investment managers</w:t>
      </w:r>
      <w:bookmarkEnd w:id="86"/>
      <w:bookmarkEnd w:id="87"/>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s.17.]</w:t>
      </w:r>
    </w:p>
    <w:p>
      <w:pPr>
        <w:pStyle w:val="Heading5"/>
        <w:rPr>
          <w:snapToGrid w:val="0"/>
        </w:rPr>
      </w:pPr>
      <w:bookmarkStart w:id="88" w:name="_Toc517674466"/>
      <w:bookmarkStart w:id="89" w:name="_Toc139707319"/>
      <w:r>
        <w:rPr>
          <w:rStyle w:val="CharSectno"/>
        </w:rPr>
        <w:t>19A</w:t>
      </w:r>
      <w:r>
        <w:rPr>
          <w:snapToGrid w:val="0"/>
        </w:rPr>
        <w:t>.</w:t>
      </w:r>
      <w:r>
        <w:rPr>
          <w:snapToGrid w:val="0"/>
        </w:rPr>
        <w:tab/>
        <w:t>Investment policy</w:t>
      </w:r>
      <w:bookmarkEnd w:id="88"/>
      <w:bookmarkEnd w:id="89"/>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s.17.] </w:t>
      </w:r>
    </w:p>
    <w:p>
      <w:pPr>
        <w:pStyle w:val="Heading4"/>
        <w:rPr>
          <w:snapToGrid w:val="0"/>
        </w:rPr>
      </w:pPr>
      <w:bookmarkStart w:id="90" w:name="_Toc92782893"/>
      <w:bookmarkStart w:id="91" w:name="_Toc92783007"/>
      <w:bookmarkStart w:id="92" w:name="_Toc139707320"/>
      <w:r>
        <w:rPr>
          <w:snapToGrid w:val="0"/>
        </w:rPr>
        <w:t>Subdivision B — Financial administration, audit and reporting</w:t>
      </w:r>
      <w:bookmarkEnd w:id="90"/>
      <w:bookmarkEnd w:id="91"/>
      <w:bookmarkEnd w:id="92"/>
      <w:r>
        <w:rPr>
          <w:snapToGrid w:val="0"/>
        </w:rPr>
        <w:t xml:space="preserve"> </w:t>
      </w:r>
    </w:p>
    <w:p>
      <w:pPr>
        <w:pStyle w:val="Heading5"/>
        <w:rPr>
          <w:snapToGrid w:val="0"/>
        </w:rPr>
      </w:pPr>
      <w:bookmarkStart w:id="93" w:name="_Toc517674467"/>
      <w:bookmarkStart w:id="94" w:name="_Toc139707321"/>
      <w:r>
        <w:rPr>
          <w:rStyle w:val="CharSectno"/>
        </w:rPr>
        <w:t>20</w:t>
      </w:r>
      <w:r>
        <w:rPr>
          <w:snapToGrid w:val="0"/>
        </w:rPr>
        <w:t>.</w:t>
      </w:r>
      <w:r>
        <w:rPr>
          <w:snapToGrid w:val="0"/>
        </w:rPr>
        <w:tab/>
        <w:t xml:space="preserve">Application of </w:t>
      </w:r>
      <w:r>
        <w:rPr>
          <w:i/>
          <w:snapToGrid w:val="0"/>
        </w:rPr>
        <w:t>Financial Administration and Audit Act 1985</w:t>
      </w:r>
      <w:r>
        <w:rPr>
          <w:snapToGrid w:val="0"/>
        </w:rPr>
        <w:t xml:space="preserve"> to the Commission</w:t>
      </w:r>
      <w:bookmarkEnd w:id="93"/>
      <w:bookmarkEnd w:id="94"/>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Heading5"/>
        <w:rPr>
          <w:snapToGrid w:val="0"/>
        </w:rPr>
      </w:pPr>
      <w:bookmarkStart w:id="95" w:name="_Toc517674468"/>
      <w:bookmarkStart w:id="96" w:name="_Toc139707322"/>
      <w:r>
        <w:rPr>
          <w:rStyle w:val="CharSectno"/>
        </w:rPr>
        <w:t>21</w:t>
      </w:r>
      <w:r>
        <w:rPr>
          <w:snapToGrid w:val="0"/>
        </w:rPr>
        <w:t>.</w:t>
      </w:r>
      <w:r>
        <w:rPr>
          <w:snapToGrid w:val="0"/>
        </w:rPr>
        <w:tab/>
        <w:t>Provisions and reserves</w:t>
      </w:r>
      <w:bookmarkEnd w:id="95"/>
      <w:bookmarkEnd w:id="96"/>
      <w:r>
        <w:rPr>
          <w:snapToGrid w:val="0"/>
        </w:rPr>
        <w:t xml:space="preserve"> </w:t>
      </w:r>
    </w:p>
    <w:p>
      <w:pPr>
        <w:pStyle w:val="Subsection"/>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rPr>
          <w:snapToGrid w:val="0"/>
        </w:rPr>
      </w:pPr>
      <w:bookmarkStart w:id="97" w:name="_Toc517674469"/>
      <w:bookmarkStart w:id="98" w:name="_Toc139707323"/>
      <w:r>
        <w:rPr>
          <w:rStyle w:val="CharSectno"/>
        </w:rPr>
        <w:t>22</w:t>
      </w:r>
      <w:r>
        <w:rPr>
          <w:snapToGrid w:val="0"/>
        </w:rPr>
        <w:t>.</w:t>
      </w:r>
      <w:r>
        <w:rPr>
          <w:snapToGrid w:val="0"/>
        </w:rPr>
        <w:tab/>
        <w:t>Accounts</w:t>
      </w:r>
      <w:bookmarkEnd w:id="97"/>
      <w:bookmarkEnd w:id="98"/>
      <w:r>
        <w:rPr>
          <w:snapToGrid w:val="0"/>
        </w:rPr>
        <w:t xml:space="preserve"> </w:t>
      </w:r>
    </w:p>
    <w:p>
      <w:pPr>
        <w:pStyle w:val="Subsection"/>
        <w:rPr>
          <w:snapToGrid w:val="0"/>
        </w:rPr>
      </w:pPr>
      <w:r>
        <w:rPr>
          <w:snapToGrid w:val="0"/>
        </w:rPr>
        <w:tab/>
      </w:r>
      <w:r>
        <w:rPr>
          <w:snapToGrid w:val="0"/>
        </w:rPr>
        <w:tab/>
        <w:t xml:space="preserve">The Commission shall cause separate and distinct accounts to be kept and maintained under the </w:t>
      </w:r>
      <w:r>
        <w:rPr>
          <w:i/>
          <w:snapToGrid w:val="0"/>
        </w:rPr>
        <w:t>Financial Administration and Audit Act 1985</w:t>
      </w:r>
      <w:r>
        <w:rPr>
          <w:snapToGrid w:val="0"/>
        </w:rPr>
        <w:t xml:space="preserve"> in respect of each Commission account.</w:t>
      </w:r>
    </w:p>
    <w:p>
      <w:pPr>
        <w:pStyle w:val="Footnotesection"/>
      </w:pPr>
      <w:r>
        <w:tab/>
        <w:t>[Section 22 amended by No. 45 of 1996 s.18.]</w:t>
      </w:r>
    </w:p>
    <w:p>
      <w:pPr>
        <w:pStyle w:val="Heading5"/>
        <w:rPr>
          <w:snapToGrid w:val="0"/>
        </w:rPr>
      </w:pPr>
      <w:bookmarkStart w:id="99" w:name="_Toc517674470"/>
      <w:bookmarkStart w:id="100" w:name="_Toc139707324"/>
      <w:r>
        <w:rPr>
          <w:rStyle w:val="CharSectno"/>
        </w:rPr>
        <w:t>23</w:t>
      </w:r>
      <w:r>
        <w:rPr>
          <w:snapToGrid w:val="0"/>
        </w:rPr>
        <w:t>.</w:t>
      </w:r>
      <w:r>
        <w:rPr>
          <w:snapToGrid w:val="0"/>
        </w:rPr>
        <w:tab/>
        <w:t>Annual reports, financial statements</w:t>
      </w:r>
      <w:bookmarkEnd w:id="99"/>
      <w:bookmarkEnd w:id="100"/>
      <w:r>
        <w:rPr>
          <w:snapToGrid w:val="0"/>
        </w:rPr>
        <w:t xml:space="preserve"> </w:t>
      </w:r>
    </w:p>
    <w:p>
      <w:pPr>
        <w:pStyle w:val="Subsection"/>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 xml:space="preserve">cause a separate and distinct annual report to be prepared and submitted under section 66(1) of the </w:t>
      </w:r>
      <w:r>
        <w:rPr>
          <w:i/>
          <w:snapToGrid w:val="0"/>
        </w:rPr>
        <w:t>Financial Administration and Audit Act 1985</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section 66(1)(a) of the </w:t>
      </w:r>
      <w:r>
        <w:rPr>
          <w:i/>
          <w:snapToGrid w:val="0"/>
        </w:rPr>
        <w:t>Financial Administration and Audit Act 1985</w:t>
      </w:r>
      <w:r>
        <w:rPr>
          <w:snapToGrid w:val="0"/>
        </w:rPr>
        <w:t xml:space="preserve"> to be prepared in respect of a Commission account for inclusion in the Commission’s annual report under section 66(1) of that Act.</w:t>
      </w:r>
    </w:p>
    <w:p>
      <w:pPr>
        <w:pStyle w:val="Footnotesection"/>
      </w:pPr>
      <w:r>
        <w:tab/>
        <w:t xml:space="preserve">[Section 23 inserted by No. 45 of 1996 s.19.] </w:t>
      </w:r>
    </w:p>
    <w:p>
      <w:pPr>
        <w:pStyle w:val="Heading4"/>
        <w:rPr>
          <w:snapToGrid w:val="0"/>
        </w:rPr>
      </w:pPr>
      <w:bookmarkStart w:id="101" w:name="_Toc92782898"/>
      <w:bookmarkStart w:id="102" w:name="_Toc92783012"/>
      <w:bookmarkStart w:id="103" w:name="_Toc139707325"/>
      <w:r>
        <w:rPr>
          <w:snapToGrid w:val="0"/>
        </w:rPr>
        <w:t>Subdivision C — Borrowing and financial accommodation</w:t>
      </w:r>
      <w:bookmarkEnd w:id="101"/>
      <w:bookmarkEnd w:id="102"/>
      <w:bookmarkEnd w:id="103"/>
      <w:r>
        <w:rPr>
          <w:snapToGrid w:val="0"/>
        </w:rPr>
        <w:t xml:space="preserve"> </w:t>
      </w:r>
    </w:p>
    <w:p>
      <w:pPr>
        <w:pStyle w:val="Heading5"/>
        <w:rPr>
          <w:snapToGrid w:val="0"/>
        </w:rPr>
      </w:pPr>
      <w:bookmarkStart w:id="104" w:name="_Toc517674471"/>
      <w:bookmarkStart w:id="105" w:name="_Toc139707326"/>
      <w:r>
        <w:rPr>
          <w:rStyle w:val="CharSectno"/>
        </w:rPr>
        <w:t>24</w:t>
      </w:r>
      <w:r>
        <w:rPr>
          <w:snapToGrid w:val="0"/>
        </w:rPr>
        <w:t>.</w:t>
      </w:r>
      <w:r>
        <w:rPr>
          <w:snapToGrid w:val="0"/>
        </w:rPr>
        <w:tab/>
        <w:t>Power to borrow etc., generally</w:t>
      </w:r>
      <w:bookmarkEnd w:id="104"/>
      <w:bookmarkEnd w:id="105"/>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106" w:name="_Toc517674472"/>
      <w:bookmarkStart w:id="107" w:name="_Toc139707327"/>
      <w:r>
        <w:rPr>
          <w:rStyle w:val="CharSectno"/>
        </w:rPr>
        <w:t>25</w:t>
      </w:r>
      <w:r>
        <w:rPr>
          <w:snapToGrid w:val="0"/>
        </w:rPr>
        <w:t>.</w:t>
      </w:r>
      <w:r>
        <w:rPr>
          <w:snapToGrid w:val="0"/>
        </w:rPr>
        <w:tab/>
        <w:t>Power to make provision to pay off loans</w:t>
      </w:r>
      <w:bookmarkEnd w:id="106"/>
      <w:bookmarkEnd w:id="107"/>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108" w:name="_Toc517674473"/>
      <w:bookmarkStart w:id="109" w:name="_Toc139707328"/>
      <w:r>
        <w:rPr>
          <w:rStyle w:val="CharSectno"/>
        </w:rPr>
        <w:t>26</w:t>
      </w:r>
      <w:r>
        <w:rPr>
          <w:snapToGrid w:val="0"/>
        </w:rPr>
        <w:t>.</w:t>
      </w:r>
      <w:r>
        <w:rPr>
          <w:snapToGrid w:val="0"/>
        </w:rPr>
        <w:tab/>
        <w:t>Borrowing power, from Treasury sources</w:t>
      </w:r>
      <w:bookmarkEnd w:id="108"/>
      <w:bookmarkEnd w:id="109"/>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110" w:name="_Toc517674474"/>
      <w:bookmarkStart w:id="111" w:name="_Toc139707329"/>
      <w:r>
        <w:rPr>
          <w:rStyle w:val="CharSectno"/>
        </w:rPr>
        <w:t>27</w:t>
      </w:r>
      <w:r>
        <w:rPr>
          <w:snapToGrid w:val="0"/>
        </w:rPr>
        <w:t>.</w:t>
      </w:r>
      <w:r>
        <w:rPr>
          <w:snapToGrid w:val="0"/>
        </w:rPr>
        <w:tab/>
        <w:t>Specific State guarantees</w:t>
      </w:r>
      <w:bookmarkEnd w:id="110"/>
      <w:bookmarkEnd w:id="111"/>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authorized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authorized, and the due payment of moneys payable thereunder with all interest thereon shall be charged to the Consolidated Fund which is hereby to the extent necessary appropriated accordingly, and any sums received or recovered by the Treasurer from the Commission or otherwise in respect of payment so charged shall be credited to the Consolidated Fund.</w:t>
      </w:r>
    </w:p>
    <w:p>
      <w:pPr>
        <w:pStyle w:val="Subsection"/>
        <w:keepNext/>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s.11; No. 49 of 1996 s.64.]</w:t>
      </w:r>
    </w:p>
    <w:p>
      <w:pPr>
        <w:pStyle w:val="Heading2"/>
      </w:pPr>
      <w:bookmarkStart w:id="112" w:name="_Toc92782903"/>
      <w:bookmarkStart w:id="113" w:name="_Toc92783017"/>
      <w:bookmarkStart w:id="114" w:name="_Toc139707330"/>
      <w:r>
        <w:rPr>
          <w:rStyle w:val="CharPartNo"/>
        </w:rPr>
        <w:t>Part III</w:t>
      </w:r>
      <w:r>
        <w:t> — </w:t>
      </w:r>
      <w:r>
        <w:rPr>
          <w:rStyle w:val="CharPartText"/>
        </w:rPr>
        <w:t>State Government Insurance Corporation</w:t>
      </w:r>
      <w:bookmarkEnd w:id="112"/>
      <w:bookmarkEnd w:id="113"/>
      <w:bookmarkEnd w:id="114"/>
      <w:r>
        <w:rPr>
          <w:rStyle w:val="CharPartText"/>
        </w:rPr>
        <w:t xml:space="preserve"> </w:t>
      </w:r>
    </w:p>
    <w:p>
      <w:pPr>
        <w:pStyle w:val="Heading3"/>
        <w:rPr>
          <w:snapToGrid w:val="0"/>
        </w:rPr>
      </w:pPr>
      <w:bookmarkStart w:id="115" w:name="_Toc92782904"/>
      <w:bookmarkStart w:id="116" w:name="_Toc92783018"/>
      <w:bookmarkStart w:id="117" w:name="_Toc139707331"/>
      <w:r>
        <w:rPr>
          <w:rStyle w:val="CharDivNo"/>
        </w:rPr>
        <w:t>Division 1</w:t>
      </w:r>
      <w:r>
        <w:rPr>
          <w:snapToGrid w:val="0"/>
        </w:rPr>
        <w:t> — </w:t>
      </w:r>
      <w:r>
        <w:rPr>
          <w:rStyle w:val="CharDivText"/>
        </w:rPr>
        <w:t>Establishment of the Corporation</w:t>
      </w:r>
      <w:bookmarkEnd w:id="115"/>
      <w:bookmarkEnd w:id="116"/>
      <w:bookmarkEnd w:id="117"/>
      <w:r>
        <w:rPr>
          <w:rStyle w:val="CharDivText"/>
        </w:rPr>
        <w:t xml:space="preserve"> </w:t>
      </w:r>
    </w:p>
    <w:p>
      <w:pPr>
        <w:pStyle w:val="Heading5"/>
        <w:rPr>
          <w:snapToGrid w:val="0"/>
        </w:rPr>
      </w:pPr>
      <w:bookmarkStart w:id="118" w:name="_Toc517674475"/>
      <w:bookmarkStart w:id="119" w:name="_Toc139707332"/>
      <w:r>
        <w:rPr>
          <w:rStyle w:val="CharSectno"/>
        </w:rPr>
        <w:t>28</w:t>
      </w:r>
      <w:r>
        <w:rPr>
          <w:snapToGrid w:val="0"/>
        </w:rPr>
        <w:t>.</w:t>
      </w:r>
      <w:r>
        <w:rPr>
          <w:snapToGrid w:val="0"/>
        </w:rPr>
        <w:tab/>
        <w:t>State Government Insurance Corporation established as a body corporate</w:t>
      </w:r>
      <w:bookmarkEnd w:id="118"/>
      <w:bookmarkEnd w:id="119"/>
      <w:r>
        <w:rPr>
          <w:snapToGrid w:val="0"/>
        </w:rPr>
        <w:t xml:space="preserve"> </w:t>
      </w:r>
    </w:p>
    <w:p>
      <w:pPr>
        <w:pStyle w:val="Subsection"/>
        <w:rPr>
          <w:snapToGrid w:val="0"/>
        </w:rPr>
      </w:pPr>
      <w:r>
        <w:rPr>
          <w:snapToGrid w:val="0"/>
        </w:rPr>
        <w:tab/>
        <w:t>(1)</w:t>
      </w:r>
      <w:r>
        <w:rPr>
          <w:snapToGrid w:val="0"/>
        </w:rPr>
        <w:tab/>
        <w:t>There is hereby established a body to be called the State Government Insurance Corporation.</w:t>
      </w:r>
    </w:p>
    <w:p>
      <w:pPr>
        <w:pStyle w:val="Subsection"/>
        <w:rPr>
          <w:snapToGrid w:val="0"/>
        </w:rPr>
      </w:pPr>
      <w:r>
        <w:rPr>
          <w:snapToGrid w:val="0"/>
        </w:rPr>
        <w:tab/>
        <w:t>(2)</w:t>
      </w:r>
      <w:r>
        <w:rPr>
          <w:snapToGrid w:val="0"/>
        </w:rPr>
        <w:tab/>
        <w:t>The Corporation is a body corporate with perpetual succession and a common seal and is capable of —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corporations may lawfully do and suffer.</w:t>
      </w:r>
    </w:p>
    <w:p>
      <w:pPr>
        <w:pStyle w:val="Subsection"/>
        <w:rPr>
          <w:snapToGrid w:val="0"/>
        </w:rPr>
      </w:pPr>
      <w:r>
        <w:rPr>
          <w:snapToGrid w:val="0"/>
        </w:rPr>
        <w:tab/>
        <w:t>(3)</w:t>
      </w:r>
      <w:r>
        <w:rPr>
          <w:snapToGrid w:val="0"/>
        </w:rPr>
        <w:tab/>
        <w:t>The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 xml:space="preserve">The Corporation is not, and shall not become, part of the Public Service under the </w:t>
      </w:r>
      <w:r>
        <w:rPr>
          <w:i/>
          <w:snapToGrid w:val="0"/>
        </w:rPr>
        <w:t>Public Service Act 1978</w:t>
      </w:r>
      <w:r>
        <w:rPr>
          <w:snapToGrid w:val="0"/>
          <w:vertAlign w:val="superscript"/>
        </w:rPr>
        <w:t xml:space="preserve"> 4</w:t>
      </w:r>
      <w:r>
        <w:rPr>
          <w:snapToGrid w:val="0"/>
        </w:rPr>
        <w:t>.</w:t>
      </w:r>
    </w:p>
    <w:p>
      <w:pPr>
        <w:pStyle w:val="Subsection"/>
        <w:rPr>
          <w:snapToGrid w:val="0"/>
        </w:rPr>
      </w:pPr>
      <w:r>
        <w:rPr>
          <w:snapToGrid w:val="0"/>
        </w:rPr>
        <w:tab/>
        <w:t>(5)</w:t>
      </w:r>
      <w:r>
        <w:rPr>
          <w:snapToGrid w:val="0"/>
        </w:rPr>
        <w:tab/>
        <w:t>Notwithstanding subsection (1), the Corporation may use and operate under a trading name approved by the Minister being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(6)</w:t>
      </w:r>
      <w:r>
        <w:rPr>
          <w:snapToGrid w:val="0"/>
        </w:rPr>
        <w:tab/>
        <w:t xml:space="preserve">After the commencement of Part 3 of the </w:t>
      </w:r>
      <w:r>
        <w:rPr>
          <w:i/>
          <w:snapToGrid w:val="0"/>
        </w:rPr>
        <w:t>SGIO Privatisation Act 1992</w:t>
      </w:r>
      <w:r>
        <w:rPr>
          <w:snapToGrid w:val="0"/>
          <w:vertAlign w:val="superscript"/>
        </w:rPr>
        <w:t xml:space="preserve"> 5</w:t>
      </w:r>
      <w:r>
        <w:rPr>
          <w:snapToGrid w:val="0"/>
        </w:rPr>
        <w:t xml:space="preserve"> the Corporation is not to use the trading name “SGIO”, or a trading name that includes “SGIO”, except by agreement with SGIO Insurance Limited and in accordance with the terms of any such agreement.</w:t>
      </w:r>
    </w:p>
    <w:p>
      <w:pPr>
        <w:pStyle w:val="Footnotesection"/>
      </w:pPr>
      <w:r>
        <w:tab/>
        <w:t>[Section 28 amended by No. 49 of 1992 s.28.]</w:t>
      </w:r>
    </w:p>
    <w:p>
      <w:pPr>
        <w:pStyle w:val="Heading5"/>
        <w:rPr>
          <w:snapToGrid w:val="0"/>
        </w:rPr>
      </w:pPr>
      <w:bookmarkStart w:id="120" w:name="_Toc517674476"/>
      <w:bookmarkStart w:id="121" w:name="_Toc139707333"/>
      <w:r>
        <w:rPr>
          <w:rStyle w:val="CharSectno"/>
        </w:rPr>
        <w:t>29</w:t>
      </w:r>
      <w:r>
        <w:rPr>
          <w:snapToGrid w:val="0"/>
        </w:rPr>
        <w:t>.</w:t>
      </w:r>
      <w:r>
        <w:rPr>
          <w:snapToGrid w:val="0"/>
        </w:rPr>
        <w:tab/>
        <w:t>Board of directors</w:t>
      </w:r>
      <w:bookmarkEnd w:id="120"/>
      <w:bookmarkEnd w:id="121"/>
      <w:r>
        <w:rPr>
          <w:snapToGrid w:val="0"/>
        </w:rPr>
        <w:t xml:space="preserve"> </w:t>
      </w:r>
    </w:p>
    <w:p>
      <w:pPr>
        <w:pStyle w:val="Subsection"/>
        <w:rPr>
          <w:snapToGrid w:val="0"/>
        </w:rPr>
      </w:pPr>
      <w:r>
        <w:rPr>
          <w:snapToGrid w:val="0"/>
        </w:rPr>
        <w:tab/>
        <w:t>(1)</w:t>
      </w:r>
      <w:r>
        <w:rPr>
          <w:snapToGrid w:val="0"/>
        </w:rPr>
        <w:tab/>
        <w:t>The Corporation shall have a board of directors comprising — </w:t>
      </w:r>
    </w:p>
    <w:p>
      <w:pPr>
        <w:pStyle w:val="Indenta"/>
        <w:rPr>
          <w:snapToGrid w:val="0"/>
        </w:rPr>
      </w:pPr>
      <w:r>
        <w:rPr>
          <w:snapToGrid w:val="0"/>
        </w:rPr>
        <w:tab/>
        <w:t>(a)</w:t>
      </w:r>
      <w:r>
        <w:rPr>
          <w:snapToGrid w:val="0"/>
        </w:rPr>
        <w:tab/>
        <w:t xml:space="preserve">the managing director who shall be a director and the chairman of the board </w:t>
      </w:r>
      <w:r>
        <w:rPr>
          <w:i/>
          <w:snapToGrid w:val="0"/>
        </w:rPr>
        <w:t>ex officio</w:t>
      </w:r>
      <w:r>
        <w:rPr>
          <w:snapToGrid w:val="0"/>
        </w:rPr>
        <w:t>; and</w:t>
      </w:r>
    </w:p>
    <w:p>
      <w:pPr>
        <w:pStyle w:val="Indenta"/>
        <w:rPr>
          <w:snapToGrid w:val="0"/>
        </w:rPr>
      </w:pPr>
      <w:r>
        <w:rPr>
          <w:snapToGrid w:val="0"/>
        </w:rPr>
        <w:tab/>
        <w:t>(b)</w:t>
      </w:r>
      <w:r>
        <w:rPr>
          <w:snapToGrid w:val="0"/>
        </w:rPr>
        <w:tab/>
        <w:t>not less than 2 nor more than 4 other persons appointed as directors by the Commission.</w:t>
      </w:r>
    </w:p>
    <w:p>
      <w:pPr>
        <w:pStyle w:val="Subsection"/>
        <w:rPr>
          <w:snapToGrid w:val="0"/>
        </w:rPr>
      </w:pPr>
      <w:r>
        <w:rPr>
          <w:snapToGrid w:val="0"/>
        </w:rPr>
        <w:tab/>
        <w:t>(2)</w:t>
      </w:r>
      <w:r>
        <w:rPr>
          <w:snapToGrid w:val="0"/>
        </w:rPr>
        <w:tab/>
        <w:t>One of the directors referred to in subsection (1)(b) shall be appointed by the Commission to be deputy chairman of the board of directors.</w:t>
      </w:r>
    </w:p>
    <w:p>
      <w:pPr>
        <w:pStyle w:val="Subsection"/>
        <w:rPr>
          <w:snapToGrid w:val="0"/>
        </w:rPr>
      </w:pPr>
      <w:r>
        <w:rPr>
          <w:snapToGrid w:val="0"/>
        </w:rPr>
        <w:tab/>
        <w:t>(3)</w:t>
      </w:r>
      <w:r>
        <w:rPr>
          <w:snapToGrid w:val="0"/>
        </w:rPr>
        <w:tab/>
        <w:t>The board of directors is the governing body of the Corporation with authority, in the name of the Corporation, to exercise and perform the powers, functions and duties conferred or imposed on the Corporation under this Act.</w:t>
      </w:r>
    </w:p>
    <w:p>
      <w:pPr>
        <w:pStyle w:val="Subsection"/>
        <w:rPr>
          <w:snapToGrid w:val="0"/>
        </w:rPr>
      </w:pPr>
      <w:r>
        <w:rPr>
          <w:snapToGrid w:val="0"/>
        </w:rPr>
        <w:tab/>
        <w:t>(4)</w:t>
      </w:r>
      <w:r>
        <w:rPr>
          <w:snapToGrid w:val="0"/>
        </w:rPr>
        <w:tab/>
        <w:t>Schedule 2 shall have effect with respect to the board of directors and the directors of the Corporation and with respect to the acts, proceedings and determinations of the board of directors.</w:t>
      </w:r>
    </w:p>
    <w:p>
      <w:pPr>
        <w:pStyle w:val="Subsection"/>
        <w:rPr>
          <w:snapToGrid w:val="0"/>
        </w:rPr>
      </w:pPr>
      <w:r>
        <w:rPr>
          <w:snapToGrid w:val="0"/>
        </w:rPr>
        <w:tab/>
        <w:t>(5)</w:t>
      </w:r>
      <w:r>
        <w:rPr>
          <w:snapToGrid w:val="0"/>
        </w:rPr>
        <w:tab/>
        <w:t>A director of the Corporation referred to in subsection (1)(b) shall be paid out of the funds of the Corporation such remuneration and travelling and other allowances as are determined in the case of that director by the Minister on the recommendation of the Commission.</w:t>
      </w:r>
    </w:p>
    <w:p>
      <w:pPr>
        <w:pStyle w:val="Heading3"/>
        <w:rPr>
          <w:snapToGrid w:val="0"/>
        </w:rPr>
      </w:pPr>
      <w:bookmarkStart w:id="122" w:name="_Toc92782907"/>
      <w:bookmarkStart w:id="123" w:name="_Toc92783021"/>
      <w:bookmarkStart w:id="124" w:name="_Toc139707334"/>
      <w:r>
        <w:rPr>
          <w:rStyle w:val="CharDivNo"/>
        </w:rPr>
        <w:t>Division 2</w:t>
      </w:r>
      <w:r>
        <w:rPr>
          <w:snapToGrid w:val="0"/>
        </w:rPr>
        <w:t> — </w:t>
      </w:r>
      <w:r>
        <w:rPr>
          <w:rStyle w:val="CharDivText"/>
        </w:rPr>
        <w:t>Function and powers of the Corporation</w:t>
      </w:r>
      <w:bookmarkEnd w:id="122"/>
      <w:bookmarkEnd w:id="123"/>
      <w:bookmarkEnd w:id="124"/>
      <w:r>
        <w:rPr>
          <w:rStyle w:val="CharDivText"/>
        </w:rPr>
        <w:t xml:space="preserve"> </w:t>
      </w:r>
    </w:p>
    <w:p>
      <w:pPr>
        <w:pStyle w:val="Heading5"/>
        <w:rPr>
          <w:snapToGrid w:val="0"/>
        </w:rPr>
      </w:pPr>
      <w:bookmarkStart w:id="125" w:name="_Toc517674477"/>
      <w:bookmarkStart w:id="126" w:name="_Toc139707335"/>
      <w:r>
        <w:rPr>
          <w:rStyle w:val="CharSectno"/>
        </w:rPr>
        <w:t>30</w:t>
      </w:r>
      <w:r>
        <w:rPr>
          <w:snapToGrid w:val="0"/>
        </w:rPr>
        <w:t>.</w:t>
      </w:r>
      <w:r>
        <w:rPr>
          <w:snapToGrid w:val="0"/>
        </w:rPr>
        <w:tab/>
        <w:t>Function and powers</w:t>
      </w:r>
      <w:bookmarkEnd w:id="125"/>
      <w:bookmarkEnd w:id="126"/>
      <w:r>
        <w:rPr>
          <w:snapToGrid w:val="0"/>
        </w:rPr>
        <w:t xml:space="preserve"> </w:t>
      </w:r>
    </w:p>
    <w:p>
      <w:pPr>
        <w:pStyle w:val="Subsection"/>
        <w:rPr>
          <w:snapToGrid w:val="0"/>
        </w:rPr>
      </w:pPr>
      <w:r>
        <w:rPr>
          <w:snapToGrid w:val="0"/>
        </w:rPr>
        <w:tab/>
        <w:t>(1)</w:t>
      </w:r>
      <w:r>
        <w:rPr>
          <w:snapToGrid w:val="0"/>
        </w:rPr>
        <w:tab/>
        <w:t>The function of the Corporation is to manage the existing inwards re</w:t>
      </w:r>
      <w:r>
        <w:rPr>
          <w:snapToGrid w:val="0"/>
        </w:rPr>
        <w:noBreakHyphen/>
        <w:t>insurance policies and life insurance business of the Corporation and to do anything related to that function.</w:t>
      </w:r>
    </w:p>
    <w:p>
      <w:pPr>
        <w:pStyle w:val="Subsection"/>
        <w:rPr>
          <w:snapToGrid w:val="0"/>
        </w:rPr>
      </w:pPr>
      <w:r>
        <w:rPr>
          <w:snapToGrid w:val="0"/>
        </w:rPr>
        <w:tab/>
        <w:t>(2)</w:t>
      </w:r>
      <w:r>
        <w:rPr>
          <w:snapToGrid w:val="0"/>
        </w:rPr>
        <w:tab/>
        <w:t>Notwithstanding subsection (1), the Corporation may make such arrangements as it thinks fit with such persons as it thinks fit for the disposal of life policies issued by the Corporation or their continuance by another insurer, and for the disposal and assignment of assets, rights and liabilities relating to those policies.</w:t>
      </w:r>
    </w:p>
    <w:p>
      <w:pPr>
        <w:pStyle w:val="Subsection"/>
        <w:rPr>
          <w:snapToGrid w:val="0"/>
        </w:rPr>
      </w:pPr>
      <w:r>
        <w:rPr>
          <w:snapToGrid w:val="0"/>
        </w:rPr>
        <w:tab/>
        <w:t>(3)</w:t>
      </w:r>
      <w:r>
        <w:rPr>
          <w:snapToGrid w:val="0"/>
        </w:rPr>
        <w:tab/>
        <w:t>The Corporation has power to do, in the State or elsewhere, all things necessary or convenient to be done for or in connection with the performance of its function.</w:t>
      </w:r>
    </w:p>
    <w:p>
      <w:pPr>
        <w:pStyle w:val="Subsection"/>
        <w:rPr>
          <w:snapToGrid w:val="0"/>
        </w:rPr>
      </w:pPr>
      <w:r>
        <w:rPr>
          <w:snapToGrid w:val="0"/>
        </w:rPr>
        <w:tab/>
        <w:t>(4)</w:t>
      </w:r>
      <w:r>
        <w:rPr>
          <w:snapToGrid w:val="0"/>
        </w:rPr>
        <w:tab/>
        <w:t xml:space="preserve">Nothing in this section limits section 5 of the </w:t>
      </w:r>
      <w:r>
        <w:rPr>
          <w:i/>
          <w:snapToGrid w:val="0"/>
        </w:rPr>
        <w:t>SGIO Privatisation Act 1992</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existing</w:t>
      </w:r>
      <w:r>
        <w:rPr>
          <w:b/>
        </w:rPr>
        <w:t>”</w:t>
      </w:r>
      <w:r>
        <w:t xml:space="preserve"> means existing immediately before the appointed day</w:t>
      </w:r>
      <w:r>
        <w:rPr>
          <w:vertAlign w:val="superscript"/>
        </w:rPr>
        <w:t xml:space="preserve"> 6</w:t>
      </w:r>
      <w:r>
        <w:t xml:space="preserve"> under the </w:t>
      </w:r>
      <w:r>
        <w:rPr>
          <w:i/>
        </w:rPr>
        <w:t>SGIO Privatisation Act 1992</w:t>
      </w:r>
      <w:r>
        <w:t>;</w:t>
      </w:r>
    </w:p>
    <w:p>
      <w:pPr>
        <w:pStyle w:val="Defstart"/>
      </w:pPr>
      <w:r>
        <w:rPr>
          <w:b/>
        </w:rPr>
        <w:tab/>
        <w:t>“</w:t>
      </w:r>
      <w:r>
        <w:rPr>
          <w:rStyle w:val="CharDefText"/>
        </w:rPr>
        <w:t>inwards re</w:t>
      </w:r>
      <w:r>
        <w:rPr>
          <w:rStyle w:val="CharDefText"/>
        </w:rPr>
        <w:noBreakHyphen/>
        <w:t>insurance policy</w:t>
      </w:r>
      <w:r>
        <w:rPr>
          <w:b/>
        </w:rPr>
        <w:t>”</w:t>
      </w:r>
      <w:r>
        <w:t xml:space="preserve"> means a policy of re</w:t>
      </w:r>
      <w:r>
        <w:noBreakHyphen/>
        <w:t>insurance issued by the Corporation under which the Corporation has re</w:t>
      </w:r>
      <w:r>
        <w:noBreakHyphen/>
        <w:t>insured the liability or risk of another person under a policy of insurance and includes any liability or risk identified immediately before the appointed day in the inwards re</w:t>
      </w:r>
      <w:r>
        <w:noBreakHyphen/>
        <w:t>insurance account of the Corporation;</w:t>
      </w:r>
    </w:p>
    <w:p>
      <w:pPr>
        <w:pStyle w:val="Defstart"/>
      </w:pPr>
      <w:r>
        <w:tab/>
      </w:r>
      <w:r>
        <w:rPr>
          <w:b/>
        </w:rPr>
        <w:t>“</w:t>
      </w:r>
      <w:r>
        <w:rPr>
          <w:rStyle w:val="CharDefText"/>
        </w:rPr>
        <w:t>life policy</w:t>
      </w:r>
      <w:r>
        <w:rPr>
          <w:b/>
        </w:rPr>
        <w:t>”</w:t>
      </w:r>
      <w:r>
        <w:t xml:space="preserve"> has the same meaning as it has in the </w:t>
      </w:r>
      <w:r>
        <w:rPr>
          <w:i/>
        </w:rPr>
        <w:t>Life Insurance Act 1945</w:t>
      </w:r>
      <w:r>
        <w:rPr>
          <w:vertAlign w:val="superscript"/>
        </w:rPr>
        <w:t xml:space="preserve"> 2</w:t>
      </w:r>
      <w:r>
        <w:t xml:space="preserve"> of the Commonwealth, and also means approved deposit funds, annuities and other superannuation policies. </w:t>
      </w:r>
    </w:p>
    <w:p>
      <w:pPr>
        <w:pStyle w:val="Footnotesection"/>
      </w:pPr>
      <w:r>
        <w:tab/>
        <w:t xml:space="preserve">[Section 30 inserted by No. 49 of 1992 s.28.] </w:t>
      </w:r>
    </w:p>
    <w:p>
      <w:pPr>
        <w:pStyle w:val="Ednotesection"/>
      </w:pPr>
      <w:r>
        <w:t>[</w:t>
      </w:r>
      <w:r>
        <w:rPr>
          <w:b/>
        </w:rPr>
        <w:t>31, 32 and 33.</w:t>
      </w:r>
      <w:r>
        <w:tab/>
        <w:t>Repealed by No. 49 of 1992 s.28.]</w:t>
      </w:r>
    </w:p>
    <w:p>
      <w:pPr>
        <w:pStyle w:val="Heading5"/>
      </w:pPr>
      <w:bookmarkStart w:id="127" w:name="_Toc517674478"/>
      <w:bookmarkStart w:id="128" w:name="_Toc139707336"/>
      <w:r>
        <w:rPr>
          <w:rStyle w:val="CharSectno"/>
        </w:rPr>
        <w:t>34</w:t>
      </w:r>
      <w:r>
        <w:t>.</w:t>
      </w:r>
      <w:r>
        <w:tab/>
        <w:t>Liability in respect or in lieu of taxation</w:t>
      </w:r>
      <w:bookmarkEnd w:id="127"/>
      <w:bookmarkEnd w:id="128"/>
    </w:p>
    <w:p>
      <w:pPr>
        <w:pStyle w:val="Subsection"/>
      </w:pPr>
      <w:r>
        <w:tab/>
        <w:t>(1)</w:t>
      </w:r>
      <w:r>
        <w:tab/>
        <w:t>Notwithstanding any exemption or immunity that may otherwise exist, the Corporation shall be liable for and shall pay all local government rates and charges and all land tax, metropolitan region improvement tax, water rates, pay</w:t>
      </w:r>
      <w:r>
        <w:noBreakHyphen/>
        <w:t>roll tax, stamp duties, and all other taxes, fees and charges imposed by the Government, its instrumentalities or agencies.</w:t>
      </w:r>
    </w:p>
    <w:p>
      <w:pPr>
        <w:pStyle w:val="Ednotesubsection"/>
      </w:pPr>
      <w:r>
        <w:tab/>
        <w:t>[(2), (3) and (4)</w:t>
      </w:r>
      <w:r>
        <w:tab/>
        <w:t>repealed]</w:t>
      </w:r>
    </w:p>
    <w:p>
      <w:pPr>
        <w:pStyle w:val="Footnotesection"/>
        <w:keepLines w:val="0"/>
      </w:pPr>
      <w:r>
        <w:tab/>
        <w:t>[Section 34 amended by No. 6 of 1993 s.11; No. 49 of 1996 s.64; No. 55 of 1996 s.10(1).]</w:t>
      </w:r>
    </w:p>
    <w:p>
      <w:pPr>
        <w:pStyle w:val="Heading5"/>
        <w:rPr>
          <w:snapToGrid w:val="0"/>
        </w:rPr>
      </w:pPr>
      <w:bookmarkStart w:id="129" w:name="_Toc517674479"/>
      <w:bookmarkStart w:id="130" w:name="_Toc139707337"/>
      <w:r>
        <w:rPr>
          <w:rStyle w:val="CharSectno"/>
        </w:rPr>
        <w:t>35</w:t>
      </w:r>
      <w:r>
        <w:rPr>
          <w:snapToGrid w:val="0"/>
        </w:rPr>
        <w:t>.</w:t>
      </w:r>
      <w:r>
        <w:rPr>
          <w:snapToGrid w:val="0"/>
        </w:rPr>
        <w:tab/>
        <w:t>Delegation</w:t>
      </w:r>
      <w:bookmarkEnd w:id="129"/>
      <w:bookmarkEnd w:id="130"/>
      <w:r>
        <w:rPr>
          <w:snapToGrid w:val="0"/>
        </w:rPr>
        <w:t xml:space="preserve"> </w:t>
      </w:r>
    </w:p>
    <w:p>
      <w:pPr>
        <w:pStyle w:val="Subsection"/>
        <w:rPr>
          <w:snapToGrid w:val="0"/>
        </w:rPr>
      </w:pPr>
      <w:r>
        <w:rPr>
          <w:snapToGrid w:val="0"/>
        </w:rPr>
        <w:tab/>
      </w:r>
      <w:r>
        <w:rPr>
          <w:snapToGrid w:val="0"/>
        </w:rPr>
        <w:tab/>
        <w:t>The board of directors, in the name and on behalf of the Corporation, may, by instrument in writing approved by resolution, delegate to a director of the Corporation, to an officer or employee of the Commission or to an agent, broker or attorney appointed or engaged by the Corporation, all or any of the powers or duties of the Corporation, except this power of delegation.</w:t>
      </w:r>
    </w:p>
    <w:p>
      <w:pPr>
        <w:pStyle w:val="Heading5"/>
        <w:rPr>
          <w:snapToGrid w:val="0"/>
        </w:rPr>
      </w:pPr>
      <w:bookmarkStart w:id="131" w:name="_Toc517674480"/>
      <w:bookmarkStart w:id="132" w:name="_Toc139707338"/>
      <w:r>
        <w:rPr>
          <w:rStyle w:val="CharSectno"/>
        </w:rPr>
        <w:t>36</w:t>
      </w:r>
      <w:r>
        <w:rPr>
          <w:snapToGrid w:val="0"/>
        </w:rPr>
        <w:t>.</w:t>
      </w:r>
      <w:r>
        <w:rPr>
          <w:snapToGrid w:val="0"/>
        </w:rPr>
        <w:tab/>
        <w:t>Directions by the Commission</w:t>
      </w:r>
      <w:bookmarkEnd w:id="131"/>
      <w:bookmarkEnd w:id="132"/>
      <w:r>
        <w:rPr>
          <w:snapToGrid w:val="0"/>
        </w:rPr>
        <w:t xml:space="preserve"> </w:t>
      </w:r>
    </w:p>
    <w:p>
      <w:pPr>
        <w:pStyle w:val="Subsection"/>
        <w:rPr>
          <w:snapToGrid w:val="0"/>
        </w:rPr>
      </w:pPr>
      <w:r>
        <w:rPr>
          <w:snapToGrid w:val="0"/>
        </w:rPr>
        <w:tab/>
        <w:t>(1)</w:t>
      </w:r>
      <w:r>
        <w:rPr>
          <w:snapToGrid w:val="0"/>
        </w:rPr>
        <w:tab/>
        <w:t>The Commission may give directions in writing to the Corporation with respect to its function, powers and duties, either generally or with respect to a particular matter, and the Corporation shall give effect to those directions.</w:t>
      </w:r>
    </w:p>
    <w:p>
      <w:pPr>
        <w:pStyle w:val="Subsection"/>
        <w:rPr>
          <w:snapToGrid w:val="0"/>
        </w:rPr>
      </w:pPr>
      <w:r>
        <w:rPr>
          <w:snapToGrid w:val="0"/>
        </w:rPr>
        <w:tab/>
        <w:t>(2)</w:t>
      </w:r>
      <w:r>
        <w:rPr>
          <w:snapToGrid w:val="0"/>
        </w:rPr>
        <w:tab/>
        <w:t xml:space="preserve">The text of any direction received by the Corporation under subsection (1) shall be included in the annual report submitted by the accountable authority of the Corporation under section 66 of the </w:t>
      </w:r>
      <w:r>
        <w:rPr>
          <w:i/>
          <w:snapToGrid w:val="0"/>
        </w:rPr>
        <w:t>Financial Administration and Audit Act 1985</w:t>
      </w:r>
      <w:r>
        <w:rPr>
          <w:snapToGrid w:val="0"/>
        </w:rPr>
        <w:t>.</w:t>
      </w:r>
    </w:p>
    <w:p>
      <w:pPr>
        <w:pStyle w:val="Footnotesection"/>
      </w:pPr>
      <w:r>
        <w:tab/>
        <w:t>[Section 36 amended by No. 50 of 1989 s.18.]</w:t>
      </w:r>
    </w:p>
    <w:p>
      <w:pPr>
        <w:pStyle w:val="Heading3"/>
        <w:rPr>
          <w:snapToGrid w:val="0"/>
        </w:rPr>
      </w:pPr>
      <w:bookmarkStart w:id="133" w:name="_Toc92782912"/>
      <w:bookmarkStart w:id="134" w:name="_Toc92783026"/>
      <w:bookmarkStart w:id="135" w:name="_Toc139707339"/>
      <w:r>
        <w:rPr>
          <w:rStyle w:val="CharDivNo"/>
        </w:rPr>
        <w:t>Division 3</w:t>
      </w:r>
      <w:r>
        <w:rPr>
          <w:snapToGrid w:val="0"/>
        </w:rPr>
        <w:t> — </w:t>
      </w:r>
      <w:r>
        <w:rPr>
          <w:rStyle w:val="CharDivText"/>
        </w:rPr>
        <w:t>Staff of the Corporation</w:t>
      </w:r>
      <w:bookmarkEnd w:id="133"/>
      <w:bookmarkEnd w:id="134"/>
      <w:bookmarkEnd w:id="135"/>
      <w:r>
        <w:rPr>
          <w:rStyle w:val="CharDivText"/>
        </w:rPr>
        <w:t xml:space="preserve"> </w:t>
      </w:r>
    </w:p>
    <w:p>
      <w:pPr>
        <w:pStyle w:val="Heading5"/>
        <w:rPr>
          <w:snapToGrid w:val="0"/>
        </w:rPr>
      </w:pPr>
      <w:bookmarkStart w:id="136" w:name="_Toc517674481"/>
      <w:bookmarkStart w:id="137" w:name="_Toc139707340"/>
      <w:r>
        <w:rPr>
          <w:rStyle w:val="CharSectno"/>
        </w:rPr>
        <w:t>37</w:t>
      </w:r>
      <w:r>
        <w:rPr>
          <w:snapToGrid w:val="0"/>
        </w:rPr>
        <w:t>.</w:t>
      </w:r>
      <w:r>
        <w:rPr>
          <w:snapToGrid w:val="0"/>
        </w:rPr>
        <w:tab/>
        <w:t>Classification, employment conditions, and duties of staff allocated to the Corporation</w:t>
      </w:r>
      <w:bookmarkEnd w:id="136"/>
      <w:bookmarkEnd w:id="137"/>
      <w:r>
        <w:rPr>
          <w:snapToGrid w:val="0"/>
        </w:rPr>
        <w:t xml:space="preserve"> </w:t>
      </w:r>
    </w:p>
    <w:p>
      <w:pPr>
        <w:pStyle w:val="Subsection"/>
        <w:rPr>
          <w:snapToGrid w:val="0"/>
        </w:rPr>
      </w:pPr>
      <w:r>
        <w:rPr>
          <w:snapToGrid w:val="0"/>
        </w:rPr>
        <w:tab/>
      </w:r>
      <w:r>
        <w:rPr>
          <w:snapToGrid w:val="0"/>
        </w:rPr>
        <w:tab/>
        <w:t>The Commission may have regard to recommendations made by the Corporation when — </w:t>
      </w:r>
    </w:p>
    <w:p>
      <w:pPr>
        <w:pStyle w:val="Indenta"/>
        <w:rPr>
          <w:snapToGrid w:val="0"/>
        </w:rPr>
      </w:pPr>
      <w:r>
        <w:rPr>
          <w:snapToGrid w:val="0"/>
        </w:rPr>
        <w:tab/>
        <w:t>(a)</w:t>
      </w:r>
      <w:r>
        <w:rPr>
          <w:snapToGrid w:val="0"/>
        </w:rPr>
        <w:tab/>
        <w:t>determining, under section 12(2), the remuneration and other terms and conditions of service of;</w:t>
      </w:r>
    </w:p>
    <w:p>
      <w:pPr>
        <w:pStyle w:val="Indenta"/>
        <w:rPr>
          <w:snapToGrid w:val="0"/>
        </w:rPr>
      </w:pPr>
      <w:r>
        <w:rPr>
          <w:snapToGrid w:val="0"/>
        </w:rPr>
        <w:tab/>
        <w:t>(b)</w:t>
      </w:r>
      <w:r>
        <w:rPr>
          <w:snapToGrid w:val="0"/>
        </w:rPr>
        <w:tab/>
        <w:t>classifying, under section 12(3), the positions to be held by; or</w:t>
      </w:r>
    </w:p>
    <w:p>
      <w:pPr>
        <w:pStyle w:val="Indenta"/>
        <w:rPr>
          <w:snapToGrid w:val="0"/>
        </w:rPr>
      </w:pPr>
      <w:r>
        <w:rPr>
          <w:snapToGrid w:val="0"/>
        </w:rPr>
        <w:tab/>
        <w:t>(c)</w:t>
      </w:r>
      <w:r>
        <w:rPr>
          <w:snapToGrid w:val="0"/>
        </w:rPr>
        <w:tab/>
        <w:t>defining, under section 12(3), the duties of,</w:t>
      </w:r>
    </w:p>
    <w:p>
      <w:pPr>
        <w:pStyle w:val="Subsection"/>
        <w:rPr>
          <w:snapToGrid w:val="0"/>
        </w:rPr>
      </w:pPr>
      <w:r>
        <w:rPr>
          <w:snapToGrid w:val="0"/>
        </w:rPr>
        <w:tab/>
      </w:r>
      <w:r>
        <w:rPr>
          <w:snapToGrid w:val="0"/>
        </w:rPr>
        <w:tab/>
        <w:t>the officers and employees of the Commission employed in the service of the Corporation.</w:t>
      </w:r>
    </w:p>
    <w:p>
      <w:pPr>
        <w:pStyle w:val="Heading5"/>
        <w:rPr>
          <w:snapToGrid w:val="0"/>
        </w:rPr>
      </w:pPr>
      <w:bookmarkStart w:id="138" w:name="_Toc517674482"/>
      <w:bookmarkStart w:id="139" w:name="_Toc139707341"/>
      <w:r>
        <w:rPr>
          <w:rStyle w:val="CharSectno"/>
        </w:rPr>
        <w:t>38</w:t>
      </w:r>
      <w:r>
        <w:rPr>
          <w:snapToGrid w:val="0"/>
        </w:rPr>
        <w:t>.</w:t>
      </w:r>
      <w:r>
        <w:rPr>
          <w:snapToGrid w:val="0"/>
        </w:rPr>
        <w:tab/>
        <w:t>Use of services and facilities of the Commission, departments and instrumentalities</w:t>
      </w:r>
      <w:bookmarkEnd w:id="138"/>
      <w:bookmarkEnd w:id="139"/>
      <w:r>
        <w:rPr>
          <w:snapToGrid w:val="0"/>
        </w:rPr>
        <w:t xml:space="preserve"> </w:t>
      </w:r>
    </w:p>
    <w:p>
      <w:pPr>
        <w:pStyle w:val="Subsection"/>
        <w:rPr>
          <w:snapToGrid w:val="0"/>
        </w:rPr>
      </w:pPr>
      <w:r>
        <w:rPr>
          <w:snapToGrid w:val="0"/>
        </w:rPr>
        <w:tab/>
        <w:t>(1)</w:t>
      </w:r>
      <w:r>
        <w:rPr>
          <w:snapToGrid w:val="0"/>
        </w:rPr>
        <w:tab/>
        <w:t xml:space="preserve">Subject to subsection (2), the Corporation may, by arrangement made between the board of directors and the Minister concerned, and on such terms and conditions as may be mutually arranged with that Minister and with the relevant employing authority within the meaning of the </w:t>
      </w:r>
      <w:r>
        <w:rPr>
          <w:i/>
          <w:snapToGrid w:val="0"/>
        </w:rPr>
        <w:t>Public Sector Management Act 1994</w:t>
      </w:r>
      <w:r>
        <w:rPr>
          <w:snapToGrid w:val="0"/>
        </w:rPr>
        <w:t>, make use, either full-time or part-time,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services or facilities of a department of the Public Service of the State or of a State instrumentality.</w:t>
      </w:r>
    </w:p>
    <w:p>
      <w:pPr>
        <w:pStyle w:val="Ednotesubsection"/>
      </w:pPr>
      <w:r>
        <w:tab/>
        <w:t>[(2) and (3)</w:t>
      </w:r>
      <w:r>
        <w:tab/>
        <w:t>repealed]</w:t>
      </w:r>
    </w:p>
    <w:p>
      <w:pPr>
        <w:pStyle w:val="Footnotesection"/>
      </w:pPr>
      <w:r>
        <w:tab/>
        <w:t>[Section 38 amended by No. 49 of 1992 s.28; No. 32 of 1994 s.19.]</w:t>
      </w:r>
    </w:p>
    <w:p>
      <w:pPr>
        <w:pStyle w:val="Heading3"/>
        <w:rPr>
          <w:snapToGrid w:val="0"/>
        </w:rPr>
      </w:pPr>
      <w:bookmarkStart w:id="140" w:name="_Toc92782915"/>
      <w:bookmarkStart w:id="141" w:name="_Toc92783029"/>
      <w:bookmarkStart w:id="142" w:name="_Toc139707342"/>
      <w:r>
        <w:rPr>
          <w:rStyle w:val="CharDivNo"/>
        </w:rPr>
        <w:t>Division 4</w:t>
      </w:r>
      <w:r>
        <w:rPr>
          <w:snapToGrid w:val="0"/>
        </w:rPr>
        <w:t> — </w:t>
      </w:r>
      <w:r>
        <w:rPr>
          <w:rStyle w:val="CharDivText"/>
        </w:rPr>
        <w:t>Financial provisions relating to the Corporation</w:t>
      </w:r>
      <w:bookmarkEnd w:id="140"/>
      <w:bookmarkEnd w:id="141"/>
      <w:bookmarkEnd w:id="142"/>
      <w:r>
        <w:rPr>
          <w:rStyle w:val="CharDivText"/>
        </w:rPr>
        <w:t xml:space="preserve"> </w:t>
      </w:r>
    </w:p>
    <w:p>
      <w:pPr>
        <w:pStyle w:val="Heading5"/>
        <w:rPr>
          <w:snapToGrid w:val="0"/>
        </w:rPr>
      </w:pPr>
      <w:bookmarkStart w:id="143" w:name="_Toc517674483"/>
      <w:bookmarkStart w:id="144" w:name="_Toc139707343"/>
      <w:r>
        <w:rPr>
          <w:rStyle w:val="CharSectno"/>
        </w:rPr>
        <w:t>39</w:t>
      </w:r>
      <w:r>
        <w:rPr>
          <w:snapToGrid w:val="0"/>
        </w:rPr>
        <w:t>.</w:t>
      </w:r>
      <w:r>
        <w:rPr>
          <w:snapToGrid w:val="0"/>
        </w:rPr>
        <w:tab/>
        <w:t>Capital of the Corporation</w:t>
      </w:r>
      <w:bookmarkEnd w:id="143"/>
      <w:bookmarkEnd w:id="144"/>
      <w:r>
        <w:rPr>
          <w:snapToGrid w:val="0"/>
        </w:rPr>
        <w:t xml:space="preserve"> </w:t>
      </w:r>
    </w:p>
    <w:p>
      <w:pPr>
        <w:pStyle w:val="Subsection"/>
        <w:rPr>
          <w:snapToGrid w:val="0"/>
        </w:rPr>
      </w:pPr>
      <w:r>
        <w:rPr>
          <w:snapToGrid w:val="0"/>
        </w:rPr>
        <w:tab/>
        <w:t>(1)</w:t>
      </w:r>
      <w:r>
        <w:rPr>
          <w:snapToGrid w:val="0"/>
        </w:rPr>
        <w:tab/>
        <w:t>The authorized capital of the Corporation shall be $40 000 000 divided into 400 000 shares of $100 each.</w:t>
      </w:r>
    </w:p>
    <w:p>
      <w:pPr>
        <w:pStyle w:val="Subsection"/>
        <w:rPr>
          <w:snapToGrid w:val="0"/>
        </w:rPr>
      </w:pPr>
      <w:r>
        <w:rPr>
          <w:snapToGrid w:val="0"/>
        </w:rPr>
        <w:tab/>
        <w:t>(2)</w:t>
      </w:r>
      <w:r>
        <w:rPr>
          <w:snapToGrid w:val="0"/>
        </w:rPr>
        <w:tab/>
        <w:t>The Governor may on the recommendation of the Commission by regulation increase the authorized capital of the Corporation.</w:t>
      </w:r>
    </w:p>
    <w:p>
      <w:pPr>
        <w:pStyle w:val="Subsection"/>
        <w:rPr>
          <w:snapToGrid w:val="0"/>
        </w:rPr>
      </w:pPr>
      <w:r>
        <w:rPr>
          <w:snapToGrid w:val="0"/>
        </w:rPr>
        <w:tab/>
        <w:t>(3)</w:t>
      </w:r>
      <w:r>
        <w:rPr>
          <w:snapToGrid w:val="0"/>
        </w:rPr>
        <w:tab/>
        <w:t>The Commission shall take up 200 000 shares in the authorized capital of the Corporation at par as soon as is practicable after the commencement of this section, and those shares shall be paid for out of moneys standing to the credit of the Insurance Commission General Fund.</w:t>
      </w:r>
    </w:p>
    <w:p>
      <w:pPr>
        <w:pStyle w:val="Subsection"/>
        <w:rPr>
          <w:snapToGrid w:val="0"/>
        </w:rPr>
      </w:pPr>
      <w:r>
        <w:rPr>
          <w:snapToGrid w:val="0"/>
        </w:rPr>
        <w:tab/>
        <w:t>(4)</w:t>
      </w:r>
      <w:r>
        <w:rPr>
          <w:snapToGrid w:val="0"/>
        </w:rPr>
        <w:tab/>
        <w:t>Further shares in the authorized capital of the Corporation may from time to time be issued by the Corporation and taken up — </w:t>
      </w:r>
    </w:p>
    <w:p>
      <w:pPr>
        <w:pStyle w:val="Indenta"/>
        <w:rPr>
          <w:snapToGrid w:val="0"/>
        </w:rPr>
      </w:pPr>
      <w:r>
        <w:rPr>
          <w:snapToGrid w:val="0"/>
        </w:rPr>
        <w:tab/>
        <w:t>(a)</w:t>
      </w:r>
      <w:r>
        <w:rPr>
          <w:snapToGrid w:val="0"/>
        </w:rPr>
        <w:tab/>
        <w:t>by the Treasurer, with moneys appropriated by Parliament for the purpose;</w:t>
      </w:r>
    </w:p>
    <w:p>
      <w:pPr>
        <w:pStyle w:val="Indenta"/>
        <w:rPr>
          <w:snapToGrid w:val="0"/>
        </w:rPr>
      </w:pPr>
      <w:r>
        <w:rPr>
          <w:snapToGrid w:val="0"/>
        </w:rPr>
        <w:tab/>
        <w:t>(b)</w:t>
      </w:r>
      <w:r>
        <w:rPr>
          <w:snapToGrid w:val="0"/>
        </w:rPr>
        <w:tab/>
        <w:t>by the Commission; or</w:t>
      </w:r>
    </w:p>
    <w:p>
      <w:pPr>
        <w:pStyle w:val="Indenta"/>
        <w:rPr>
          <w:snapToGrid w:val="0"/>
        </w:rPr>
      </w:pPr>
      <w:r>
        <w:rPr>
          <w:snapToGrid w:val="0"/>
        </w:rPr>
        <w:tab/>
        <w:t>(c)</w:t>
      </w:r>
      <w:r>
        <w:rPr>
          <w:snapToGrid w:val="0"/>
        </w:rPr>
        <w:tab/>
        <w:t>with the approval of the Treasurer, by any other statutory authority.</w:t>
      </w:r>
    </w:p>
    <w:p>
      <w:pPr>
        <w:pStyle w:val="Subsection"/>
        <w:rPr>
          <w:snapToGrid w:val="0"/>
        </w:rPr>
      </w:pPr>
      <w:r>
        <w:rPr>
          <w:snapToGrid w:val="0"/>
        </w:rPr>
        <w:tab/>
        <w:t>(5)</w:t>
      </w:r>
      <w:r>
        <w:rPr>
          <w:snapToGrid w:val="0"/>
        </w:rPr>
        <w:tab/>
        <w:t>In issuing further shares under subsection (4) the Corporation shall give preference to existing holders of shares in the Corporation and shall ensure that subsection (6) is not contravened.</w:t>
      </w:r>
    </w:p>
    <w:p>
      <w:pPr>
        <w:pStyle w:val="Subsection"/>
        <w:rPr>
          <w:snapToGrid w:val="0"/>
        </w:rPr>
      </w:pPr>
      <w:r>
        <w:rPr>
          <w:snapToGrid w:val="0"/>
        </w:rPr>
        <w:tab/>
        <w:t>(6)</w:t>
      </w:r>
      <w:r>
        <w:rPr>
          <w:snapToGrid w:val="0"/>
        </w:rPr>
        <w:tab/>
        <w:t>The Commission shall at all times hold not less than 50% of all the shares in the Corporation that have been taken up.</w:t>
      </w:r>
    </w:p>
    <w:p>
      <w:pPr>
        <w:pStyle w:val="Subsection"/>
        <w:rPr>
          <w:snapToGrid w:val="0"/>
        </w:rPr>
      </w:pPr>
      <w:r>
        <w:rPr>
          <w:snapToGrid w:val="0"/>
        </w:rPr>
        <w:tab/>
        <w:t>(7)</w:t>
      </w:r>
      <w:r>
        <w:rPr>
          <w:snapToGrid w:val="0"/>
        </w:rPr>
        <w:tab/>
        <w:t>Subject to subsection (10), a statutory authority is authorized by virtue of this subsection to acquire and hold shares in the Corporation notwithstanding any enactment to the contrary.</w:t>
      </w:r>
    </w:p>
    <w:p>
      <w:pPr>
        <w:pStyle w:val="Subsection"/>
        <w:rPr>
          <w:snapToGrid w:val="0"/>
        </w:rPr>
      </w:pPr>
      <w:r>
        <w:rPr>
          <w:snapToGrid w:val="0"/>
        </w:rPr>
        <w:tab/>
        <w:t>(8)</w:t>
      </w:r>
      <w:r>
        <w:rPr>
          <w:snapToGrid w:val="0"/>
        </w:rPr>
        <w:tab/>
        <w:t>The amount to be paid for shares taken up under subsection (4) may, if the board of directors so determines, include a payment by way of premium, which the Corporation may receive and apply in such manner as the Treasurer may approve.</w:t>
      </w:r>
    </w:p>
    <w:p>
      <w:pPr>
        <w:pStyle w:val="Subsection"/>
        <w:rPr>
          <w:snapToGrid w:val="0"/>
        </w:rPr>
      </w:pPr>
      <w:r>
        <w:rPr>
          <w:snapToGrid w:val="0"/>
        </w:rPr>
        <w:tab/>
        <w:t>(9)</w:t>
      </w:r>
      <w:r>
        <w:rPr>
          <w:snapToGrid w:val="0"/>
        </w:rPr>
        <w:tab/>
        <w:t>A holder of shares in the Corporation — </w:t>
      </w:r>
    </w:p>
    <w:p>
      <w:pPr>
        <w:pStyle w:val="Indenta"/>
        <w:rPr>
          <w:snapToGrid w:val="0"/>
        </w:rPr>
      </w:pPr>
      <w:r>
        <w:rPr>
          <w:snapToGrid w:val="0"/>
        </w:rPr>
        <w:tab/>
        <w:t>(a)</w:t>
      </w:r>
      <w:r>
        <w:rPr>
          <w:snapToGrid w:val="0"/>
        </w:rPr>
        <w:tab/>
        <w:t>is liable only to the extent of any amount unpaid on the shares held by that shareholder;</w:t>
      </w:r>
    </w:p>
    <w:p>
      <w:pPr>
        <w:pStyle w:val="Indenta"/>
        <w:rPr>
          <w:snapToGrid w:val="0"/>
        </w:rPr>
      </w:pPr>
      <w:r>
        <w:rPr>
          <w:snapToGrid w:val="0"/>
        </w:rPr>
        <w:tab/>
        <w:t>(b)</w:t>
      </w:r>
      <w:r>
        <w:rPr>
          <w:snapToGrid w:val="0"/>
        </w:rPr>
        <w:tab/>
        <w:t>is entitled to receive any dividend declared by the board of directors in respect of those shares; and</w:t>
      </w:r>
    </w:p>
    <w:p>
      <w:pPr>
        <w:pStyle w:val="Indenta"/>
        <w:rPr>
          <w:snapToGrid w:val="0"/>
        </w:rPr>
      </w:pPr>
      <w:r>
        <w:rPr>
          <w:snapToGrid w:val="0"/>
        </w:rPr>
        <w:tab/>
        <w:t>(c)</w:t>
      </w:r>
      <w:r>
        <w:rPr>
          <w:snapToGrid w:val="0"/>
        </w:rPr>
        <w:tab/>
        <w:t>subject to subsection (6) in the case of the Commission, may, by instrument executed by the transferor and the transferee and delivered to the Corporation, transfer shares to another person or body authorized by subsection (4) to take up shares in the Corporation.</w:t>
      </w:r>
    </w:p>
    <w:p>
      <w:pPr>
        <w:pStyle w:val="Subsection"/>
        <w:rPr>
          <w:snapToGrid w:val="0"/>
        </w:rPr>
      </w:pPr>
      <w:r>
        <w:rPr>
          <w:snapToGrid w:val="0"/>
        </w:rPr>
        <w:tab/>
        <w:t>(10)</w:t>
      </w:r>
      <w:r>
        <w:rPr>
          <w:snapToGrid w:val="0"/>
        </w:rPr>
        <w:tab/>
        <w:t>Notwithstanding anything in this section, no statutory authority referred to in subsection (4)(c) shall, without the prior approval of the Treasurer, acquire or hold shares in the Corporation, whether under subsection (4) or (9)(c), in excess of such limit as may be prescribed.</w:t>
      </w:r>
    </w:p>
    <w:p>
      <w:pPr>
        <w:pStyle w:val="Subsection"/>
        <w:rPr>
          <w:snapToGrid w:val="0"/>
        </w:rPr>
      </w:pPr>
      <w:r>
        <w:rPr>
          <w:snapToGrid w:val="0"/>
        </w:rPr>
        <w:tab/>
        <w:t>(11)</w:t>
      </w:r>
      <w:r>
        <w:rPr>
          <w:snapToGrid w:val="0"/>
        </w:rPr>
        <w:tab/>
        <w:t>The Corporation shall keep a register of the holders of its shares, in such form as the Treasurer may approve, and enter in the register such details as the Treasurer may require.</w:t>
      </w:r>
    </w:p>
    <w:p>
      <w:pPr>
        <w:pStyle w:val="Footnotesection"/>
      </w:pPr>
      <w:r>
        <w:tab/>
        <w:t>[Section 39 amended by No. 49 of 1996 s.64.]</w:t>
      </w:r>
    </w:p>
    <w:p>
      <w:pPr>
        <w:pStyle w:val="Heading5"/>
        <w:rPr>
          <w:snapToGrid w:val="0"/>
        </w:rPr>
      </w:pPr>
      <w:bookmarkStart w:id="145" w:name="_Toc517674484"/>
      <w:bookmarkStart w:id="146" w:name="_Toc139707344"/>
      <w:r>
        <w:rPr>
          <w:rStyle w:val="CharSectno"/>
        </w:rPr>
        <w:t>40</w:t>
      </w:r>
      <w:r>
        <w:rPr>
          <w:snapToGrid w:val="0"/>
        </w:rPr>
        <w:t>.</w:t>
      </w:r>
      <w:r>
        <w:rPr>
          <w:snapToGrid w:val="0"/>
        </w:rPr>
        <w:tab/>
        <w:t>Temporary investment of funds</w:t>
      </w:r>
      <w:bookmarkEnd w:id="145"/>
      <w:bookmarkEnd w:id="146"/>
      <w:r>
        <w:rPr>
          <w:snapToGrid w:val="0"/>
        </w:rPr>
        <w:t xml:space="preserve"> </w:t>
      </w:r>
    </w:p>
    <w:p>
      <w:pPr>
        <w:pStyle w:val="Subsection"/>
        <w:rPr>
          <w:snapToGrid w:val="0"/>
        </w:rPr>
      </w:pPr>
      <w:r>
        <w:rPr>
          <w:snapToGrid w:val="0"/>
        </w:rPr>
        <w:tab/>
      </w:r>
      <w:r>
        <w:rPr>
          <w:snapToGrid w:val="0"/>
        </w:rPr>
        <w:tab/>
        <w:t>Moneys standing to the credit of the Corporation may until required for the purpose of carrying out its function under this Act, be temporarily invested or dealt with by the Corporation in such manner as the board of directors thinks fit.</w:t>
      </w:r>
    </w:p>
    <w:p>
      <w:pPr>
        <w:pStyle w:val="Heading5"/>
        <w:rPr>
          <w:snapToGrid w:val="0"/>
        </w:rPr>
      </w:pPr>
      <w:bookmarkStart w:id="147" w:name="_Toc517674485"/>
      <w:bookmarkStart w:id="148" w:name="_Toc139707345"/>
      <w:r>
        <w:rPr>
          <w:rStyle w:val="CharSectno"/>
        </w:rPr>
        <w:t>41</w:t>
      </w:r>
      <w:r>
        <w:rPr>
          <w:snapToGrid w:val="0"/>
        </w:rPr>
        <w:t>.</w:t>
      </w:r>
      <w:r>
        <w:rPr>
          <w:snapToGrid w:val="0"/>
        </w:rPr>
        <w:tab/>
        <w:t xml:space="preserve">Application of </w:t>
      </w:r>
      <w:r>
        <w:rPr>
          <w:i/>
          <w:snapToGrid w:val="0"/>
        </w:rPr>
        <w:t>Financial Administration and Audit Act 1985</w:t>
      </w:r>
      <w:r>
        <w:rPr>
          <w:snapToGrid w:val="0"/>
        </w:rPr>
        <w:t xml:space="preserve"> to the Corporation</w:t>
      </w:r>
      <w:bookmarkEnd w:id="147"/>
      <w:bookmarkEnd w:id="148"/>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Corporation and its operations.</w:t>
      </w:r>
    </w:p>
    <w:p>
      <w:pPr>
        <w:pStyle w:val="Heading2"/>
      </w:pPr>
      <w:bookmarkStart w:id="149" w:name="_Toc92782919"/>
      <w:bookmarkStart w:id="150" w:name="_Toc92783033"/>
      <w:bookmarkStart w:id="151" w:name="_Toc139707346"/>
      <w:r>
        <w:rPr>
          <w:rStyle w:val="CharPartNo"/>
        </w:rPr>
        <w:t>Part IV</w:t>
      </w:r>
      <w:r>
        <w:rPr>
          <w:rStyle w:val="CharDivNo"/>
        </w:rPr>
        <w:t> </w:t>
      </w:r>
      <w:r>
        <w:t>—</w:t>
      </w:r>
      <w:r>
        <w:rPr>
          <w:rStyle w:val="CharDivText"/>
        </w:rPr>
        <w:t> </w:t>
      </w:r>
      <w:r>
        <w:rPr>
          <w:rStyle w:val="CharPartText"/>
        </w:rPr>
        <w:t>General</w:t>
      </w:r>
      <w:bookmarkEnd w:id="149"/>
      <w:bookmarkEnd w:id="150"/>
      <w:bookmarkEnd w:id="151"/>
      <w:r>
        <w:rPr>
          <w:rStyle w:val="CharPartText"/>
        </w:rPr>
        <w:t xml:space="preserve"> </w:t>
      </w:r>
    </w:p>
    <w:p>
      <w:pPr>
        <w:pStyle w:val="Heading5"/>
        <w:rPr>
          <w:snapToGrid w:val="0"/>
        </w:rPr>
      </w:pPr>
      <w:bookmarkStart w:id="152" w:name="_Toc517674486"/>
      <w:bookmarkStart w:id="153" w:name="_Toc139707347"/>
      <w:r>
        <w:rPr>
          <w:rStyle w:val="CharSectno"/>
        </w:rPr>
        <w:t>42</w:t>
      </w:r>
      <w:r>
        <w:rPr>
          <w:snapToGrid w:val="0"/>
        </w:rPr>
        <w:t>.</w:t>
      </w:r>
      <w:r>
        <w:rPr>
          <w:snapToGrid w:val="0"/>
        </w:rPr>
        <w:tab/>
        <w:t>Secrecy</w:t>
      </w:r>
      <w:bookmarkEnd w:id="152"/>
      <w:bookmarkEnd w:id="153"/>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 </w:t>
      </w:r>
    </w:p>
    <w:p>
      <w:pPr>
        <w:pStyle w:val="Indenta"/>
        <w:rPr>
          <w:snapToGrid w:val="0"/>
        </w:rPr>
      </w:pPr>
      <w:r>
        <w:rPr>
          <w:snapToGrid w:val="0"/>
        </w:rPr>
        <w:tab/>
        <w:t>(a)</w:t>
      </w:r>
      <w:r>
        <w:rPr>
          <w:snapToGrid w:val="0"/>
        </w:rPr>
        <w:tab/>
        <w:t>is or has been a commissioner or alternate commissioner;</w:t>
      </w:r>
    </w:p>
    <w:p>
      <w:pPr>
        <w:pStyle w:val="Indenta"/>
        <w:rPr>
          <w:snapToGrid w:val="0"/>
        </w:rPr>
      </w:pPr>
      <w:r>
        <w:rPr>
          <w:snapToGrid w:val="0"/>
        </w:rPr>
        <w:tab/>
        <w:t>(b)</w:t>
      </w:r>
      <w:r>
        <w:rPr>
          <w:snapToGrid w:val="0"/>
        </w:rPr>
        <w:tab/>
        <w:t>is or has been a director or alternate director of the Corporation;</w:t>
      </w:r>
    </w:p>
    <w:p>
      <w:pPr>
        <w:pStyle w:val="Indenta"/>
        <w:rPr>
          <w:snapToGrid w:val="0"/>
        </w:rPr>
      </w:pPr>
      <w:r>
        <w:rPr>
          <w:snapToGrid w:val="0"/>
        </w:rPr>
        <w:tab/>
        <w:t>(c)</w:t>
      </w:r>
      <w:r>
        <w:rPr>
          <w:snapToGrid w:val="0"/>
        </w:rPr>
        <w:tab/>
        <w:t>is or has been an officer or employee of the Commission; or</w:t>
      </w:r>
    </w:p>
    <w:p>
      <w:pPr>
        <w:pStyle w:val="Indenta"/>
        <w:rPr>
          <w:snapToGrid w:val="0"/>
        </w:rPr>
      </w:pPr>
      <w:r>
        <w:rPr>
          <w:snapToGrid w:val="0"/>
        </w:rPr>
        <w:tab/>
        <w:t>(d)</w:t>
      </w:r>
      <w:r>
        <w:rPr>
          <w:snapToGrid w:val="0"/>
        </w:rPr>
        <w:tab/>
        <w:t>is rendering or has rendered services to the Commission or Corporation under section 12, 13, 13A or 38.</w:t>
      </w:r>
    </w:p>
    <w:p>
      <w:pPr>
        <w:pStyle w:val="Footnotesection"/>
      </w:pPr>
      <w:r>
        <w:tab/>
        <w:t xml:space="preserve">[Section 42 amended by No. 49 of 1992 s.28.] </w:t>
      </w:r>
    </w:p>
    <w:p>
      <w:pPr>
        <w:pStyle w:val="Heading5"/>
        <w:rPr>
          <w:snapToGrid w:val="0"/>
        </w:rPr>
      </w:pPr>
      <w:bookmarkStart w:id="154" w:name="_Toc517674487"/>
      <w:bookmarkStart w:id="155" w:name="_Toc139707348"/>
      <w:r>
        <w:rPr>
          <w:rStyle w:val="CharSectno"/>
        </w:rPr>
        <w:t>43</w:t>
      </w:r>
      <w:r>
        <w:rPr>
          <w:snapToGrid w:val="0"/>
        </w:rPr>
        <w:t>.</w:t>
      </w:r>
      <w:r>
        <w:rPr>
          <w:snapToGrid w:val="0"/>
        </w:rPr>
        <w:tab/>
        <w:t>Execution of documents and entry into contracts</w:t>
      </w:r>
      <w:bookmarkEnd w:id="154"/>
      <w:bookmarkEnd w:id="155"/>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Subsection"/>
        <w:rPr>
          <w:snapToGrid w:val="0"/>
        </w:rPr>
      </w:pPr>
      <w:r>
        <w:rPr>
          <w:snapToGrid w:val="0"/>
        </w:rPr>
        <w:tab/>
        <w:t>(9)</w:t>
      </w:r>
      <w:r>
        <w:rPr>
          <w:snapToGrid w:val="0"/>
        </w:rPr>
        <w:tab/>
        <w:t>Subsections (1) to (8) shall also apply to and in relation to the Corporation as if references in those subsections to the Commission were references to the Corporation and the reference in subsection (4) to a commissioner were a reference to a director of the Corporation.</w:t>
      </w:r>
    </w:p>
    <w:p>
      <w:pPr>
        <w:pStyle w:val="Heading5"/>
        <w:rPr>
          <w:snapToGrid w:val="0"/>
        </w:rPr>
      </w:pPr>
      <w:bookmarkStart w:id="156" w:name="_Toc517674488"/>
      <w:bookmarkStart w:id="157" w:name="_Toc139707349"/>
      <w:r>
        <w:rPr>
          <w:rStyle w:val="CharSectno"/>
        </w:rPr>
        <w:t>44</w:t>
      </w:r>
      <w:r>
        <w:rPr>
          <w:snapToGrid w:val="0"/>
        </w:rPr>
        <w:t>.</w:t>
      </w:r>
      <w:r>
        <w:rPr>
          <w:snapToGrid w:val="0"/>
        </w:rPr>
        <w:tab/>
        <w:t>Exemption of certain public authorities from workers’ compensation insurance requirements</w:t>
      </w:r>
      <w:bookmarkEnd w:id="156"/>
      <w:bookmarkEnd w:id="157"/>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(the </w:t>
      </w:r>
      <w:r>
        <w:rPr>
          <w:b/>
          <w:snapToGrid w:val="0"/>
        </w:rPr>
        <w:t>“</w:t>
      </w:r>
      <w:r>
        <w:rPr>
          <w:rStyle w:val="CharDefText"/>
        </w:rPr>
        <w:t>WCR Act</w:t>
      </w:r>
      <w:r>
        <w:rPr>
          <w:b/>
          <w:snapToGrid w:val="0"/>
        </w:rPr>
        <w:t>”</w:t>
      </w:r>
      <w:r>
        <w:rPr>
          <w:snapToGrid w:val="0"/>
        </w:rPr>
        <w:t>), public authorities for which insurance arrangements are managed and administered by the Commission under section 6(c) of this Act, are to be regarded as a group of employers that have been exempted by the Governor under section 164 of the WCR Act from the obligation to insure pursuant to the WCR Act except for the obligation to insure against liability to pay compensation for any industrial disease of the kinds referred to in section 151(a)(iii) of the WCR Act.</w:t>
      </w:r>
    </w:p>
    <w:p>
      <w:pPr>
        <w:pStyle w:val="Footnotesection"/>
      </w:pPr>
      <w:r>
        <w:tab/>
        <w:t>[Section 44 inserted by No. 45 of 1996 s.23; amended by No. 42 of 2004 s. 174.]</w:t>
      </w:r>
    </w:p>
    <w:p>
      <w:pPr>
        <w:pStyle w:val="Heading5"/>
        <w:rPr>
          <w:snapToGrid w:val="0"/>
        </w:rPr>
      </w:pPr>
      <w:bookmarkStart w:id="158" w:name="_Toc517674489"/>
      <w:bookmarkStart w:id="159" w:name="_Toc139707350"/>
      <w:r>
        <w:rPr>
          <w:rStyle w:val="CharSectno"/>
        </w:rPr>
        <w:t>45</w:t>
      </w:r>
      <w:r>
        <w:rPr>
          <w:snapToGrid w:val="0"/>
        </w:rPr>
        <w:t>.</w:t>
      </w:r>
      <w:r>
        <w:rPr>
          <w:snapToGrid w:val="0"/>
        </w:rPr>
        <w:tab/>
        <w:t>Regulations</w:t>
      </w:r>
      <w:bookmarkEnd w:id="158"/>
      <w:bookmarkEnd w:id="15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make provision as to — </w:t>
      </w:r>
    </w:p>
    <w:p>
      <w:pPr>
        <w:pStyle w:val="Indenta"/>
        <w:rPr>
          <w:snapToGrid w:val="0"/>
        </w:rPr>
      </w:pPr>
      <w:r>
        <w:rPr>
          <w:snapToGrid w:val="0"/>
        </w:rPr>
        <w:tab/>
        <w:t>(a)</w:t>
      </w:r>
      <w:r>
        <w:rPr>
          <w:snapToGrid w:val="0"/>
        </w:rPr>
        <w:tab/>
        <w:t>the use of the common seals of the Commission and the Corporation in Western Australia and elsewhere;</w:t>
      </w:r>
    </w:p>
    <w:p>
      <w:pPr>
        <w:pStyle w:val="Indenta"/>
        <w:rPr>
          <w:snapToGrid w:val="0"/>
        </w:rPr>
      </w:pPr>
      <w:r>
        <w:rPr>
          <w:snapToGrid w:val="0"/>
        </w:rPr>
        <w:tab/>
        <w:t>(b)</w:t>
      </w:r>
      <w:r>
        <w:rPr>
          <w:snapToGrid w:val="0"/>
        </w:rPr>
        <w:tab/>
        <w:t>the application to the Corporation, the directors of the Corporation, or the officers and employees employed in the service of the Corporation, either with or without modification or variation, of any written law which would not otherwise be binding on the Corporation, the directors of the Corporation, or those officers and employees; and</w:t>
      </w:r>
    </w:p>
    <w:p>
      <w:pPr>
        <w:pStyle w:val="Indenta"/>
        <w:rPr>
          <w:snapToGrid w:val="0"/>
        </w:rPr>
      </w:pPr>
      <w:r>
        <w:rPr>
          <w:snapToGrid w:val="0"/>
        </w:rPr>
        <w:tab/>
        <w:t>(c)</w:t>
      </w:r>
      <w:r>
        <w:rPr>
          <w:snapToGrid w:val="0"/>
        </w:rPr>
        <w:tab/>
        <w:t>the requirements and procedures which are to be observed or followed in, or in relation to, borrowing by the Corporation and the issue and recording of debt paper.</w:t>
      </w:r>
    </w:p>
    <w:p>
      <w:pPr>
        <w:pStyle w:val="Heading2"/>
      </w:pPr>
      <w:bookmarkStart w:id="160" w:name="_Toc92782924"/>
      <w:bookmarkStart w:id="161" w:name="_Toc92783038"/>
      <w:bookmarkStart w:id="162" w:name="_Toc139707351"/>
      <w:r>
        <w:rPr>
          <w:rStyle w:val="CharPartNo"/>
        </w:rPr>
        <w:t>Part V</w:t>
      </w:r>
      <w:r>
        <w:rPr>
          <w:rStyle w:val="CharDivNo"/>
        </w:rPr>
        <w:t> </w:t>
      </w:r>
      <w:r>
        <w:t>—</w:t>
      </w:r>
      <w:r>
        <w:rPr>
          <w:rStyle w:val="CharDivText"/>
        </w:rPr>
        <w:t> </w:t>
      </w:r>
      <w:r>
        <w:rPr>
          <w:rStyle w:val="CharPartText"/>
        </w:rPr>
        <w:t>Repeal, amendments, saving, validation and transitional</w:t>
      </w:r>
      <w:bookmarkEnd w:id="160"/>
      <w:bookmarkEnd w:id="161"/>
      <w:bookmarkEnd w:id="162"/>
      <w:r>
        <w:rPr>
          <w:rStyle w:val="CharPartText"/>
        </w:rPr>
        <w:t xml:space="preserve"> </w:t>
      </w:r>
    </w:p>
    <w:p>
      <w:pPr>
        <w:pStyle w:val="Heading5"/>
        <w:rPr>
          <w:snapToGrid w:val="0"/>
        </w:rPr>
      </w:pPr>
      <w:bookmarkStart w:id="163" w:name="_Toc517674490"/>
      <w:bookmarkStart w:id="164" w:name="_Toc139707352"/>
      <w:r>
        <w:rPr>
          <w:rStyle w:val="CharSectno"/>
        </w:rPr>
        <w:t>46</w:t>
      </w:r>
      <w:r>
        <w:rPr>
          <w:snapToGrid w:val="0"/>
        </w:rPr>
        <w:t>.</w:t>
      </w:r>
      <w:r>
        <w:rPr>
          <w:snapToGrid w:val="0"/>
        </w:rPr>
        <w:tab/>
        <w:t>Repeal and amendments</w:t>
      </w:r>
      <w:bookmarkEnd w:id="163"/>
      <w:bookmarkEnd w:id="164"/>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s.7(4)(e).]</w:t>
      </w:r>
    </w:p>
    <w:p>
      <w:pPr>
        <w:pStyle w:val="Heading5"/>
        <w:rPr>
          <w:snapToGrid w:val="0"/>
        </w:rPr>
      </w:pPr>
      <w:bookmarkStart w:id="165" w:name="_Toc517674491"/>
      <w:bookmarkStart w:id="166" w:name="_Toc139707353"/>
      <w:r>
        <w:rPr>
          <w:rStyle w:val="CharSectno"/>
        </w:rPr>
        <w:t>47</w:t>
      </w:r>
      <w:r>
        <w:rPr>
          <w:snapToGrid w:val="0"/>
        </w:rPr>
        <w:t>.</w:t>
      </w:r>
      <w:r>
        <w:rPr>
          <w:snapToGrid w:val="0"/>
        </w:rPr>
        <w:tab/>
        <w:t>Saving, validation and transitional provisions</w:t>
      </w:r>
      <w:bookmarkEnd w:id="165"/>
      <w:bookmarkEnd w:id="166"/>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167" w:name="_Toc517674492"/>
      <w:bookmarkStart w:id="168" w:name="_Toc139707354"/>
      <w:r>
        <w:rPr>
          <w:rStyle w:val="CharSectno"/>
        </w:rPr>
        <w:t>48</w:t>
      </w:r>
      <w:r>
        <w:rPr>
          <w:snapToGrid w:val="0"/>
        </w:rPr>
        <w:t>.</w:t>
      </w:r>
      <w:r>
        <w:rPr>
          <w:snapToGrid w:val="0"/>
        </w:rPr>
        <w:tab/>
        <w:t>Oversight by Public Accounts Committee</w:t>
      </w:r>
      <w:bookmarkEnd w:id="167"/>
      <w:bookmarkEnd w:id="168"/>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69" w:name="_Toc139707355"/>
      <w:r>
        <w:rPr>
          <w:rStyle w:val="CharSchNo"/>
        </w:rPr>
        <w:t>Schedule 1</w:t>
      </w:r>
      <w:bookmarkEnd w:id="169"/>
    </w:p>
    <w:p>
      <w:pPr>
        <w:pStyle w:val="yShoulderClause"/>
        <w:rPr>
          <w:snapToGrid w:val="0"/>
        </w:rPr>
      </w:pPr>
      <w:r>
        <w:rPr>
          <w:snapToGrid w:val="0"/>
        </w:rPr>
        <w:t>[Section 5(4)]</w:t>
      </w:r>
    </w:p>
    <w:p>
      <w:pPr>
        <w:pStyle w:val="MiscellaneousHeading"/>
        <w:rPr>
          <w:b/>
          <w:snapToGrid w:val="0"/>
          <w:sz w:val="22"/>
        </w:rPr>
      </w:pPr>
      <w:r>
        <w:rPr>
          <w:b/>
          <w:snapToGrid w:val="0"/>
          <w:sz w:val="22"/>
        </w:rPr>
        <w:t>Provisions as to Commissioners</w:t>
      </w:r>
    </w:p>
    <w:p>
      <w:pPr>
        <w:pStyle w:val="yHeading5"/>
        <w:ind w:left="890" w:hanging="890"/>
        <w:outlineLvl w:val="9"/>
        <w:rPr>
          <w:snapToGrid w:val="0"/>
        </w:rPr>
      </w:pPr>
      <w:bookmarkStart w:id="170" w:name="_Toc139707356"/>
      <w:r>
        <w:rPr>
          <w:snapToGrid w:val="0"/>
        </w:rPr>
        <w:t>1.</w:t>
      </w:r>
      <w:r>
        <w:rPr>
          <w:snapToGrid w:val="0"/>
        </w:rPr>
        <w:tab/>
        <w:t>Definitions</w:t>
      </w:r>
      <w:bookmarkEnd w:id="170"/>
    </w:p>
    <w:p>
      <w:pPr>
        <w:pStyle w:val="ySubsection"/>
        <w:rPr>
          <w:snapToGrid w:val="0"/>
        </w:rPr>
      </w:pPr>
      <w:r>
        <w:rPr>
          <w:snapToGrid w:val="0"/>
        </w:rPr>
        <w:tab/>
      </w:r>
      <w:r>
        <w:rPr>
          <w:snapToGrid w:val="0"/>
        </w:rPr>
        <w:tab/>
        <w:t>In this Schedule — </w:t>
      </w:r>
    </w:p>
    <w:p>
      <w:pPr>
        <w:pStyle w:val="yDefstart"/>
      </w:pPr>
      <w:r>
        <w:tab/>
        <w:t>“</w:t>
      </w:r>
      <w:r>
        <w:rPr>
          <w:rStyle w:val="CharDefText"/>
        </w:rPr>
        <w:t>ordinary commissioner</w:t>
      </w:r>
      <w:r>
        <w:t>” means a commissioner other than the managing director, and includes the chairman and the deputy chairman of the board of commissioners;</w:t>
      </w:r>
    </w:p>
    <w:p>
      <w:pPr>
        <w:pStyle w:val="yDefstart"/>
      </w:pPr>
      <w:r>
        <w:rPr>
          <w:b/>
        </w:rPr>
        <w:tab/>
        <w:t>“</w:t>
      </w:r>
      <w:r>
        <w:rPr>
          <w:rStyle w:val="CharDefText"/>
        </w:rPr>
        <w:t>the board</w:t>
      </w:r>
      <w:r>
        <w:rPr>
          <w:b/>
        </w:rPr>
        <w:t>”</w:t>
      </w:r>
      <w:r>
        <w:t xml:space="preserve"> means the board of commissioners of the Commission.</w:t>
      </w:r>
    </w:p>
    <w:p>
      <w:pPr>
        <w:pStyle w:val="yHeading5"/>
        <w:ind w:left="890" w:hanging="890"/>
        <w:outlineLvl w:val="9"/>
        <w:rPr>
          <w:snapToGrid w:val="0"/>
        </w:rPr>
      </w:pPr>
      <w:bookmarkStart w:id="171" w:name="_Toc139707357"/>
      <w:r>
        <w:rPr>
          <w:snapToGrid w:val="0"/>
        </w:rPr>
        <w:t>2.</w:t>
      </w:r>
      <w:r>
        <w:rPr>
          <w:snapToGrid w:val="0"/>
        </w:rPr>
        <w:tab/>
        <w:t>Commissioners — terms and vacation of office</w:t>
      </w:r>
      <w:bookmarkEnd w:id="171"/>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w:t>
      </w:r>
    </w:p>
    <w:p>
      <w:pPr>
        <w:pStyle w:val="yIndenta"/>
        <w:rPr>
          <w:snapToGrid w:val="0"/>
        </w:rPr>
      </w:pPr>
      <w:r>
        <w:rPr>
          <w:snapToGrid w:val="0"/>
        </w:rPr>
        <w:tab/>
        <w:t>(b)</w:t>
      </w:r>
      <w:r>
        <w:rPr>
          <w:snapToGrid w:val="0"/>
        </w:rPr>
        <w:tab/>
        <w:t>if 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rPr>
          <w:snapToGrid w:val="0"/>
        </w:rPr>
      </w:pPr>
      <w:r>
        <w:rPr>
          <w:snapToGrid w:val="0"/>
        </w:rPr>
        <w:tab/>
        <w:t>(5)</w:t>
      </w:r>
      <w:r>
        <w:rPr>
          <w:snapToGrid w:val="0"/>
        </w:rPr>
        <w:tab/>
        <w:t>An ordinary commissioner shall carry out his duties on a part-time basis unless there is any requirement to the contrary in the instrument appointing him as a commissioner or as chairman or deputy chairman of the board.</w:t>
      </w:r>
    </w:p>
    <w:p>
      <w:pPr>
        <w:pStyle w:val="yHeading5"/>
        <w:ind w:left="890" w:hanging="890"/>
        <w:outlineLvl w:val="9"/>
        <w:rPr>
          <w:snapToGrid w:val="0"/>
        </w:rPr>
      </w:pPr>
      <w:bookmarkStart w:id="172" w:name="_Toc139707358"/>
      <w:r>
        <w:rPr>
          <w:snapToGrid w:val="0"/>
        </w:rPr>
        <w:t>3.</w:t>
      </w:r>
      <w:r>
        <w:rPr>
          <w:snapToGrid w:val="0"/>
        </w:rPr>
        <w:tab/>
        <w:t>Alternate commissioners</w:t>
      </w:r>
      <w:bookmarkEnd w:id="172"/>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173" w:name="_Toc139707359"/>
      <w:r>
        <w:rPr>
          <w:snapToGrid w:val="0"/>
        </w:rPr>
        <w:t>4.</w:t>
      </w:r>
      <w:r>
        <w:rPr>
          <w:snapToGrid w:val="0"/>
        </w:rPr>
        <w:tab/>
        <w:t>Chairman and deputy chairman — term and vacation of office</w:t>
      </w:r>
      <w:bookmarkEnd w:id="173"/>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174" w:name="_Toc139707360"/>
      <w:r>
        <w:rPr>
          <w:snapToGrid w:val="0"/>
        </w:rPr>
        <w:t>5.</w:t>
      </w:r>
      <w:r>
        <w:rPr>
          <w:snapToGrid w:val="0"/>
        </w:rPr>
        <w:tab/>
        <w:t>Disclosure of pecuniary interests</w:t>
      </w:r>
      <w:bookmarkEnd w:id="174"/>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175" w:name="_Toc139707361"/>
      <w:r>
        <w:rPr>
          <w:snapToGrid w:val="0"/>
        </w:rPr>
        <w:t>6.</w:t>
      </w:r>
      <w:r>
        <w:rPr>
          <w:snapToGrid w:val="0"/>
        </w:rPr>
        <w:tab/>
        <w:t>Meetings</w:t>
      </w:r>
      <w:bookmarkEnd w:id="175"/>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Heading5"/>
        <w:ind w:left="890" w:hanging="890"/>
        <w:outlineLvl w:val="9"/>
        <w:rPr>
          <w:snapToGrid w:val="0"/>
        </w:rPr>
      </w:pPr>
      <w:bookmarkStart w:id="176" w:name="_Toc139707362"/>
      <w:r>
        <w:rPr>
          <w:snapToGrid w:val="0"/>
        </w:rPr>
        <w:t>6A.</w:t>
      </w:r>
      <w:r>
        <w:rPr>
          <w:snapToGrid w:val="0"/>
        </w:rPr>
        <w:tab/>
        <w:t>Telephone and video meetings</w:t>
      </w:r>
      <w:bookmarkEnd w:id="176"/>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Heading5"/>
        <w:ind w:left="890" w:hanging="890"/>
        <w:outlineLvl w:val="9"/>
        <w:rPr>
          <w:snapToGrid w:val="0"/>
        </w:rPr>
      </w:pPr>
      <w:bookmarkStart w:id="177" w:name="_Toc139707363"/>
      <w:r>
        <w:rPr>
          <w:snapToGrid w:val="0"/>
        </w:rPr>
        <w:t>7.</w:t>
      </w:r>
      <w:r>
        <w:rPr>
          <w:snapToGrid w:val="0"/>
        </w:rPr>
        <w:tab/>
        <w:t>Committees</w:t>
      </w:r>
      <w:bookmarkEnd w:id="177"/>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Heading5"/>
        <w:ind w:left="890" w:hanging="890"/>
        <w:outlineLvl w:val="9"/>
        <w:rPr>
          <w:snapToGrid w:val="0"/>
        </w:rPr>
      </w:pPr>
      <w:bookmarkStart w:id="178" w:name="_Toc139707364"/>
      <w:r>
        <w:rPr>
          <w:snapToGrid w:val="0"/>
        </w:rPr>
        <w:t>8.</w:t>
      </w:r>
      <w:r>
        <w:rPr>
          <w:snapToGrid w:val="0"/>
        </w:rPr>
        <w:tab/>
        <w:t>Resolution may be passed without meeting</w:t>
      </w:r>
      <w:bookmarkEnd w:id="178"/>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ind w:left="890" w:hanging="890"/>
        <w:outlineLvl w:val="9"/>
        <w:rPr>
          <w:snapToGrid w:val="0"/>
        </w:rPr>
      </w:pPr>
      <w:bookmarkStart w:id="179" w:name="_Toc139707365"/>
      <w:r>
        <w:rPr>
          <w:snapToGrid w:val="0"/>
        </w:rPr>
        <w:t>8A.</w:t>
      </w:r>
      <w:r>
        <w:rPr>
          <w:snapToGrid w:val="0"/>
        </w:rPr>
        <w:tab/>
        <w:t>Minutes of meetings etc.</w:t>
      </w:r>
      <w:bookmarkEnd w:id="179"/>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Heading5"/>
        <w:ind w:left="890" w:hanging="890"/>
        <w:outlineLvl w:val="9"/>
        <w:rPr>
          <w:snapToGrid w:val="0"/>
        </w:rPr>
      </w:pPr>
      <w:bookmarkStart w:id="180" w:name="_Toc139707366"/>
      <w:r>
        <w:rPr>
          <w:snapToGrid w:val="0"/>
        </w:rPr>
        <w:t>9.</w:t>
      </w:r>
      <w:r>
        <w:rPr>
          <w:snapToGrid w:val="0"/>
        </w:rPr>
        <w:tab/>
        <w:t>Leave of absence</w:t>
      </w:r>
      <w:bookmarkEnd w:id="180"/>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181" w:name="_Toc139707367"/>
      <w:r>
        <w:rPr>
          <w:snapToGrid w:val="0"/>
        </w:rPr>
        <w:t>10.</w:t>
      </w:r>
      <w:r>
        <w:rPr>
          <w:snapToGrid w:val="0"/>
        </w:rPr>
        <w:tab/>
        <w:t>Board to determine own procedures</w:t>
      </w:r>
      <w:bookmarkEnd w:id="181"/>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182" w:name="_Toc139707368"/>
      <w:r>
        <w:rPr>
          <w:snapToGrid w:val="0"/>
        </w:rPr>
        <w:t>11.</w:t>
      </w:r>
      <w:r>
        <w:rPr>
          <w:snapToGrid w:val="0"/>
        </w:rPr>
        <w:tab/>
        <w:t>Protection of commissioners</w:t>
      </w:r>
      <w:bookmarkEnd w:id="182"/>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[Schedule 1 amended by No. 41 of 1996 s.3; No. 45 of 1996 s.26.]</w:t>
      </w:r>
    </w:p>
    <w:p>
      <w:pPr>
        <w:pStyle w:val="yScheduleHeading"/>
      </w:pPr>
      <w:bookmarkStart w:id="183" w:name="_Toc139707369"/>
      <w:r>
        <w:rPr>
          <w:rStyle w:val="CharSchNo"/>
        </w:rPr>
        <w:t>Schedule 2</w:t>
      </w:r>
      <w:bookmarkEnd w:id="183"/>
    </w:p>
    <w:p>
      <w:pPr>
        <w:pStyle w:val="yShoulderClause"/>
        <w:rPr>
          <w:snapToGrid w:val="0"/>
        </w:rPr>
      </w:pPr>
      <w:r>
        <w:rPr>
          <w:snapToGrid w:val="0"/>
        </w:rPr>
        <w:t>[Section 29(4)]</w:t>
      </w:r>
    </w:p>
    <w:p>
      <w:pPr>
        <w:pStyle w:val="MiscellaneousHeading"/>
        <w:rPr>
          <w:b/>
          <w:snapToGrid w:val="0"/>
          <w:sz w:val="22"/>
        </w:rPr>
      </w:pPr>
      <w:r>
        <w:rPr>
          <w:b/>
          <w:snapToGrid w:val="0"/>
          <w:sz w:val="22"/>
        </w:rPr>
        <w:t>Provisions as to directors</w:t>
      </w:r>
    </w:p>
    <w:p>
      <w:pPr>
        <w:pStyle w:val="yHeading5"/>
        <w:ind w:left="890" w:hanging="890"/>
        <w:outlineLvl w:val="9"/>
        <w:rPr>
          <w:snapToGrid w:val="0"/>
        </w:rPr>
      </w:pPr>
      <w:bookmarkStart w:id="184" w:name="_Toc139707370"/>
      <w:r>
        <w:rPr>
          <w:snapToGrid w:val="0"/>
        </w:rPr>
        <w:t>1.</w:t>
      </w:r>
      <w:r>
        <w:rPr>
          <w:snapToGrid w:val="0"/>
        </w:rPr>
        <w:tab/>
        <w:t>Definition</w:t>
      </w:r>
      <w:bookmarkEnd w:id="184"/>
    </w:p>
    <w:p>
      <w:pPr>
        <w:pStyle w:val="ySubsection"/>
        <w:rPr>
          <w:snapToGrid w:val="0"/>
        </w:rPr>
      </w:pPr>
      <w:r>
        <w:rPr>
          <w:snapToGrid w:val="0"/>
        </w:rPr>
        <w:tab/>
      </w:r>
      <w:r>
        <w:rPr>
          <w:snapToGrid w:val="0"/>
        </w:rPr>
        <w:tab/>
        <w:t xml:space="preserve">In this Schedule </w:t>
      </w:r>
      <w:r>
        <w:rPr>
          <w:b/>
          <w:snapToGrid w:val="0"/>
        </w:rPr>
        <w:t>“</w:t>
      </w:r>
      <w:r>
        <w:rPr>
          <w:rStyle w:val="CharDefText"/>
        </w:rPr>
        <w:t>ordinary director</w:t>
      </w:r>
      <w:r>
        <w:rPr>
          <w:b/>
          <w:snapToGrid w:val="0"/>
        </w:rPr>
        <w:t>”</w:t>
      </w:r>
      <w:r>
        <w:rPr>
          <w:snapToGrid w:val="0"/>
        </w:rPr>
        <w:t xml:space="preserve"> means a director of the Corporation other than the managing director, and includes the deputy chairman of the board of directors.</w:t>
      </w:r>
    </w:p>
    <w:p>
      <w:pPr>
        <w:pStyle w:val="yHeading5"/>
        <w:ind w:left="890" w:hanging="890"/>
        <w:outlineLvl w:val="9"/>
        <w:rPr>
          <w:snapToGrid w:val="0"/>
        </w:rPr>
      </w:pPr>
      <w:bookmarkStart w:id="185" w:name="_Toc139707371"/>
      <w:r>
        <w:rPr>
          <w:snapToGrid w:val="0"/>
        </w:rPr>
        <w:t>2.</w:t>
      </w:r>
      <w:r>
        <w:rPr>
          <w:snapToGrid w:val="0"/>
        </w:rPr>
        <w:tab/>
        <w:t>Directors — terms and vacation of office</w:t>
      </w:r>
      <w:bookmarkEnd w:id="185"/>
    </w:p>
    <w:p>
      <w:pPr>
        <w:pStyle w:val="ySubsection"/>
        <w:rPr>
          <w:snapToGrid w:val="0"/>
        </w:rPr>
      </w:pPr>
      <w:r>
        <w:rPr>
          <w:snapToGrid w:val="0"/>
        </w:rPr>
        <w:tab/>
        <w:t>(1)</w:t>
      </w:r>
      <w:r>
        <w:rPr>
          <w:snapToGrid w:val="0"/>
        </w:rPr>
        <w:tab/>
        <w:t>Subject to subclauses (2), (3) and (4), an ordinary director shall hold office for such period, not exceeding 5 years, as is specified in the instrument appointing him as a director, and is eligible for reappointment.</w:t>
      </w:r>
    </w:p>
    <w:p>
      <w:pPr>
        <w:pStyle w:val="ySubsection"/>
        <w:rPr>
          <w:snapToGrid w:val="0"/>
        </w:rPr>
      </w:pPr>
      <w:r>
        <w:rPr>
          <w:snapToGrid w:val="0"/>
        </w:rPr>
        <w:tab/>
        <w:t>(2)</w:t>
      </w:r>
      <w:r>
        <w:rPr>
          <w:snapToGrid w:val="0"/>
        </w:rPr>
        <w:tab/>
        <w:t>An ordinary director,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director may resign his office by notice in writing delivered to the chairman of the board of commissioners.</w:t>
      </w:r>
    </w:p>
    <w:p>
      <w:pPr>
        <w:pStyle w:val="ySubsection"/>
        <w:rPr>
          <w:snapToGrid w:val="0"/>
        </w:rPr>
      </w:pPr>
      <w:r>
        <w:rPr>
          <w:snapToGrid w:val="0"/>
        </w:rPr>
        <w:tab/>
        <w:t>(4)</w:t>
      </w:r>
      <w:r>
        <w:rPr>
          <w:snapToGrid w:val="0"/>
        </w:rPr>
        <w:tab/>
        <w:t>An ordinary director may be removed from office by the Commission — </w:t>
      </w:r>
    </w:p>
    <w:p>
      <w:pPr>
        <w:pStyle w:val="yIndenta"/>
        <w:rPr>
          <w:snapToGrid w:val="0"/>
        </w:rPr>
      </w:pPr>
      <w:r>
        <w:rPr>
          <w:snapToGrid w:val="0"/>
        </w:rPr>
        <w:tab/>
        <w:t>(a)</w:t>
      </w:r>
      <w:r>
        <w:rPr>
          <w:snapToGrid w:val="0"/>
        </w:rPr>
        <w:tab/>
        <w:t>for mental or physical disability, incompetence, neglect of duty or misconduct proved to the satisfaction of the Commission;</w:t>
      </w:r>
    </w:p>
    <w:p>
      <w:pPr>
        <w:pStyle w:val="yIndenta"/>
        <w:rPr>
          <w:snapToGrid w:val="0"/>
        </w:rPr>
      </w:pPr>
      <w:r>
        <w:rPr>
          <w:snapToGrid w:val="0"/>
        </w:rPr>
        <w:tab/>
        <w:t>(b)</w:t>
      </w:r>
      <w:r>
        <w:rPr>
          <w:snapToGrid w:val="0"/>
        </w:rPr>
        <w:tab/>
        <w:t>if 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if he is absent without leave of the board of directors from 3 consecutive meetings of the board of directors of which he has had notice.</w:t>
      </w:r>
    </w:p>
    <w:p>
      <w:pPr>
        <w:pStyle w:val="ySubsection"/>
        <w:rPr>
          <w:snapToGrid w:val="0"/>
        </w:rPr>
      </w:pPr>
      <w:r>
        <w:rPr>
          <w:snapToGrid w:val="0"/>
        </w:rPr>
        <w:tab/>
        <w:t>(5)</w:t>
      </w:r>
      <w:r>
        <w:rPr>
          <w:snapToGrid w:val="0"/>
        </w:rPr>
        <w:tab/>
        <w:t>An ordinary director shall carry out his duties as a director on a part time basis unless there is any requirement to the contrary in the instrument appointing him as a director or as deputy chairman of the board of directors.</w:t>
      </w:r>
    </w:p>
    <w:p>
      <w:pPr>
        <w:pStyle w:val="yHeading5"/>
        <w:ind w:left="890" w:hanging="890"/>
        <w:outlineLvl w:val="9"/>
        <w:rPr>
          <w:snapToGrid w:val="0"/>
        </w:rPr>
      </w:pPr>
      <w:bookmarkStart w:id="186" w:name="_Toc139707372"/>
      <w:r>
        <w:rPr>
          <w:snapToGrid w:val="0"/>
        </w:rPr>
        <w:t>3.</w:t>
      </w:r>
      <w:r>
        <w:rPr>
          <w:snapToGrid w:val="0"/>
        </w:rPr>
        <w:tab/>
        <w:t>Alternate directors</w:t>
      </w:r>
      <w:bookmarkEnd w:id="186"/>
    </w:p>
    <w:p>
      <w:pPr>
        <w:pStyle w:val="ySubsection"/>
        <w:rPr>
          <w:snapToGrid w:val="0"/>
        </w:rPr>
      </w:pPr>
      <w:r>
        <w:rPr>
          <w:snapToGrid w:val="0"/>
        </w:rPr>
        <w:tab/>
        <w:t>(1)</w:t>
      </w:r>
      <w:r>
        <w:rPr>
          <w:snapToGrid w:val="0"/>
        </w:rPr>
        <w:tab/>
        <w:t>Where an ordinary director, is unable to act by reason of sickness, absence or other cause, the Commission may appoint another person to act temporarily in his place, and while so acting according to the tenor of his appointment that other person is deemed to be a director of the Corporation.</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deputy chairman of the board of directors, nominate a senior officer of the Commission to represent him at any meeting of the board of directors which he is unable to attend by reason of sickness, absence or other cause, and while so attending the person so nominated is deemed to be a director of the Corporation.</w:t>
      </w:r>
    </w:p>
    <w:p>
      <w:pPr>
        <w:pStyle w:val="ySubsection"/>
        <w:rPr>
          <w:snapToGrid w:val="0"/>
        </w:rPr>
      </w:pPr>
      <w:r>
        <w:rPr>
          <w:snapToGrid w:val="0"/>
        </w:rPr>
        <w:tab/>
        <w:t>(3)</w:t>
      </w:r>
      <w:r>
        <w:rPr>
          <w:snapToGrid w:val="0"/>
        </w:rPr>
        <w:tab/>
        <w:t>No act or omission of a person acting in place of another under this clause shall he questioned on the ground that the occasion for his appointment or acting had not arisen or had ceased.</w:t>
      </w:r>
    </w:p>
    <w:p>
      <w:pPr>
        <w:pStyle w:val="yHeading5"/>
        <w:ind w:left="890" w:hanging="890"/>
        <w:outlineLvl w:val="9"/>
        <w:rPr>
          <w:snapToGrid w:val="0"/>
        </w:rPr>
      </w:pPr>
      <w:bookmarkStart w:id="187" w:name="_Toc139707373"/>
      <w:r>
        <w:rPr>
          <w:snapToGrid w:val="0"/>
        </w:rPr>
        <w:t>4.</w:t>
      </w:r>
      <w:r>
        <w:rPr>
          <w:snapToGrid w:val="0"/>
        </w:rPr>
        <w:tab/>
        <w:t>Deputy chairman — term and vacation of office</w:t>
      </w:r>
      <w:bookmarkEnd w:id="187"/>
    </w:p>
    <w:p>
      <w:pPr>
        <w:pStyle w:val="ySubsection"/>
        <w:rPr>
          <w:snapToGrid w:val="0"/>
        </w:rPr>
      </w:pPr>
      <w:r>
        <w:rPr>
          <w:snapToGrid w:val="0"/>
        </w:rPr>
        <w:tab/>
        <w:t>(1)</w:t>
      </w:r>
      <w:r>
        <w:rPr>
          <w:snapToGrid w:val="0"/>
        </w:rPr>
        <w:tab/>
        <w:t>Subject to subclauses (2) and (3) the deputy chairman of the board of directors shall hold office as deputy chairman for such period not exceeding 5 years as is specified in the instrument appointing him as deputy chairman and is eligible for reappointment.</w:t>
      </w:r>
    </w:p>
    <w:p>
      <w:pPr>
        <w:pStyle w:val="ySubsection"/>
        <w:rPr>
          <w:snapToGrid w:val="0"/>
        </w:rPr>
      </w:pPr>
      <w:r>
        <w:rPr>
          <w:snapToGrid w:val="0"/>
        </w:rPr>
        <w:tab/>
        <w:t>(2)</w:t>
      </w:r>
      <w:r>
        <w:rPr>
          <w:snapToGrid w:val="0"/>
        </w:rPr>
        <w:tab/>
        <w:t>The office of the deputy chairman of the board of directors becomes vacant if he ceases to be a director of the Corporation.</w:t>
      </w:r>
    </w:p>
    <w:p>
      <w:pPr>
        <w:pStyle w:val="ySubsection"/>
        <w:rPr>
          <w:snapToGrid w:val="0"/>
        </w:rPr>
      </w:pPr>
      <w:r>
        <w:rPr>
          <w:snapToGrid w:val="0"/>
        </w:rPr>
        <w:tab/>
        <w:t>(3)</w:t>
      </w:r>
      <w:r>
        <w:rPr>
          <w:snapToGrid w:val="0"/>
        </w:rPr>
        <w:tab/>
        <w:t>The deputy chairman of the board of directors may resign his office as deputy chairman by notice in writing delivered to the chairman of the board of commissioners.</w:t>
      </w:r>
    </w:p>
    <w:p>
      <w:pPr>
        <w:pStyle w:val="yHeading5"/>
        <w:ind w:left="890" w:hanging="890"/>
        <w:outlineLvl w:val="9"/>
        <w:rPr>
          <w:snapToGrid w:val="0"/>
        </w:rPr>
      </w:pPr>
      <w:bookmarkStart w:id="188" w:name="_Toc139707374"/>
      <w:r>
        <w:rPr>
          <w:snapToGrid w:val="0"/>
        </w:rPr>
        <w:t>5.</w:t>
      </w:r>
      <w:r>
        <w:rPr>
          <w:snapToGrid w:val="0"/>
        </w:rPr>
        <w:tab/>
        <w:t>Meetings</w:t>
      </w:r>
      <w:bookmarkEnd w:id="188"/>
    </w:p>
    <w:p>
      <w:pPr>
        <w:pStyle w:val="ySubsection"/>
        <w:rPr>
          <w:snapToGrid w:val="0"/>
        </w:rPr>
      </w:pPr>
      <w:r>
        <w:rPr>
          <w:snapToGrid w:val="0"/>
        </w:rPr>
        <w:tab/>
        <w:t>(1)</w:t>
      </w:r>
      <w:r>
        <w:rPr>
          <w:snapToGrid w:val="0"/>
        </w:rPr>
        <w:tab/>
        <w:t>The first meeting of the board of directors shall he convened by the chairman of the board of directors and thereafter, subject to subclause (2), meetings shall be held at such times and places as the board of directors determines.</w:t>
      </w:r>
    </w:p>
    <w:p>
      <w:pPr>
        <w:pStyle w:val="ySubsection"/>
        <w:rPr>
          <w:snapToGrid w:val="0"/>
        </w:rPr>
      </w:pPr>
      <w:r>
        <w:rPr>
          <w:snapToGrid w:val="0"/>
        </w:rPr>
        <w:tab/>
        <w:t>(2)</w:t>
      </w:r>
      <w:r>
        <w:rPr>
          <w:snapToGrid w:val="0"/>
        </w:rPr>
        <w:tab/>
        <w:t>A special meeting of the board of directors may at any time be convened by the chairman of the board of directors.</w:t>
      </w:r>
    </w:p>
    <w:p>
      <w:pPr>
        <w:pStyle w:val="ySubsection"/>
        <w:rPr>
          <w:snapToGrid w:val="0"/>
        </w:rPr>
      </w:pPr>
      <w:r>
        <w:rPr>
          <w:snapToGrid w:val="0"/>
        </w:rPr>
        <w:tab/>
        <w:t>(3)</w:t>
      </w:r>
      <w:r>
        <w:rPr>
          <w:snapToGrid w:val="0"/>
        </w:rPr>
        <w:tab/>
        <w:t>The chairman of the board of directors shall preside at all meetings of the board of directors at which he is present and, if the chairman is absent, the deputy chairman of the board of directors shall preside.</w:t>
      </w:r>
    </w:p>
    <w:p>
      <w:pPr>
        <w:pStyle w:val="ySubsection"/>
        <w:rPr>
          <w:snapToGrid w:val="0"/>
        </w:rPr>
      </w:pPr>
      <w:r>
        <w:rPr>
          <w:snapToGrid w:val="0"/>
        </w:rPr>
        <w:tab/>
        <w:t>(4)</w:t>
      </w:r>
      <w:r>
        <w:rPr>
          <w:snapToGrid w:val="0"/>
        </w:rPr>
        <w:tab/>
        <w:t>At any meeting of the board of directors 3 directors, at least one of whom is an office</w:t>
      </w:r>
      <w:r>
        <w:rPr>
          <w:snapToGrid w:val="0"/>
        </w:rPr>
        <w:noBreakHyphen/>
        <w:t>bearer, constitute a quorum.</w:t>
      </w:r>
    </w:p>
    <w:p>
      <w:pPr>
        <w:pStyle w:val="ySubsection"/>
        <w:rPr>
          <w:snapToGrid w:val="0"/>
        </w:rPr>
      </w:pPr>
      <w:r>
        <w:rPr>
          <w:snapToGrid w:val="0"/>
        </w:rPr>
        <w:tab/>
        <w:t>(5)</w:t>
      </w:r>
      <w:r>
        <w:rPr>
          <w:snapToGrid w:val="0"/>
        </w:rPr>
        <w:tab/>
        <w:t xml:space="preserve">In subclause (4) </w:t>
      </w:r>
      <w:r>
        <w:rPr>
          <w:b/>
          <w:snapToGrid w:val="0"/>
        </w:rPr>
        <w:t>“</w:t>
      </w:r>
      <w:r>
        <w:rPr>
          <w:rStyle w:val="CharDefText"/>
        </w:rPr>
        <w:t>office</w:t>
      </w:r>
      <w:r>
        <w:rPr>
          <w:rStyle w:val="CharDefText"/>
        </w:rPr>
        <w:noBreakHyphen/>
        <w:t>bearer</w:t>
      </w:r>
      <w:r>
        <w:rPr>
          <w:b/>
          <w:snapToGrid w:val="0"/>
        </w:rPr>
        <w:t>”</w:t>
      </w:r>
      <w:r>
        <w:rPr>
          <w:snapToGrid w:val="0"/>
        </w:rPr>
        <w:t xml:space="preserve"> means the chairman or deputy chairman of the board of directors.</w:t>
      </w:r>
    </w:p>
    <w:p>
      <w:pPr>
        <w:pStyle w:val="ySubsection"/>
        <w:rPr>
          <w:snapToGrid w:val="0"/>
        </w:rPr>
      </w:pPr>
      <w:r>
        <w:rPr>
          <w:snapToGrid w:val="0"/>
        </w:rPr>
        <w:tab/>
        <w:t>(6)</w:t>
      </w:r>
      <w:r>
        <w:rPr>
          <w:snapToGrid w:val="0"/>
        </w:rPr>
        <w:tab/>
        <w:t>At any meeting of the board the person presiding shall have a deliberative vote, and in the case of an equality of votes shall also have a casting vote.</w:t>
      </w:r>
    </w:p>
    <w:p>
      <w:pPr>
        <w:pStyle w:val="yHeading5"/>
        <w:ind w:left="890" w:hanging="890"/>
        <w:outlineLvl w:val="9"/>
        <w:rPr>
          <w:snapToGrid w:val="0"/>
        </w:rPr>
      </w:pPr>
      <w:bookmarkStart w:id="189" w:name="_Toc139707375"/>
      <w:r>
        <w:rPr>
          <w:snapToGrid w:val="0"/>
        </w:rPr>
        <w:t>6.</w:t>
      </w:r>
      <w:r>
        <w:rPr>
          <w:snapToGrid w:val="0"/>
        </w:rPr>
        <w:tab/>
        <w:t>Certain provisions of Schedule 1 to apply</w:t>
      </w:r>
      <w:bookmarkEnd w:id="189"/>
    </w:p>
    <w:p>
      <w:pPr>
        <w:pStyle w:val="ySubsection"/>
        <w:rPr>
          <w:snapToGrid w:val="0"/>
        </w:rPr>
      </w:pPr>
      <w:r>
        <w:rPr>
          <w:snapToGrid w:val="0"/>
        </w:rPr>
        <w:tab/>
      </w:r>
      <w:r>
        <w:rPr>
          <w:snapToGrid w:val="0"/>
        </w:rPr>
        <w:tab/>
        <w:t>Clauses 5, 8, 9 and 10 of Schedule 1 apply, with any necessary modifications, to and in relation to the board of directors and the directors of the Corporation and with respect to the acts, proceedings and determinations of the board of directors.</w:t>
      </w:r>
    </w:p>
    <w:p>
      <w:pPr>
        <w:pStyle w:val="yEdnoteschedule"/>
      </w:pPr>
      <w:r>
        <w:t xml:space="preserve"> [Schedule 3 omitted under the Reprints Act 1984 s.7(4)(e).]</w:t>
      </w:r>
    </w:p>
    <w:p>
      <w:pPr>
        <w:pStyle w:val="yScheduleHeading"/>
      </w:pPr>
      <w:bookmarkStart w:id="190" w:name="_Toc139707376"/>
      <w:r>
        <w:rPr>
          <w:rStyle w:val="CharSchNo"/>
        </w:rPr>
        <w:t>Schedule 4</w:t>
      </w:r>
      <w:bookmarkEnd w:id="190"/>
    </w:p>
    <w:p>
      <w:pPr>
        <w:pStyle w:val="yShoulderClause"/>
        <w:rPr>
          <w:snapToGrid w:val="0"/>
        </w:rPr>
      </w:pPr>
      <w:r>
        <w:rPr>
          <w:snapToGrid w:val="0"/>
        </w:rPr>
        <w:t>[Section 47]</w:t>
      </w:r>
    </w:p>
    <w:p>
      <w:pPr>
        <w:pStyle w:val="MiscellaneousHeading"/>
        <w:spacing w:after="80"/>
        <w:rPr>
          <w:b/>
          <w:snapToGrid w:val="0"/>
          <w:sz w:val="22"/>
        </w:rPr>
      </w:pPr>
      <w:r>
        <w:rPr>
          <w:b/>
          <w:snapToGrid w:val="0"/>
          <w:sz w:val="22"/>
        </w:rPr>
        <w:t>Saving, Validation and Transitional Provisions</w:t>
      </w:r>
    </w:p>
    <w:p>
      <w:pPr>
        <w:pStyle w:val="yHeading5"/>
        <w:ind w:left="890" w:hanging="890"/>
        <w:outlineLvl w:val="9"/>
        <w:rPr>
          <w:snapToGrid w:val="0"/>
        </w:rPr>
      </w:pPr>
      <w:bookmarkStart w:id="191" w:name="_Toc139707377"/>
      <w:r>
        <w:rPr>
          <w:snapToGrid w:val="0"/>
        </w:rPr>
        <w:t>1.</w:t>
      </w:r>
      <w:r>
        <w:rPr>
          <w:snapToGrid w:val="0"/>
        </w:rPr>
        <w:tab/>
        <w:t>Terms used</w:t>
      </w:r>
      <w:bookmarkEnd w:id="191"/>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assets</w:t>
      </w:r>
      <w:r>
        <w:rPr>
          <w:b/>
        </w:rPr>
        <w:t>”</w:t>
      </w:r>
      <w:r>
        <w:t xml:space="preserve"> includes funds, rights and property;</w:t>
      </w:r>
    </w:p>
    <w:p>
      <w:pPr>
        <w:pStyle w:val="yDefstart"/>
      </w:pPr>
      <w:r>
        <w:rPr>
          <w:b/>
        </w:rPr>
        <w:tab/>
        <w:t>“</w:t>
      </w:r>
      <w:r>
        <w:rPr>
          <w:rStyle w:val="CharDefText"/>
        </w:rPr>
        <w:t>commencement day</w:t>
      </w:r>
      <w:r>
        <w:rPr>
          <w:b/>
        </w:rPr>
        <w:t>”</w:t>
      </w:r>
      <w:r>
        <w:t xml:space="preserve"> means the day of commencement of section 46</w:t>
      </w:r>
      <w:r>
        <w:rPr>
          <w:vertAlign w:val="superscript"/>
        </w:rPr>
        <w:t xml:space="preserve"> 1</w:t>
      </w:r>
      <w:r>
        <w:t>;</w:t>
      </w:r>
    </w:p>
    <w:p>
      <w:pPr>
        <w:pStyle w:val="yDefstart"/>
      </w:pPr>
      <w:r>
        <w:rPr>
          <w:b/>
        </w:rPr>
        <w:tab/>
        <w:t>“</w:t>
      </w:r>
      <w:r>
        <w:rPr>
          <w:rStyle w:val="CharDefText"/>
        </w:rPr>
        <w:t>liabilities</w:t>
      </w:r>
      <w:r>
        <w:rPr>
          <w:b/>
        </w:rPr>
        <w:t>”</w:t>
      </w:r>
      <w:r>
        <w:t xml:space="preserve"> includes debt and obligations;</w:t>
      </w:r>
    </w:p>
    <w:p>
      <w:pPr>
        <w:pStyle w:val="yDefstart"/>
      </w:pPr>
      <w:r>
        <w:rPr>
          <w:b/>
        </w:rPr>
        <w:tab/>
        <w:t>“</w:t>
      </w:r>
      <w:r>
        <w:rPr>
          <w:rStyle w:val="CharDefText"/>
        </w:rPr>
        <w:t>MVIT</w:t>
      </w:r>
      <w:r>
        <w:rPr>
          <w:b/>
        </w:rPr>
        <w:t>”</w:t>
      </w:r>
      <w:r>
        <w:t xml:space="preserve"> means the Motor Vehicle Insurance Trust constituted by the Third Party Insurance Act;</w:t>
      </w:r>
    </w:p>
    <w:p>
      <w:pPr>
        <w:pStyle w:val="yDefstart"/>
      </w:pPr>
      <w:r>
        <w:rPr>
          <w:b/>
        </w:rPr>
        <w:tab/>
        <w:t>“</w:t>
      </w:r>
      <w:r>
        <w:rPr>
          <w:rStyle w:val="CharDefText"/>
        </w:rPr>
        <w:t>prescribed period</w:t>
      </w:r>
      <w:r>
        <w:rPr>
          <w:b/>
        </w:rPr>
        <w:t>”</w:t>
      </w:r>
      <w:r>
        <w:t xml:space="preserve"> means the period commencing on 1 July 1986 and ending immediately before the commencement day;</w:t>
      </w:r>
    </w:p>
    <w:p>
      <w:pPr>
        <w:pStyle w:val="yDefstart"/>
      </w:pPr>
      <w:r>
        <w:rPr>
          <w:b/>
        </w:rPr>
        <w:tab/>
        <w:t>“</w:t>
      </w:r>
      <w:r>
        <w:rPr>
          <w:rStyle w:val="CharDefText"/>
        </w:rPr>
        <w:t>SGIO</w:t>
      </w:r>
      <w:r>
        <w:rPr>
          <w:b/>
        </w:rPr>
        <w:t>”</w:t>
      </w:r>
      <w:r>
        <w:t xml:space="preserve"> means the State Government Insurance Office established by the </w:t>
      </w:r>
      <w:r>
        <w:rPr>
          <w:i/>
        </w:rPr>
        <w:t>State Government Insurance Office Act 1938</w:t>
      </w:r>
      <w:r>
        <w:rPr>
          <w:vertAlign w:val="superscript"/>
        </w:rPr>
        <w:t xml:space="preserve"> 7</w:t>
      </w:r>
      <w:r>
        <w:t>;</w:t>
      </w:r>
    </w:p>
    <w:p>
      <w:pPr>
        <w:pStyle w:val="yDefstart"/>
      </w:pPr>
      <w:r>
        <w:rPr>
          <w:b/>
        </w:rPr>
        <w:tab/>
        <w:t>“</w:t>
      </w:r>
      <w:r>
        <w:rPr>
          <w:rStyle w:val="CharDefText"/>
        </w:rPr>
        <w:t>Third Party Insurance Act</w:t>
      </w:r>
      <w:r>
        <w:rPr>
          <w:b/>
        </w:rPr>
        <w:t>”</w:t>
      </w:r>
      <w:r>
        <w:t xml:space="preserve"> means the </w:t>
      </w:r>
      <w:r>
        <w:rPr>
          <w:i/>
        </w:rPr>
        <w:t>Motor Vehicle (Third Party Insurance) Act 1943</w:t>
      </w:r>
      <w:r>
        <w:t>.</w:t>
      </w:r>
    </w:p>
    <w:p>
      <w:pPr>
        <w:pStyle w:val="yHeading5"/>
        <w:ind w:left="890" w:hanging="890"/>
        <w:outlineLvl w:val="9"/>
        <w:rPr>
          <w:snapToGrid w:val="0"/>
        </w:rPr>
      </w:pPr>
      <w:bookmarkStart w:id="192" w:name="_Toc139707378"/>
      <w:r>
        <w:rPr>
          <w:snapToGrid w:val="0"/>
        </w:rPr>
        <w:t>2.</w:t>
      </w:r>
      <w:r>
        <w:rPr>
          <w:snapToGrid w:val="0"/>
        </w:rPr>
        <w:tab/>
        <w:t>Transfer of assets, liabilities and records of the MVIT</w:t>
      </w:r>
      <w:bookmarkEnd w:id="192"/>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 of the Third Party Insurance Act)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193" w:name="_Toc139707379"/>
      <w:r>
        <w:rPr>
          <w:snapToGrid w:val="0"/>
        </w:rPr>
        <w:t>3.</w:t>
      </w:r>
      <w:r>
        <w:rPr>
          <w:snapToGrid w:val="0"/>
        </w:rPr>
        <w:tab/>
        <w:t>MVIT insurance policies</w:t>
      </w:r>
      <w:bookmarkEnd w:id="193"/>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194" w:name="_Toc139707380"/>
      <w:r>
        <w:rPr>
          <w:snapToGrid w:val="0"/>
        </w:rPr>
        <w:t>4.</w:t>
      </w:r>
      <w:r>
        <w:rPr>
          <w:snapToGrid w:val="0"/>
        </w:rPr>
        <w:tab/>
        <w:t>Agreements, instruments, determinations and proceedings generally</w:t>
      </w:r>
      <w:bookmarkEnd w:id="194"/>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195" w:name="_Toc139707381"/>
      <w:r>
        <w:rPr>
          <w:snapToGrid w:val="0"/>
        </w:rPr>
        <w:t>5.</w:t>
      </w:r>
      <w:r>
        <w:rPr>
          <w:snapToGrid w:val="0"/>
        </w:rPr>
        <w:tab/>
        <w:t>Final reports on the operations of the MVIT</w:t>
      </w:r>
      <w:bookmarkEnd w:id="195"/>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ind w:left="890" w:hanging="890"/>
        <w:outlineLvl w:val="9"/>
        <w:rPr>
          <w:snapToGrid w:val="0"/>
        </w:rPr>
      </w:pPr>
      <w:bookmarkStart w:id="196" w:name="_Toc139707382"/>
      <w:r>
        <w:rPr>
          <w:snapToGrid w:val="0"/>
        </w:rPr>
        <w:t>6.</w:t>
      </w:r>
      <w:r>
        <w:rPr>
          <w:snapToGrid w:val="0"/>
        </w:rPr>
        <w:tab/>
        <w:t>Assessment as to sufficiency of income</w:t>
      </w:r>
      <w:bookmarkEnd w:id="196"/>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ind w:left="890" w:hanging="890"/>
        <w:outlineLvl w:val="9"/>
        <w:rPr>
          <w:snapToGrid w:val="0"/>
        </w:rPr>
      </w:pPr>
      <w:bookmarkStart w:id="197" w:name="_Toc139707383"/>
      <w:r>
        <w:rPr>
          <w:snapToGrid w:val="0"/>
        </w:rPr>
        <w:t>7.</w:t>
      </w:r>
      <w:r>
        <w:rPr>
          <w:snapToGrid w:val="0"/>
        </w:rPr>
        <w:tab/>
        <w:t>Employment of current officers</w:t>
      </w:r>
      <w:bookmarkEnd w:id="197"/>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198" w:name="_Toc139707384"/>
      <w:r>
        <w:rPr>
          <w:snapToGrid w:val="0"/>
        </w:rPr>
        <w:t>8.</w:t>
      </w:r>
      <w:r>
        <w:rPr>
          <w:snapToGrid w:val="0"/>
        </w:rPr>
        <w:tab/>
        <w:t>References to the MVIT in laws</w:t>
      </w:r>
      <w:bookmarkEnd w:id="198"/>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199" w:name="_Toc139707385"/>
      <w:r>
        <w:rPr>
          <w:snapToGrid w:val="0"/>
        </w:rPr>
        <w:t>9.</w:t>
      </w:r>
      <w:r>
        <w:rPr>
          <w:snapToGrid w:val="0"/>
        </w:rPr>
        <w:tab/>
        <w:t>Transfer of assets, liabilities and records of the SGIO</w:t>
      </w:r>
      <w:bookmarkEnd w:id="199"/>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200" w:name="_Toc139707386"/>
      <w:r>
        <w:rPr>
          <w:snapToGrid w:val="0"/>
        </w:rPr>
        <w:t>10.</w:t>
      </w:r>
      <w:r>
        <w:rPr>
          <w:snapToGrid w:val="0"/>
        </w:rPr>
        <w:tab/>
        <w:t>SGIO insurance policies and re</w:t>
      </w:r>
      <w:r>
        <w:rPr>
          <w:snapToGrid w:val="0"/>
        </w:rPr>
        <w:noBreakHyphen/>
        <w:t>insurance</w:t>
      </w:r>
      <w:bookmarkEnd w:id="200"/>
    </w:p>
    <w:p>
      <w:pPr>
        <w:pStyle w:val="ySubsection"/>
        <w:rPr>
          <w:snapToGrid w:val="0"/>
        </w:rPr>
      </w:pPr>
      <w:r>
        <w:rPr>
          <w:snapToGrid w:val="0"/>
        </w:rPr>
        <w:tab/>
        <w:t>(1)</w:t>
      </w:r>
      <w:r>
        <w:rPr>
          <w:snapToGrid w:val="0"/>
        </w:rPr>
        <w:tab/>
        <w:t>In this clause — </w:t>
      </w:r>
    </w:p>
    <w:p>
      <w:pPr>
        <w:pStyle w:val="yDefstart"/>
      </w:pPr>
      <w:r>
        <w:rPr>
          <w:b/>
        </w:rPr>
        <w:tab/>
        <w:t>“</w:t>
      </w:r>
      <w:r>
        <w:rPr>
          <w:rStyle w:val="CharDefText"/>
        </w:rPr>
        <w:t>existing policy</w:t>
      </w:r>
      <w:r>
        <w:rPr>
          <w:b/>
        </w:rPr>
        <w:t>”</w:t>
      </w:r>
      <w:r>
        <w:t xml:space="preserve"> means a policy of insurance subsisting immediately before the commencement day being a policy that was issued by the SGIO or a policy under which the SGIO had undertaken liability;</w:t>
      </w:r>
    </w:p>
    <w:p>
      <w:pPr>
        <w:pStyle w:val="yDefstart"/>
      </w:pPr>
      <w:r>
        <w:rPr>
          <w:b/>
        </w:rPr>
        <w:tab/>
        <w:t>“</w:t>
      </w:r>
      <w:r>
        <w:rPr>
          <w:rStyle w:val="CharDefText"/>
        </w:rPr>
        <w:t>existing re</w:t>
      </w:r>
      <w:r>
        <w:rPr>
          <w:rStyle w:val="CharDefText"/>
        </w:rPr>
        <w:noBreakHyphen/>
        <w:t>insurance policy</w:t>
      </w:r>
      <w:r>
        <w:rPr>
          <w:b/>
        </w:rPr>
        <w:t>”</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xml:space="preserve"> 8</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201" w:name="_Toc139707387"/>
      <w:r>
        <w:rPr>
          <w:snapToGrid w:val="0"/>
        </w:rPr>
        <w:t>11.</w:t>
      </w:r>
      <w:r>
        <w:rPr>
          <w:snapToGrid w:val="0"/>
        </w:rPr>
        <w:tab/>
        <w:t>Agents and brokers</w:t>
      </w:r>
      <w:bookmarkEnd w:id="201"/>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9</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202" w:name="_Toc139707388"/>
      <w:r>
        <w:rPr>
          <w:snapToGrid w:val="0"/>
        </w:rPr>
        <w:t>12.</w:t>
      </w:r>
      <w:r>
        <w:rPr>
          <w:snapToGrid w:val="0"/>
        </w:rPr>
        <w:tab/>
        <w:t>Agreements, instruments and proceedings generally</w:t>
      </w:r>
      <w:bookmarkEnd w:id="202"/>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203" w:name="_Toc139707389"/>
      <w:r>
        <w:rPr>
          <w:snapToGrid w:val="0"/>
        </w:rPr>
        <w:t>13.</w:t>
      </w:r>
      <w:r>
        <w:rPr>
          <w:snapToGrid w:val="0"/>
        </w:rPr>
        <w:tab/>
        <w:t>Final reports on the operations of the SGIO</w:t>
      </w:r>
      <w:bookmarkEnd w:id="203"/>
    </w:p>
    <w:p>
      <w:pPr>
        <w:pStyle w:val="ySubsection"/>
        <w:rPr>
          <w:snapToGrid w:val="0"/>
        </w:rPr>
      </w:pPr>
      <w:r>
        <w:rPr>
          <w:snapToGrid w:val="0"/>
        </w:rPr>
        <w:tab/>
        <w:t>(1)</w:t>
      </w:r>
      <w:r>
        <w:rPr>
          <w:snapToGrid w:val="0"/>
        </w:rPr>
        <w:tab/>
        <w:t xml:space="preserve">If sections 21(1), (2) and (3) and 22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7</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7</w:t>
      </w:r>
      <w:r>
        <w:rPr>
          <w:snapToGrid w:val="0"/>
        </w:rPr>
        <w:t xml:space="preserve"> in respect of the prescribed period if that Act had not been repealed by section 46(1).</w:t>
      </w:r>
    </w:p>
    <w:p>
      <w:pPr>
        <w:pStyle w:val="yHeading5"/>
        <w:ind w:left="890" w:hanging="890"/>
        <w:outlineLvl w:val="9"/>
        <w:rPr>
          <w:snapToGrid w:val="0"/>
        </w:rPr>
      </w:pPr>
      <w:bookmarkStart w:id="204" w:name="_Toc139707390"/>
      <w:r>
        <w:rPr>
          <w:snapToGrid w:val="0"/>
        </w:rPr>
        <w:t>14.</w:t>
      </w:r>
      <w:r>
        <w:rPr>
          <w:snapToGrid w:val="0"/>
        </w:rPr>
        <w:tab/>
        <w:t>Certain outstanding obligations to be met by the Commission</w:t>
      </w:r>
      <w:bookmarkEnd w:id="204"/>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7</w:t>
      </w:r>
      <w:r>
        <w:rPr>
          <w:snapToGrid w:val="0"/>
        </w:rPr>
        <w:t xml:space="preserve"> in respect of the prescribed period if that Act had not been repealed by section 46(1).</w:t>
      </w:r>
    </w:p>
    <w:p>
      <w:pPr>
        <w:pStyle w:val="yHeading5"/>
        <w:ind w:left="890" w:hanging="890"/>
        <w:outlineLvl w:val="9"/>
        <w:rPr>
          <w:snapToGrid w:val="0"/>
        </w:rPr>
      </w:pPr>
      <w:bookmarkStart w:id="205" w:name="_Toc139707391"/>
      <w:r>
        <w:rPr>
          <w:snapToGrid w:val="0"/>
        </w:rPr>
        <w:t>15.</w:t>
      </w:r>
      <w:r>
        <w:rPr>
          <w:snapToGrid w:val="0"/>
        </w:rPr>
        <w:tab/>
        <w:t>Saving of presumption and protection</w:t>
      </w:r>
      <w:bookmarkEnd w:id="205"/>
    </w:p>
    <w:p>
      <w:pPr>
        <w:pStyle w:val="ySubsection"/>
        <w:rPr>
          <w:snapToGrid w:val="0"/>
        </w:rPr>
      </w:pPr>
      <w:r>
        <w:rPr>
          <w:snapToGrid w:val="0"/>
        </w:rPr>
        <w:tab/>
      </w:r>
      <w:r>
        <w:rPr>
          <w:snapToGrid w:val="0"/>
        </w:rPr>
        <w:tab/>
        <w:t>Notwithstanding section 46(2) and Schedule 3 — </w:t>
      </w:r>
    </w:p>
    <w:p>
      <w:pPr>
        <w:pStyle w:val="yIndenta"/>
        <w:rPr>
          <w:snapToGrid w:val="0"/>
        </w:rPr>
      </w:pPr>
      <w:r>
        <w:rPr>
          <w:snapToGrid w:val="0"/>
        </w:rPr>
        <w:tab/>
        <w:t>(a)</w:t>
      </w:r>
      <w:r>
        <w:rPr>
          <w:snapToGrid w:val="0"/>
        </w:rPr>
        <w:tab/>
        <w:t xml:space="preserve">section 26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206" w:name="_Toc139707392"/>
      <w:r>
        <w:rPr>
          <w:snapToGrid w:val="0"/>
        </w:rPr>
        <w:t>16.</w:t>
      </w:r>
      <w:r>
        <w:rPr>
          <w:snapToGrid w:val="0"/>
        </w:rPr>
        <w:tab/>
        <w:t>Employment of staff of the SGIO</w:t>
      </w:r>
      <w:bookmarkEnd w:id="206"/>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4</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3</w:t>
      </w:r>
      <w:r>
        <w:rPr>
          <w:snapToGrid w:val="0"/>
        </w:rPr>
        <w:t xml:space="preserve"> 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207" w:name="_Toc139707393"/>
      <w:r>
        <w:rPr>
          <w:snapToGrid w:val="0"/>
        </w:rPr>
        <w:t>17.</w:t>
      </w:r>
      <w:r>
        <w:rPr>
          <w:snapToGrid w:val="0"/>
        </w:rPr>
        <w:tab/>
        <w:t>References to the SGIO in laws</w:t>
      </w:r>
      <w:bookmarkEnd w:id="207"/>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208" w:name="_Toc139707394"/>
      <w:r>
        <w:rPr>
          <w:snapToGrid w:val="0"/>
        </w:rPr>
        <w:t>18.</w:t>
      </w:r>
      <w:r>
        <w:rPr>
          <w:snapToGrid w:val="0"/>
        </w:rPr>
        <w:tab/>
        <w:t>Apportionment of assets and liabilities</w:t>
      </w:r>
      <w:bookmarkEnd w:id="208"/>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209" w:name="_Toc139707395"/>
      <w:r>
        <w:rPr>
          <w:snapToGrid w:val="0"/>
        </w:rPr>
        <w:t>19.</w:t>
      </w:r>
      <w:r>
        <w:rPr>
          <w:snapToGrid w:val="0"/>
        </w:rPr>
        <w:tab/>
        <w:t>Interpretation Act to apply</w:t>
      </w:r>
      <w:bookmarkEnd w:id="209"/>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10" w:name="_Toc92782970"/>
      <w:bookmarkStart w:id="211" w:name="_Toc92783084"/>
      <w:bookmarkStart w:id="212" w:name="_Toc139707396"/>
      <w:r>
        <w:t>Notes</w:t>
      </w:r>
      <w:bookmarkEnd w:id="210"/>
      <w:bookmarkEnd w:id="211"/>
      <w:bookmarkEnd w:id="212"/>
    </w:p>
    <w:p>
      <w:pPr>
        <w:pStyle w:val="nSubsection"/>
        <w:rPr>
          <w:snapToGrid w:val="0"/>
        </w:rPr>
      </w:pPr>
      <w:r>
        <w:rPr>
          <w:snapToGrid w:val="0"/>
          <w:vertAlign w:val="superscript"/>
        </w:rPr>
        <w:t>1</w:t>
      </w:r>
      <w:r>
        <w:rPr>
          <w:snapToGrid w:val="0"/>
        </w:rPr>
        <w:tab/>
        <w:t xml:space="preserve">This is a compilation of the </w:t>
      </w:r>
      <w:r>
        <w:rPr>
          <w:i/>
          <w:noProof/>
          <w:snapToGrid w:val="0"/>
        </w:rPr>
        <w:t>Insurance Commission of Western Australia Act 1986</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213" w:name="_Toc139707397"/>
      <w:r>
        <w:t>Compilation table</w:t>
      </w:r>
      <w:bookmarkEnd w:id="2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State Government Insurance Commission Act 1986</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1 Jan 1987 (see s. 2 and </w:t>
            </w:r>
            <w:r>
              <w:rPr>
                <w:i/>
                <w:sz w:val="19"/>
              </w:rPr>
              <w:t>Gazette</w:t>
            </w:r>
            <w:r>
              <w:rPr>
                <w:sz w:val="19"/>
              </w:rPr>
              <w:t xml:space="preserve"> 19 Dec 1986 p.4859)</w:t>
            </w:r>
          </w:p>
        </w:tc>
      </w:tr>
      <w:tr>
        <w:trPr>
          <w:cantSplit/>
        </w:trPr>
        <w:tc>
          <w:tcPr>
            <w:tcW w:w="2268" w:type="dxa"/>
          </w:tcPr>
          <w:p>
            <w:pPr>
              <w:pStyle w:val="nTable"/>
              <w:spacing w:after="40"/>
              <w:ind w:right="113"/>
              <w:rPr>
                <w:i/>
                <w:sz w:val="19"/>
              </w:rPr>
            </w:pPr>
            <w:r>
              <w:rPr>
                <w:i/>
                <w:sz w:val="19"/>
              </w:rPr>
              <w:t>Acts Amendment (Public Service) Act 1987,</w:t>
            </w:r>
          </w:p>
          <w:p>
            <w:pPr>
              <w:pStyle w:val="nTable"/>
              <w:spacing w:after="40"/>
              <w:ind w:right="113"/>
              <w:rPr>
                <w:sz w:val="19"/>
              </w:rPr>
            </w:pPr>
            <w:r>
              <w:rPr>
                <w:sz w:val="19"/>
              </w:rPr>
              <w:t>section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section 2 and </w:t>
            </w:r>
            <w:r>
              <w:rPr>
                <w:i/>
                <w:sz w:val="19"/>
              </w:rPr>
              <w:t>Gazette</w:t>
            </w:r>
            <w:r>
              <w:rPr>
                <w:sz w:val="19"/>
              </w:rPr>
              <w:t xml:space="preserve"> 16 March 1988 p.813)</w:t>
            </w:r>
          </w:p>
        </w:tc>
      </w:tr>
      <w:tr>
        <w:trPr>
          <w:cantSplit/>
        </w:trPr>
        <w:tc>
          <w:tcPr>
            <w:tcW w:w="2268" w:type="dxa"/>
          </w:tcPr>
          <w:p>
            <w:pPr>
              <w:pStyle w:val="nTable"/>
              <w:spacing w:after="40"/>
              <w:ind w:right="113"/>
              <w:rPr>
                <w:sz w:val="19"/>
              </w:rPr>
            </w:pPr>
            <w:r>
              <w:rPr>
                <w:i/>
                <w:sz w:val="19"/>
              </w:rPr>
              <w:t>Acts Amendment (Accountability) Act 1989</w:t>
            </w:r>
            <w:r>
              <w:rPr>
                <w:sz w:val="19"/>
              </w:rPr>
              <w:t>,</w:t>
            </w:r>
          </w:p>
          <w:p>
            <w:pPr>
              <w:pStyle w:val="nTable"/>
              <w:spacing w:after="40"/>
              <w:ind w:right="113"/>
              <w:rPr>
                <w:sz w:val="19"/>
              </w:rPr>
            </w:pPr>
            <w:r>
              <w:rPr>
                <w:sz w:val="19"/>
              </w:rPr>
              <w:t>Part 6</w:t>
            </w:r>
          </w:p>
        </w:tc>
        <w:tc>
          <w:tcPr>
            <w:tcW w:w="1134" w:type="dxa"/>
          </w:tcPr>
          <w:p>
            <w:pPr>
              <w:pStyle w:val="nTable"/>
              <w:spacing w:after="40"/>
              <w:rPr>
                <w:sz w:val="19"/>
              </w:rPr>
            </w:pPr>
            <w:r>
              <w:rPr>
                <w:sz w:val="19"/>
              </w:rPr>
              <w:t>5 of 1989</w:t>
            </w:r>
          </w:p>
        </w:tc>
        <w:tc>
          <w:tcPr>
            <w:tcW w:w="1134" w:type="dxa"/>
          </w:tcPr>
          <w:p>
            <w:pPr>
              <w:pStyle w:val="nTable"/>
              <w:spacing w:after="40"/>
              <w:rPr>
                <w:sz w:val="19"/>
              </w:rPr>
            </w:pPr>
            <w:r>
              <w:rPr>
                <w:sz w:val="19"/>
              </w:rPr>
              <w:t>26 Apr 1989</w:t>
            </w:r>
          </w:p>
        </w:tc>
        <w:tc>
          <w:tcPr>
            <w:tcW w:w="2551" w:type="dxa"/>
          </w:tcPr>
          <w:p>
            <w:pPr>
              <w:pStyle w:val="nTable"/>
              <w:spacing w:after="40"/>
              <w:rPr>
                <w:sz w:val="19"/>
              </w:rPr>
            </w:pPr>
            <w:r>
              <w:rPr>
                <w:sz w:val="19"/>
              </w:rPr>
              <w:t xml:space="preserve">1 Jul 1989 (see section 2 and </w:t>
            </w:r>
            <w:r>
              <w:rPr>
                <w:i/>
                <w:sz w:val="19"/>
              </w:rPr>
              <w:t>Gazette</w:t>
            </w:r>
            <w:r>
              <w:rPr>
                <w:sz w:val="19"/>
              </w:rPr>
              <w:t xml:space="preserve"> 30 Jun 1989 p.1893)</w:t>
            </w:r>
          </w:p>
        </w:tc>
      </w:tr>
      <w:tr>
        <w:trPr>
          <w:cantSplit/>
        </w:trPr>
        <w:tc>
          <w:tcPr>
            <w:tcW w:w="2268" w:type="dxa"/>
          </w:tcPr>
          <w:p>
            <w:pPr>
              <w:pStyle w:val="nTable"/>
              <w:spacing w:after="40"/>
              <w:ind w:right="113"/>
              <w:rPr>
                <w:sz w:val="19"/>
              </w:rPr>
            </w:pPr>
            <w:r>
              <w:rPr>
                <w:i/>
                <w:sz w:val="19"/>
              </w:rPr>
              <w:t>SGIO Privatisation Act 1992</w:t>
            </w:r>
            <w:r>
              <w:rPr>
                <w:sz w:val="19"/>
              </w:rPr>
              <w:t>,</w:t>
            </w:r>
          </w:p>
          <w:p>
            <w:pPr>
              <w:pStyle w:val="nTable"/>
              <w:spacing w:after="40"/>
              <w:ind w:right="113"/>
              <w:rPr>
                <w:sz w:val="19"/>
              </w:rPr>
            </w:pPr>
            <w:r>
              <w:rPr>
                <w:sz w:val="19"/>
              </w:rPr>
              <w:t>section 28</w:t>
            </w:r>
          </w:p>
        </w:tc>
        <w:tc>
          <w:tcPr>
            <w:tcW w:w="1134" w:type="dxa"/>
          </w:tcPr>
          <w:p>
            <w:pPr>
              <w:pStyle w:val="nTable"/>
              <w:spacing w:after="40"/>
              <w:rPr>
                <w:sz w:val="19"/>
              </w:rPr>
            </w:pPr>
            <w:r>
              <w:rPr>
                <w:sz w:val="19"/>
              </w:rPr>
              <w:t>49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 xml:space="preserve">7 Jan 1993 (see section 2(3) and </w:t>
            </w:r>
            <w:r>
              <w:rPr>
                <w:i/>
                <w:sz w:val="19"/>
              </w:rPr>
              <w:t>Gazette</w:t>
            </w:r>
            <w:r>
              <w:rPr>
                <w:sz w:val="19"/>
              </w:rPr>
              <w:t xml:space="preserve"> 7 Jan 1993 p.15)</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w:t>
            </w:r>
          </w:p>
          <w:p>
            <w:pPr>
              <w:pStyle w:val="nTable"/>
              <w:spacing w:after="40"/>
              <w:ind w:right="113"/>
              <w:rPr>
                <w:sz w:val="19"/>
              </w:rPr>
            </w:pPr>
            <w:r>
              <w:rPr>
                <w:sz w:val="19"/>
              </w:rPr>
              <w:t>Part 4</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Deemed operative 1 Jul 1993 (see section 2(1))</w:t>
            </w:r>
          </w:p>
        </w:tc>
      </w:tr>
      <w:tr>
        <w:trPr>
          <w:cantSplit/>
        </w:trPr>
        <w:tc>
          <w:tcPr>
            <w:tcW w:w="2268" w:type="dxa"/>
          </w:tcPr>
          <w:p>
            <w:pPr>
              <w:pStyle w:val="nTable"/>
              <w:spacing w:after="40"/>
              <w:ind w:right="113"/>
              <w:rPr>
                <w:sz w:val="19"/>
              </w:rPr>
            </w:pPr>
            <w:r>
              <w:rPr>
                <w:i/>
                <w:sz w:val="19"/>
              </w:rPr>
              <w:t>Acts Amendment (Public Sector Management) Act 1994</w:t>
            </w:r>
            <w:r>
              <w:rPr>
                <w:sz w:val="19"/>
              </w:rPr>
              <w:t>,</w:t>
            </w:r>
          </w:p>
          <w:p>
            <w:pPr>
              <w:pStyle w:val="nTable"/>
              <w:spacing w:after="40"/>
              <w:ind w:right="113"/>
              <w:rPr>
                <w:sz w:val="19"/>
              </w:rPr>
            </w:pPr>
            <w:r>
              <w:rPr>
                <w:sz w:val="19"/>
              </w:rPr>
              <w:t>Part 4</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section 2 and </w:t>
            </w:r>
            <w:r>
              <w:rPr>
                <w:i/>
                <w:sz w:val="19"/>
              </w:rPr>
              <w:t>Gazette</w:t>
            </w:r>
            <w:r>
              <w:rPr>
                <w:sz w:val="19"/>
              </w:rPr>
              <w:t xml:space="preserve"> 30 Sep 1994 p.4948)</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w:t>
            </w:r>
          </w:p>
          <w:p>
            <w:pPr>
              <w:pStyle w:val="nTable"/>
              <w:spacing w:after="40"/>
              <w:ind w:right="113"/>
              <w:rPr>
                <w:sz w:val="19"/>
              </w:rPr>
            </w:pPr>
            <w:r>
              <w:rPr>
                <w:sz w:val="19"/>
              </w:rPr>
              <w:t>section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section 2 and </w:t>
            </w:r>
            <w:r>
              <w:rPr>
                <w:i/>
                <w:sz w:val="19"/>
              </w:rPr>
              <w:t>Gazette</w:t>
            </w:r>
            <w:r>
              <w:rPr>
                <w:sz w:val="19"/>
              </w:rPr>
              <w:t xml:space="preserve"> 12 Nov 1996 p.6301)</w:t>
            </w:r>
          </w:p>
        </w:tc>
      </w:tr>
      <w:tr>
        <w:trPr>
          <w:cantSplit/>
        </w:trPr>
        <w:tc>
          <w:tcPr>
            <w:tcW w:w="2268" w:type="dxa"/>
          </w:tcPr>
          <w:p>
            <w:pPr>
              <w:pStyle w:val="nTable"/>
              <w:keepNext/>
              <w:spacing w:after="40"/>
              <w:ind w:right="113"/>
              <w:rPr>
                <w:iCs/>
                <w:sz w:val="19"/>
              </w:rPr>
            </w:pPr>
            <w:r>
              <w:rPr>
                <w:i/>
                <w:sz w:val="19"/>
              </w:rPr>
              <w:t>Acts Amendment (ICWA) Act 1996</w:t>
            </w:r>
            <w:r>
              <w:rPr>
                <w:iCs/>
                <w:sz w:val="19"/>
                <w:vertAlign w:val="superscript"/>
              </w:rPr>
              <w:t> 10, 11</w:t>
            </w:r>
          </w:p>
        </w:tc>
        <w:tc>
          <w:tcPr>
            <w:tcW w:w="1134" w:type="dxa"/>
          </w:tcPr>
          <w:p>
            <w:pPr>
              <w:pStyle w:val="nTable"/>
              <w:keepNext/>
              <w:spacing w:after="40"/>
              <w:rPr>
                <w:sz w:val="19"/>
              </w:rPr>
            </w:pPr>
            <w:r>
              <w:rPr>
                <w:sz w:val="19"/>
              </w:rPr>
              <w:t>45 of 1996</w:t>
            </w:r>
          </w:p>
        </w:tc>
        <w:tc>
          <w:tcPr>
            <w:tcW w:w="1134" w:type="dxa"/>
          </w:tcPr>
          <w:p>
            <w:pPr>
              <w:pStyle w:val="nTable"/>
              <w:keepNext/>
              <w:spacing w:after="40"/>
              <w:rPr>
                <w:sz w:val="19"/>
              </w:rPr>
            </w:pPr>
            <w:r>
              <w:rPr>
                <w:sz w:val="19"/>
              </w:rPr>
              <w:t>25 Oct 1996</w:t>
            </w:r>
          </w:p>
        </w:tc>
        <w:tc>
          <w:tcPr>
            <w:tcW w:w="2551" w:type="dxa"/>
          </w:tcPr>
          <w:p>
            <w:pPr>
              <w:pStyle w:val="nTable"/>
              <w:keepNext/>
              <w:spacing w:after="40"/>
              <w:rPr>
                <w:sz w:val="19"/>
              </w:rPr>
            </w:pPr>
            <w:r>
              <w:rPr>
                <w:sz w:val="19"/>
              </w:rPr>
              <w:t>Sections 3, 6(b) to the extent it inserts definition of “Commission Account”, 6(c), 9 to 12, 15 to 19,</w:t>
            </w:r>
          </w:p>
          <w:p>
            <w:pPr>
              <w:pStyle w:val="nTable"/>
              <w:spacing w:after="40"/>
              <w:rPr>
                <w:sz w:val="19"/>
              </w:rPr>
            </w:pPr>
            <w:r>
              <w:rPr>
                <w:sz w:val="19"/>
              </w:rPr>
              <w:t>23 and 26: 14 Dec 1996 (see section 2 and </w:t>
            </w:r>
            <w:r>
              <w:rPr>
                <w:i/>
                <w:sz w:val="19"/>
              </w:rPr>
              <w:t>Gazette</w:t>
            </w:r>
            <w:r>
              <w:rPr>
                <w:sz w:val="19"/>
              </w:rPr>
              <w:t xml:space="preserve"> 13 Dec 1996 p. 6901);</w:t>
            </w:r>
          </w:p>
          <w:p>
            <w:pPr>
              <w:pStyle w:val="nTable"/>
              <w:spacing w:after="40"/>
              <w:rPr>
                <w:sz w:val="19"/>
              </w:rPr>
            </w:pPr>
            <w:r>
              <w:rPr>
                <w:sz w:val="19"/>
              </w:rPr>
              <w:t>Sections 4, 5, 6(b) to the extent it inserts the definition of “Commission”, 7, 8, Part 3 (ss.29</w:t>
            </w:r>
            <w:r>
              <w:rPr>
                <w:sz w:val="19"/>
              </w:rPr>
              <w:noBreakHyphen/>
              <w:t>37): 1 Oct 1997 (see section 2 and </w:t>
            </w:r>
            <w:r>
              <w:rPr>
                <w:i/>
                <w:sz w:val="19"/>
              </w:rPr>
              <w:t>Gazette</w:t>
            </w:r>
            <w:r>
              <w:rPr>
                <w:sz w:val="19"/>
              </w:rPr>
              <w:t xml:space="preserve"> 23 Sep 1997 p. 5357); balance to be proclaimed </w:t>
            </w:r>
            <w:r>
              <w:rPr>
                <w:caps/>
                <w:sz w:val="19"/>
                <w:vertAlign w:val="superscript"/>
              </w:rPr>
              <w:t>1</w:t>
            </w:r>
            <w:r>
              <w:rPr>
                <w:sz w:val="19"/>
                <w:vertAlign w:val="superscript"/>
              </w:rPr>
              <w:t>a</w:t>
            </w:r>
          </w:p>
        </w:tc>
      </w:tr>
      <w:tr>
        <w:trPr>
          <w:cantSplit/>
        </w:trPr>
        <w:tc>
          <w:tcPr>
            <w:tcW w:w="2268" w:type="dxa"/>
          </w:tcPr>
          <w:p>
            <w:pPr>
              <w:pStyle w:val="nTable"/>
              <w:spacing w:after="40"/>
              <w:ind w:right="113"/>
              <w:rPr>
                <w:sz w:val="19"/>
              </w:rPr>
            </w:pPr>
            <w:r>
              <w:rPr>
                <w:i/>
                <w:sz w:val="19"/>
              </w:rPr>
              <w:t>Financial Legislation Amendment Act 1996</w:t>
            </w:r>
            <w:r>
              <w:rPr>
                <w:sz w:val="19"/>
              </w:rPr>
              <w:t>,</w:t>
            </w:r>
          </w:p>
          <w:p>
            <w:pPr>
              <w:pStyle w:val="nTable"/>
              <w:spacing w:after="40"/>
              <w:ind w:right="113"/>
              <w:rPr>
                <w:sz w:val="19"/>
              </w:rPr>
            </w:pPr>
            <w:r>
              <w:rPr>
                <w:sz w:val="19"/>
              </w:rPr>
              <w:t>section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section 2(1))</w:t>
            </w:r>
          </w:p>
        </w:tc>
      </w:tr>
      <w:tr>
        <w:trPr>
          <w:cantSplit/>
        </w:trPr>
        <w:tc>
          <w:tcPr>
            <w:tcW w:w="2268" w:type="dxa"/>
          </w:tcPr>
          <w:p>
            <w:pPr>
              <w:pStyle w:val="nTable"/>
              <w:spacing w:after="40"/>
              <w:ind w:right="113"/>
              <w:rPr>
                <w:sz w:val="19"/>
              </w:rPr>
            </w:pPr>
            <w:r>
              <w:rPr>
                <w:i/>
                <w:sz w:val="19"/>
              </w:rPr>
              <w:t>State Enterprises (Commonwealth Tax Equivalents) Act 1996</w:t>
            </w:r>
            <w:r>
              <w:rPr>
                <w:sz w:val="19"/>
              </w:rPr>
              <w:t>,</w:t>
            </w:r>
          </w:p>
          <w:p>
            <w:pPr>
              <w:pStyle w:val="nTable"/>
              <w:spacing w:after="40"/>
              <w:ind w:right="113"/>
              <w:rPr>
                <w:sz w:val="19"/>
              </w:rPr>
            </w:pPr>
            <w:r>
              <w:rPr>
                <w:sz w:val="19"/>
              </w:rPr>
              <w:t>section 10(1)</w:t>
            </w:r>
          </w:p>
        </w:tc>
        <w:tc>
          <w:tcPr>
            <w:tcW w:w="1134" w:type="dxa"/>
          </w:tcPr>
          <w:p>
            <w:pPr>
              <w:pStyle w:val="nTable"/>
              <w:spacing w:after="40"/>
              <w:rPr>
                <w:sz w:val="19"/>
              </w:rPr>
            </w:pPr>
            <w:r>
              <w:rPr>
                <w:sz w:val="19"/>
              </w:rPr>
              <w:t>55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Deemed operative 1 Jul 1996 (see sections 2 and 3(3))</w:t>
            </w:r>
          </w:p>
        </w:tc>
      </w:tr>
      <w:tr>
        <w:trPr>
          <w:cantSplit/>
        </w:trPr>
        <w:tc>
          <w:tcPr>
            <w:tcW w:w="2268" w:type="dxa"/>
          </w:tcPr>
          <w:p>
            <w:pPr>
              <w:pStyle w:val="nTable"/>
              <w:spacing w:after="40"/>
              <w:ind w:right="113"/>
              <w:rPr>
                <w:sz w:val="19"/>
              </w:rPr>
            </w:pPr>
            <w:r>
              <w:rPr>
                <w:i/>
                <w:sz w:val="19"/>
              </w:rPr>
              <w:t>Insurance Commission of Western Australia Amendment Act 2002</w:t>
            </w:r>
            <w:r>
              <w:rPr>
                <w:sz w:val="19"/>
                <w:vertAlign w:val="superscript"/>
              </w:rPr>
              <w:t> 13</w:t>
            </w:r>
          </w:p>
        </w:tc>
        <w:tc>
          <w:tcPr>
            <w:tcW w:w="1134" w:type="dxa"/>
          </w:tcPr>
          <w:p>
            <w:pPr>
              <w:pStyle w:val="nTable"/>
              <w:spacing w:after="40"/>
              <w:rPr>
                <w:sz w:val="19"/>
              </w:rPr>
            </w:pPr>
            <w:r>
              <w:rPr>
                <w:sz w:val="19"/>
              </w:rPr>
              <w:t>34 of 2002</w:t>
            </w:r>
          </w:p>
        </w:tc>
        <w:tc>
          <w:tcPr>
            <w:tcW w:w="1134" w:type="dxa"/>
          </w:tcPr>
          <w:p>
            <w:pPr>
              <w:pStyle w:val="nTable"/>
              <w:spacing w:after="40"/>
              <w:rPr>
                <w:sz w:val="19"/>
              </w:rPr>
            </w:pPr>
            <w:r>
              <w:rPr>
                <w:sz w:val="19"/>
              </w:rPr>
              <w:t>20 Nov 2002</w:t>
            </w:r>
          </w:p>
        </w:tc>
        <w:tc>
          <w:tcPr>
            <w:tcW w:w="2551" w:type="dxa"/>
          </w:tcPr>
          <w:p>
            <w:pPr>
              <w:pStyle w:val="nTable"/>
              <w:spacing w:after="40"/>
              <w:rPr>
                <w:sz w:val="19"/>
              </w:rPr>
            </w:pPr>
            <w:r>
              <w:rPr>
                <w:sz w:val="19"/>
              </w:rPr>
              <w:t>20 Nov 2002 (see s.2)</w:t>
            </w:r>
          </w:p>
        </w:tc>
      </w:tr>
      <w:tr>
        <w:trPr>
          <w:cantSplit/>
        </w:trPr>
        <w:tc>
          <w:tcPr>
            <w:tcW w:w="2268"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8" w:type="dxa"/>
            <w:tcBorders>
              <w:bottom w:val="single" w:sz="8" w:space="0" w:color="auto"/>
            </w:tcBorders>
          </w:tcPr>
          <w:p>
            <w:pPr>
              <w:pStyle w:val="nTable"/>
              <w:spacing w:after="40"/>
              <w:ind w:right="113"/>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5</w:t>
            </w:r>
          </w:p>
        </w:tc>
        <w:tc>
          <w:tcPr>
            <w:tcW w:w="1134" w:type="dxa"/>
            <w:tcBorders>
              <w:bottom w:val="single" w:sz="8" w:space="0" w:color="auto"/>
            </w:tcBorders>
          </w:tcPr>
          <w:p>
            <w:pPr>
              <w:pStyle w:val="nTable"/>
              <w:spacing w:after="40"/>
              <w:rPr>
                <w:snapToGrid w:val="0"/>
                <w:sz w:val="19"/>
                <w:lang w:val="en-US"/>
              </w:rPr>
            </w:pPr>
            <w:r>
              <w:rPr>
                <w:snapToGrid w:val="0"/>
                <w:sz w:val="19"/>
                <w:lang w:val="en-US"/>
              </w:rPr>
              <w:t>28 of 2006</w:t>
            </w:r>
          </w:p>
        </w:tc>
        <w:tc>
          <w:tcPr>
            <w:tcW w:w="1134" w:type="dxa"/>
            <w:tcBorders>
              <w:bottom w:val="single" w:sz="8" w:space="0" w:color="auto"/>
            </w:tcBorders>
          </w:tcPr>
          <w:p>
            <w:pPr>
              <w:pStyle w:val="nTable"/>
              <w:spacing w:after="40"/>
              <w:rPr>
                <w:sz w:val="19"/>
              </w:rPr>
            </w:pPr>
            <w:r>
              <w:rPr>
                <w:sz w:val="19"/>
              </w:rPr>
              <w:t>26 Jun 2006</w:t>
            </w:r>
          </w:p>
        </w:tc>
        <w:tc>
          <w:tcPr>
            <w:tcW w:w="2551" w:type="dxa"/>
            <w:tcBorders>
              <w:bottom w:val="single" w:sz="8" w:space="0" w:color="auto"/>
            </w:tcBorders>
          </w:tcPr>
          <w:p>
            <w:pPr>
              <w:pStyle w:val="nTable"/>
              <w:spacing w:after="40"/>
              <w:rPr>
                <w:snapToGrid w:val="0"/>
                <w:spacing w:val="-2"/>
                <w:sz w:val="19"/>
                <w:lang w:val="en-US"/>
              </w:rPr>
            </w:pPr>
            <w:r>
              <w:rPr>
                <w:snapToGrid w:val="0"/>
                <w:spacing w:val="-2"/>
                <w:sz w:val="19"/>
                <w:lang w:val="en-US"/>
              </w:rPr>
              <w:t xml:space="preserve">1 Jul 2006 (see s. 2 and </w:t>
            </w:r>
            <w:r>
              <w:rPr>
                <w:i/>
                <w:iCs/>
                <w:snapToGrid w:val="0"/>
                <w:spacing w:val="-2"/>
                <w:sz w:val="19"/>
                <w:lang w:val="en-US"/>
              </w:rPr>
              <w:t>Gazette</w:t>
            </w:r>
            <w:r>
              <w:rPr>
                <w:snapToGrid w:val="0"/>
                <w:spacing w:val="-2"/>
                <w:sz w:val="19"/>
                <w:lang w:val="en-US"/>
              </w:rPr>
              <w:t xml:space="preserve"> 27 Jun 2006 p. 2347)</w:t>
            </w:r>
          </w:p>
        </w:tc>
      </w:tr>
    </w:tbl>
    <w:p>
      <w:pPr>
        <w:pStyle w:val="nSubsection"/>
        <w:keepNext/>
        <w:spacing w:before="200"/>
        <w:rPr>
          <w:snapToGrid w:val="0"/>
        </w:rPr>
      </w:pPr>
      <w:r>
        <w:rPr>
          <w:snapToGrid w:val="0"/>
          <w:vertAlign w:val="superscript"/>
        </w:rPr>
        <w:t>1a</w:t>
      </w:r>
      <w:r>
        <w:rPr>
          <w:b/>
          <w:snapToGrid w:val="0"/>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214" w:name="_Toc511102521"/>
      <w:bookmarkStart w:id="215" w:name="_Toc139707398"/>
      <w:r>
        <w:t>Provisions that have not come into operation</w:t>
      </w:r>
      <w:bookmarkEnd w:id="214"/>
      <w:bookmarkEnd w:id="21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tcBorders>
          </w:tcPr>
          <w:p>
            <w:pPr>
              <w:pStyle w:val="nTable"/>
              <w:keepNext/>
              <w:spacing w:before="60" w:after="60"/>
              <w:rPr>
                <w:b/>
                <w:sz w:val="19"/>
              </w:rPr>
            </w:pPr>
            <w:r>
              <w:rPr>
                <w:b/>
                <w:sz w:val="19"/>
              </w:rPr>
              <w:t>Assent</w:t>
            </w:r>
          </w:p>
        </w:tc>
        <w:tc>
          <w:tcPr>
            <w:tcW w:w="2552" w:type="dxa"/>
            <w:tcBorders>
              <w:top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tcBorders>
          </w:tcPr>
          <w:p>
            <w:pPr>
              <w:pStyle w:val="nTable"/>
              <w:spacing w:before="120"/>
              <w:ind w:right="113"/>
              <w:rPr>
                <w:sz w:val="19"/>
                <w:vertAlign w:val="superscript"/>
              </w:rPr>
            </w:pPr>
            <w:r>
              <w:rPr>
                <w:i/>
                <w:snapToGrid w:val="0"/>
              </w:rPr>
              <w:t>Acts Amendment (ICWA) Act 1996</w:t>
            </w:r>
            <w:r>
              <w:rPr>
                <w:snapToGrid w:val="0"/>
              </w:rPr>
              <w:t xml:space="preserve"> s. 6(a), 13, 14, 20, 21, 22, 24, 25, 27 and 28 </w:t>
            </w:r>
            <w:r>
              <w:rPr>
                <w:snapToGrid w:val="0"/>
                <w:vertAlign w:val="superscript"/>
              </w:rPr>
              <w:t>12</w:t>
            </w:r>
          </w:p>
        </w:tc>
        <w:tc>
          <w:tcPr>
            <w:tcW w:w="1134" w:type="dxa"/>
            <w:tcBorders>
              <w:top w:val="single" w:sz="8" w:space="0" w:color="auto"/>
            </w:tcBorders>
          </w:tcPr>
          <w:p>
            <w:pPr>
              <w:pStyle w:val="nTable"/>
              <w:keepNext/>
              <w:spacing w:before="120"/>
              <w:rPr>
                <w:sz w:val="19"/>
              </w:rPr>
            </w:pPr>
            <w:r>
              <w:rPr>
                <w:sz w:val="19"/>
              </w:rPr>
              <w:t>45 of 1996</w:t>
            </w:r>
          </w:p>
        </w:tc>
        <w:tc>
          <w:tcPr>
            <w:tcW w:w="1134" w:type="dxa"/>
            <w:tcBorders>
              <w:top w:val="single" w:sz="8" w:space="0" w:color="auto"/>
            </w:tcBorders>
          </w:tcPr>
          <w:p>
            <w:pPr>
              <w:pStyle w:val="nTable"/>
              <w:keepNext/>
              <w:spacing w:before="120"/>
              <w:rPr>
                <w:sz w:val="19"/>
              </w:rPr>
            </w:pPr>
            <w:r>
              <w:rPr>
                <w:sz w:val="19"/>
              </w:rPr>
              <w:t>25 Oct 1996</w:t>
            </w:r>
          </w:p>
        </w:tc>
        <w:tc>
          <w:tcPr>
            <w:tcW w:w="2552" w:type="dxa"/>
            <w:tcBorders>
              <w:top w:val="single" w:sz="8" w:space="0" w:color="auto"/>
            </w:tcBorders>
          </w:tcPr>
          <w:p>
            <w:pPr>
              <w:pStyle w:val="nTable"/>
              <w:keepNext/>
              <w:spacing w:before="120"/>
              <w:rPr>
                <w:sz w:val="19"/>
              </w:rPr>
            </w:pPr>
            <w:r>
              <w:rPr>
                <w:sz w:val="19"/>
              </w:rPr>
              <w:t>To be proclaimed (see s. 2)</w:t>
            </w:r>
          </w:p>
        </w:tc>
      </w:tr>
      <w:tr>
        <w:trPr>
          <w:cantSplit/>
        </w:trPr>
        <w:tc>
          <w:tcPr>
            <w:tcW w:w="2268" w:type="dxa"/>
            <w:tcBorders>
              <w:bottom w:val="single" w:sz="4" w:space="0" w:color="auto"/>
            </w:tcBorders>
          </w:tcPr>
          <w:p>
            <w:pPr>
              <w:pStyle w:val="nTable"/>
              <w:spacing w:before="120"/>
              <w:ind w:right="113"/>
              <w:rPr>
                <w:i/>
                <w:snapToGrid w:val="0"/>
              </w:rPr>
            </w:pPr>
            <w:r>
              <w:rPr>
                <w:i/>
                <w:snapToGrid w:val="0"/>
              </w:rPr>
              <w:t xml:space="preserve">State Superannuation (Transitional and Consequential Provisions) Act 2000 </w:t>
            </w:r>
            <w:r>
              <w:rPr>
                <w:snapToGrid w:val="0"/>
              </w:rPr>
              <w:t>s. 50 </w:t>
            </w:r>
            <w:r>
              <w:rPr>
                <w:snapToGrid w:val="0"/>
                <w:vertAlign w:val="superscript"/>
              </w:rPr>
              <w:t>13</w:t>
            </w:r>
          </w:p>
        </w:tc>
        <w:tc>
          <w:tcPr>
            <w:tcW w:w="1134" w:type="dxa"/>
            <w:tcBorders>
              <w:bottom w:val="single" w:sz="4" w:space="0" w:color="auto"/>
            </w:tcBorders>
          </w:tcPr>
          <w:p>
            <w:pPr>
              <w:pStyle w:val="nTable"/>
              <w:keepNext/>
              <w:spacing w:before="120"/>
              <w:rPr>
                <w:sz w:val="19"/>
              </w:rPr>
            </w:pPr>
            <w:r>
              <w:rPr>
                <w:sz w:val="19"/>
              </w:rPr>
              <w:t>43 of 2000</w:t>
            </w:r>
          </w:p>
        </w:tc>
        <w:tc>
          <w:tcPr>
            <w:tcW w:w="1134" w:type="dxa"/>
            <w:tcBorders>
              <w:bottom w:val="single" w:sz="4" w:space="0" w:color="auto"/>
            </w:tcBorders>
          </w:tcPr>
          <w:p>
            <w:pPr>
              <w:pStyle w:val="nTable"/>
              <w:keepNext/>
              <w:spacing w:before="120"/>
              <w:rPr>
                <w:sz w:val="19"/>
              </w:rPr>
            </w:pPr>
            <w:r>
              <w:rPr>
                <w:sz w:val="19"/>
              </w:rPr>
              <w:t>2 Nov 2000</w:t>
            </w:r>
          </w:p>
        </w:tc>
        <w:tc>
          <w:tcPr>
            <w:tcW w:w="2552" w:type="dxa"/>
            <w:tcBorders>
              <w:bottom w:val="single" w:sz="4" w:space="0" w:color="auto"/>
            </w:tcBorders>
          </w:tcPr>
          <w:p>
            <w:pPr>
              <w:pStyle w:val="nTable"/>
              <w:keepNext/>
              <w:spacing w:before="120"/>
              <w:rPr>
                <w:sz w:val="19"/>
              </w:rPr>
            </w:pPr>
            <w:r>
              <w:rPr>
                <w:sz w:val="19"/>
              </w:rPr>
              <w:t>To be proclaimed (see s. 2(2))</w:t>
            </w:r>
          </w:p>
        </w:tc>
      </w:tr>
    </w:tbl>
    <w:p>
      <w:pPr>
        <w:pStyle w:val="nSubsection"/>
        <w:rPr>
          <w:snapToGrid w:val="0"/>
        </w:rPr>
      </w:pPr>
      <w:r>
        <w:rPr>
          <w:snapToGrid w:val="0"/>
          <w:vertAlign w:val="superscript"/>
        </w:rPr>
        <w:t>2</w:t>
      </w:r>
      <w:r>
        <w:rPr>
          <w:snapToGrid w:val="0"/>
        </w:rPr>
        <w:tab/>
        <w:t xml:space="preserve">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Under section 112(2) of the </w:t>
      </w:r>
      <w:r>
        <w:rPr>
          <w:i/>
          <w:snapToGrid w:val="0"/>
        </w:rPr>
        <w:t>Public Sector Management Act 1994</w:t>
      </w:r>
      <w:r>
        <w:rPr>
          <w:snapToGrid w:val="0"/>
        </w:rPr>
        <w:t xml:space="preserve"> (No. 31 of 1994) references to the Public Service Board are to be construed as references to the Minister for Public Sector Management.</w:t>
      </w:r>
    </w:p>
    <w:p>
      <w:pPr>
        <w:pStyle w:val="nSubsection"/>
        <w:rPr>
          <w:snapToGrid w:val="0"/>
        </w:rPr>
      </w:pPr>
      <w:r>
        <w:rPr>
          <w:snapToGrid w:val="0"/>
          <w:vertAlign w:val="superscript"/>
        </w:rPr>
        <w:t>4</w:t>
      </w:r>
      <w:r>
        <w:rPr>
          <w:snapToGrid w:val="0"/>
        </w:rPr>
        <w:tab/>
        <w:t xml:space="preserve">Under section 112(1) of the </w:t>
      </w:r>
      <w:r>
        <w:rPr>
          <w:i/>
          <w:snapToGrid w:val="0"/>
        </w:rPr>
        <w:t>Public Sector Management Act 1994</w:t>
      </w:r>
      <w:r>
        <w:rPr>
          <w:snapToGrid w:val="0"/>
        </w:rPr>
        <w:t xml:space="preserve"> (No. 31 of 1994) references to the </w:t>
      </w:r>
      <w:r>
        <w:rPr>
          <w:i/>
          <w:snapToGrid w:val="0"/>
        </w:rPr>
        <w:t>Public Service Act 1978</w:t>
      </w:r>
      <w:r>
        <w:rPr>
          <w:snapToGrid w:val="0"/>
        </w:rPr>
        <w:t xml:space="preserve"> are to be construed as references to the </w:t>
      </w:r>
      <w:r>
        <w:rPr>
          <w:i/>
          <w:snapToGrid w:val="0"/>
        </w:rPr>
        <w:t>Public Sector Management Act 1994</w:t>
      </w:r>
      <w:r>
        <w:rPr>
          <w:snapToGrid w:val="0"/>
        </w:rPr>
        <w:t>.</w:t>
      </w:r>
    </w:p>
    <w:p>
      <w:pPr>
        <w:pStyle w:val="nSubsection"/>
        <w:rPr>
          <w:snapToGrid w:val="0"/>
        </w:rPr>
      </w:pPr>
      <w:r>
        <w:rPr>
          <w:snapToGrid w:val="0"/>
          <w:vertAlign w:val="superscript"/>
        </w:rPr>
        <w:t>5</w:t>
      </w:r>
      <w:r>
        <w:rPr>
          <w:snapToGrid w:val="0"/>
        </w:rPr>
        <w:tab/>
        <w:t xml:space="preserve">Part 3 of the </w:t>
      </w:r>
      <w:r>
        <w:rPr>
          <w:i/>
          <w:snapToGrid w:val="0"/>
        </w:rPr>
        <w:t>SGIO Privatisation Act 1992</w:t>
      </w:r>
      <w:r>
        <w:rPr>
          <w:snapToGrid w:val="0"/>
        </w:rPr>
        <w:t xml:space="preserve"> (No. 49 of 1992) was operative on 24 December 1992.</w:t>
      </w:r>
    </w:p>
    <w:p>
      <w:pPr>
        <w:pStyle w:val="nSubsection"/>
        <w:keepNext/>
        <w:rPr>
          <w:snapToGrid w:val="0"/>
        </w:rPr>
      </w:pPr>
      <w:r>
        <w:rPr>
          <w:snapToGrid w:val="0"/>
          <w:vertAlign w:val="superscript"/>
        </w:rPr>
        <w:t>6</w:t>
      </w:r>
      <w:r>
        <w:rPr>
          <w:snapToGrid w:val="0"/>
        </w:rPr>
        <w:tab/>
        <w:t xml:space="preserve">The “appointed day” of the </w:t>
      </w:r>
      <w:r>
        <w:rPr>
          <w:i/>
          <w:snapToGrid w:val="0"/>
        </w:rPr>
        <w:t>SGIO Privatisation Act 1992</w:t>
      </w:r>
      <w:r>
        <w:rPr>
          <w:snapToGrid w:val="0"/>
        </w:rPr>
        <w:t xml:space="preserve"> (No. 49 of 1992) was 7 January 1993.</w:t>
      </w:r>
    </w:p>
    <w:p>
      <w:pPr>
        <w:pStyle w:val="nSubsection"/>
        <w:keepNext/>
        <w:rPr>
          <w:snapToGrid w:val="0"/>
        </w:rPr>
      </w:pPr>
      <w:r>
        <w:rPr>
          <w:snapToGrid w:val="0"/>
          <w:vertAlign w:val="superscript"/>
        </w:rPr>
        <w:t>7</w:t>
      </w:r>
      <w:r>
        <w:rPr>
          <w:snapToGrid w:val="0"/>
        </w:rPr>
        <w:tab/>
        <w:t>Repealed under s.46(1) of this Act.</w:t>
      </w:r>
    </w:p>
    <w:p>
      <w:pPr>
        <w:pStyle w:val="nSubsection"/>
        <w:keepNext/>
        <w:rPr>
          <w:snapToGrid w:val="0"/>
        </w:rPr>
      </w:pPr>
      <w:r>
        <w:rPr>
          <w:snapToGrid w:val="0"/>
          <w:vertAlign w:val="superscript"/>
        </w:rPr>
        <w:t>8</w:t>
      </w:r>
      <w:r>
        <w:rPr>
          <w:snapToGrid w:val="0"/>
        </w:rPr>
        <w:tab/>
        <w:t xml:space="preserve">Now cited as the </w:t>
      </w:r>
      <w:r>
        <w:rPr>
          <w:i/>
          <w:snapToGrid w:val="0"/>
        </w:rPr>
        <w:t>Workers’ Compensation and Rehabilitation Act 1981</w:t>
      </w:r>
      <w:r>
        <w:rPr>
          <w:snapToGrid w:val="0"/>
        </w:rPr>
        <w:t>.</w:t>
      </w:r>
    </w:p>
    <w:p>
      <w:pPr>
        <w:pStyle w:val="nSubsection"/>
        <w:keepNext/>
        <w:rPr>
          <w:snapToGrid w:val="0"/>
        </w:rPr>
      </w:pPr>
      <w:r>
        <w:rPr>
          <w:snapToGrid w:val="0"/>
          <w:vertAlign w:val="superscript"/>
        </w:rPr>
        <w:t>9</w:t>
      </w:r>
      <w:r>
        <w:rPr>
          <w:snapToGrid w:val="0"/>
        </w:rPr>
        <w:tab/>
        <w:t xml:space="preserve">Section 31(2)(k) was repealed by section 28 of the </w:t>
      </w:r>
      <w:r>
        <w:rPr>
          <w:i/>
          <w:snapToGrid w:val="0"/>
        </w:rPr>
        <w:t>SGIO Privatisation Act 1992</w:t>
      </w:r>
      <w:r>
        <w:rPr>
          <w:snapToGrid w:val="0"/>
        </w:rPr>
        <w:t xml:space="preserve"> (No. 49 of 1992).</w:t>
      </w:r>
    </w:p>
    <w:p>
      <w:pPr>
        <w:pStyle w:val="nSubsection"/>
        <w:keepNext/>
        <w:rPr>
          <w:snapToGrid w:val="0"/>
        </w:rPr>
      </w:pPr>
      <w:r>
        <w:rPr>
          <w:snapToGrid w:val="0"/>
          <w:vertAlign w:val="superscript"/>
        </w:rPr>
        <w:t>10</w:t>
      </w:r>
      <w:r>
        <w:rPr>
          <w:snapToGrid w:val="0"/>
        </w:rPr>
        <w:tab/>
        <w:t xml:space="preserve">Section 11(9) of the </w:t>
      </w:r>
      <w:r>
        <w:rPr>
          <w:i/>
          <w:snapToGrid w:val="0"/>
        </w:rPr>
        <w:t>Acts Amendment (ICWA) Act 1996</w:t>
      </w:r>
      <w:r>
        <w:rPr>
          <w:snapToGrid w:val="0"/>
        </w:rPr>
        <w:t xml:space="preserve"> (No. 45 of 1996) reads as follows — </w:t>
      </w:r>
    </w:p>
    <w:p>
      <w:pPr>
        <w:pStyle w:val="MiscOpen"/>
        <w:rPr>
          <w:snapToGrid w:val="0"/>
        </w:rPr>
      </w:pPr>
      <w:r>
        <w:rPr>
          <w:snapToGrid w:val="0"/>
        </w:rPr>
        <w:t>“</w:t>
      </w:r>
    </w:p>
    <w:p>
      <w:pPr>
        <w:pStyle w:val="nzSubsection"/>
        <w:keepNext/>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Part 3 of the </w:t>
      </w:r>
      <w:r>
        <w:rPr>
          <w:i/>
          <w:snapToGrid w:val="0"/>
        </w:rPr>
        <w:t>Acts Amendment (ICWA) Act 1996</w:t>
      </w:r>
      <w:r>
        <w:rPr>
          <w:snapToGrid w:val="0"/>
        </w:rPr>
        <w:t xml:space="preserve"> (No. 45 of 1996) reads as follows — </w:t>
      </w:r>
    </w:p>
    <w:p>
      <w:pPr>
        <w:pStyle w:val="MiscOpen"/>
        <w:rPr>
          <w:snapToGrid w:val="0"/>
        </w:rPr>
      </w:pPr>
      <w:r>
        <w:rPr>
          <w:snapToGrid w:val="0"/>
        </w:rPr>
        <w:t>“</w:t>
      </w:r>
    </w:p>
    <w:p>
      <w:pPr>
        <w:pStyle w:val="nzHeading2"/>
        <w:keepNext w:val="0"/>
      </w:pPr>
      <w:r>
        <w:t>Part 3 — Transitional and saving provisions</w:t>
      </w:r>
    </w:p>
    <w:p>
      <w:pPr>
        <w:pStyle w:val="nzHeading5"/>
      </w:pPr>
      <w:r>
        <w:t>29.</w:t>
      </w:r>
      <w:r>
        <w:tab/>
        <w:t xml:space="preserve">Terms used in this Part </w:t>
      </w:r>
    </w:p>
    <w:p>
      <w:pPr>
        <w:pStyle w:val="nzSubsection"/>
        <w:rPr>
          <w:snapToGrid w:val="0"/>
        </w:rPr>
      </w:pPr>
      <w:r>
        <w:rPr>
          <w:snapToGrid w:val="0"/>
        </w:rPr>
        <w:tab/>
      </w:r>
      <w:r>
        <w:rPr>
          <w:snapToGrid w:val="0"/>
        </w:rPr>
        <w:tab/>
        <w:t>In this Part, unless the contrary intention appears — </w:t>
      </w:r>
    </w:p>
    <w:p>
      <w:pPr>
        <w:pStyle w:val="nzDefstart"/>
      </w:pPr>
      <w:r>
        <w:rPr>
          <w:b/>
        </w:rPr>
        <w:tab/>
        <w:t>“Commission”</w:t>
      </w:r>
      <w:r>
        <w:t xml:space="preserve"> and </w:t>
      </w:r>
      <w:r>
        <w:rPr>
          <w:b/>
        </w:rPr>
        <w:t>“Corporation”</w:t>
      </w:r>
      <w:r>
        <w:t xml:space="preserve"> have the same meanings as they have, respectively, in the principal Act;</w:t>
      </w:r>
    </w:p>
    <w:p>
      <w:pPr>
        <w:pStyle w:val="nzDefstart"/>
      </w:pPr>
      <w:r>
        <w:rPr>
          <w:b/>
        </w:rPr>
        <w:tab/>
        <w:t>“ICWA”</w:t>
      </w:r>
      <w:r>
        <w:t xml:space="preserve"> means the body continued by section 4 of the ICWA Act;</w:t>
      </w:r>
    </w:p>
    <w:p>
      <w:pPr>
        <w:pStyle w:val="nzDefstart"/>
      </w:pPr>
      <w:r>
        <w:rPr>
          <w:b/>
        </w:rPr>
        <w:tab/>
        <w:t>“ICWA Act”</w:t>
      </w:r>
      <w:r>
        <w:t xml:space="preserve"> means the principal Act as amended by this Act.</w:t>
      </w:r>
    </w:p>
    <w:p>
      <w:pPr>
        <w:pStyle w:val="nzHeading5"/>
      </w:pPr>
      <w:r>
        <w:t>30.</w:t>
      </w:r>
      <w:r>
        <w:tab/>
        <w:t xml:space="preserve">References to the Commission under its former name in laws and documents </w:t>
      </w:r>
    </w:p>
    <w:p>
      <w:pPr>
        <w:pStyle w:val="nzSubsection"/>
        <w:rPr>
          <w:snapToGrid w:val="0"/>
        </w:rPr>
      </w:pPr>
      <w:r>
        <w:rPr>
          <w:snapToGrid w:val="0"/>
        </w:rPr>
        <w:tab/>
        <w:t>(1)</w:t>
      </w:r>
      <w:r>
        <w:rPr>
          <w:snapToGrid w:val="0"/>
        </w:rPr>
        <w:tab/>
        <w:t>In this section — </w:t>
      </w:r>
    </w:p>
    <w:p>
      <w:pPr>
        <w:pStyle w:val="nzDefstart"/>
      </w:pPr>
      <w:r>
        <w:rPr>
          <w:b/>
        </w:rPr>
        <w:tab/>
        <w:t>“former name”</w:t>
      </w:r>
      <w:r>
        <w:t xml:space="preserve"> means “State Government Insurance Commission”;</w:t>
      </w:r>
    </w:p>
    <w:p>
      <w:pPr>
        <w:pStyle w:val="nzDefstart"/>
      </w:pPr>
      <w:r>
        <w:rPr>
          <w:b/>
        </w:rPr>
        <w:tab/>
        <w:t>“new name”</w:t>
      </w:r>
      <w:r>
        <w:t xml:space="preserve"> means “Insurance Commission of Western Australia”.</w:t>
      </w:r>
    </w:p>
    <w:p>
      <w:pPr>
        <w:pStyle w:val="nzSubsection"/>
        <w:rPr>
          <w:snapToGrid w:val="0"/>
        </w:rPr>
      </w:pPr>
      <w:r>
        <w:rPr>
          <w:snapToGrid w:val="0"/>
        </w:rPr>
        <w:tab/>
        <w:t>(2)</w:t>
      </w:r>
      <w:r>
        <w:rPr>
          <w:snapToGrid w:val="0"/>
        </w:rPr>
        <w:tab/>
        <w:t>Without limiting section 4(1) of the ICWA Act, where, in a written law or in any document of any kind, there is — </w:t>
      </w:r>
    </w:p>
    <w:p>
      <w:pPr>
        <w:pStyle w:val="nzIndenta"/>
        <w:rPr>
          <w:snapToGrid w:val="0"/>
        </w:rPr>
      </w:pPr>
      <w:r>
        <w:rPr>
          <w:snapToGrid w:val="0"/>
        </w:rPr>
        <w:tab/>
        <w:t>(a)</w:t>
      </w:r>
      <w:r>
        <w:rPr>
          <w:snapToGrid w:val="0"/>
        </w:rPr>
        <w:tab/>
        <w:t>a reference to ICWA by its former name; or</w:t>
      </w:r>
    </w:p>
    <w:p>
      <w:pPr>
        <w:pStyle w:val="nzIndenta"/>
        <w:rPr>
          <w:snapToGrid w:val="0"/>
        </w:rPr>
      </w:pPr>
      <w:r>
        <w:rPr>
          <w:snapToGrid w:val="0"/>
        </w:rPr>
        <w:tab/>
        <w:t>(b)</w:t>
      </w:r>
      <w:r>
        <w:rPr>
          <w:snapToGrid w:val="0"/>
        </w:rPr>
        <w:tab/>
        <w:t>a reference that was directed by Schedule 4 of the principal Act to be read and construed, or have effect, as a reference to ICWA by its former name,</w:t>
      </w:r>
    </w:p>
    <w:p>
      <w:pPr>
        <w:pStyle w:val="nzSubsection"/>
        <w:rPr>
          <w:snapToGrid w:val="0"/>
        </w:rPr>
      </w:pPr>
      <w:r>
        <w:rPr>
          <w:snapToGrid w:val="0"/>
        </w:rPr>
        <w:tab/>
      </w:r>
      <w:r>
        <w:rPr>
          <w:snapToGrid w:val="0"/>
        </w:rPr>
        <w:tab/>
        <w:t>that reference is, unless because of the context it would be inappropriate to do so, to be construed, or have effect, after section 8 commences as if it had been amended to be a reference to ICWA by its new name.</w:t>
      </w:r>
    </w:p>
    <w:p>
      <w:pPr>
        <w:pStyle w:val="nzHeading5"/>
      </w:pPr>
      <w:r>
        <w:t>31.</w:t>
      </w:r>
      <w:r>
        <w:tab/>
        <w:t xml:space="preserve">Transfer of Corporation’s assets and liabilities to ICWA </w:t>
      </w:r>
    </w:p>
    <w:p>
      <w:pPr>
        <w:pStyle w:val="nzSubsection"/>
        <w:rPr>
          <w:snapToGrid w:val="0"/>
        </w:rPr>
      </w:pPr>
      <w:r>
        <w:rPr>
          <w:snapToGrid w:val="0"/>
        </w:rPr>
        <w:tab/>
        <w:t>(1)</w:t>
      </w:r>
      <w:r>
        <w:rPr>
          <w:snapToGrid w:val="0"/>
        </w:rPr>
        <w:tab/>
        <w:t>In this section — </w:t>
      </w:r>
    </w:p>
    <w:p>
      <w:pPr>
        <w:pStyle w:val="nzDefstart"/>
      </w:pPr>
      <w:r>
        <w:rPr>
          <w:b/>
        </w:rPr>
        <w:tab/>
        <w:t>“commencement day”</w:t>
      </w:r>
      <w:r>
        <w:t xml:space="preserve"> means the day on which section 20 commences;</w:t>
      </w:r>
    </w:p>
    <w:p>
      <w:pPr>
        <w:pStyle w:val="nzDefstart"/>
      </w:pPr>
      <w:r>
        <w:rPr>
          <w:b/>
        </w:rPr>
        <w:tab/>
        <w:t>“existing policies”</w:t>
      </w:r>
      <w:r>
        <w:t xml:space="preserve"> means all policies of insurance existing immediately before the commencement day being policies that were issued by the Corporation or policies under which the Corporation had undertaken liability;</w:t>
      </w:r>
    </w:p>
    <w:p>
      <w:pPr>
        <w:pStyle w:val="nzDefstart"/>
        <w:keepNext/>
      </w:pPr>
      <w:r>
        <w:rPr>
          <w:b/>
        </w:rPr>
        <w:tab/>
        <w:t>“existing reinsurance policies”</w:t>
      </w:r>
      <w:r>
        <w:t xml:space="preserve"> means all reinsurance policies existing immediately before the commencement day issued by another person under which the Corporation was reinsured in respect of all or part of its liabilities or risks under existing policies.</w:t>
      </w:r>
    </w:p>
    <w:p>
      <w:pPr>
        <w:pStyle w:val="nzSubsection"/>
        <w:rPr>
          <w:snapToGrid w:val="0"/>
        </w:rPr>
      </w:pPr>
      <w:r>
        <w:rPr>
          <w:snapToGrid w:val="0"/>
        </w:rPr>
        <w:tab/>
        <w:t>(2)</w:t>
      </w:r>
      <w:r>
        <w:rPr>
          <w:snapToGrid w:val="0"/>
        </w:rPr>
        <w:tab/>
        <w:t>On and after the commencement day — </w:t>
      </w:r>
    </w:p>
    <w:p>
      <w:pPr>
        <w:pStyle w:val="nzIndenta"/>
        <w:rPr>
          <w:snapToGrid w:val="0"/>
        </w:rPr>
      </w:pPr>
      <w:r>
        <w:rPr>
          <w:snapToGrid w:val="0"/>
        </w:rPr>
        <w:tab/>
        <w:t>(a)</w:t>
      </w:r>
      <w:r>
        <w:rPr>
          <w:snapToGrid w:val="0"/>
        </w:rPr>
        <w:tab/>
        <w:t>all of the assets and rights of the Corporation immediately before the commencement day vest in ICWA by force of this section;</w:t>
      </w:r>
    </w:p>
    <w:p>
      <w:pPr>
        <w:pStyle w:val="nzIndenta"/>
        <w:rPr>
          <w:snapToGrid w:val="0"/>
        </w:rPr>
      </w:pPr>
      <w:r>
        <w:rPr>
          <w:snapToGrid w:val="0"/>
        </w:rPr>
        <w:tab/>
        <w:t>(b)</w:t>
      </w:r>
      <w:r>
        <w:rPr>
          <w:snapToGrid w:val="0"/>
        </w:rPr>
        <w:tab/>
        <w:t>all the liabilities of the Corporation immediately before the commencement day vest in ICWA by force of this section, so far as they have not been paid or discharged;</w:t>
      </w:r>
    </w:p>
    <w:p>
      <w:pPr>
        <w:pStyle w:val="nzIndenta"/>
        <w:rPr>
          <w:snapToGrid w:val="0"/>
        </w:rPr>
      </w:pPr>
      <w:r>
        <w:rPr>
          <w:snapToGrid w:val="0"/>
        </w:rPr>
        <w:tab/>
        <w:t>(c)</w:t>
      </w:r>
      <w:r>
        <w:rPr>
          <w:snapToGrid w:val="0"/>
        </w:rPr>
        <w:tab/>
        <w:t>any agreement or instrument relating to the assets, rights and liabilities referred to in paragraphs (a) and (b) has effect, by force of this section, as if ICWA were substituted for the Corporation as a party to the agreement or instrument;</w:t>
      </w:r>
    </w:p>
    <w:p>
      <w:pPr>
        <w:pStyle w:val="nzIndenta"/>
        <w:rPr>
          <w:snapToGrid w:val="0"/>
        </w:rPr>
      </w:pPr>
      <w:r>
        <w:rPr>
          <w:snapToGrid w:val="0"/>
        </w:rPr>
        <w:tab/>
        <w:t>(d)</w:t>
      </w:r>
      <w:r>
        <w:rPr>
          <w:snapToGrid w:val="0"/>
        </w:rPr>
        <w:tab/>
        <w:t>all proceedings commenced before the commencement day by or against the Corporation are to be taken to be proceedings by or against ICWA;</w:t>
      </w:r>
    </w:p>
    <w:p>
      <w:pPr>
        <w:pStyle w:val="nzIndenta"/>
        <w:rPr>
          <w:snapToGrid w:val="0"/>
        </w:rPr>
      </w:pPr>
      <w:r>
        <w:rPr>
          <w:snapToGrid w:val="0"/>
        </w:rPr>
        <w:tab/>
        <w:t>(e)</w:t>
      </w:r>
      <w:r>
        <w:rPr>
          <w:snapToGrid w:val="0"/>
        </w:rPr>
        <w:tab/>
        <w:t>any act, matter or thing done or omitted to be done in relation to the assets, rights and liabilities referred to in paragraphs (a) and (b) before the commencement day by, to or in respect of the Corporation (to the extent that that act, matter or thing has any force or effect) is to be taken to have been done by or omitted, to or in respect of ICWA;</w:t>
      </w:r>
    </w:p>
    <w:p>
      <w:pPr>
        <w:pStyle w:val="nzIndenta"/>
        <w:rPr>
          <w:snapToGrid w:val="0"/>
        </w:rPr>
      </w:pPr>
      <w:r>
        <w:rPr>
          <w:snapToGrid w:val="0"/>
        </w:rPr>
        <w:tab/>
        <w:t>(f)</w:t>
      </w:r>
      <w:r>
        <w:rPr>
          <w:snapToGrid w:val="0"/>
        </w:rPr>
        <w:tab/>
        <w:t>all existing policies are to be taken to be, and, subject to the terms and conditions of any particular policy, continue to have effect as if they were, policies issued by ICWA;</w:t>
      </w:r>
    </w:p>
    <w:p>
      <w:pPr>
        <w:pStyle w:val="nzIndenta"/>
        <w:rPr>
          <w:snapToGrid w:val="0"/>
        </w:rPr>
      </w:pPr>
      <w:r>
        <w:rPr>
          <w:snapToGrid w:val="0"/>
        </w:rPr>
        <w:tab/>
        <w:t>(g)</w:t>
      </w:r>
      <w:r>
        <w:rPr>
          <w:snapToGrid w:val="0"/>
        </w:rPr>
        <w:tab/>
        <w:t>all existing reinsurance policies that relate to existing policies are to be taken to be, and, subject to the terms and conditions of any particular reinsurance policy, continue to have effect as if they were, policies that reinsure ICWA in respect of existing policies; and</w:t>
      </w:r>
    </w:p>
    <w:p>
      <w:pPr>
        <w:pStyle w:val="nzIndenta"/>
        <w:rPr>
          <w:snapToGrid w:val="0"/>
        </w:rPr>
      </w:pPr>
      <w:r>
        <w:rPr>
          <w:snapToGrid w:val="0"/>
        </w:rPr>
        <w:tab/>
        <w:t>(h)</w:t>
      </w:r>
      <w:r>
        <w:rPr>
          <w:snapToGrid w:val="0"/>
        </w:rPr>
        <w:tab/>
        <w:t>a reference to the Corporation in a written law or in any document of any kind is, unless because of the context it would be inappropriate so to do, to be construed, or have effect, as if it had been amended to be a reference to ICWA.</w:t>
      </w:r>
    </w:p>
    <w:p>
      <w:pPr>
        <w:pStyle w:val="nzHeading5"/>
      </w:pPr>
      <w:r>
        <w:t>32.</w:t>
      </w:r>
      <w:r>
        <w:tab/>
        <w:t xml:space="preserve">Saving provisions relating to transfer of assets and liabilities </w:t>
      </w:r>
    </w:p>
    <w:p>
      <w:pPr>
        <w:pStyle w:val="nzSubsection"/>
        <w:rPr>
          <w:snapToGrid w:val="0"/>
        </w:rPr>
      </w:pPr>
      <w:r>
        <w:rPr>
          <w:snapToGrid w:val="0"/>
        </w:rPr>
        <w:tab/>
      </w:r>
      <w:r>
        <w:rPr>
          <w:snapToGrid w:val="0"/>
        </w:rPr>
        <w:tab/>
        <w:t>The operation of section 31 is not to be regarded — </w:t>
      </w:r>
    </w:p>
    <w:p>
      <w:pPr>
        <w:pStyle w:val="nzIndenta"/>
        <w:rPr>
          <w:snapToGrid w:val="0"/>
        </w:rPr>
      </w:pPr>
      <w:r>
        <w:rPr>
          <w:snapToGrid w:val="0"/>
        </w:rPr>
        <w:tab/>
        <w:t>(a)</w:t>
      </w:r>
      <w:r>
        <w:rPr>
          <w:snapToGrid w:val="0"/>
        </w:rPr>
        <w:tab/>
        <w:t>as a breach of contract or confidence or otherwise as a civil wrong;</w:t>
      </w:r>
    </w:p>
    <w:p>
      <w:pPr>
        <w:pStyle w:val="nzIndenta"/>
        <w:rPr>
          <w:snapToGrid w:val="0"/>
        </w:rPr>
      </w:pPr>
      <w:r>
        <w:rPr>
          <w:snapToGrid w:val="0"/>
        </w:rPr>
        <w:tab/>
        <w:t>(b)</w:t>
      </w:r>
      <w:r>
        <w:rPr>
          <w:snapToGrid w:val="0"/>
        </w:rPr>
        <w:tab/>
        <w:t>as a breach of any contractual provision prohibiting, restricting or regulating the assignment or transfer of assets, rights or liabilities or the disclosure of information;</w:t>
      </w:r>
    </w:p>
    <w:p>
      <w:pPr>
        <w:pStyle w:val="nz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 or</w:t>
      </w:r>
    </w:p>
    <w:p>
      <w:pPr>
        <w:pStyle w:val="nzIndenta"/>
        <w:rPr>
          <w:snapToGrid w:val="0"/>
        </w:rPr>
      </w:pPr>
      <w:r>
        <w:rPr>
          <w:snapToGrid w:val="0"/>
        </w:rPr>
        <w:tab/>
        <w:t>(d)</w:t>
      </w:r>
      <w:r>
        <w:rPr>
          <w:snapToGrid w:val="0"/>
        </w:rPr>
        <w:tab/>
        <w:t>as releasing, or allowing the release of, any surety.</w:t>
      </w:r>
    </w:p>
    <w:p>
      <w:pPr>
        <w:pStyle w:val="nzHeading5"/>
      </w:pPr>
      <w:r>
        <w:t>33.</w:t>
      </w:r>
      <w:r>
        <w:tab/>
        <w:t xml:space="preserve">Registration of documents </w:t>
      </w:r>
    </w:p>
    <w:p>
      <w:pPr>
        <w:pStyle w:val="nzSubsection"/>
        <w:rPr>
          <w:snapToGrid w:val="0"/>
        </w:rPr>
      </w:pPr>
      <w:r>
        <w:rPr>
          <w:snapToGrid w:val="0"/>
        </w:rPr>
        <w:tab/>
        <w:t>(1)</w:t>
      </w:r>
      <w:r>
        <w:rPr>
          <w:snapToGrid w:val="0"/>
        </w:rPr>
        <w:tab/>
        <w:t xml:space="preserve">The Registrar of Titles, the Registrar of Deeds, the Ministers respectively administering the </w:t>
      </w:r>
      <w:r>
        <w:rPr>
          <w:i/>
          <w:snapToGrid w:val="0"/>
        </w:rPr>
        <w:t>Land Act 1933</w:t>
      </w:r>
      <w:r>
        <w:rPr>
          <w:snapToGrid w:val="0"/>
        </w:rPr>
        <w:t xml:space="preserve"> and the </w:t>
      </w:r>
      <w:r>
        <w:rPr>
          <w:i/>
          <w:snapToGrid w:val="0"/>
        </w:rPr>
        <w:t>Mining Act 1978</w:t>
      </w:r>
      <w:r>
        <w:rPr>
          <w:snapToGrid w:val="0"/>
        </w:rPr>
        <w:t>, and any other person authorized by a written law to record and give effect to the registration of documents relating to transactions affecting any estate or interest in land or other property, are to take notice of the provisions of this Part and are empowered to record and register in the appropriate manner such of those documents as are necessary to give effect to this Part.</w:t>
      </w:r>
    </w:p>
    <w:p>
      <w:pPr>
        <w:pStyle w:val="nzSubsection"/>
        <w:rPr>
          <w:snapToGrid w:val="0"/>
        </w:rPr>
      </w:pPr>
      <w:r>
        <w:rPr>
          <w:snapToGrid w:val="0"/>
        </w:rPr>
        <w:tab/>
        <w:t>(2)</w:t>
      </w:r>
      <w:r>
        <w:rPr>
          <w:snapToGrid w:val="0"/>
        </w:rPr>
        <w:tab/>
        <w:t>Without limiting subsection (1) a statement in an instrument executed by ICWA that any estate or interest in land or other property has become vested in it under section 31 is evidence of that fact.</w:t>
      </w:r>
    </w:p>
    <w:p>
      <w:pPr>
        <w:pStyle w:val="nzHeading5"/>
      </w:pPr>
      <w:r>
        <w:t>34.</w:t>
      </w:r>
      <w:r>
        <w:tab/>
        <w:t xml:space="preserve">Cancellation of shares in State Government Insurance Corporation </w:t>
      </w:r>
    </w:p>
    <w:p>
      <w:pPr>
        <w:pStyle w:val="nzSubsection"/>
        <w:rPr>
          <w:snapToGrid w:val="0"/>
        </w:rPr>
      </w:pPr>
      <w:r>
        <w:rPr>
          <w:snapToGrid w:val="0"/>
        </w:rPr>
        <w:tab/>
      </w:r>
      <w:r>
        <w:rPr>
          <w:snapToGrid w:val="0"/>
        </w:rPr>
        <w:tab/>
        <w:t>When section 20 commences the shares held by the Commission under section 39 of the principal Act are cancelled and all rights attached to them are extinguished by force of this section.</w:t>
      </w:r>
    </w:p>
    <w:p>
      <w:pPr>
        <w:pStyle w:val="nzHeading5"/>
      </w:pPr>
      <w:r>
        <w:t>35.</w:t>
      </w:r>
      <w:r>
        <w:tab/>
        <w:t xml:space="preserve">Exemption from State taxation </w:t>
      </w:r>
    </w:p>
    <w:p>
      <w:pPr>
        <w:pStyle w:val="nzSubsection"/>
        <w:rPr>
          <w:snapToGrid w:val="0"/>
        </w:rPr>
      </w:pPr>
      <w:r>
        <w:rPr>
          <w:snapToGrid w:val="0"/>
        </w:rPr>
        <w:tab/>
        <w:t>(1)</w:t>
      </w:r>
      <w:r>
        <w:rPr>
          <w:snapToGrid w:val="0"/>
        </w:rPr>
        <w:tab/>
        <w:t>In this section — </w:t>
      </w:r>
    </w:p>
    <w:p>
      <w:pPr>
        <w:pStyle w:val="nzDefstart"/>
      </w:pPr>
      <w:r>
        <w:rPr>
          <w:b/>
        </w:rPr>
        <w:tab/>
        <w:t>“State tax”</w:t>
      </w:r>
      <w:r>
        <w:t xml:space="preserve"> includes stamp duty chargeable under the </w:t>
      </w:r>
      <w:r>
        <w:rPr>
          <w:i/>
        </w:rPr>
        <w:t>Stamp Act 1921</w:t>
      </w:r>
      <w:r>
        <w:t xml:space="preserve"> and any other tax, duty, fee, levy or charge under a law of the State.</w:t>
      </w:r>
    </w:p>
    <w:p>
      <w:pPr>
        <w:pStyle w:val="nzSubsection"/>
        <w:rPr>
          <w:snapToGrid w:val="0"/>
        </w:rPr>
      </w:pPr>
      <w:r>
        <w:rPr>
          <w:snapToGrid w:val="0"/>
        </w:rPr>
        <w:tab/>
        <w:t>(2)</w:t>
      </w:r>
      <w:r>
        <w:rPr>
          <w:snapToGrid w:val="0"/>
        </w:rPr>
        <w:tab/>
        <w:t>State tax is not payable in relation to — </w:t>
      </w:r>
    </w:p>
    <w:p>
      <w:pPr>
        <w:pStyle w:val="nzIndenta"/>
        <w:rPr>
          <w:snapToGrid w:val="0"/>
        </w:rPr>
      </w:pPr>
      <w:r>
        <w:rPr>
          <w:snapToGrid w:val="0"/>
        </w:rPr>
        <w:tab/>
        <w:t>(a)</w:t>
      </w:r>
      <w:r>
        <w:rPr>
          <w:snapToGrid w:val="0"/>
        </w:rPr>
        <w:tab/>
        <w:t>anything that occurs by the operation of this Part; or</w:t>
      </w:r>
    </w:p>
    <w:p>
      <w:pPr>
        <w:pStyle w:val="nzIndenta"/>
        <w:rPr>
          <w:snapToGrid w:val="0"/>
        </w:rPr>
      </w:pPr>
      <w:r>
        <w:rPr>
          <w:snapToGrid w:val="0"/>
        </w:rPr>
        <w:tab/>
        <w:t>(b)</w:t>
      </w:r>
      <w:r>
        <w:rPr>
          <w:snapToGrid w:val="0"/>
        </w:rP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rPr>
          <w:snapToGrid w:val="0"/>
        </w:rPr>
      </w:pPr>
      <w:r>
        <w:rPr>
          <w:snapToGrid w:val="0"/>
        </w:rPr>
        <w:tab/>
        <w:t>(3)</w:t>
      </w:r>
      <w:r>
        <w:rPr>
          <w:snapToGrid w:val="0"/>
        </w:rPr>
        <w:tab/>
        <w:t>The Treasurer or a person authorized by the Treasurer may, on request by ICWA, certify in writing that — </w:t>
      </w:r>
    </w:p>
    <w:p>
      <w:pPr>
        <w:pStyle w:val="nzIndenta"/>
        <w:rPr>
          <w:snapToGrid w:val="0"/>
        </w:rPr>
      </w:pPr>
      <w:r>
        <w:rPr>
          <w:snapToGrid w:val="0"/>
        </w:rPr>
        <w:tab/>
        <w:t>(a)</w:t>
      </w:r>
      <w:r>
        <w:rPr>
          <w:snapToGrid w:val="0"/>
        </w:rPr>
        <w:tab/>
        <w:t>a specified thing occurred by the operation of this Part; or</w:t>
      </w:r>
    </w:p>
    <w:p>
      <w:pPr>
        <w:pStyle w:val="nzIndenta"/>
        <w:rPr>
          <w:snapToGrid w:val="0"/>
        </w:rPr>
      </w:pPr>
      <w:r>
        <w:rPr>
          <w:snapToGrid w:val="0"/>
        </w:rPr>
        <w:tab/>
        <w:t>(b)</w:t>
      </w:r>
      <w:r>
        <w:rPr>
          <w:snapToGrid w:val="0"/>
        </w:rPr>
        <w:tab/>
        <w:t>a specified thing was done under this Part, or to give effect to this Part, or for a purpose connected with or arising out of, giving effect to this Part.</w:t>
      </w:r>
    </w:p>
    <w:p>
      <w:pPr>
        <w:pStyle w:val="nz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nzHeading5"/>
      </w:pPr>
      <w:r>
        <w:t>36.</w:t>
      </w:r>
      <w:r>
        <w:tab/>
        <w:t xml:space="preserve">Financial reporting </w:t>
      </w:r>
    </w:p>
    <w:p>
      <w:pPr>
        <w:pStyle w:val="nzSubsection"/>
        <w:rPr>
          <w:snapToGrid w:val="0"/>
        </w:rPr>
      </w:pPr>
      <w:r>
        <w:rPr>
          <w:snapToGrid w:val="0"/>
        </w:rPr>
        <w:tab/>
        <w:t>(1)</w:t>
      </w:r>
      <w:r>
        <w:rPr>
          <w:snapToGrid w:val="0"/>
        </w:rPr>
        <w:tab/>
        <w:t xml:space="preserve">If sections 66 to 69 of the </w:t>
      </w:r>
      <w:r>
        <w:rPr>
          <w:i/>
          <w:snapToGrid w:val="0"/>
        </w:rPr>
        <w:t>Financial Administration and Audit Act 1985</w:t>
      </w:r>
      <w:r>
        <w:rPr>
          <w:snapToGrid w:val="0"/>
        </w:rPr>
        <w:t xml:space="preserve"> have not been complied with before the commencement of section 20 in relation to the affairs of the Corporation for a financial year that ended before that commencement, the Minister is to cause those sections to be complied with in relation to that year as soon as practicable after that commencement.</w:t>
      </w:r>
    </w:p>
    <w:p>
      <w:pPr>
        <w:pStyle w:val="nzSubsection"/>
        <w:rPr>
          <w:snapToGrid w:val="0"/>
        </w:rPr>
      </w:pPr>
      <w:r>
        <w:rPr>
          <w:snapToGrid w:val="0"/>
        </w:rPr>
        <w:tab/>
        <w:t>(2)</w:t>
      </w:r>
      <w:r>
        <w:rPr>
          <w:snapToGrid w:val="0"/>
        </w:rPr>
        <w:tab/>
        <w:t xml:space="preserve">As soon as practicable after the commencement of section 20 the Minister is to cause sections 66 to 69 of the </w:t>
      </w:r>
      <w:r>
        <w:rPr>
          <w:i/>
          <w:snapToGrid w:val="0"/>
        </w:rPr>
        <w:t>Financial Administration and Audit Act 1985</w:t>
      </w:r>
      <w:r>
        <w:rPr>
          <w:snapToGrid w:val="0"/>
        </w:rPr>
        <w:t xml:space="preserve"> to be complied with in relation to the affairs of the Corporation for the period from 1 July last preceding that commencement to that commencement, and the report is to be regarded as an annual report for the purposes of section 69 of that Act.</w:t>
      </w:r>
    </w:p>
    <w:p>
      <w:pPr>
        <w:pStyle w:val="nzSubsection"/>
        <w:rPr>
          <w:snapToGrid w:val="0"/>
        </w:rPr>
      </w:pPr>
      <w:r>
        <w:rPr>
          <w:snapToGrid w:val="0"/>
        </w:rPr>
        <w:tab/>
        <w:t>(3)</w:t>
      </w:r>
      <w:r>
        <w:rPr>
          <w:snapToGrid w:val="0"/>
        </w:rPr>
        <w:tab/>
        <w:t>If section 20 commences on 1 July in a year — </w:t>
      </w:r>
    </w:p>
    <w:p>
      <w:pPr>
        <w:pStyle w:val="nzIndenta"/>
        <w:rPr>
          <w:snapToGrid w:val="0"/>
        </w:rPr>
      </w:pPr>
      <w:r>
        <w:rPr>
          <w:snapToGrid w:val="0"/>
        </w:rPr>
        <w:tab/>
        <w:t>(a)</w:t>
      </w:r>
      <w:r>
        <w:rPr>
          <w:snapToGrid w:val="0"/>
        </w:rPr>
        <w:tab/>
        <w:t>subsection (2) does not apply; and</w:t>
      </w:r>
    </w:p>
    <w:p>
      <w:pPr>
        <w:pStyle w:val="nzIndenta"/>
        <w:rPr>
          <w:snapToGrid w:val="0"/>
        </w:rPr>
      </w:pPr>
      <w:r>
        <w:rPr>
          <w:snapToGrid w:val="0"/>
        </w:rPr>
        <w:tab/>
        <w:t>(b)</w:t>
      </w:r>
      <w:r>
        <w:rPr>
          <w:snapToGrid w:val="0"/>
        </w:rPr>
        <w:tab/>
        <w:t xml:space="preserve">the Minister is to cause sections 66 to 69 of the </w:t>
      </w:r>
      <w:r>
        <w:rPr>
          <w:i/>
          <w:snapToGrid w:val="0"/>
        </w:rPr>
        <w:t>Financial Administration and Audit Act 1985</w:t>
      </w:r>
      <w:r>
        <w:rPr>
          <w:snapToGrid w:val="0"/>
        </w:rPr>
        <w:t xml:space="preserve"> to be complied with in relation to the affairs of the Commission for the year ending on 30 June in that year.</w:t>
      </w:r>
    </w:p>
    <w:p>
      <w:pPr>
        <w:pStyle w:val="nzSubsection"/>
        <w:rPr>
          <w:snapToGrid w:val="0"/>
        </w:rPr>
      </w:pPr>
      <w:r>
        <w:rPr>
          <w:snapToGrid w:val="0"/>
        </w:rPr>
        <w:tab/>
        <w:t>(4)</w:t>
      </w:r>
      <w:r>
        <w:rPr>
          <w:snapToGrid w:val="0"/>
        </w:rPr>
        <w:tab/>
        <w:t>Any acts or things done in the administration of this Part are to be regarded — </w:t>
      </w:r>
    </w:p>
    <w:p>
      <w:pPr>
        <w:pStyle w:val="nzIndenta"/>
        <w:rPr>
          <w:snapToGrid w:val="0"/>
        </w:rPr>
      </w:pPr>
      <w:r>
        <w:rPr>
          <w:snapToGrid w:val="0"/>
        </w:rPr>
        <w:tab/>
        <w:t>(a)</w:t>
      </w:r>
      <w:r>
        <w:rPr>
          <w:snapToGrid w:val="0"/>
        </w:rPr>
        <w:tab/>
        <w:t xml:space="preserve">as services for which ICWA is responsible for the purposes of Part II, Division 11 of the </w:t>
      </w:r>
      <w:r>
        <w:rPr>
          <w:i/>
          <w:snapToGrid w:val="0"/>
        </w:rPr>
        <w:t>Financial Administration and Audit Act 1985</w:t>
      </w:r>
      <w:r>
        <w:rPr>
          <w:snapToGrid w:val="0"/>
        </w:rPr>
        <w:t>; and</w:t>
      </w:r>
    </w:p>
    <w:p>
      <w:pPr>
        <w:pStyle w:val="nzIndenta"/>
        <w:rPr>
          <w:snapToGrid w:val="0"/>
        </w:rPr>
      </w:pPr>
      <w:r>
        <w:rPr>
          <w:snapToGrid w:val="0"/>
        </w:rPr>
        <w:tab/>
        <w:t>(b)</w:t>
      </w:r>
      <w:r>
        <w:rPr>
          <w:snapToGrid w:val="0"/>
        </w:rPr>
        <w:tab/>
        <w:t xml:space="preserve">as operations of ICWA for the purposes of Part II, Division 14 of the </w:t>
      </w:r>
      <w:r>
        <w:rPr>
          <w:i/>
          <w:snapToGrid w:val="0"/>
        </w:rPr>
        <w:t>Financial Administration and Audit Act 1985</w:t>
      </w:r>
      <w:r>
        <w:rPr>
          <w:snapToGrid w:val="0"/>
        </w:rPr>
        <w:t>.</w:t>
      </w:r>
    </w:p>
    <w:p>
      <w:pPr>
        <w:pStyle w:val="nzSubsection"/>
        <w:rPr>
          <w:snapToGrid w:val="0"/>
        </w:rPr>
      </w:pPr>
      <w:r>
        <w:rPr>
          <w:snapToGrid w:val="0"/>
        </w:rPr>
        <w:tab/>
        <w:t>(5)</w:t>
      </w:r>
      <w:r>
        <w:rPr>
          <w:snapToGrid w:val="0"/>
        </w:rPr>
        <w:tab/>
        <w:t>In this section — </w:t>
      </w:r>
    </w:p>
    <w:p>
      <w:pPr>
        <w:pStyle w:val="nzDefstart"/>
      </w:pPr>
      <w:r>
        <w:rPr>
          <w:b/>
        </w:rPr>
        <w:tab/>
        <w:t>“Minister”</w:t>
      </w:r>
      <w:r>
        <w:t xml:space="preserve"> means the Minister administering the ICWA Act.</w:t>
      </w:r>
    </w:p>
    <w:p>
      <w:pPr>
        <w:pStyle w:val="nzHeading5"/>
        <w:rPr>
          <w:snapToGrid w:val="0"/>
        </w:rPr>
      </w:pPr>
      <w:r>
        <w:rPr>
          <w:snapToGrid w:val="0"/>
        </w:rPr>
        <w:t>37.</w:t>
      </w:r>
      <w:r>
        <w:rPr>
          <w:snapToGrid w:val="0"/>
        </w:rPr>
        <w:tab/>
        <w:t xml:space="preserve">Saving provisions in relation to Schedule 4 </w:t>
      </w:r>
    </w:p>
    <w:p>
      <w:pPr>
        <w:pStyle w:val="nzSubsection"/>
        <w:rPr>
          <w:snapToGrid w:val="0"/>
        </w:rPr>
      </w:pPr>
      <w:r>
        <w:rPr>
          <w:snapToGrid w:val="0"/>
        </w:rPr>
        <w:tab/>
        <w:t>(1)</w:t>
      </w:r>
      <w:r>
        <w:rPr>
          <w:snapToGrid w:val="0"/>
        </w:rPr>
        <w:tab/>
        <w:t>In this section — </w:t>
      </w:r>
    </w:p>
    <w:p>
      <w:pPr>
        <w:pStyle w:val="nzDefstart"/>
      </w:pPr>
      <w:r>
        <w:rPr>
          <w:b/>
        </w:rPr>
        <w:tab/>
        <w:t>“the schedule</w:t>
      </w:r>
      <w:bookmarkStart w:id="216" w:name="endcomma"/>
      <w:bookmarkEnd w:id="216"/>
      <w:r>
        <w:rPr>
          <w:b/>
        </w:rPr>
        <w:t>”</w:t>
      </w:r>
      <w:r>
        <w:t xml:space="preserve"> </w:t>
      </w:r>
      <w:bookmarkStart w:id="217" w:name="comma"/>
      <w:bookmarkEnd w:id="217"/>
      <w:r>
        <w:t>means Schedule 4 to the principal Act.</w:t>
      </w:r>
    </w:p>
    <w:p>
      <w:pPr>
        <w:pStyle w:val="nzSubsection"/>
        <w:rPr>
          <w:snapToGrid w:val="0"/>
        </w:rPr>
      </w:pPr>
      <w:r>
        <w:rPr>
          <w:snapToGrid w:val="0"/>
        </w:rPr>
        <w:tab/>
        <w:t>(2)</w:t>
      </w:r>
      <w:r>
        <w:rPr>
          <w:snapToGrid w:val="0"/>
        </w:rPr>
        <w:tab/>
        <w:t>Despite the repeal of the schedule — </w:t>
      </w:r>
    </w:p>
    <w:p>
      <w:pPr>
        <w:pStyle w:val="nzIndenta"/>
        <w:rPr>
          <w:snapToGrid w:val="0"/>
        </w:rPr>
      </w:pPr>
      <w:r>
        <w:rPr>
          <w:snapToGrid w:val="0"/>
        </w:rPr>
        <w:tab/>
        <w:t>(a)</w:t>
      </w:r>
      <w:r>
        <w:rPr>
          <w:snapToGrid w:val="0"/>
        </w:rPr>
        <w:tab/>
        <w:t>assets which were vested in, and liabilities which were imposed on, the Commission under clauses 2 and 9 of the schedule and which are still assets and liabilities of the Commission immediately before section 28 commences continue to be assets and liabilities of ICWA; and</w:t>
      </w:r>
    </w:p>
    <w:p>
      <w:pPr>
        <w:pStyle w:val="nzIndenta"/>
        <w:rPr>
          <w:snapToGrid w:val="0"/>
        </w:rPr>
      </w:pPr>
      <w:r>
        <w:rPr>
          <w:snapToGrid w:val="0"/>
        </w:rPr>
        <w:tab/>
        <w:t>(b)</w:t>
      </w:r>
      <w:r>
        <w:rPr>
          <w:snapToGrid w:val="0"/>
        </w:rPr>
        <w:tab/>
        <w:t>clauses 1, 3, 4, 10(1), (2)(a) and (6)(a), 12(1), (2) and (3), 15 and 19 of the schedule continue to have effect as if references in them to the Commission were references to ICWA.</w:t>
      </w:r>
    </w:p>
    <w:p>
      <w:pPr>
        <w:pStyle w:val="MiscClose"/>
        <w:rPr>
          <w:snapToGrid w:val="0"/>
        </w:rPr>
      </w:pPr>
      <w:r>
        <w:rPr>
          <w:snapToGrid w:val="0"/>
        </w:rPr>
        <w:t>”.</w:t>
      </w:r>
    </w:p>
    <w:p>
      <w:pPr>
        <w:pStyle w:val="nSubsection"/>
        <w:keepNext/>
        <w:rPr>
          <w:snapToGrid w:val="0"/>
        </w:rPr>
      </w:pPr>
      <w:r>
        <w:rPr>
          <w:snapToGrid w:val="0"/>
          <w:vertAlign w:val="superscript"/>
        </w:rPr>
        <w:t>12</w:t>
      </w:r>
      <w:r>
        <w:rPr>
          <w:snapToGrid w:val="0"/>
        </w:rPr>
        <w:tab/>
        <w:t xml:space="preserve">On the date as at which this compilation was prepared, the </w:t>
      </w:r>
      <w:r>
        <w:rPr>
          <w:i/>
          <w:snapToGrid w:val="0"/>
        </w:rPr>
        <w:t>Acts Amendment (ICWA) Act 1996</w:t>
      </w:r>
      <w:r>
        <w:rPr>
          <w:snapToGrid w:val="0"/>
        </w:rPr>
        <w:t xml:space="preserve"> s. 6(a), 13, 14, 20-22, 24, 25, 27 and 28 had not come into operation.  They read —</w:t>
      </w:r>
    </w:p>
    <w:p>
      <w:pPr>
        <w:pStyle w:val="MiscOpen"/>
        <w:rPr>
          <w:snapToGrid w:val="0"/>
        </w:rPr>
      </w:pPr>
      <w:r>
        <w:rPr>
          <w:snapToGrid w:val="0"/>
        </w:rPr>
        <w:t>“</w:t>
      </w:r>
    </w:p>
    <w:p>
      <w:pPr>
        <w:pStyle w:val="nzHeading5"/>
        <w:rPr>
          <w:snapToGrid w:val="0"/>
        </w:rPr>
      </w:pPr>
      <w:r>
        <w:rPr>
          <w:snapToGrid w:val="0"/>
        </w:rPr>
        <w:t>6.</w:t>
      </w:r>
      <w:r>
        <w:rPr>
          <w:snapToGrid w:val="0"/>
        </w:rPr>
        <w:tab/>
        <w:t>Section 3 amended</w:t>
      </w:r>
    </w:p>
    <w:p>
      <w:pPr>
        <w:pStyle w:val="nzIndenta"/>
        <w:rPr>
          <w:snapToGrid w:val="0"/>
        </w:rPr>
      </w:pPr>
      <w:r>
        <w:rPr>
          <w:snapToGrid w:val="0"/>
        </w:rPr>
        <w:tab/>
        <w:t>(a)</w:t>
      </w:r>
      <w:r>
        <w:rPr>
          <w:snapToGrid w:val="0"/>
        </w:rPr>
        <w:tab/>
        <w:t>by deleting the definitions of “board of directors”, “Corporation”, “debt paper” and “director of the Corporation”;</w:t>
      </w:r>
    </w:p>
    <w:p>
      <w:pPr>
        <w:pStyle w:val="nzHeading5"/>
        <w:rPr>
          <w:snapToGrid w:val="0"/>
        </w:rPr>
      </w:pPr>
      <w:r>
        <w:rPr>
          <w:snapToGrid w:val="0"/>
        </w:rPr>
        <w:t>13.</w:t>
      </w:r>
      <w:r>
        <w:rPr>
          <w:snapToGrid w:val="0"/>
        </w:rPr>
        <w:tab/>
        <w:t>Section 12 amended</w:t>
      </w:r>
    </w:p>
    <w:p>
      <w:pPr>
        <w:pStyle w:val="nzSubsection"/>
        <w:rPr>
          <w:snapToGrid w:val="0"/>
        </w:rPr>
      </w:pPr>
      <w:r>
        <w:rPr>
          <w:snapToGrid w:val="0"/>
        </w:rPr>
        <w:tab/>
        <w:t>(1)</w:t>
      </w:r>
      <w:r>
        <w:rPr>
          <w:snapToGrid w:val="0"/>
        </w:rPr>
        <w:tab/>
        <w:t xml:space="preserve">Section 12(1) of the principal Act is amended by deleting “and the Corporation to carry out their respective functions” and substituting the following — </w:t>
      </w:r>
    </w:p>
    <w:p>
      <w:pPr>
        <w:pStyle w:val="nzSubsection"/>
        <w:rPr>
          <w:snapToGrid w:val="0"/>
        </w:rPr>
      </w:pPr>
      <w:r>
        <w:rPr>
          <w:snapToGrid w:val="0"/>
        </w:rPr>
        <w:tab/>
      </w:r>
      <w:r>
        <w:rPr>
          <w:snapToGrid w:val="0"/>
        </w:rPr>
        <w:tab/>
        <w:t>“    to carry out its functions    ”.</w:t>
      </w:r>
    </w:p>
    <w:p>
      <w:pPr>
        <w:pStyle w:val="nzSubsection"/>
        <w:rPr>
          <w:snapToGrid w:val="0"/>
        </w:rPr>
      </w:pPr>
      <w:r>
        <w:rPr>
          <w:snapToGrid w:val="0"/>
        </w:rPr>
        <w:tab/>
        <w:t>(2)</w:t>
      </w:r>
      <w:r>
        <w:rPr>
          <w:snapToGrid w:val="0"/>
        </w:rPr>
        <w:tab/>
        <w:t xml:space="preserve">Section 12(4) of the principal Act is amended by deleting “it considers necessary to enable the Commission and the Corporation to carry out their respective functions” and substituting the following — </w:t>
      </w:r>
    </w:p>
    <w:p>
      <w:pPr>
        <w:pStyle w:val="nzSubsection"/>
        <w:rPr>
          <w:snapToGrid w:val="0"/>
        </w:rPr>
      </w:pPr>
      <w:r>
        <w:rPr>
          <w:snapToGrid w:val="0"/>
        </w:rPr>
        <w:tab/>
      </w:r>
      <w:r>
        <w:rPr>
          <w:snapToGrid w:val="0"/>
        </w:rPr>
        <w:tab/>
        <w:t>“</w:t>
      </w:r>
    </w:p>
    <w:p>
      <w:pPr>
        <w:pStyle w:val="nzSubsection"/>
        <w:tabs>
          <w:tab w:val="clear" w:pos="1446"/>
          <w:tab w:val="left" w:pos="1701"/>
        </w:tabs>
        <w:ind w:left="1701" w:right="861" w:hanging="1106"/>
        <w:rPr>
          <w:snapToGrid w:val="0"/>
        </w:rPr>
      </w:pPr>
      <w:r>
        <w:rPr>
          <w:snapToGrid w:val="0"/>
        </w:rPr>
        <w:tab/>
      </w:r>
      <w:r>
        <w:rPr>
          <w:snapToGrid w:val="0"/>
        </w:rPr>
        <w:tab/>
        <w:t>the board considers necessary to enable the Commission to carry out its functions</w:t>
      </w:r>
    </w:p>
    <w:p>
      <w:pPr>
        <w:pStyle w:val="nzSubsection"/>
        <w:tabs>
          <w:tab w:val="clear" w:pos="1162"/>
          <w:tab w:val="clear" w:pos="1446"/>
          <w:tab w:val="left" w:pos="1701"/>
        </w:tabs>
        <w:ind w:left="1701" w:hanging="1106"/>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14.</w:t>
      </w:r>
      <w:r>
        <w:rPr>
          <w:snapToGrid w:val="0"/>
        </w:rPr>
        <w:tab/>
        <w:t>Section 15 amended</w:t>
      </w:r>
    </w:p>
    <w:p>
      <w:pPr>
        <w:pStyle w:val="nzSubsection"/>
        <w:rPr>
          <w:snapToGrid w:val="0"/>
        </w:rPr>
      </w:pPr>
      <w:r>
        <w:rPr>
          <w:snapToGrid w:val="0"/>
        </w:rPr>
        <w:tab/>
      </w:r>
      <w:r>
        <w:rPr>
          <w:snapToGrid w:val="0"/>
        </w:rPr>
        <w:tab/>
        <w:t>Section 15(2)(d) of the principal Act is deleted.</w:t>
      </w:r>
    </w:p>
    <w:p>
      <w:pPr>
        <w:pStyle w:val="nzHeading5"/>
        <w:rPr>
          <w:snapToGrid w:val="0"/>
        </w:rPr>
      </w:pPr>
      <w:r>
        <w:rPr>
          <w:snapToGrid w:val="0"/>
        </w:rPr>
        <w:t>20.</w:t>
      </w:r>
      <w:r>
        <w:rPr>
          <w:snapToGrid w:val="0"/>
        </w:rPr>
        <w:tab/>
        <w:t>Part III repealed</w:t>
      </w:r>
    </w:p>
    <w:p>
      <w:pPr>
        <w:pStyle w:val="nzSubsection"/>
        <w:rPr>
          <w:snapToGrid w:val="0"/>
        </w:rPr>
      </w:pPr>
      <w:r>
        <w:rPr>
          <w:snapToGrid w:val="0"/>
        </w:rPr>
        <w:tab/>
      </w:r>
      <w:r>
        <w:rPr>
          <w:snapToGrid w:val="0"/>
        </w:rPr>
        <w:tab/>
        <w:t>Part III of the principal Act is repealed.</w:t>
      </w:r>
    </w:p>
    <w:p>
      <w:pPr>
        <w:pStyle w:val="nzHeading5"/>
        <w:rPr>
          <w:snapToGrid w:val="0"/>
        </w:rPr>
      </w:pPr>
      <w:r>
        <w:rPr>
          <w:snapToGrid w:val="0"/>
        </w:rPr>
        <w:t>21.</w:t>
      </w:r>
      <w:r>
        <w:rPr>
          <w:snapToGrid w:val="0"/>
        </w:rPr>
        <w:tab/>
        <w:t>Section 42 amended</w:t>
      </w:r>
    </w:p>
    <w:p>
      <w:pPr>
        <w:pStyle w:val="nzSubsection"/>
        <w:rPr>
          <w:snapToGrid w:val="0"/>
        </w:rPr>
      </w:pPr>
      <w:r>
        <w:rPr>
          <w:snapToGrid w:val="0"/>
        </w:rPr>
        <w:tab/>
      </w:r>
      <w:r>
        <w:rPr>
          <w:snapToGrid w:val="0"/>
        </w:rPr>
        <w:tab/>
        <w:t xml:space="preserve">Section 42(2)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nzSubsection"/>
        <w:tabs>
          <w:tab w:val="clear" w:pos="1162"/>
          <w:tab w:val="clear" w:pos="1446"/>
          <w:tab w:val="left" w:pos="1701"/>
          <w:tab w:val="left" w:pos="2268"/>
        </w:tabs>
        <w:ind w:left="2268" w:hanging="1673"/>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22.</w:t>
      </w:r>
      <w:r>
        <w:rPr>
          <w:snapToGrid w:val="0"/>
        </w:rPr>
        <w:tab/>
        <w:t>Section 43 amended</w:t>
      </w:r>
    </w:p>
    <w:p>
      <w:pPr>
        <w:pStyle w:val="nzSubsection"/>
        <w:rPr>
          <w:snapToGrid w:val="0"/>
        </w:rPr>
      </w:pPr>
      <w:r>
        <w:rPr>
          <w:snapToGrid w:val="0"/>
        </w:rPr>
        <w:tab/>
      </w:r>
      <w:r>
        <w:rPr>
          <w:snapToGrid w:val="0"/>
        </w:rPr>
        <w:tab/>
        <w:t>Section 43(9) of the principal Act is repealed.</w:t>
      </w:r>
    </w:p>
    <w:p>
      <w:pPr>
        <w:pStyle w:val="nzHeading5"/>
        <w:rPr>
          <w:snapToGrid w:val="0"/>
        </w:rPr>
      </w:pPr>
      <w:r>
        <w:rPr>
          <w:snapToGrid w:val="0"/>
        </w:rPr>
        <w:t>24.</w:t>
      </w:r>
      <w:r>
        <w:rPr>
          <w:snapToGrid w:val="0"/>
        </w:rPr>
        <w:tab/>
        <w:t>Section 45 amended</w:t>
      </w:r>
    </w:p>
    <w:p>
      <w:pPr>
        <w:pStyle w:val="nzSubsection"/>
        <w:rPr>
          <w:snapToGrid w:val="0"/>
        </w:rPr>
      </w:pPr>
      <w:r>
        <w:rPr>
          <w:snapToGrid w:val="0"/>
        </w:rPr>
        <w:tab/>
      </w:r>
      <w:r>
        <w:rPr>
          <w:snapToGrid w:val="0"/>
        </w:rPr>
        <w:tab/>
        <w:t xml:space="preserve">Section 45(2)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Without limiting subsection (1), regulations may provide for the use of the common seal of the Commission in Western Australia and elsewhere.</w:t>
      </w:r>
    </w:p>
    <w:p>
      <w:pPr>
        <w:pStyle w:val="nz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27.</w:t>
      </w:r>
      <w:r>
        <w:rPr>
          <w:snapToGrid w:val="0"/>
        </w:rPr>
        <w:tab/>
        <w:t>Schedule 2 repealed</w:t>
      </w:r>
    </w:p>
    <w:p>
      <w:pPr>
        <w:pStyle w:val="nzSubsection"/>
        <w:rPr>
          <w:snapToGrid w:val="0"/>
        </w:rPr>
      </w:pPr>
      <w:r>
        <w:rPr>
          <w:snapToGrid w:val="0"/>
        </w:rPr>
        <w:tab/>
      </w:r>
      <w:r>
        <w:rPr>
          <w:snapToGrid w:val="0"/>
        </w:rPr>
        <w:tab/>
        <w:t>Schedule 2 to the principal Act is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MiscClose"/>
        <w:rPr>
          <w:snapToGrid w:val="0"/>
        </w:rPr>
      </w:pPr>
      <w:r>
        <w:rPr>
          <w:snapToGrid w:val="0"/>
        </w:rPr>
        <w:t>”.</w:t>
      </w:r>
    </w:p>
    <w:p>
      <w:pPr>
        <w:pStyle w:val="nSubsection"/>
        <w:keepNext/>
        <w:rPr>
          <w:snapToGrid w:val="0"/>
        </w:rPr>
      </w:pPr>
      <w:r>
        <w:rPr>
          <w:snapToGrid w:val="0"/>
          <w:vertAlign w:val="superscript"/>
        </w:rPr>
        <w:t>13</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50 had not come into operation.  It reads:</w:t>
      </w:r>
    </w:p>
    <w:p>
      <w:pPr>
        <w:pStyle w:val="MiscOpen"/>
        <w:rPr>
          <w:snapToGrid w:val="0"/>
          <w:sz w:val="20"/>
        </w:rPr>
      </w:pPr>
      <w:r>
        <w:rPr>
          <w:snapToGrid w:val="0"/>
          <w:sz w:val="20"/>
        </w:rPr>
        <w:t>“</w:t>
      </w:r>
    </w:p>
    <w:p>
      <w:pPr>
        <w:pStyle w:val="nzHeading5"/>
      </w:pPr>
      <w:bookmarkStart w:id="218" w:name="_Toc497533369"/>
      <w:r>
        <w:rPr>
          <w:rStyle w:val="CharSectno"/>
        </w:rPr>
        <w:t>50</w:t>
      </w:r>
      <w:r>
        <w:t>.</w:t>
      </w:r>
      <w:r>
        <w:tab/>
      </w:r>
      <w:r>
        <w:rPr>
          <w:i/>
        </w:rPr>
        <w:t>Insurance Commission of Western Australia Act 1986</w:t>
      </w:r>
      <w:r>
        <w:t xml:space="preserve"> amended</w:t>
      </w:r>
      <w:bookmarkEnd w:id="218"/>
    </w:p>
    <w:p>
      <w:pPr>
        <w:pStyle w:val="nzSubsection"/>
      </w:pPr>
      <w:r>
        <w:tab/>
      </w:r>
      <w:r>
        <w:tab/>
        <w:t xml:space="preserve">Clause 16(2) of Schedule 4 to the </w:t>
      </w:r>
      <w:r>
        <w:rPr>
          <w:i/>
        </w:rPr>
        <w:t>Insurance Commission of Western Australia Act 1986</w:t>
      </w:r>
      <w:r>
        <w:t xml:space="preserve"> is amended by deleting “(including, if he is a contributor under the </w:t>
      </w:r>
      <w:r>
        <w:rPr>
          <w:i/>
        </w:rPr>
        <w:t>Superannuation and Family Benefits Act 1938</w:t>
      </w:r>
      <w:r>
        <w:t>, his rights under that Act)”.</w:t>
      </w:r>
    </w:p>
    <w:p>
      <w:pPr>
        <w:pStyle w:val="MiscClose"/>
        <w:rPr>
          <w:snapToGrid w:val="0"/>
        </w:rPr>
      </w:pPr>
      <w:r>
        <w:rPr>
          <w:snapToGrid w:val="0"/>
        </w:rPr>
        <w:t>”.</w:t>
      </w:r>
    </w:p>
    <w:p>
      <w:pPr>
        <w:pStyle w:val="nSubsection"/>
        <w:keepNext/>
        <w:rPr>
          <w:snapToGrid w:val="0"/>
        </w:rPr>
      </w:pPr>
      <w:r>
        <w:rPr>
          <w:snapToGrid w:val="0"/>
          <w:vertAlign w:val="superscript"/>
        </w:rPr>
        <w:t>14</w:t>
      </w:r>
      <w:r>
        <w:rPr>
          <w:snapToGrid w:val="0"/>
        </w:rPr>
        <w:tab/>
        <w:t xml:space="preserve">The </w:t>
      </w:r>
      <w:r>
        <w:rPr>
          <w:i/>
          <w:snapToGrid w:val="0"/>
        </w:rPr>
        <w:t xml:space="preserve">Insurance Commission of Western Australia Amendment Act </w:t>
      </w:r>
      <w:r>
        <w:rPr>
          <w:i/>
        </w:rPr>
        <w:t>2002</w:t>
      </w:r>
      <w:r>
        <w:t xml:space="preserve"> s. 10 </w:t>
      </w:r>
      <w:r>
        <w:rPr>
          <w:snapToGrid w:val="0"/>
        </w:rPr>
        <w:t>reads as follows — </w:t>
      </w:r>
    </w:p>
    <w:p>
      <w:pPr>
        <w:pStyle w:val="MiscOpen"/>
        <w:rPr>
          <w:snapToGrid w:val="0"/>
        </w:rPr>
      </w:pPr>
      <w:r>
        <w:rPr>
          <w:snapToGrid w:val="0"/>
        </w:rPr>
        <w:t>“</w:t>
      </w:r>
    </w:p>
    <w:p>
      <w:pPr>
        <w:pStyle w:val="nzHeading5"/>
      </w:pPr>
      <w:bookmarkStart w:id="219" w:name="_Toc25064649"/>
      <w:r>
        <w:t>10.</w:t>
      </w:r>
      <w:r>
        <w:tab/>
        <w:t>Transition and savings</w:t>
      </w:r>
      <w:bookmarkEnd w:id="219"/>
    </w:p>
    <w:p>
      <w:pPr>
        <w:pStyle w:val="nzSubsection"/>
      </w:pPr>
      <w:r>
        <w:tab/>
      </w:r>
      <w:r>
        <w:tab/>
        <w:t xml:space="preserve">The functions conferred on the Insurance Commission of Western Australia by section 6(ca) and (e) of the </w:t>
      </w:r>
      <w:r>
        <w:rPr>
          <w:i/>
        </w:rPr>
        <w:t xml:space="preserve">Insurance Commission of Western Australia Act 1986 </w:t>
      </w:r>
      <w:r>
        <w:t>as amended by this Act are taken always to have been functions of the Commission.</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1C3E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3886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DC16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C44E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05EC8EF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AC7F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AE6D7C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722F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7F48530"/>
    <w:lvl w:ilvl="0">
      <w:start w:val="1"/>
      <w:numFmt w:val="decimal"/>
      <w:pStyle w:val="ListNumber"/>
      <w:lvlText w:val="%1."/>
      <w:lvlJc w:val="left"/>
      <w:pPr>
        <w:tabs>
          <w:tab w:val="num" w:pos="360"/>
        </w:tabs>
        <w:ind w:left="360" w:hanging="360"/>
      </w:pPr>
    </w:lvl>
  </w:abstractNum>
  <w:abstractNum w:abstractNumId="9">
    <w:nsid w:val="FFFFFF89"/>
    <w:multiLevelType w:val="singleLevel"/>
    <w:tmpl w:val="990E1B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50CF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5B45F7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18425</Words>
  <Characters>91208</Characters>
  <Application>Microsoft Office Word</Application>
  <DocSecurity>0</DocSecurity>
  <Lines>2338</Lines>
  <Paragraphs>1245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1986 - 01-d0-04</dc:title>
  <dc:subject/>
  <dc:creator/>
  <cp:keywords/>
  <dc:description/>
  <cp:lastModifiedBy>svcMRProcess</cp:lastModifiedBy>
  <cp:revision>4</cp:revision>
  <cp:lastPrinted>1999-12-03T03:04:00Z</cp:lastPrinted>
  <dcterms:created xsi:type="dcterms:W3CDTF">2018-09-03T05:28:00Z</dcterms:created>
  <dcterms:modified xsi:type="dcterms:W3CDTF">2018-09-03T05:28:00Z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775</vt:i4>
  </property>
  <property fmtid="{D5CDD505-2E9C-101B-9397-08002B2CF9AE}" pid="6" name="AsAtDate">
    <vt:lpwstr>01 Jul 2006</vt:lpwstr>
  </property>
  <property fmtid="{D5CDD505-2E9C-101B-9397-08002B2CF9AE}" pid="7" name="Suffix">
    <vt:lpwstr>01-d0-04</vt:lpwstr>
  </property>
</Properties>
</file>