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88D" w:rsidRDefault="00025BF4">
      <w:pPr>
        <w:pStyle w:val="WA"/>
      </w:pPr>
      <w:bookmarkStart w:id="0" w:name="_GoBack"/>
      <w:bookmarkEnd w:id="0"/>
      <w:r>
        <w:t>Western Australia</w:t>
      </w:r>
    </w:p>
    <w:p w:rsidR="00F1388D" w:rsidRDefault="00025BF4">
      <w:pPr>
        <w:pStyle w:val="NameofActRegPage1"/>
        <w:spacing w:before="3760" w:after="4200"/>
      </w:pPr>
      <w:r>
        <w:fldChar w:fldCharType="begin"/>
      </w:r>
      <w:r>
        <w:instrText xml:space="preserve"> STYLEREF "Name Of Act/Reg"</w:instrText>
      </w:r>
      <w:r>
        <w:fldChar w:fldCharType="separate"/>
      </w:r>
      <w:r w:rsidR="00987F32">
        <w:rPr>
          <w:noProof/>
        </w:rPr>
        <w:t>Kwinana-Mundijong-Jarrahdale Railway Act 1961</w:t>
      </w:r>
      <w:r>
        <w:fldChar w:fldCharType="end"/>
      </w:r>
    </w:p>
    <w:p w:rsidR="00F1388D" w:rsidRDefault="00F1388D">
      <w:pPr>
        <w:jc w:val="center"/>
        <w:rPr>
          <w:b/>
        </w:rPr>
        <w:sectPr w:rsidR="00F1388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1388D" w:rsidRDefault="00025BF4">
      <w:pPr>
        <w:pStyle w:val="WA"/>
      </w:pPr>
      <w:r>
        <w:lastRenderedPageBreak/>
        <w:t>Western Australia</w:t>
      </w:r>
    </w:p>
    <w:p w:rsidR="00F1388D" w:rsidRDefault="00025BF4">
      <w:pPr>
        <w:pStyle w:val="NameofActRegPage1"/>
      </w:pPr>
      <w:r>
        <w:fldChar w:fldCharType="begin"/>
      </w:r>
      <w:r>
        <w:instrText xml:space="preserve"> STYLEREF "Name Of Act/Reg"</w:instrText>
      </w:r>
      <w:r>
        <w:fldChar w:fldCharType="separate"/>
      </w:r>
      <w:r w:rsidR="00987F32">
        <w:rPr>
          <w:noProof/>
        </w:rPr>
        <w:t>Kwinana-Mundijong-Jarrahdale Railway Act 1961</w:t>
      </w:r>
      <w:r>
        <w:fldChar w:fldCharType="end"/>
      </w:r>
    </w:p>
    <w:p w:rsidR="00F1388D" w:rsidRDefault="00025BF4">
      <w:pPr>
        <w:pStyle w:val="Arrangement"/>
      </w:pPr>
      <w:r>
        <w:t>CONTENTS</w:t>
      </w:r>
    </w:p>
    <w:p w:rsidR="00F1388D" w:rsidRDefault="00025BF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_Toc411304917 \h </w:instrText>
      </w:r>
      <w:r>
        <w:rPr>
          <w:noProof/>
        </w:rPr>
      </w:r>
      <w:r>
        <w:rPr>
          <w:noProof/>
        </w:rPr>
        <w:fldChar w:fldCharType="separate"/>
      </w:r>
      <w:r w:rsidR="00987F32">
        <w:rPr>
          <w:noProof/>
        </w:rPr>
        <w:t>1</w:t>
      </w:r>
      <w:r>
        <w:rPr>
          <w:noProof/>
        </w:rPr>
        <w:fldChar w:fldCharType="end"/>
      </w:r>
    </w:p>
    <w:p w:rsidR="00F1388D" w:rsidRDefault="00025BF4">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_Toc411304918 \h </w:instrText>
      </w:r>
      <w:r>
        <w:rPr>
          <w:noProof/>
        </w:rPr>
      </w:r>
      <w:r>
        <w:rPr>
          <w:noProof/>
        </w:rPr>
        <w:fldChar w:fldCharType="separate"/>
      </w:r>
      <w:r w:rsidR="00987F32">
        <w:rPr>
          <w:noProof/>
        </w:rPr>
        <w:t>1</w:t>
      </w:r>
      <w:r>
        <w:rPr>
          <w:noProof/>
        </w:rPr>
        <w:fldChar w:fldCharType="end"/>
      </w:r>
    </w:p>
    <w:p w:rsidR="00F1388D" w:rsidRDefault="00025BF4">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_Toc411304919 \h </w:instrText>
      </w:r>
      <w:r>
        <w:rPr>
          <w:noProof/>
        </w:rPr>
      </w:r>
      <w:r>
        <w:rPr>
          <w:noProof/>
        </w:rPr>
        <w:fldChar w:fldCharType="separate"/>
      </w:r>
      <w:r w:rsidR="00987F32">
        <w:rPr>
          <w:noProof/>
        </w:rPr>
        <w:t>2</w:t>
      </w:r>
      <w:r>
        <w:rPr>
          <w:noProof/>
        </w:rPr>
        <w:fldChar w:fldCharType="end"/>
      </w:r>
    </w:p>
    <w:p w:rsidR="00F1388D" w:rsidRDefault="00025BF4">
      <w:pPr>
        <w:pStyle w:val="TOC4"/>
        <w:tabs>
          <w:tab w:val="left" w:pos="1483"/>
        </w:tabs>
        <w:rPr>
          <w:noProof/>
        </w:rPr>
      </w:pPr>
      <w:r>
        <w:rPr>
          <w:noProof/>
        </w:rPr>
        <w:t>4</w:t>
      </w:r>
      <w:r>
        <w:rPr>
          <w:noProof/>
          <w:snapToGrid w:val="0"/>
        </w:rPr>
        <w:t>.</w:t>
      </w:r>
      <w:r>
        <w:rPr>
          <w:noProof/>
        </w:rPr>
        <w:tab/>
      </w:r>
      <w:r>
        <w:rPr>
          <w:noProof/>
          <w:snapToGrid w:val="0"/>
        </w:rPr>
        <w:t>Authority to construct railway</w:t>
      </w:r>
      <w:r>
        <w:rPr>
          <w:noProof/>
        </w:rPr>
        <w:tab/>
      </w:r>
      <w:r>
        <w:rPr>
          <w:noProof/>
        </w:rPr>
        <w:fldChar w:fldCharType="begin"/>
      </w:r>
      <w:r>
        <w:rPr>
          <w:noProof/>
        </w:rPr>
        <w:instrText xml:space="preserve"> PAGEREF _Toc411304920 \h </w:instrText>
      </w:r>
      <w:r>
        <w:rPr>
          <w:noProof/>
        </w:rPr>
      </w:r>
      <w:r>
        <w:rPr>
          <w:noProof/>
        </w:rPr>
        <w:fldChar w:fldCharType="separate"/>
      </w:r>
      <w:r w:rsidR="00987F32">
        <w:rPr>
          <w:noProof/>
        </w:rPr>
        <w:t>2</w:t>
      </w:r>
      <w:r>
        <w:rPr>
          <w:noProof/>
        </w:rPr>
        <w:fldChar w:fldCharType="end"/>
      </w:r>
    </w:p>
    <w:p w:rsidR="00F1388D" w:rsidRDefault="00025BF4">
      <w:pPr>
        <w:pStyle w:val="TOC4"/>
        <w:tabs>
          <w:tab w:val="left" w:pos="1483"/>
        </w:tabs>
        <w:rPr>
          <w:noProof/>
        </w:rPr>
      </w:pPr>
      <w:r>
        <w:rPr>
          <w:noProof/>
        </w:rPr>
        <w:t>5</w:t>
      </w:r>
      <w:r>
        <w:rPr>
          <w:noProof/>
          <w:snapToGrid w:val="0"/>
        </w:rPr>
        <w:t>.</w:t>
      </w:r>
      <w:r>
        <w:rPr>
          <w:noProof/>
        </w:rPr>
        <w:tab/>
      </w:r>
      <w:r>
        <w:rPr>
          <w:noProof/>
          <w:snapToGrid w:val="0"/>
        </w:rPr>
        <w:t>Authority for deviation</w:t>
      </w:r>
      <w:r>
        <w:rPr>
          <w:noProof/>
        </w:rPr>
        <w:tab/>
      </w:r>
      <w:r>
        <w:rPr>
          <w:noProof/>
        </w:rPr>
        <w:fldChar w:fldCharType="begin"/>
      </w:r>
      <w:r>
        <w:rPr>
          <w:noProof/>
        </w:rPr>
        <w:instrText xml:space="preserve"> PAGEREF _Toc411304921 \h </w:instrText>
      </w:r>
      <w:r>
        <w:rPr>
          <w:noProof/>
        </w:rPr>
      </w:r>
      <w:r>
        <w:rPr>
          <w:noProof/>
        </w:rPr>
        <w:fldChar w:fldCharType="separate"/>
      </w:r>
      <w:r w:rsidR="00987F32">
        <w:rPr>
          <w:noProof/>
        </w:rPr>
        <w:t>2</w:t>
      </w:r>
      <w:r>
        <w:rPr>
          <w:noProof/>
        </w:rPr>
        <w:fldChar w:fldCharType="end"/>
      </w:r>
    </w:p>
    <w:p w:rsidR="00F1388D" w:rsidRDefault="00025BF4">
      <w:pPr>
        <w:pStyle w:val="TOC2"/>
        <w:tabs>
          <w:tab w:val="right" w:pos="7086"/>
        </w:tabs>
        <w:rPr>
          <w:noProof/>
        </w:rPr>
      </w:pPr>
      <w:r>
        <w:rPr>
          <w:noProof/>
        </w:rPr>
        <w:t>Schedule</w:t>
      </w:r>
    </w:p>
    <w:p w:rsidR="00F1388D" w:rsidRDefault="00025BF4">
      <w:pPr>
        <w:pStyle w:val="TOC2"/>
        <w:tabs>
          <w:tab w:val="right" w:pos="7086"/>
        </w:tabs>
        <w:rPr>
          <w:noProof/>
        </w:rPr>
      </w:pPr>
      <w:r>
        <w:rPr>
          <w:noProof/>
        </w:rPr>
        <w:t>NOTES</w:t>
      </w:r>
    </w:p>
    <w:p w:rsidR="00F1388D" w:rsidRDefault="00025BF4">
      <w:pPr>
        <w:pStyle w:val="TOC2"/>
      </w:pPr>
      <w:r>
        <w:fldChar w:fldCharType="end"/>
      </w:r>
    </w:p>
    <w:p w:rsidR="00F1388D" w:rsidRDefault="00025BF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1388D" w:rsidRDefault="00F1388D">
      <w:pPr>
        <w:pStyle w:val="NoteHeading"/>
        <w:sectPr w:rsidR="00F1388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1388D" w:rsidRDefault="00025BF4">
      <w:pPr>
        <w:pStyle w:val="WA"/>
      </w:pPr>
      <w:r>
        <w:t>Western Australia</w:t>
      </w:r>
    </w:p>
    <w:p w:rsidR="00F1388D" w:rsidRDefault="00025BF4">
      <w:pPr>
        <w:pStyle w:val="NameofActReg"/>
      </w:pPr>
      <w:r>
        <w:t>Kwinana</w:t>
      </w:r>
      <w:r>
        <w:noBreakHyphen/>
        <w:t>Mundijong</w:t>
      </w:r>
      <w:r>
        <w:noBreakHyphen/>
        <w:t>Jarrahdale Railway Act 1961</w:t>
      </w:r>
    </w:p>
    <w:p w:rsidR="00F1388D" w:rsidRDefault="00025BF4">
      <w:pPr>
        <w:pStyle w:val="LongTitle"/>
        <w:rPr>
          <w:snapToGrid w:val="0"/>
        </w:rPr>
      </w:pPr>
      <w:r>
        <w:rPr>
          <w:snapToGrid w:val="0"/>
        </w:rPr>
        <w:t xml:space="preserve">An Act to authorize the construction of a railway from Kwinana to Jarrahdale through Mundijong. </w:t>
      </w:r>
    </w:p>
    <w:p w:rsidR="00F1388D" w:rsidRDefault="00025BF4">
      <w:pPr>
        <w:pStyle w:val="AssentNote"/>
      </w:pPr>
      <w:r>
        <w:t xml:space="preserve">[Assented to 23rd November, 1961.] </w:t>
      </w:r>
    </w:p>
    <w:p w:rsidR="00F1388D" w:rsidRDefault="00025BF4">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F1388D" w:rsidRDefault="00025BF4">
      <w:pPr>
        <w:pStyle w:val="Heading5"/>
        <w:rPr>
          <w:snapToGrid w:val="0"/>
        </w:rPr>
      </w:pPr>
      <w:bookmarkStart w:id="1" w:name="_Toc411304917"/>
      <w:r>
        <w:rPr>
          <w:rStyle w:val="CharSectno"/>
        </w:rPr>
        <w:t>1</w:t>
      </w:r>
      <w:r>
        <w:rPr>
          <w:snapToGrid w:val="0"/>
        </w:rPr>
        <w:t>.</w:t>
      </w:r>
      <w:r>
        <w:rPr>
          <w:snapToGrid w:val="0"/>
        </w:rPr>
        <w:tab/>
        <w:t>Short title</w:t>
      </w:r>
      <w:bookmarkEnd w:id="1"/>
      <w:r>
        <w:rPr>
          <w:snapToGrid w:val="0"/>
        </w:rPr>
        <w:t xml:space="preserve"> </w:t>
      </w:r>
    </w:p>
    <w:p w:rsidR="00F1388D" w:rsidRDefault="00025BF4">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r>
        <w:rPr>
          <w:snapToGrid w:val="0"/>
        </w:rPr>
        <w:t>.</w:t>
      </w:r>
    </w:p>
    <w:p w:rsidR="00F1388D" w:rsidRDefault="00025BF4">
      <w:pPr>
        <w:pStyle w:val="Heading5"/>
        <w:rPr>
          <w:snapToGrid w:val="0"/>
        </w:rPr>
      </w:pPr>
      <w:bookmarkStart w:id="2" w:name="_Toc411304918"/>
      <w:r>
        <w:rPr>
          <w:rStyle w:val="CharSectno"/>
        </w:rPr>
        <w:t>2</w:t>
      </w:r>
      <w:r>
        <w:rPr>
          <w:snapToGrid w:val="0"/>
        </w:rPr>
        <w:t>.</w:t>
      </w:r>
      <w:r>
        <w:rPr>
          <w:snapToGrid w:val="0"/>
        </w:rPr>
        <w:tab/>
        <w:t>Commencement</w:t>
      </w:r>
      <w:bookmarkEnd w:id="2"/>
      <w:r>
        <w:rPr>
          <w:snapToGrid w:val="0"/>
        </w:rPr>
        <w:t xml:space="preserve"> </w:t>
      </w:r>
    </w:p>
    <w:p w:rsidR="00F1388D" w:rsidRDefault="00025BF4">
      <w:pPr>
        <w:pStyle w:val="Subsection"/>
        <w:rPr>
          <w:snapToGrid w:val="0"/>
        </w:rPr>
      </w:pPr>
      <w:r>
        <w:rPr>
          <w:snapToGrid w:val="0"/>
        </w:rPr>
        <w:tab/>
        <w:t>(1)</w:t>
      </w:r>
      <w:r>
        <w:rPr>
          <w:snapToGrid w:val="0"/>
        </w:rPr>
        <w:tab/>
        <w:t>This Act shall come into operation on a day to be fixed by proclamation.</w:t>
      </w:r>
    </w:p>
    <w:p w:rsidR="00F1388D" w:rsidRDefault="00025BF4">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rsidR="00F1388D" w:rsidRDefault="00025BF4">
      <w:pPr>
        <w:pStyle w:val="MiscellaneousBody"/>
        <w:ind w:left="1457"/>
        <w:rPr>
          <w:snapToGrid w:val="0"/>
        </w:rPr>
      </w:pPr>
      <w:r>
        <w:rPr>
          <w:snapToGrid w:val="0"/>
        </w:rPr>
        <w:t>in relation to the construction of that portion of the railway authorized to be constructed between Kwinana and Mundijong by this Act,</w:t>
      </w:r>
    </w:p>
    <w:p w:rsidR="00F1388D" w:rsidRDefault="00025BF4">
      <w:pPr>
        <w:pStyle w:val="Subsection"/>
        <w:rPr>
          <w:snapToGrid w:val="0"/>
        </w:rPr>
      </w:pPr>
      <w:r>
        <w:rPr>
          <w:snapToGrid w:val="0"/>
        </w:rPr>
        <w:tab/>
      </w:r>
      <w:r>
        <w:rPr>
          <w:snapToGrid w:val="0"/>
        </w:rPr>
        <w:tab/>
        <w:t>fulfilled all the obligations that are required to be fulfilled by it under the Agreement prior to such construction being so authorized.</w:t>
      </w:r>
    </w:p>
    <w:p w:rsidR="00F1388D" w:rsidRDefault="00025BF4">
      <w:pPr>
        <w:pStyle w:val="Heading5"/>
        <w:rPr>
          <w:snapToGrid w:val="0"/>
        </w:rPr>
      </w:pPr>
      <w:bookmarkStart w:id="3" w:name="_Toc411304919"/>
      <w:r>
        <w:rPr>
          <w:rStyle w:val="CharSectno"/>
        </w:rPr>
        <w:t>3</w:t>
      </w:r>
      <w:r>
        <w:rPr>
          <w:snapToGrid w:val="0"/>
        </w:rPr>
        <w:t>.</w:t>
      </w:r>
      <w:r>
        <w:rPr>
          <w:snapToGrid w:val="0"/>
        </w:rPr>
        <w:tab/>
        <w:t>Interpretation</w:t>
      </w:r>
      <w:bookmarkEnd w:id="3"/>
      <w:r>
        <w:rPr>
          <w:snapToGrid w:val="0"/>
        </w:rPr>
        <w:t xml:space="preserve"> </w:t>
      </w:r>
    </w:p>
    <w:p w:rsidR="00F1388D" w:rsidRDefault="00025BF4">
      <w:pPr>
        <w:pStyle w:val="Subsection"/>
        <w:rPr>
          <w:snapToGrid w:val="0"/>
        </w:rPr>
      </w:pPr>
      <w:r>
        <w:rPr>
          <w:snapToGrid w:val="0"/>
        </w:rPr>
        <w:tab/>
      </w:r>
      <w:r>
        <w:rPr>
          <w:snapToGrid w:val="0"/>
        </w:rPr>
        <w:tab/>
        <w:t>In this Act unless the contrary intention appears — </w:t>
      </w:r>
    </w:p>
    <w:p w:rsidR="00F1388D" w:rsidRDefault="00025BF4">
      <w:pPr>
        <w:pStyle w:val="Defstart"/>
      </w:pPr>
      <w:r>
        <w:rPr>
          <w:b/>
        </w:rPr>
        <w:tab/>
        <w:t>“the Agreement”</w:t>
      </w:r>
      <w:r>
        <w:t xml:space="preserve"> means the agreement a copy of which is set forth in the Schedule to the </w:t>
      </w:r>
      <w:r>
        <w:rPr>
          <w:i/>
        </w:rPr>
        <w:t>Alumina Refinery Agreement Act 1961</w:t>
      </w:r>
      <w:r>
        <w:t>;</w:t>
      </w:r>
    </w:p>
    <w:p w:rsidR="00F1388D" w:rsidRDefault="00025BF4">
      <w:pPr>
        <w:pStyle w:val="Defstart"/>
      </w:pPr>
      <w:r>
        <w:rPr>
          <w:b/>
        </w:rPr>
        <w:tab/>
        <w:t>“the Company”</w:t>
      </w:r>
      <w:r>
        <w:t xml:space="preserve"> has the same meaning as that expression has in the Agreement.</w:t>
      </w:r>
    </w:p>
    <w:p w:rsidR="00F1388D" w:rsidRDefault="00025BF4">
      <w:pPr>
        <w:pStyle w:val="Heading5"/>
        <w:rPr>
          <w:snapToGrid w:val="0"/>
        </w:rPr>
      </w:pPr>
      <w:bookmarkStart w:id="4" w:name="_Toc411304920"/>
      <w:r>
        <w:rPr>
          <w:rStyle w:val="CharSectno"/>
        </w:rPr>
        <w:t>4</w:t>
      </w:r>
      <w:r>
        <w:rPr>
          <w:snapToGrid w:val="0"/>
        </w:rPr>
        <w:t>.</w:t>
      </w:r>
      <w:r>
        <w:rPr>
          <w:snapToGrid w:val="0"/>
        </w:rPr>
        <w:tab/>
        <w:t>Authority to construct railway</w:t>
      </w:r>
      <w:bookmarkEnd w:id="4"/>
      <w:r>
        <w:rPr>
          <w:snapToGrid w:val="0"/>
        </w:rPr>
        <w:t xml:space="preserve"> </w:t>
      </w:r>
    </w:p>
    <w:p w:rsidR="00F1388D" w:rsidRDefault="00025BF4">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 but that portion of the railway authorized to be constructed between Mundijong and Jarrahdale by this Act shall not be so constructed unless and until the parties to the agreement have, pursuant to clause twenty</w:t>
      </w:r>
      <w:r>
        <w:rPr>
          <w:snapToGrid w:val="0"/>
        </w:rPr>
        <w:noBreakHyphen/>
        <w:t>eight thereof, agreed on the terms and conditions upon which that portion is to be so constructed.</w:t>
      </w:r>
    </w:p>
    <w:p w:rsidR="00F1388D" w:rsidRDefault="00025BF4">
      <w:pPr>
        <w:pStyle w:val="Heading5"/>
        <w:rPr>
          <w:snapToGrid w:val="0"/>
        </w:rPr>
      </w:pPr>
      <w:bookmarkStart w:id="5" w:name="_Toc411304921"/>
      <w:r>
        <w:rPr>
          <w:rStyle w:val="CharSectno"/>
        </w:rPr>
        <w:t>5</w:t>
      </w:r>
      <w:r>
        <w:rPr>
          <w:snapToGrid w:val="0"/>
        </w:rPr>
        <w:t>.</w:t>
      </w:r>
      <w:r>
        <w:rPr>
          <w:snapToGrid w:val="0"/>
        </w:rPr>
        <w:tab/>
        <w:t>Authority for deviation</w:t>
      </w:r>
      <w:bookmarkEnd w:id="5"/>
      <w:r>
        <w:rPr>
          <w:snapToGrid w:val="0"/>
        </w:rPr>
        <w:t xml:space="preserve"> </w:t>
      </w:r>
    </w:p>
    <w:p w:rsidR="00F1388D" w:rsidRDefault="00025BF4">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Schedule to this Act, which consists of the portion of the line from Mundijong to Jarrahdale to the extent of five miles on either side thereof, and to deviate for the balance of such line at a distance of one mile on either side thereof.</w:t>
      </w:r>
    </w:p>
    <w:p w:rsidR="00F1388D" w:rsidRDefault="00F1388D">
      <w:pPr>
        <w:rPr>
          <w:rStyle w:val="CharDivText"/>
        </w:rPr>
        <w:sectPr w:rsidR="00F1388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1388D" w:rsidRDefault="00025BF4">
      <w:pPr>
        <w:pStyle w:val="yScheduleHeading"/>
      </w:pPr>
      <w:r>
        <w:t xml:space="preserve">Schedule </w:t>
      </w:r>
    </w:p>
    <w:p w:rsidR="00F1388D" w:rsidRDefault="00025BF4">
      <w:pPr>
        <w:pStyle w:val="yShoulderClause"/>
        <w:rPr>
          <w:snapToGrid w:val="0"/>
        </w:rPr>
      </w:pPr>
      <w:r>
        <w:rPr>
          <w:snapToGrid w:val="0"/>
        </w:rPr>
        <w:t>[Section 4]</w:t>
      </w:r>
    </w:p>
    <w:p w:rsidR="00F1388D" w:rsidRDefault="00025BF4">
      <w:pPr>
        <w:pStyle w:val="MiscellaneousHeading"/>
        <w:spacing w:after="80"/>
        <w:jc w:val="center"/>
        <w:rPr>
          <w:b/>
          <w:snapToGrid w:val="0"/>
        </w:rPr>
      </w:pPr>
      <w:r>
        <w:rPr>
          <w:b/>
          <w:snapToGrid w:val="0"/>
        </w:rPr>
        <w:t>RAILWAY FROM KWINANA TO JARRAHDALE THROUGH MUNDIJONG</w:t>
      </w:r>
    </w:p>
    <w:p w:rsidR="00F1388D" w:rsidRDefault="00025BF4">
      <w:pPr>
        <w:pStyle w:val="yTable"/>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west corner of location 819 as more particularly set out and delineated in red on map marked C.E. Plan No. 51871 deposited pursuant to the Public Works Act 1902, Section 96.</w:t>
      </w:r>
    </w:p>
    <w:p w:rsidR="00F1388D" w:rsidRDefault="00025BF4">
      <w:pPr>
        <w:pStyle w:val="yTable"/>
        <w:rPr>
          <w:snapToGrid w:val="0"/>
        </w:rPr>
      </w:pPr>
      <w:r>
        <w:rPr>
          <w:snapToGrid w:val="0"/>
        </w:rPr>
        <w:t>Total length about 26 miles 60 chains.</w:t>
      </w:r>
    </w:p>
    <w:p w:rsidR="00F1388D" w:rsidRDefault="00F1388D">
      <w:pPr>
        <w:sectPr w:rsidR="00F1388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F1388D" w:rsidRDefault="00025BF4">
      <w:pPr>
        <w:pStyle w:val="nHeading2"/>
      </w:pPr>
      <w:r>
        <w:t>Notes</w:t>
      </w:r>
    </w:p>
    <w:p w:rsidR="00F1388D" w:rsidRDefault="00025BF4">
      <w:pPr>
        <w:pStyle w:val="nSubsection"/>
        <w:rPr>
          <w:snapToGrid w:val="0"/>
        </w:rPr>
      </w:pPr>
      <w:r>
        <w:rPr>
          <w:snapToGrid w:val="0"/>
          <w:vertAlign w:val="superscript"/>
        </w:rPr>
        <w:t>1.</w:t>
      </w:r>
      <w:r>
        <w:rPr>
          <w:snapToGrid w:val="0"/>
        </w:rPr>
        <w:tab/>
        <w:t xml:space="preserve">This is a compilation of the </w:t>
      </w:r>
      <w:r>
        <w:rPr>
          <w:i/>
          <w:snapToGrid w:val="0"/>
        </w:rPr>
        <w:t>Kwinana</w:t>
      </w:r>
      <w:r>
        <w:rPr>
          <w:i/>
          <w:snapToGrid w:val="0"/>
        </w:rPr>
        <w:noBreakHyphen/>
        <w:t>Mundijong</w:t>
      </w:r>
      <w:r>
        <w:rPr>
          <w:i/>
          <w:snapToGrid w:val="0"/>
        </w:rPr>
        <w:noBreakHyphen/>
        <w:t>Jarrahdale Railway Act 1961</w:t>
      </w:r>
      <w:r>
        <w:rPr>
          <w:snapToGrid w:val="0"/>
        </w:rPr>
        <w:t xml:space="preserve"> and includes all amendments effected by the other Acts referred to in the following Table.</w:t>
      </w:r>
    </w:p>
    <w:p w:rsidR="00F1388D" w:rsidRDefault="00025BF4">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F1388D">
        <w:trPr>
          <w:tblHeader/>
        </w:trPr>
        <w:tc>
          <w:tcPr>
            <w:tcW w:w="1701" w:type="dxa"/>
            <w:tcBorders>
              <w:top w:val="single" w:sz="4" w:space="0" w:color="auto"/>
            </w:tcBorders>
          </w:tcPr>
          <w:p w:rsidR="00F1388D" w:rsidRDefault="00025BF4">
            <w:pPr>
              <w:pStyle w:val="nTable"/>
              <w:spacing w:after="60"/>
            </w:pPr>
            <w:r>
              <w:t>Act</w:t>
            </w:r>
          </w:p>
        </w:tc>
        <w:tc>
          <w:tcPr>
            <w:tcW w:w="992" w:type="dxa"/>
            <w:tcBorders>
              <w:top w:val="single" w:sz="4" w:space="0" w:color="auto"/>
            </w:tcBorders>
          </w:tcPr>
          <w:p w:rsidR="00F1388D" w:rsidRDefault="00025BF4">
            <w:pPr>
              <w:pStyle w:val="nTable"/>
              <w:spacing w:after="60"/>
            </w:pPr>
            <w:r>
              <w:t>Number and Year</w:t>
            </w:r>
          </w:p>
        </w:tc>
        <w:tc>
          <w:tcPr>
            <w:tcW w:w="1276" w:type="dxa"/>
            <w:tcBorders>
              <w:top w:val="single" w:sz="4" w:space="0" w:color="auto"/>
            </w:tcBorders>
          </w:tcPr>
          <w:p w:rsidR="00F1388D" w:rsidRDefault="00025BF4">
            <w:pPr>
              <w:pStyle w:val="nTable"/>
              <w:spacing w:after="60"/>
            </w:pPr>
            <w:r>
              <w:t>Assent</w:t>
            </w:r>
          </w:p>
        </w:tc>
        <w:tc>
          <w:tcPr>
            <w:tcW w:w="1701" w:type="dxa"/>
            <w:tcBorders>
              <w:top w:val="single" w:sz="4" w:space="0" w:color="auto"/>
            </w:tcBorders>
          </w:tcPr>
          <w:p w:rsidR="00F1388D" w:rsidRDefault="00025BF4">
            <w:pPr>
              <w:pStyle w:val="nTable"/>
              <w:spacing w:after="60"/>
            </w:pPr>
            <w:r>
              <w:t>Commencement</w:t>
            </w:r>
          </w:p>
        </w:tc>
        <w:tc>
          <w:tcPr>
            <w:tcW w:w="1417" w:type="dxa"/>
            <w:tcBorders>
              <w:top w:val="single" w:sz="4" w:space="0" w:color="auto"/>
            </w:tcBorders>
          </w:tcPr>
          <w:p w:rsidR="00F1388D" w:rsidRDefault="00025BF4">
            <w:pPr>
              <w:pStyle w:val="nTable"/>
              <w:spacing w:after="60"/>
            </w:pPr>
            <w:r>
              <w:t>Miscellaneous</w:t>
            </w:r>
          </w:p>
        </w:tc>
      </w:tr>
      <w:tr w:rsidR="00F1388D">
        <w:tc>
          <w:tcPr>
            <w:tcW w:w="1701" w:type="dxa"/>
            <w:tcBorders>
              <w:top w:val="single" w:sz="4" w:space="0" w:color="auto"/>
              <w:bottom w:val="single" w:sz="4" w:space="0" w:color="auto"/>
            </w:tcBorders>
          </w:tcPr>
          <w:p w:rsidR="00F1388D" w:rsidRDefault="00025BF4">
            <w:pPr>
              <w:pStyle w:val="nTable"/>
              <w:spacing w:after="60"/>
            </w:pPr>
            <w:r>
              <w:rPr>
                <w:i/>
              </w:rPr>
              <w:t>Kwinana</w:t>
            </w:r>
            <w:r>
              <w:rPr>
                <w:i/>
              </w:rPr>
              <w:noBreakHyphen/>
              <w:t>Mundijong</w:t>
            </w:r>
            <w:r>
              <w:rPr>
                <w:i/>
              </w:rPr>
              <w:noBreakHyphen/>
              <w:t>Jarrahdale Railway Act 1961</w:t>
            </w:r>
          </w:p>
        </w:tc>
        <w:tc>
          <w:tcPr>
            <w:tcW w:w="992" w:type="dxa"/>
            <w:tcBorders>
              <w:top w:val="single" w:sz="4" w:space="0" w:color="auto"/>
              <w:bottom w:val="single" w:sz="4" w:space="0" w:color="auto"/>
            </w:tcBorders>
          </w:tcPr>
          <w:p w:rsidR="00F1388D" w:rsidRDefault="00025BF4">
            <w:pPr>
              <w:pStyle w:val="nTable"/>
              <w:spacing w:after="60"/>
            </w:pPr>
            <w:r>
              <w:t>47 of 1961</w:t>
            </w:r>
          </w:p>
        </w:tc>
        <w:tc>
          <w:tcPr>
            <w:tcW w:w="1276" w:type="dxa"/>
            <w:tcBorders>
              <w:top w:val="single" w:sz="4" w:space="0" w:color="auto"/>
              <w:bottom w:val="single" w:sz="4" w:space="0" w:color="auto"/>
            </w:tcBorders>
          </w:tcPr>
          <w:p w:rsidR="00F1388D" w:rsidRDefault="00025BF4">
            <w:pPr>
              <w:pStyle w:val="nTable"/>
            </w:pPr>
            <w:r>
              <w:t>23 November 1961</w:t>
            </w:r>
          </w:p>
        </w:tc>
        <w:tc>
          <w:tcPr>
            <w:tcW w:w="1701" w:type="dxa"/>
            <w:tcBorders>
              <w:top w:val="single" w:sz="4" w:space="0" w:color="auto"/>
              <w:bottom w:val="single" w:sz="4" w:space="0" w:color="auto"/>
            </w:tcBorders>
          </w:tcPr>
          <w:p w:rsidR="00F1388D" w:rsidRDefault="00025BF4">
            <w:pPr>
              <w:pStyle w:val="nTable"/>
            </w:pPr>
            <w:r>
              <w:t xml:space="preserve">7 December 1962 </w:t>
            </w:r>
            <w:r>
              <w:br/>
              <w:t xml:space="preserve">(see </w:t>
            </w:r>
            <w:r>
              <w:rPr>
                <w:i/>
              </w:rPr>
              <w:t>Gazette</w:t>
            </w:r>
            <w:r>
              <w:t xml:space="preserve"> 7 December 1962 p.3857)</w:t>
            </w:r>
          </w:p>
        </w:tc>
        <w:tc>
          <w:tcPr>
            <w:tcW w:w="1417" w:type="dxa"/>
            <w:tcBorders>
              <w:top w:val="single" w:sz="4" w:space="0" w:color="auto"/>
              <w:bottom w:val="single" w:sz="4" w:space="0" w:color="auto"/>
            </w:tcBorders>
          </w:tcPr>
          <w:p w:rsidR="00F1388D" w:rsidRDefault="00F1388D">
            <w:pPr>
              <w:pStyle w:val="nTable"/>
              <w:spacing w:after="60"/>
            </w:pPr>
          </w:p>
        </w:tc>
      </w:tr>
    </w:tbl>
    <w:p w:rsidR="00F1388D" w:rsidRDefault="00F1388D">
      <w:pPr>
        <w:sectPr w:rsidR="00F1388D">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F1388D" w:rsidRDefault="00F1388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F1388D">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88D" w:rsidRDefault="00025BF4">
      <w:r>
        <w:separator/>
      </w:r>
    </w:p>
  </w:endnote>
  <w:endnote w:type="continuationSeparator" w:id="0">
    <w:p w:rsidR="00F1388D" w:rsidRDefault="0002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p>
  <w:p w:rsidR="00F1388D" w:rsidRDefault="00025B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F1388D" w:rsidRDefault="00025B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F1388D" w:rsidRDefault="00025B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p>
  <w:p w:rsidR="00F1388D" w:rsidRDefault="00025B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1388D" w:rsidRDefault="00025B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7F32">
      <w:rPr>
        <w:rStyle w:val="PageNumber"/>
        <w:rFonts w:ascii="Arial" w:hAnsi="Arial" w:cs="Arial"/>
        <w:noProof/>
      </w:rPr>
      <w:t>i</w:t>
    </w:r>
    <w:r>
      <w:rPr>
        <w:rStyle w:val="PageNumber"/>
        <w:rFonts w:ascii="Arial" w:hAnsi="Arial" w:cs="Arial"/>
      </w:rPr>
      <w:fldChar w:fldCharType="end"/>
    </w:r>
  </w:p>
  <w:p w:rsidR="00F1388D" w:rsidRDefault="00025BF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7F3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F1388D" w:rsidRDefault="00025B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7F32">
      <w:rPr>
        <w:rStyle w:val="CharPageNo"/>
        <w:rFonts w:ascii="Arial" w:hAnsi="Arial"/>
        <w:noProof/>
      </w:rPr>
      <w:t>3</w:t>
    </w:r>
    <w:r>
      <w:rPr>
        <w:rStyle w:val="CharPageNo"/>
        <w:rFonts w:ascii="Arial" w:hAnsi="Arial"/>
      </w:rPr>
      <w:fldChar w:fldCharType="end"/>
    </w:r>
  </w:p>
  <w:p w:rsidR="00F1388D" w:rsidRDefault="00025BF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Footer"/>
      <w:tabs>
        <w:tab w:val="clear" w:pos="4153"/>
        <w:tab w:val="right" w:pos="7088"/>
      </w:tabs>
      <w:rPr>
        <w:rStyle w:val="PageNumber"/>
      </w:rPr>
    </w:pPr>
  </w:p>
  <w:p w:rsidR="00F1388D" w:rsidRDefault="00025B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7F3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7F3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7F32">
      <w:rPr>
        <w:rStyle w:val="CharPageNo"/>
        <w:rFonts w:ascii="Arial" w:hAnsi="Arial"/>
        <w:noProof/>
      </w:rPr>
      <w:t>1</w:t>
    </w:r>
    <w:r>
      <w:rPr>
        <w:rStyle w:val="CharPageNo"/>
        <w:rFonts w:ascii="Arial" w:hAnsi="Arial"/>
      </w:rPr>
      <w:fldChar w:fldCharType="end"/>
    </w:r>
  </w:p>
  <w:p w:rsidR="00F1388D" w:rsidRDefault="00025BF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88D" w:rsidRDefault="00025BF4">
      <w:r>
        <w:separator/>
      </w:r>
    </w:p>
  </w:footnote>
  <w:footnote w:type="continuationSeparator" w:id="0">
    <w:p w:rsidR="00F1388D" w:rsidRDefault="00025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025BF4">
    <w:pPr>
      <w:pStyle w:val="headerpartodd"/>
      <w:ind w:left="0" w:firstLine="0"/>
      <w:rPr>
        <w:i/>
      </w:rPr>
    </w:pPr>
    <w:r>
      <w:rPr>
        <w:i/>
      </w:rPr>
      <w:fldChar w:fldCharType="begin"/>
    </w:r>
    <w:r>
      <w:rPr>
        <w:i/>
      </w:rPr>
      <w:instrText xml:space="preserve"> Styleref "Name of Act/Reg" </w:instrText>
    </w:r>
    <w:r>
      <w:rPr>
        <w:i/>
      </w:rPr>
      <w:fldChar w:fldCharType="separate"/>
    </w:r>
    <w:r w:rsidR="00987F32">
      <w:rPr>
        <w:i/>
        <w:noProof/>
      </w:rPr>
      <w:t>Kwinana-Mundijong-Jarrahdale Railway Act 1961</w:t>
    </w:r>
    <w:r>
      <w:rPr>
        <w:i/>
      </w:rPr>
      <w:fldChar w:fldCharType="end"/>
    </w:r>
  </w:p>
  <w:p w:rsidR="00F1388D" w:rsidRDefault="00025BF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1388D" w:rsidRDefault="00025BF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1388D" w:rsidRDefault="00F1388D">
    <w:pPr>
      <w:pStyle w:val="headerpart"/>
      <w:rPr>
        <w:sz w:val="24"/>
      </w:rPr>
    </w:pPr>
  </w:p>
  <w:p w:rsidR="00F1388D" w:rsidRDefault="00F1388D">
    <w:pPr>
      <w:pBdr>
        <w:bottom w:val="single" w:sz="6" w:space="1" w:color="auto"/>
      </w:pBdr>
      <w:rPr>
        <w:b/>
      </w:rPr>
    </w:pPr>
  </w:p>
  <w:p w:rsidR="00F1388D" w:rsidRDefault="00F138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88D">
      <w:trPr>
        <w:cantSplit/>
      </w:trPr>
      <w:tc>
        <w:tcPr>
          <w:tcW w:w="7312" w:type="dxa"/>
          <w:gridSpan w:val="2"/>
        </w:tcPr>
        <w:p w:rsidR="00F1388D" w:rsidRDefault="00025BF4">
          <w:pPr>
            <w:pStyle w:val="HeaderActNameLeft"/>
          </w:pPr>
          <w:r>
            <w:rPr>
              <w:i w:val="0"/>
            </w:rPr>
            <w:fldChar w:fldCharType="begin"/>
          </w:r>
          <w:r>
            <w:rPr>
              <w:i w:val="0"/>
            </w:rPr>
            <w:instrText xml:space="preserve"> Styleref "Name of Act/Reg" </w:instrText>
          </w:r>
          <w:r>
            <w:rPr>
              <w:i w:val="0"/>
            </w:rPr>
            <w:fldChar w:fldCharType="separate"/>
          </w:r>
          <w:r w:rsidR="00987F32">
            <w:rPr>
              <w:i w:val="0"/>
              <w:noProof/>
            </w:rPr>
            <w:t>Kwinana-Mundijong-Jarrahdale Railway Act 1961</w:t>
          </w:r>
          <w:r>
            <w:rPr>
              <w:i w:val="0"/>
            </w:rPr>
            <w:fldChar w:fldCharType="end"/>
          </w:r>
        </w:p>
      </w:tc>
    </w:tr>
    <w:tr w:rsidR="00F1388D">
      <w:tc>
        <w:tcPr>
          <w:tcW w:w="1548" w:type="dxa"/>
        </w:tcPr>
        <w:p w:rsidR="00F1388D" w:rsidRDefault="00F1388D">
          <w:pPr>
            <w:pStyle w:val="HeaderNumberLeft"/>
          </w:pPr>
        </w:p>
      </w:tc>
      <w:tc>
        <w:tcPr>
          <w:tcW w:w="5764" w:type="dxa"/>
        </w:tcPr>
        <w:p w:rsidR="00F1388D" w:rsidRDefault="00F1388D">
          <w:pPr>
            <w:pStyle w:val="HeaderTextLeft"/>
          </w:pPr>
        </w:p>
      </w:tc>
    </w:tr>
    <w:tr w:rsidR="00F1388D">
      <w:tc>
        <w:tcPr>
          <w:tcW w:w="1548" w:type="dxa"/>
        </w:tcPr>
        <w:p w:rsidR="00F1388D" w:rsidRDefault="00F1388D">
          <w:pPr>
            <w:pStyle w:val="HeaderNumberLeft"/>
          </w:pPr>
        </w:p>
      </w:tc>
      <w:tc>
        <w:tcPr>
          <w:tcW w:w="5764" w:type="dxa"/>
        </w:tcPr>
        <w:p w:rsidR="00F1388D" w:rsidRDefault="00F1388D">
          <w:pPr>
            <w:pStyle w:val="HeaderTextLeft"/>
          </w:pPr>
        </w:p>
      </w:tc>
    </w:tr>
    <w:tr w:rsidR="00F1388D">
      <w:trPr>
        <w:cantSplit/>
      </w:trPr>
      <w:tc>
        <w:tcPr>
          <w:tcW w:w="7312" w:type="dxa"/>
          <w:gridSpan w:val="2"/>
        </w:tcPr>
        <w:p w:rsidR="00F1388D" w:rsidRDefault="00F1388D">
          <w:pPr>
            <w:pStyle w:val="HeaderSectionLeft"/>
          </w:pPr>
        </w:p>
      </w:tc>
    </w:tr>
  </w:tbl>
  <w:p w:rsidR="00F1388D" w:rsidRDefault="00F138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388D">
      <w:trPr>
        <w:cantSplit/>
      </w:trPr>
      <w:tc>
        <w:tcPr>
          <w:tcW w:w="7312" w:type="dxa"/>
          <w:gridSpan w:val="2"/>
        </w:tcPr>
        <w:p w:rsidR="00F1388D" w:rsidRDefault="00025BF4">
          <w:pPr>
            <w:pStyle w:val="HeaderActNameRight"/>
          </w:pPr>
          <w:fldSimple w:instr=" Styleref &quot;Name of Act/Reg&quot; ">
            <w:r w:rsidR="00987F32">
              <w:rPr>
                <w:noProof/>
              </w:rPr>
              <w:t>Kwinana-Mundijong-Jarrahdale Railway Act 1961</w:t>
            </w:r>
          </w:fldSimple>
        </w:p>
      </w:tc>
    </w:tr>
    <w:tr w:rsidR="00F1388D">
      <w:tc>
        <w:tcPr>
          <w:tcW w:w="5760" w:type="dxa"/>
        </w:tcPr>
        <w:p w:rsidR="00F1388D" w:rsidRDefault="00F1388D">
          <w:pPr>
            <w:pStyle w:val="HeaderTextRight"/>
          </w:pPr>
        </w:p>
      </w:tc>
      <w:tc>
        <w:tcPr>
          <w:tcW w:w="1552" w:type="dxa"/>
        </w:tcPr>
        <w:p w:rsidR="00F1388D" w:rsidRDefault="00F1388D">
          <w:pPr>
            <w:pStyle w:val="HeaderNumberRight"/>
          </w:pPr>
        </w:p>
      </w:tc>
    </w:tr>
    <w:tr w:rsidR="00F1388D">
      <w:tc>
        <w:tcPr>
          <w:tcW w:w="5760" w:type="dxa"/>
        </w:tcPr>
        <w:p w:rsidR="00F1388D" w:rsidRDefault="00F1388D">
          <w:pPr>
            <w:pStyle w:val="HeaderTextRight"/>
          </w:pPr>
        </w:p>
      </w:tc>
      <w:tc>
        <w:tcPr>
          <w:tcW w:w="1552" w:type="dxa"/>
        </w:tcPr>
        <w:p w:rsidR="00F1388D" w:rsidRDefault="00F1388D">
          <w:pPr>
            <w:pStyle w:val="HeaderNumberRight"/>
          </w:pPr>
        </w:p>
      </w:tc>
    </w:tr>
    <w:tr w:rsidR="00F1388D">
      <w:trPr>
        <w:cantSplit/>
      </w:trPr>
      <w:tc>
        <w:tcPr>
          <w:tcW w:w="7312" w:type="dxa"/>
          <w:gridSpan w:val="2"/>
        </w:tcPr>
        <w:p w:rsidR="00F1388D" w:rsidRDefault="00F1388D">
          <w:pPr>
            <w:pStyle w:val="HeaderSectionRight"/>
          </w:pPr>
        </w:p>
      </w:tc>
    </w:tr>
  </w:tbl>
  <w:p w:rsidR="00F1388D" w:rsidRDefault="00F138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388D">
      <w:trPr>
        <w:cantSplit/>
      </w:trPr>
      <w:tc>
        <w:tcPr>
          <w:tcW w:w="7312" w:type="dxa"/>
          <w:gridSpan w:val="2"/>
        </w:tcPr>
        <w:p w:rsidR="00F1388D" w:rsidRDefault="00025BF4">
          <w:pPr>
            <w:pStyle w:val="HeaderActNameLeft"/>
          </w:pPr>
          <w:fldSimple w:instr=" Styleref &quot;Name of Act/Reg&quot; ">
            <w:r w:rsidR="00987F32">
              <w:rPr>
                <w:noProof/>
              </w:rPr>
              <w:t>Kwinana-Mundijong-Jarrahdale Railway Act 1961</w:t>
            </w:r>
          </w:fldSimple>
        </w:p>
      </w:tc>
    </w:tr>
    <w:tr w:rsidR="00F1388D">
      <w:tc>
        <w:tcPr>
          <w:tcW w:w="1305" w:type="dxa"/>
        </w:tcPr>
        <w:p w:rsidR="00F1388D" w:rsidRDefault="00025BF4">
          <w:pPr>
            <w:pStyle w:val="HeaderNumberLeft"/>
          </w:pPr>
          <w:r>
            <w:fldChar w:fldCharType="begin"/>
          </w:r>
          <w:r>
            <w:instrText xml:space="preserve"> styleref CharPartNo </w:instrText>
          </w:r>
          <w:r>
            <w:fldChar w:fldCharType="end"/>
          </w:r>
        </w:p>
      </w:tc>
      <w:tc>
        <w:tcPr>
          <w:tcW w:w="6007" w:type="dxa"/>
        </w:tcPr>
        <w:p w:rsidR="00F1388D" w:rsidRDefault="00025BF4">
          <w:pPr>
            <w:pStyle w:val="HeaderTextLeft"/>
          </w:pPr>
          <w:r>
            <w:fldChar w:fldCharType="begin"/>
          </w:r>
          <w:r>
            <w:instrText xml:space="preserve"> styleref CharPartText </w:instrText>
          </w:r>
          <w:r>
            <w:fldChar w:fldCharType="end"/>
          </w:r>
        </w:p>
      </w:tc>
    </w:tr>
    <w:tr w:rsidR="00F1388D">
      <w:tc>
        <w:tcPr>
          <w:tcW w:w="1305" w:type="dxa"/>
        </w:tcPr>
        <w:p w:rsidR="00F1388D" w:rsidRDefault="00025BF4">
          <w:pPr>
            <w:pStyle w:val="HeaderNumberLeft"/>
          </w:pPr>
          <w:r>
            <w:fldChar w:fldCharType="begin"/>
          </w:r>
          <w:r>
            <w:instrText xml:space="preserve"> styleref CharDivNo </w:instrText>
          </w:r>
          <w:r>
            <w:fldChar w:fldCharType="end"/>
          </w:r>
        </w:p>
      </w:tc>
      <w:tc>
        <w:tcPr>
          <w:tcW w:w="6007" w:type="dxa"/>
        </w:tcPr>
        <w:p w:rsidR="00F1388D" w:rsidRDefault="00025BF4">
          <w:pPr>
            <w:pStyle w:val="HeaderTextLeft"/>
          </w:pPr>
          <w:r>
            <w:fldChar w:fldCharType="begin"/>
          </w:r>
          <w:r>
            <w:instrText xml:space="preserve"> styleref CharDivText </w:instrText>
          </w:r>
          <w:r>
            <w:fldChar w:fldCharType="end"/>
          </w:r>
        </w:p>
      </w:tc>
    </w:tr>
    <w:tr w:rsidR="00F1388D">
      <w:trPr>
        <w:cantSplit/>
      </w:trPr>
      <w:tc>
        <w:tcPr>
          <w:tcW w:w="7312" w:type="dxa"/>
          <w:gridSpan w:val="2"/>
        </w:tcPr>
        <w:p w:rsidR="00F1388D" w:rsidRDefault="00025BF4">
          <w:pPr>
            <w:pStyle w:val="HeaderSectionLeft"/>
          </w:pPr>
          <w:r>
            <w:t xml:space="preserve">s. </w:t>
          </w:r>
          <w:fldSimple w:instr=" styleref CharSectno ">
            <w:r w:rsidR="00987F32">
              <w:rPr>
                <w:noProof/>
              </w:rPr>
              <w:t>1</w:t>
            </w:r>
          </w:fldSimple>
        </w:p>
      </w:tc>
    </w:tr>
  </w:tbl>
  <w:p w:rsidR="00F1388D" w:rsidRDefault="00F1388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388D">
      <w:trPr>
        <w:cantSplit/>
      </w:trPr>
      <w:tc>
        <w:tcPr>
          <w:tcW w:w="7312" w:type="dxa"/>
          <w:gridSpan w:val="2"/>
        </w:tcPr>
        <w:p w:rsidR="00F1388D" w:rsidRDefault="00025BF4">
          <w:pPr>
            <w:pStyle w:val="HeaderActNameRight"/>
          </w:pPr>
          <w:fldSimple w:instr=" Styleref &quot;Name of Act/Reg&quot; ">
            <w:r w:rsidR="00987F32">
              <w:rPr>
                <w:noProof/>
              </w:rPr>
              <w:t>Kwinana-Mundijong-Jarrahdale Railway Act 1961</w:t>
            </w:r>
          </w:fldSimple>
        </w:p>
      </w:tc>
    </w:tr>
    <w:tr w:rsidR="00F1388D">
      <w:tc>
        <w:tcPr>
          <w:tcW w:w="5985" w:type="dxa"/>
        </w:tcPr>
        <w:p w:rsidR="00F1388D" w:rsidRDefault="00025BF4">
          <w:pPr>
            <w:pStyle w:val="HeaderTextRight"/>
          </w:pPr>
          <w:r>
            <w:fldChar w:fldCharType="begin"/>
          </w:r>
          <w:r>
            <w:instrText xml:space="preserve"> styleref CharPartText </w:instrText>
          </w:r>
          <w:r>
            <w:fldChar w:fldCharType="end"/>
          </w:r>
        </w:p>
      </w:tc>
      <w:tc>
        <w:tcPr>
          <w:tcW w:w="1327" w:type="dxa"/>
        </w:tcPr>
        <w:p w:rsidR="00F1388D" w:rsidRDefault="00025BF4">
          <w:pPr>
            <w:pStyle w:val="HeaderNumberRight"/>
          </w:pPr>
          <w:r>
            <w:fldChar w:fldCharType="begin"/>
          </w:r>
          <w:r>
            <w:instrText xml:space="preserve"> styleref CharPartNo </w:instrText>
          </w:r>
          <w:r>
            <w:fldChar w:fldCharType="end"/>
          </w:r>
        </w:p>
      </w:tc>
    </w:tr>
    <w:tr w:rsidR="00F1388D">
      <w:tc>
        <w:tcPr>
          <w:tcW w:w="5985" w:type="dxa"/>
        </w:tcPr>
        <w:p w:rsidR="00F1388D" w:rsidRDefault="00025BF4">
          <w:pPr>
            <w:pStyle w:val="HeaderTextRight"/>
          </w:pPr>
          <w:r>
            <w:fldChar w:fldCharType="begin"/>
          </w:r>
          <w:r>
            <w:instrText xml:space="preserve"> styleref CharDivText </w:instrText>
          </w:r>
          <w:r>
            <w:fldChar w:fldCharType="end"/>
          </w:r>
        </w:p>
      </w:tc>
      <w:tc>
        <w:tcPr>
          <w:tcW w:w="1327" w:type="dxa"/>
        </w:tcPr>
        <w:p w:rsidR="00F1388D" w:rsidRDefault="00025BF4">
          <w:pPr>
            <w:pStyle w:val="HeaderNumberRight"/>
          </w:pPr>
          <w:r>
            <w:fldChar w:fldCharType="begin"/>
          </w:r>
          <w:r>
            <w:instrText xml:space="preserve"> styleref CharDivNo </w:instrText>
          </w:r>
          <w:r>
            <w:fldChar w:fldCharType="end"/>
          </w:r>
        </w:p>
      </w:tc>
    </w:tr>
    <w:tr w:rsidR="00F1388D">
      <w:trPr>
        <w:cantSplit/>
      </w:trPr>
      <w:tc>
        <w:tcPr>
          <w:tcW w:w="7312" w:type="dxa"/>
          <w:gridSpan w:val="2"/>
        </w:tcPr>
        <w:p w:rsidR="00F1388D" w:rsidRDefault="00025BF4">
          <w:pPr>
            <w:pStyle w:val="HeaderSectionRight"/>
          </w:pPr>
          <w:r>
            <w:t xml:space="preserve">s. </w:t>
          </w:r>
          <w:fldSimple w:instr=" styleref CharSectno ">
            <w:r w:rsidR="00987F32">
              <w:rPr>
                <w:noProof/>
              </w:rPr>
              <w:t>1</w:t>
            </w:r>
          </w:fldSimple>
        </w:p>
      </w:tc>
    </w:tr>
  </w:tbl>
  <w:p w:rsidR="00F1388D" w:rsidRDefault="00F1388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88D">
      <w:trPr>
        <w:cantSplit/>
      </w:trPr>
      <w:tc>
        <w:tcPr>
          <w:tcW w:w="7312" w:type="dxa"/>
          <w:gridSpan w:val="2"/>
        </w:tcPr>
        <w:p w:rsidR="00F1388D" w:rsidRDefault="00025BF4">
          <w:pPr>
            <w:pStyle w:val="HeaderActNameLeft"/>
          </w:pPr>
          <w:fldSimple w:instr=" Styleref &quot;Name of Act/Reg&quot; ">
            <w:r w:rsidR="00987F32">
              <w:rPr>
                <w:noProof/>
              </w:rPr>
              <w:t>Kwinana-Mundijong-Jarrahdale Railway Act 1961</w:t>
            </w:r>
          </w:fldSimple>
        </w:p>
      </w:tc>
    </w:tr>
    <w:tr w:rsidR="00F1388D">
      <w:tc>
        <w:tcPr>
          <w:tcW w:w="1548" w:type="dxa"/>
        </w:tcPr>
        <w:p w:rsidR="00F1388D" w:rsidRDefault="00F1388D">
          <w:pPr>
            <w:pStyle w:val="HeaderNumberLeft"/>
          </w:pPr>
        </w:p>
      </w:tc>
      <w:tc>
        <w:tcPr>
          <w:tcW w:w="5764" w:type="dxa"/>
        </w:tcPr>
        <w:p w:rsidR="00F1388D" w:rsidRDefault="00F1388D">
          <w:pPr>
            <w:pStyle w:val="HeaderTextLeft"/>
          </w:pPr>
        </w:p>
      </w:tc>
    </w:tr>
    <w:tr w:rsidR="00F1388D">
      <w:tc>
        <w:tcPr>
          <w:tcW w:w="1548" w:type="dxa"/>
        </w:tcPr>
        <w:p w:rsidR="00F1388D" w:rsidRDefault="00F1388D">
          <w:pPr>
            <w:pStyle w:val="HeaderNumberLeft"/>
          </w:pPr>
        </w:p>
      </w:tc>
      <w:tc>
        <w:tcPr>
          <w:tcW w:w="5764" w:type="dxa"/>
        </w:tcPr>
        <w:p w:rsidR="00F1388D" w:rsidRDefault="00F1388D">
          <w:pPr>
            <w:pStyle w:val="HeaderTextLeft"/>
          </w:pPr>
        </w:p>
      </w:tc>
    </w:tr>
    <w:tr w:rsidR="00F1388D">
      <w:trPr>
        <w:cantSplit/>
      </w:trPr>
      <w:tc>
        <w:tcPr>
          <w:tcW w:w="7312" w:type="dxa"/>
          <w:gridSpan w:val="2"/>
        </w:tcPr>
        <w:p w:rsidR="00F1388D" w:rsidRDefault="00025BF4">
          <w:pPr>
            <w:pStyle w:val="HeaderSectionLeft"/>
          </w:pPr>
          <w:r>
            <w:t xml:space="preserve">Sch. </w:t>
          </w:r>
          <w:r>
            <w:fldChar w:fldCharType="begin"/>
          </w:r>
          <w:r>
            <w:instrText xml:space="preserve"> styleref CharSchNo</w:instrText>
          </w:r>
          <w:r>
            <w:fldChar w:fldCharType="end"/>
          </w:r>
        </w:p>
      </w:tc>
    </w:tr>
  </w:tbl>
  <w:p w:rsidR="00F1388D" w:rsidRDefault="00F1388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1388D">
      <w:trPr>
        <w:gridAfter w:val="1"/>
        <w:wAfter w:w="36" w:type="dxa"/>
        <w:cantSplit/>
      </w:trPr>
      <w:tc>
        <w:tcPr>
          <w:tcW w:w="7312" w:type="dxa"/>
          <w:gridSpan w:val="3"/>
        </w:tcPr>
        <w:p w:rsidR="00F1388D" w:rsidRDefault="00025BF4">
          <w:pPr>
            <w:pStyle w:val="HeaderActNameRight"/>
          </w:pPr>
          <w:fldSimple w:instr=" Styleref &quot;Name of Act/Reg&quot; ">
            <w:r w:rsidR="00987F32">
              <w:rPr>
                <w:noProof/>
              </w:rPr>
              <w:t>Kwinana-Mundijong-Jarrahdale Railway Act 1961</w:t>
            </w:r>
          </w:fldSimple>
        </w:p>
      </w:tc>
    </w:tr>
    <w:tr w:rsidR="00F1388D">
      <w:tblPrEx>
        <w:tblCellMar>
          <w:left w:w="72" w:type="dxa"/>
          <w:right w:w="72" w:type="dxa"/>
        </w:tblCellMar>
      </w:tblPrEx>
      <w:trPr>
        <w:gridBefore w:val="1"/>
        <w:wBefore w:w="36" w:type="dxa"/>
      </w:trPr>
      <w:tc>
        <w:tcPr>
          <w:tcW w:w="5760" w:type="dxa"/>
        </w:tcPr>
        <w:p w:rsidR="00F1388D" w:rsidRDefault="00F1388D">
          <w:pPr>
            <w:pStyle w:val="HeaderTextRight"/>
          </w:pPr>
        </w:p>
      </w:tc>
      <w:tc>
        <w:tcPr>
          <w:tcW w:w="1552" w:type="dxa"/>
          <w:gridSpan w:val="2"/>
        </w:tcPr>
        <w:p w:rsidR="00F1388D" w:rsidRDefault="00F1388D">
          <w:pPr>
            <w:pStyle w:val="HeaderNumberRight"/>
          </w:pPr>
        </w:p>
      </w:tc>
    </w:tr>
    <w:tr w:rsidR="00F1388D">
      <w:tblPrEx>
        <w:tblCellMar>
          <w:left w:w="72" w:type="dxa"/>
          <w:right w:w="72" w:type="dxa"/>
        </w:tblCellMar>
      </w:tblPrEx>
      <w:trPr>
        <w:gridBefore w:val="1"/>
        <w:wBefore w:w="36" w:type="dxa"/>
      </w:trPr>
      <w:tc>
        <w:tcPr>
          <w:tcW w:w="5760" w:type="dxa"/>
        </w:tcPr>
        <w:p w:rsidR="00F1388D" w:rsidRDefault="00F1388D">
          <w:pPr>
            <w:pStyle w:val="HeaderTextRight"/>
          </w:pPr>
        </w:p>
      </w:tc>
      <w:tc>
        <w:tcPr>
          <w:tcW w:w="1552" w:type="dxa"/>
          <w:gridSpan w:val="2"/>
        </w:tcPr>
        <w:p w:rsidR="00F1388D" w:rsidRDefault="00F1388D">
          <w:pPr>
            <w:pStyle w:val="HeaderNumberRight"/>
          </w:pPr>
        </w:p>
      </w:tc>
    </w:tr>
    <w:tr w:rsidR="00F1388D">
      <w:trPr>
        <w:gridAfter w:val="1"/>
        <w:wAfter w:w="36" w:type="dxa"/>
        <w:cantSplit/>
      </w:trPr>
      <w:tc>
        <w:tcPr>
          <w:tcW w:w="7312" w:type="dxa"/>
          <w:gridSpan w:val="3"/>
        </w:tcPr>
        <w:p w:rsidR="00F1388D" w:rsidRDefault="00025BF4">
          <w:pPr>
            <w:pStyle w:val="HeaderSectionRight"/>
          </w:pPr>
          <w:r>
            <w:t xml:space="preserve">Sch. </w:t>
          </w:r>
          <w:r>
            <w:fldChar w:fldCharType="begin"/>
          </w:r>
          <w:r>
            <w:instrText xml:space="preserve"> styleref CharSchNo </w:instrText>
          </w:r>
          <w:r>
            <w:fldChar w:fldCharType="end"/>
          </w:r>
        </w:p>
      </w:tc>
    </w:tr>
  </w:tbl>
  <w:p w:rsidR="00F1388D" w:rsidRDefault="00F1388D">
    <w:pPr>
      <w:pStyle w:val="Header"/>
      <w:pBdr>
        <w:top w:val="single" w:sz="4" w:space="1" w:color="auto"/>
      </w:pBdr>
    </w:pPr>
  </w:p>
  <w:p w:rsidR="00F1388D" w:rsidRDefault="00F1388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88D">
      <w:trPr>
        <w:cantSplit/>
      </w:trPr>
      <w:tc>
        <w:tcPr>
          <w:tcW w:w="7312" w:type="dxa"/>
          <w:gridSpan w:val="2"/>
        </w:tcPr>
        <w:p w:rsidR="00F1388D" w:rsidRDefault="00025BF4">
          <w:pPr>
            <w:pStyle w:val="HeaderActNameLeft"/>
          </w:pPr>
          <w:fldSimple w:instr=" Styleref &quot;Name of Act/Reg&quot; ">
            <w:r w:rsidR="00987F32">
              <w:rPr>
                <w:noProof/>
              </w:rPr>
              <w:t>Kwinana-Mundijong-Jarrahdale Railway Act 1961</w:t>
            </w:r>
          </w:fldSimple>
        </w:p>
      </w:tc>
    </w:tr>
    <w:tr w:rsidR="00F1388D">
      <w:tc>
        <w:tcPr>
          <w:tcW w:w="1548" w:type="dxa"/>
        </w:tcPr>
        <w:p w:rsidR="00F1388D" w:rsidRDefault="00F1388D">
          <w:pPr>
            <w:pStyle w:val="HeaderNumberLeft"/>
          </w:pPr>
        </w:p>
      </w:tc>
      <w:tc>
        <w:tcPr>
          <w:tcW w:w="5764" w:type="dxa"/>
        </w:tcPr>
        <w:p w:rsidR="00F1388D" w:rsidRDefault="00F1388D">
          <w:pPr>
            <w:pStyle w:val="HeaderTextLeft"/>
          </w:pPr>
        </w:p>
      </w:tc>
    </w:tr>
    <w:tr w:rsidR="00F1388D">
      <w:tc>
        <w:tcPr>
          <w:tcW w:w="1548" w:type="dxa"/>
        </w:tcPr>
        <w:p w:rsidR="00F1388D" w:rsidRDefault="00F1388D">
          <w:pPr>
            <w:pStyle w:val="HeaderNumberLeft"/>
          </w:pPr>
        </w:p>
      </w:tc>
      <w:tc>
        <w:tcPr>
          <w:tcW w:w="5764" w:type="dxa"/>
        </w:tcPr>
        <w:p w:rsidR="00F1388D" w:rsidRDefault="00F1388D">
          <w:pPr>
            <w:pStyle w:val="HeaderTextLeft"/>
          </w:pPr>
        </w:p>
      </w:tc>
    </w:tr>
    <w:tr w:rsidR="00F1388D">
      <w:trPr>
        <w:cantSplit/>
      </w:trPr>
      <w:tc>
        <w:tcPr>
          <w:tcW w:w="7312" w:type="dxa"/>
          <w:gridSpan w:val="2"/>
        </w:tcPr>
        <w:p w:rsidR="00F1388D" w:rsidRDefault="00F1388D">
          <w:pPr>
            <w:pStyle w:val="HeaderSectionLeft"/>
          </w:pPr>
        </w:p>
      </w:tc>
    </w:tr>
  </w:tbl>
  <w:p w:rsidR="00F1388D" w:rsidRDefault="00F1388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388D">
      <w:trPr>
        <w:cantSplit/>
      </w:trPr>
      <w:tc>
        <w:tcPr>
          <w:tcW w:w="7312" w:type="dxa"/>
          <w:gridSpan w:val="2"/>
        </w:tcPr>
        <w:p w:rsidR="00F1388D" w:rsidRDefault="00025BF4">
          <w:pPr>
            <w:pStyle w:val="HeaderActNameRight"/>
          </w:pPr>
          <w:fldSimple w:instr=" Styleref &quot;Name of Act/Reg&quot; ">
            <w:r w:rsidR="00987F32">
              <w:rPr>
                <w:noProof/>
              </w:rPr>
              <w:t>Kwinana-Mundijong-Jarrahdale Railway Act 1961</w:t>
            </w:r>
          </w:fldSimple>
        </w:p>
      </w:tc>
    </w:tr>
    <w:tr w:rsidR="00F1388D">
      <w:tc>
        <w:tcPr>
          <w:tcW w:w="5760" w:type="dxa"/>
        </w:tcPr>
        <w:p w:rsidR="00F1388D" w:rsidRDefault="00F1388D">
          <w:pPr>
            <w:pStyle w:val="HeaderTextRight"/>
          </w:pPr>
        </w:p>
      </w:tc>
      <w:tc>
        <w:tcPr>
          <w:tcW w:w="1552" w:type="dxa"/>
        </w:tcPr>
        <w:p w:rsidR="00F1388D" w:rsidRDefault="00F1388D">
          <w:pPr>
            <w:pStyle w:val="HeaderNumberRight"/>
          </w:pPr>
        </w:p>
      </w:tc>
    </w:tr>
    <w:tr w:rsidR="00F1388D">
      <w:tc>
        <w:tcPr>
          <w:tcW w:w="5760" w:type="dxa"/>
        </w:tcPr>
        <w:p w:rsidR="00F1388D" w:rsidRDefault="00F1388D">
          <w:pPr>
            <w:pStyle w:val="HeaderTextRight"/>
          </w:pPr>
        </w:p>
      </w:tc>
      <w:tc>
        <w:tcPr>
          <w:tcW w:w="1552" w:type="dxa"/>
        </w:tcPr>
        <w:p w:rsidR="00F1388D" w:rsidRDefault="00F1388D">
          <w:pPr>
            <w:pStyle w:val="HeaderNumberRight"/>
          </w:pPr>
        </w:p>
      </w:tc>
    </w:tr>
    <w:tr w:rsidR="00F1388D">
      <w:trPr>
        <w:cantSplit/>
      </w:trPr>
      <w:tc>
        <w:tcPr>
          <w:tcW w:w="7312" w:type="dxa"/>
          <w:gridSpan w:val="2"/>
        </w:tcPr>
        <w:p w:rsidR="00F1388D" w:rsidRDefault="00F1388D">
          <w:pPr>
            <w:pStyle w:val="HeaderSectionRight"/>
          </w:pPr>
        </w:p>
      </w:tc>
    </w:tr>
  </w:tbl>
  <w:p w:rsidR="00F1388D" w:rsidRDefault="00F1388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F1388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025BF4">
    <w:pPr>
      <w:pStyle w:val="headerpartodd"/>
      <w:ind w:left="0" w:firstLine="0"/>
      <w:rPr>
        <w:i/>
      </w:rPr>
    </w:pPr>
    <w:r>
      <w:rPr>
        <w:i/>
      </w:rPr>
      <w:fldChar w:fldCharType="begin"/>
    </w:r>
    <w:r>
      <w:rPr>
        <w:i/>
      </w:rPr>
      <w:instrText xml:space="preserve"> Styleref "Name of Act/Reg" </w:instrText>
    </w:r>
    <w:r>
      <w:rPr>
        <w:i/>
      </w:rPr>
      <w:fldChar w:fldCharType="separate"/>
    </w:r>
    <w:r w:rsidR="00987F32">
      <w:rPr>
        <w:i/>
        <w:noProof/>
      </w:rPr>
      <w:t>Kwinana-Mundijong-Jarrahdale Railway Act 1961</w:t>
    </w:r>
    <w:r>
      <w:rPr>
        <w:i/>
      </w:rPr>
      <w:fldChar w:fldCharType="end"/>
    </w:r>
  </w:p>
  <w:p w:rsidR="00F1388D" w:rsidRDefault="00F1388D">
    <w:pPr>
      <w:pStyle w:val="headerpartodd"/>
      <w:ind w:left="0" w:firstLine="0"/>
      <w:rPr>
        <w:b w:val="0"/>
        <w:i/>
      </w:rPr>
    </w:pPr>
  </w:p>
  <w:p w:rsidR="00F1388D" w:rsidRDefault="00F1388D">
    <w:pPr>
      <w:pStyle w:val="headerpart"/>
    </w:pPr>
  </w:p>
  <w:p w:rsidR="00F1388D" w:rsidRDefault="00F1388D">
    <w:pPr>
      <w:pStyle w:val="headerpart"/>
    </w:pPr>
  </w:p>
  <w:p w:rsidR="00F1388D" w:rsidRDefault="00F1388D">
    <w:pPr>
      <w:pBdr>
        <w:bottom w:val="single" w:sz="6" w:space="1" w:color="auto"/>
      </w:pBdr>
      <w:rPr>
        <w:b/>
      </w:rPr>
    </w:pPr>
  </w:p>
  <w:p w:rsidR="00F1388D" w:rsidRDefault="00F1388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88D" w:rsidRDefault="00025BF4">
    <w:pPr>
      <w:pStyle w:val="headerpartodd"/>
      <w:ind w:left="0" w:firstLine="0"/>
      <w:jc w:val="right"/>
      <w:rPr>
        <w:i/>
      </w:rPr>
    </w:pPr>
    <w:r>
      <w:rPr>
        <w:i/>
      </w:rPr>
      <w:fldChar w:fldCharType="begin"/>
    </w:r>
    <w:r>
      <w:rPr>
        <w:i/>
      </w:rPr>
      <w:instrText xml:space="preserve"> Styleref "Name of Act/Reg" </w:instrText>
    </w:r>
    <w:r>
      <w:rPr>
        <w:i/>
      </w:rPr>
      <w:fldChar w:fldCharType="separate"/>
    </w:r>
    <w:r w:rsidR="00987F32">
      <w:rPr>
        <w:i/>
        <w:noProof/>
      </w:rPr>
      <w:t>Kwinana-Mundijong-Jarrahdale Railway Act 1961</w:t>
    </w:r>
    <w:r>
      <w:rPr>
        <w:i/>
      </w:rPr>
      <w:fldChar w:fldCharType="end"/>
    </w:r>
  </w:p>
  <w:p w:rsidR="00F1388D" w:rsidRDefault="00F1388D">
    <w:pPr>
      <w:pStyle w:val="headerpartodd"/>
      <w:ind w:left="0" w:firstLine="0"/>
      <w:jc w:val="right"/>
      <w:rPr>
        <w:b w:val="0"/>
        <w:i/>
      </w:rPr>
    </w:pPr>
  </w:p>
  <w:p w:rsidR="00F1388D" w:rsidRDefault="00F1388D">
    <w:pPr>
      <w:pStyle w:val="headerpart"/>
      <w:jc w:val="right"/>
    </w:pPr>
  </w:p>
  <w:p w:rsidR="00F1388D" w:rsidRDefault="00F1388D">
    <w:pPr>
      <w:pStyle w:val="headerpart"/>
      <w:jc w:val="right"/>
      <w:rPr>
        <w:sz w:val="24"/>
      </w:rPr>
    </w:pPr>
  </w:p>
  <w:p w:rsidR="00F1388D" w:rsidRDefault="00F1388D">
    <w:pPr>
      <w:pBdr>
        <w:bottom w:val="single" w:sz="6" w:space="1" w:color="auto"/>
      </w:pBdr>
      <w:jc w:val="right"/>
      <w:rPr>
        <w:b/>
      </w:rPr>
    </w:pPr>
  </w:p>
  <w:p w:rsidR="00F1388D" w:rsidRDefault="00F138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BF4"/>
    <w:rsid w:val="00025BF4"/>
    <w:rsid w:val="00624BB4"/>
    <w:rsid w:val="00987F32"/>
    <w:rsid w:val="00A63E11"/>
    <w:rsid w:val="00F138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3593</Characters>
  <Application>Microsoft Office Word</Application>
  <DocSecurity>0</DocSecurity>
  <Lines>119</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1961 - 00-a0-06</dc:title>
  <dc:subject/>
  <dc:creator>Dave Harrold</dc:creator>
  <cp:keywords/>
  <cp:lastModifiedBy>svcMRProcess</cp:lastModifiedBy>
  <cp:revision>4</cp:revision>
  <cp:lastPrinted>1997-12-30T11:15:00Z</cp:lastPrinted>
  <dcterms:created xsi:type="dcterms:W3CDTF">2013-02-17T11:00:00Z</dcterms:created>
  <dcterms:modified xsi:type="dcterms:W3CDTF">2013-02-17T11:00:00Z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