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50"/>
      </w:pPr>
      <w:r>
        <w:fldChar w:fldCharType="begin"/>
      </w:r>
      <w:r>
        <w:instrText xml:space="preserve"> STYLEREF "Name Of Act/Reg"</w:instrText>
      </w:r>
      <w:r>
        <w:fldChar w:fldCharType="separate"/>
      </w:r>
      <w:r>
        <w:rPr>
          <w:noProof/>
        </w:rPr>
        <w:t>Library Board of Western Australia Act 1951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Library Board of Western Australia Act 1951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_Toc102378037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_Toc102378038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_Toc102378039 \h </w:instrText>
      </w:r>
      <w:r>
        <w:rPr>
          <w:noProof/>
        </w:rPr>
      </w:r>
      <w:r>
        <w:rPr>
          <w:noProof/>
        </w:rPr>
        <w:fldChar w:fldCharType="separate"/>
      </w:r>
      <w:r>
        <w:rPr>
          <w:noProof/>
        </w:rPr>
        <w:t>1</w:t>
      </w:r>
      <w:r>
        <w:rPr>
          <w:noProof/>
        </w:rPr>
        <w:fldChar w:fldCharType="end"/>
      </w:r>
    </w:p>
    <w:p>
      <w:pPr>
        <w:pStyle w:val="TOC3"/>
        <w:rPr>
          <w:b w:val="0"/>
          <w:noProof/>
          <w:sz w:val="24"/>
          <w:szCs w:val="24"/>
        </w:rPr>
      </w:pPr>
      <w:r>
        <w:rPr>
          <w:noProof/>
          <w:szCs w:val="26"/>
        </w:rPr>
        <w:t>General provisions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Participating bodies</w:t>
      </w:r>
      <w:r>
        <w:rPr>
          <w:noProof/>
        </w:rPr>
        <w:tab/>
      </w:r>
      <w:r>
        <w:rPr>
          <w:noProof/>
        </w:rPr>
        <w:fldChar w:fldCharType="begin"/>
      </w:r>
      <w:r>
        <w:rPr>
          <w:noProof/>
        </w:rPr>
        <w:instrText xml:space="preserve"> PAGEREF _Toc102378041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The Board</w:t>
      </w:r>
      <w:r>
        <w:rPr>
          <w:noProof/>
        </w:rPr>
        <w:tab/>
      </w:r>
      <w:r>
        <w:rPr>
          <w:noProof/>
        </w:rPr>
        <w:fldChar w:fldCharType="begin"/>
      </w:r>
      <w:r>
        <w:rPr>
          <w:noProof/>
        </w:rPr>
        <w:instrText xml:space="preserve"> PAGEREF _Toc102378042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Appointment of Secretary and officers</w:t>
      </w:r>
      <w:r>
        <w:rPr>
          <w:noProof/>
        </w:rPr>
        <w:tab/>
      </w:r>
      <w:r>
        <w:rPr>
          <w:noProof/>
        </w:rPr>
        <w:fldChar w:fldCharType="begin"/>
      </w:r>
      <w:r>
        <w:rPr>
          <w:noProof/>
        </w:rPr>
        <w:instrText xml:space="preserve"> PAGEREF _Toc102378043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Board a body corporate</w:t>
      </w:r>
      <w:r>
        <w:rPr>
          <w:noProof/>
        </w:rPr>
        <w:tab/>
      </w:r>
      <w:r>
        <w:rPr>
          <w:noProof/>
        </w:rPr>
        <w:fldChar w:fldCharType="begin"/>
      </w:r>
      <w:r>
        <w:rPr>
          <w:noProof/>
        </w:rPr>
        <w:instrText xml:space="preserve"> PAGEREF _Toc102378044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Contracts</w:t>
      </w:r>
      <w:r>
        <w:rPr>
          <w:noProof/>
        </w:rPr>
        <w:tab/>
      </w:r>
      <w:r>
        <w:rPr>
          <w:noProof/>
        </w:rPr>
        <w:fldChar w:fldCharType="begin"/>
      </w:r>
      <w:r>
        <w:rPr>
          <w:noProof/>
        </w:rPr>
        <w:instrText xml:space="preserve"> PAGEREF _Toc102378045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Protection of members of Board, officers, etc.</w:t>
      </w:r>
      <w:r>
        <w:rPr>
          <w:noProof/>
        </w:rPr>
        <w:tab/>
      </w:r>
      <w:r>
        <w:rPr>
          <w:noProof/>
        </w:rPr>
        <w:fldChar w:fldCharType="begin"/>
      </w:r>
      <w:r>
        <w:rPr>
          <w:noProof/>
        </w:rPr>
        <w:instrText xml:space="preserve"> PAGEREF _Toc102378046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Judicial notice of common seal</w:t>
      </w:r>
      <w:r>
        <w:rPr>
          <w:noProof/>
        </w:rPr>
        <w:tab/>
      </w:r>
      <w:r>
        <w:rPr>
          <w:noProof/>
        </w:rPr>
        <w:fldChar w:fldCharType="begin"/>
      </w:r>
      <w:r>
        <w:rPr>
          <w:noProof/>
        </w:rPr>
        <w:instrText xml:space="preserve"> PAGEREF _Toc102378047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Documents, how authenticated</w:t>
      </w:r>
      <w:r>
        <w:rPr>
          <w:noProof/>
        </w:rPr>
        <w:tab/>
      </w:r>
      <w:r>
        <w:rPr>
          <w:noProof/>
        </w:rPr>
        <w:fldChar w:fldCharType="begin"/>
      </w:r>
      <w:r>
        <w:rPr>
          <w:noProof/>
        </w:rPr>
        <w:instrText xml:space="preserve"> PAGEREF _Toc102378048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Power of officer to represent Board</w:t>
      </w:r>
      <w:r>
        <w:rPr>
          <w:noProof/>
        </w:rPr>
        <w:tab/>
      </w:r>
      <w:r>
        <w:rPr>
          <w:noProof/>
        </w:rPr>
        <w:fldChar w:fldCharType="begin"/>
      </w:r>
      <w:r>
        <w:rPr>
          <w:noProof/>
        </w:rPr>
        <w:instrText xml:space="preserve"> PAGEREF _Toc102378049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Proof of certain matters not required</w:t>
      </w:r>
      <w:r>
        <w:rPr>
          <w:noProof/>
        </w:rPr>
        <w:tab/>
      </w:r>
      <w:r>
        <w:rPr>
          <w:noProof/>
        </w:rPr>
        <w:fldChar w:fldCharType="begin"/>
      </w:r>
      <w:r>
        <w:rPr>
          <w:noProof/>
        </w:rPr>
        <w:instrText xml:space="preserve"> PAGEREF _Toc102378050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Evidence of documents issued by the Board</w:t>
      </w:r>
      <w:r>
        <w:rPr>
          <w:noProof/>
        </w:rPr>
        <w:tab/>
      </w:r>
      <w:r>
        <w:rPr>
          <w:noProof/>
        </w:rPr>
        <w:fldChar w:fldCharType="begin"/>
      </w:r>
      <w:r>
        <w:rPr>
          <w:noProof/>
        </w:rPr>
        <w:instrText xml:space="preserve"> PAGEREF _Toc102378051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_Toc102378052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Financial provisions</w:t>
      </w:r>
      <w:r>
        <w:rPr>
          <w:noProof/>
        </w:rPr>
        <w:tab/>
      </w:r>
      <w:r>
        <w:rPr>
          <w:noProof/>
        </w:rPr>
        <w:fldChar w:fldCharType="begin"/>
      </w:r>
      <w:r>
        <w:rPr>
          <w:noProof/>
        </w:rPr>
        <w:instrText xml:space="preserve"> PAGEREF _Toc102378053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Temporary investment</w:t>
      </w:r>
      <w:r>
        <w:rPr>
          <w:noProof/>
        </w:rPr>
        <w:tab/>
      </w:r>
      <w:r>
        <w:rPr>
          <w:noProof/>
        </w:rPr>
        <w:fldChar w:fldCharType="begin"/>
      </w:r>
      <w:r>
        <w:rPr>
          <w:noProof/>
        </w:rPr>
        <w:instrText xml:space="preserve"> PAGEREF _Toc102378054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Financial assistance</w:t>
      </w:r>
      <w:r>
        <w:rPr>
          <w:noProof/>
        </w:rPr>
        <w:tab/>
      </w:r>
      <w:r>
        <w:rPr>
          <w:noProof/>
        </w:rPr>
        <w:fldChar w:fldCharType="begin"/>
      </w:r>
      <w:r>
        <w:rPr>
          <w:noProof/>
        </w:rPr>
        <w:instrText xml:space="preserve"> PAGEREF _Toc102378055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Rating powers of local government</w:t>
      </w:r>
      <w:r>
        <w:rPr>
          <w:noProof/>
        </w:rPr>
        <w:tab/>
      </w:r>
      <w:r>
        <w:rPr>
          <w:noProof/>
        </w:rPr>
        <w:fldChar w:fldCharType="begin"/>
      </w:r>
      <w:r>
        <w:rPr>
          <w:noProof/>
        </w:rPr>
        <w:instrText xml:space="preserve"> PAGEREF _Toc102378056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i/>
          <w:noProof/>
          <w:snapToGrid w:val="0"/>
          <w:szCs w:val="24"/>
        </w:rPr>
        <w:t>.</w:t>
      </w:r>
      <w:r>
        <w:rPr>
          <w:noProof/>
          <w:sz w:val="24"/>
          <w:szCs w:val="24"/>
        </w:rPr>
        <w:tab/>
      </w:r>
      <w:r>
        <w:rPr>
          <w:noProof/>
          <w:snapToGrid w:val="0"/>
          <w:szCs w:val="24"/>
        </w:rPr>
        <w:t>Application of</w:t>
      </w:r>
      <w:r>
        <w:rPr>
          <w:i/>
          <w:noProof/>
          <w:snapToGrid w:val="0"/>
          <w:szCs w:val="24"/>
        </w:rPr>
        <w:t xml:space="preserve"> Financial Administration and Audit Act 1985</w:t>
      </w:r>
      <w:r>
        <w:rPr>
          <w:noProof/>
        </w:rPr>
        <w:tab/>
      </w:r>
      <w:r>
        <w:rPr>
          <w:noProof/>
        </w:rPr>
        <w:fldChar w:fldCharType="begin"/>
      </w:r>
      <w:r>
        <w:rPr>
          <w:noProof/>
        </w:rPr>
        <w:instrText xml:space="preserve"> PAGEREF _Toc102378057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20A</w:t>
      </w:r>
      <w:r>
        <w:rPr>
          <w:noProof/>
          <w:snapToGrid w:val="0"/>
          <w:szCs w:val="24"/>
        </w:rPr>
        <w:t>.</w:t>
      </w:r>
      <w:r>
        <w:rPr>
          <w:noProof/>
          <w:sz w:val="24"/>
          <w:szCs w:val="24"/>
        </w:rPr>
        <w:tab/>
      </w:r>
      <w:r>
        <w:rPr>
          <w:noProof/>
          <w:snapToGrid w:val="0"/>
          <w:szCs w:val="24"/>
        </w:rPr>
        <w:t>Transition provisions relating to transfer of Public Library to the Board</w:t>
      </w:r>
      <w:r>
        <w:rPr>
          <w:noProof/>
        </w:rPr>
        <w:tab/>
      </w:r>
      <w:r>
        <w:rPr>
          <w:noProof/>
        </w:rPr>
        <w:fldChar w:fldCharType="begin"/>
      </w:r>
      <w:r>
        <w:rPr>
          <w:noProof/>
        </w:rPr>
        <w:instrText xml:space="preserve"> PAGEREF _Toc102378058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_Toc102378059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lastRenderedPageBreak/>
        <w:tab/>
        <w:t>Compilation table</w:t>
      </w:r>
      <w:r>
        <w:rPr>
          <w:noProof/>
        </w:rPr>
        <w:tab/>
      </w:r>
      <w:r>
        <w:rPr>
          <w:noProof/>
        </w:rPr>
        <w:fldChar w:fldCharType="begin"/>
      </w:r>
      <w:r>
        <w:rPr>
          <w:noProof/>
        </w:rPr>
        <w:instrText xml:space="preserve"> PAGEREF _Toc102378061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_Toc102378062 \h </w:instrText>
      </w:r>
      <w:r>
        <w:rPr>
          <w:noProof/>
        </w:rPr>
      </w:r>
      <w:r>
        <w:rPr>
          <w:noProof/>
        </w:rPr>
        <w:fldChar w:fldCharType="separate"/>
      </w:r>
      <w:r>
        <w:rPr>
          <w:noProof/>
        </w:rPr>
        <w:t>23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Library Board of Western Australia Act 1951 </w:t>
      </w:r>
    </w:p>
    <w:p>
      <w:pPr>
        <w:pStyle w:val="LongTitle"/>
        <w:rPr>
          <w:snapToGrid w:val="0"/>
        </w:rPr>
      </w:pPr>
      <w:r>
        <w:rPr>
          <w:snapToGrid w:val="0"/>
        </w:rPr>
        <w:t xml:space="preserve">An Act to provide for the constitution and functions of a Library Board and for other purposes. </w:t>
      </w:r>
    </w:p>
    <w:p>
      <w:pPr>
        <w:pStyle w:val="Heading5"/>
        <w:rPr>
          <w:snapToGrid w:val="0"/>
        </w:rPr>
      </w:pPr>
      <w:bookmarkStart w:id="1" w:name="_Toc411311966"/>
      <w:bookmarkStart w:id="2" w:name="_Toc516381089"/>
      <w:bookmarkStart w:id="3" w:name="_Toc10237803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4" w:name="_Toc411311967"/>
      <w:bookmarkStart w:id="5" w:name="_Toc516381090"/>
      <w:bookmarkStart w:id="6" w:name="_Toc102378038"/>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11311968"/>
      <w:bookmarkStart w:id="8" w:name="_Toc516381091"/>
      <w:bookmarkStart w:id="9" w:name="_Toc102378039"/>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 </w:t>
      </w:r>
    </w:p>
    <w:p>
      <w:pPr>
        <w:pStyle w:val="Defstart"/>
      </w:pPr>
      <w:r>
        <w:rPr>
          <w:b/>
        </w:rPr>
        <w:tab/>
        <w:t>“</w:t>
      </w:r>
      <w:r>
        <w:rPr>
          <w:rStyle w:val="CharDefText"/>
        </w:rPr>
        <w:t>approved body</w:t>
      </w:r>
      <w:r>
        <w:rPr>
          <w:b/>
        </w:rPr>
        <w:t>”</w:t>
      </w:r>
      <w:r>
        <w:t xml:space="preserve"> means an organization which is not a local government and which, pursuant to the provisions of this Act, elects and is declared by the Governor to be a body approved as suitable for participation in a scheme;</w:t>
      </w:r>
    </w:p>
    <w:p>
      <w:pPr>
        <w:pStyle w:val="Defstart"/>
      </w:pPr>
      <w:r>
        <w:rPr>
          <w:b/>
        </w:rPr>
        <w:tab/>
        <w:t>“</w:t>
      </w:r>
      <w:r>
        <w:rPr>
          <w:rStyle w:val="CharDefText"/>
        </w:rPr>
        <w:t>Board</w:t>
      </w:r>
      <w:r>
        <w:rPr>
          <w:b/>
        </w:rPr>
        <w:t>”</w:t>
      </w:r>
      <w:r>
        <w:t xml:space="preserve"> means The Library Board of Western Australia, constituted pursuant to the provisions of this Act;</w:t>
      </w:r>
    </w:p>
    <w:p>
      <w:pPr>
        <w:pStyle w:val="Defstart"/>
      </w:pPr>
      <w:r>
        <w:rPr>
          <w:b/>
        </w:rPr>
        <w:tab/>
        <w:t>“</w:t>
      </w:r>
      <w:r>
        <w:rPr>
          <w:rStyle w:val="CharDefText"/>
        </w:rPr>
        <w:t>Fund</w:t>
      </w:r>
      <w:r>
        <w:rPr>
          <w:b/>
        </w:rPr>
        <w:t>”</w:t>
      </w:r>
      <w:r>
        <w:t xml:space="preserve"> means The Library Board of Western Australia Fund;</w:t>
      </w:r>
    </w:p>
    <w:p>
      <w:pPr>
        <w:pStyle w:val="Defstart"/>
      </w:pPr>
      <w:r>
        <w:rPr>
          <w:b/>
        </w:rPr>
        <w:tab/>
        <w:t>“</w:t>
      </w:r>
      <w:r>
        <w:rPr>
          <w:rStyle w:val="CharDefText"/>
        </w:rPr>
        <w:t>library</w:t>
      </w:r>
      <w:r>
        <w:rPr>
          <w:b/>
        </w:rPr>
        <w:t>”</w:t>
      </w:r>
      <w:r>
        <w:t xml:space="preserve"> includes a children’s library, but does not include a library conducted by private enterprise for profit;</w:t>
      </w:r>
    </w:p>
    <w:p>
      <w:pPr>
        <w:pStyle w:val="Defstart"/>
      </w:pPr>
      <w:r>
        <w:rPr>
          <w:b/>
        </w:rPr>
        <w:tab/>
        <w:t>“</w:t>
      </w:r>
      <w:r>
        <w:rPr>
          <w:rStyle w:val="CharDefText"/>
        </w:rPr>
        <w:t>library service</w:t>
      </w:r>
      <w:r>
        <w:rPr>
          <w:b/>
        </w:rPr>
        <w:t>”</w:t>
      </w:r>
      <w:r>
        <w:t xml:space="preserve"> does not include a library service conducted by private enterprise for profit;</w:t>
      </w:r>
    </w:p>
    <w:p>
      <w:pPr>
        <w:pStyle w:val="Defstart"/>
      </w:pPr>
      <w:r>
        <w:rPr>
          <w:b/>
        </w:rPr>
        <w:tab/>
        <w:t>“</w:t>
      </w:r>
      <w:r>
        <w:rPr>
          <w:rStyle w:val="CharDefText"/>
        </w:rPr>
        <w:t>nominee member</w:t>
      </w:r>
      <w:r>
        <w:rPr>
          <w:b/>
        </w:rPr>
        <w:t>”</w:t>
      </w:r>
      <w:r>
        <w:t xml:space="preserve"> means a person appointed as a member of the Board under section 5(3);</w:t>
      </w:r>
    </w:p>
    <w:p>
      <w:pPr>
        <w:pStyle w:val="Defstart"/>
      </w:pPr>
      <w:r>
        <w:rPr>
          <w:b/>
        </w:rPr>
        <w:tab/>
        <w:t>“</w:t>
      </w:r>
      <w:r>
        <w:rPr>
          <w:rStyle w:val="CharDefText"/>
        </w:rPr>
        <w:t>participating body</w:t>
      </w:r>
      <w:r>
        <w:rPr>
          <w:b/>
        </w:rPr>
        <w:t>”</w:t>
      </w:r>
      <w:r>
        <w:t xml:space="preserve"> means — </w:t>
      </w:r>
    </w:p>
    <w:p>
      <w:pPr>
        <w:pStyle w:val="Defpara"/>
      </w:pPr>
      <w:r>
        <w:tab/>
        <w:t>(i)</w:t>
      </w:r>
      <w:r>
        <w:tab/>
        <w:t>a local government; or</w:t>
      </w:r>
    </w:p>
    <w:p>
      <w:pPr>
        <w:pStyle w:val="Defpara"/>
      </w:pPr>
      <w:r>
        <w:tab/>
        <w:t>(ii)</w:t>
      </w:r>
      <w:r>
        <w:tab/>
        <w:t>an approved body;</w:t>
      </w:r>
    </w:p>
    <w:p>
      <w:pPr>
        <w:pStyle w:val="Defstart"/>
      </w:pPr>
      <w:r>
        <w:tab/>
      </w:r>
      <w:r>
        <w:tab/>
        <w:t>which elects and is declared to be a participating body pursuant to the provisions of this Act, during such time as it continues to be and to participate as such in a scheme;</w:t>
      </w:r>
    </w:p>
    <w:p>
      <w:pPr>
        <w:pStyle w:val="Defstart"/>
      </w:pPr>
      <w:r>
        <w:rPr>
          <w:b/>
        </w:rPr>
        <w:tab/>
        <w:t>“</w:t>
      </w:r>
      <w:r>
        <w:rPr>
          <w:rStyle w:val="CharDefText"/>
        </w:rPr>
        <w:t>registered public library</w:t>
      </w:r>
      <w:r>
        <w:rPr>
          <w:b/>
        </w:rPr>
        <w:t>”</w:t>
      </w:r>
      <w:r>
        <w:t xml:space="preserve"> means a free library registered by the Board in pursuance of the provisions of this Act;</w:t>
      </w:r>
    </w:p>
    <w:p>
      <w:pPr>
        <w:pStyle w:val="Defstart"/>
      </w:pPr>
      <w:r>
        <w:rPr>
          <w:b/>
        </w:rPr>
        <w:tab/>
        <w:t>“</w:t>
      </w:r>
      <w:r>
        <w:rPr>
          <w:rStyle w:val="CharDefText"/>
        </w:rPr>
        <w:t>scheme</w:t>
      </w:r>
      <w:r>
        <w:rPr>
          <w:b/>
        </w:rPr>
        <w:t>”</w:t>
      </w:r>
      <w:r>
        <w:t xml:space="preserve"> means a scheme for the promotion, organization, or supervision, generally or in any particular case, pursuant to the provisions of this Act, of free libraries and free library services;</w:t>
      </w:r>
    </w:p>
    <w:p>
      <w:pPr>
        <w:pStyle w:val="Defstart"/>
      </w:pPr>
      <w:r>
        <w:rPr>
          <w:b/>
        </w:rPr>
        <w:tab/>
        <w:t>“</w:t>
      </w:r>
      <w:r>
        <w:rPr>
          <w:rStyle w:val="CharDefText"/>
        </w:rPr>
        <w:t>State Reference Library</w:t>
      </w:r>
      <w:r>
        <w:rPr>
          <w:b/>
        </w:rPr>
        <w:t>”</w:t>
      </w:r>
      <w:r>
        <w:t xml:space="preserve"> means The State Reference Library of Western Australia, known prior to the coming into operation — </w:t>
      </w:r>
    </w:p>
    <w:p>
      <w:pPr>
        <w:pStyle w:val="Defpara"/>
      </w:pPr>
      <w:r>
        <w:tab/>
        <w:t>(a)</w:t>
      </w:r>
      <w:r>
        <w:tab/>
        <w:t xml:space="preserve">of the </w:t>
      </w:r>
      <w:r>
        <w:rPr>
          <w:i/>
        </w:rPr>
        <w:t xml:space="preserve">Acts Amendment (Libraries) Act 1955 </w:t>
      </w:r>
      <w:r>
        <w:rPr>
          <w:i/>
          <w:vertAlign w:val="superscript"/>
        </w:rPr>
        <w:t>1</w:t>
      </w:r>
      <w:r>
        <w:t>, as the Public Library of Western Australia; and</w:t>
      </w:r>
    </w:p>
    <w:p>
      <w:pPr>
        <w:pStyle w:val="Defpara"/>
      </w:pPr>
      <w:r>
        <w:tab/>
        <w:t>(b)</w:t>
      </w:r>
      <w:r>
        <w:tab/>
        <w:t xml:space="preserve">of the </w:t>
      </w:r>
      <w:r>
        <w:rPr>
          <w:i/>
        </w:rPr>
        <w:t xml:space="preserve">Library Board of Western Australia Act Amendment Act 1974 </w:t>
      </w:r>
      <w:r>
        <w:rPr>
          <w:i/>
          <w:vertAlign w:val="superscript"/>
        </w:rPr>
        <w:t>1</w:t>
      </w:r>
      <w:r>
        <w:t>, as The State Library of Western Australia.</w:t>
      </w:r>
    </w:p>
    <w:p>
      <w:pPr>
        <w:pStyle w:val="Ednotesubsection"/>
      </w:pPr>
      <w:r>
        <w:tab/>
        <w:t>[(2)</w:t>
      </w:r>
      <w:r>
        <w:tab/>
        <w:t>repealed]</w:t>
      </w:r>
    </w:p>
    <w:p>
      <w:pPr>
        <w:pStyle w:val="Footnotesection"/>
      </w:pPr>
      <w:r>
        <w:tab/>
        <w:t xml:space="preserve">[Section 3 amended by No. 20 of 1955 s.5; No. 29 of 1974 s.2; No. 44 of 1983 s.2; No. 14 of 1996 s.4; No. 53 of 2000 s.12.] </w:t>
      </w:r>
    </w:p>
    <w:p>
      <w:pPr>
        <w:pStyle w:val="Heading3"/>
      </w:pPr>
      <w:bookmarkStart w:id="10" w:name="_Toc89510840"/>
      <w:bookmarkStart w:id="11" w:name="_Toc89566907"/>
      <w:bookmarkStart w:id="12" w:name="_Toc100398450"/>
      <w:bookmarkStart w:id="13" w:name="_Toc100570069"/>
      <w:bookmarkStart w:id="14" w:name="_Toc102378040"/>
      <w:r>
        <w:t>General provisions</w:t>
      </w:r>
      <w:bookmarkEnd w:id="10"/>
      <w:bookmarkEnd w:id="11"/>
      <w:bookmarkEnd w:id="12"/>
      <w:bookmarkEnd w:id="13"/>
      <w:bookmarkEnd w:id="14"/>
    </w:p>
    <w:p>
      <w:pPr>
        <w:pStyle w:val="Footnoteheading"/>
        <w:rPr>
          <w:snapToGrid w:val="0"/>
        </w:rPr>
      </w:pPr>
      <w:r>
        <w:rPr>
          <w:snapToGrid w:val="0"/>
        </w:rPr>
        <w:tab/>
        <w:t>[Heading inserted by No. 29 of 1974 s.3.]</w:t>
      </w:r>
    </w:p>
    <w:p>
      <w:pPr>
        <w:pStyle w:val="Heading5"/>
        <w:rPr>
          <w:snapToGrid w:val="0"/>
        </w:rPr>
      </w:pPr>
      <w:bookmarkStart w:id="15" w:name="_Toc411311969"/>
      <w:bookmarkStart w:id="16" w:name="_Toc516381092"/>
      <w:bookmarkStart w:id="17" w:name="_Toc102378041"/>
      <w:r>
        <w:rPr>
          <w:rStyle w:val="CharSectno"/>
        </w:rPr>
        <w:t>4</w:t>
      </w:r>
      <w:r>
        <w:rPr>
          <w:snapToGrid w:val="0"/>
        </w:rPr>
        <w:t>.</w:t>
      </w:r>
      <w:r>
        <w:rPr>
          <w:snapToGrid w:val="0"/>
        </w:rPr>
        <w:tab/>
        <w:t>Participating bodies</w:t>
      </w:r>
      <w:bookmarkEnd w:id="15"/>
      <w:bookmarkEnd w:id="16"/>
      <w:bookmarkEnd w:id="17"/>
      <w:r>
        <w:rPr>
          <w:snapToGrid w:val="0"/>
        </w:rPr>
        <w:t xml:space="preserve"> </w:t>
      </w:r>
    </w:p>
    <w:p>
      <w:pPr>
        <w:pStyle w:val="Subsection"/>
        <w:rPr>
          <w:snapToGrid w:val="0"/>
        </w:rPr>
      </w:pPr>
      <w:r>
        <w:rPr>
          <w:snapToGrid w:val="0"/>
        </w:rPr>
        <w:tab/>
        <w:t>(1)</w:t>
      </w:r>
      <w:r>
        <w:rPr>
          <w:snapToGrid w:val="0"/>
        </w:rPr>
        <w:tab/>
        <w:t>A local government or an approved body —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 xml:space="preserve">[Section 4 amended by No. 14 of 1996 s.4.] </w:t>
      </w:r>
    </w:p>
    <w:p>
      <w:pPr>
        <w:pStyle w:val="Heading5"/>
        <w:rPr>
          <w:snapToGrid w:val="0"/>
        </w:rPr>
      </w:pPr>
      <w:bookmarkStart w:id="18" w:name="_Toc411311970"/>
      <w:bookmarkStart w:id="19" w:name="_Toc516381093"/>
      <w:bookmarkStart w:id="20" w:name="_Toc102378042"/>
      <w:r>
        <w:rPr>
          <w:rStyle w:val="CharSectno"/>
        </w:rPr>
        <w:t>5</w:t>
      </w:r>
      <w:r>
        <w:rPr>
          <w:snapToGrid w:val="0"/>
        </w:rPr>
        <w:t>.</w:t>
      </w:r>
      <w:r>
        <w:rPr>
          <w:snapToGrid w:val="0"/>
        </w:rPr>
        <w:tab/>
        <w:t>The Board</w:t>
      </w:r>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Ednotesubsection"/>
      </w:pPr>
      <w:r>
        <w:tab/>
        <w:t>[(1a)</w:t>
      </w:r>
      <w:r>
        <w:tab/>
        <w:t>repealed]</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xml:space="preserve">, one shall be the Permanent Head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w:t>
      </w:r>
    </w:p>
    <w:p>
      <w:pPr>
        <w:pStyle w:val="Subsection"/>
      </w:pPr>
      <w:r>
        <w:tab/>
      </w:r>
      <w:r>
        <w:tab/>
        <w:t xml:space="preserve">persons named from each panel to be the member of the Board for the purposes of that paragraph — </w:t>
      </w:r>
    </w:p>
    <w:p>
      <w:pPr>
        <w:pStyle w:val="Indenta"/>
      </w:pPr>
      <w:r>
        <w:tab/>
        <w:t>(a)</w:t>
      </w:r>
      <w:r>
        <w:tab/>
        <w:t>representing the Australian Library and Information Association;</w:t>
      </w:r>
    </w:p>
    <w:p>
      <w:pPr>
        <w:pStyle w:val="Indenta"/>
      </w:pPr>
      <w:r>
        <w:rPr>
          <w:sz w:val="22"/>
        </w:rPr>
        <w:tab/>
        <w:t>(b)</w:t>
      </w:r>
      <w:r>
        <w:rPr>
          <w:sz w:val="22"/>
        </w:rPr>
        <w:tab/>
      </w:r>
      <w:r>
        <w:t>representing</w:t>
      </w:r>
      <w:r>
        <w:rPr>
          <w:sz w:val="22"/>
        </w:rPr>
        <w:t xml:space="preserve">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w:t>
      </w:r>
    </w:p>
    <w:p>
      <w:pPr>
        <w:pStyle w:val="Subsection"/>
      </w:pPr>
      <w:r>
        <w:tab/>
      </w:r>
      <w:r>
        <w:tab/>
        <w:t>paragraph within 28 days of the service of the request, but where no panel of names is submitted in response to the request within that time the Governor, on the recommendation of the Minister, may appoint a person under the appropriate paragraph as a member of the</w:t>
      </w:r>
    </w:p>
    <w:p>
      <w:pPr>
        <w:pStyle w:val="Subsection"/>
      </w:pPr>
      <w:r>
        <w:tab/>
      </w:r>
      <w:r>
        <w:tab/>
        <w:t>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Indenta"/>
        <w:rPr>
          <w:snapToGrid w:val="0"/>
        </w:rPr>
      </w:pPr>
      <w:r>
        <w:rPr>
          <w:snapToGrid w:val="0"/>
        </w:rPr>
        <w:tab/>
        <w:t>(b)(i)</w:t>
      </w:r>
      <w:r>
        <w:rPr>
          <w:snapToGrid w:val="0"/>
        </w:rPr>
        <w:tab/>
        <w:t>In the event of the absence of the Chairman, the Vice Chairman shall have all the powers of the Chairman.</w:t>
      </w:r>
    </w:p>
    <w:p>
      <w:pPr>
        <w:pStyle w:val="Indenta"/>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 </w:t>
      </w:r>
    </w:p>
    <w:p>
      <w:pPr>
        <w:pStyle w:val="Indenta"/>
        <w:rPr>
          <w:snapToGrid w:val="0"/>
        </w:rPr>
      </w:pPr>
      <w:r>
        <w:rPr>
          <w:snapToGrid w:val="0"/>
        </w:rPr>
        <w:tab/>
      </w:r>
      <w:r>
        <w:rPr>
          <w:snapToGrid w:val="0"/>
        </w:rPr>
        <w:tab/>
        <w:t>7 members shall constitute a quorum for the conduct of business;</w:t>
      </w:r>
    </w:p>
    <w:p>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 xml:space="preserve">[Section 5 amended by No. 20 of 1955 s.6; No. 29 of 1974 s.4; No. 44 of 1983 s.3; No. 75 of 1987 s.5; No. 7 of 1988 s.20; No. 32 of 1994 s.19; No. 14 of 1996 s.4; No. 22 of 1996 s.16(6); No. 57 of 1997 s.80; No. 36 of 1999 s.247; No. 49 of 2004 s. 13.] </w:t>
      </w:r>
    </w:p>
    <w:p>
      <w:pPr>
        <w:pStyle w:val="Heading5"/>
        <w:rPr>
          <w:snapToGrid w:val="0"/>
        </w:rPr>
      </w:pPr>
      <w:bookmarkStart w:id="21" w:name="_Toc411311971"/>
      <w:bookmarkStart w:id="22" w:name="_Toc516381094"/>
      <w:bookmarkStart w:id="23" w:name="_Toc102378043"/>
      <w:r>
        <w:rPr>
          <w:rStyle w:val="CharSectno"/>
        </w:rPr>
        <w:t>6</w:t>
      </w:r>
      <w:r>
        <w:rPr>
          <w:snapToGrid w:val="0"/>
        </w:rPr>
        <w:t>.</w:t>
      </w:r>
      <w:r>
        <w:rPr>
          <w:snapToGrid w:val="0"/>
        </w:rPr>
        <w:tab/>
        <w:t>Appointment of Secretary and officers</w:t>
      </w:r>
      <w:bookmarkEnd w:id="21"/>
      <w:bookmarkEnd w:id="22"/>
      <w:bookmarkEnd w:id="23"/>
      <w:r>
        <w:rPr>
          <w:snapToGrid w:val="0"/>
        </w:rPr>
        <w:t xml:space="preserve"> </w:t>
      </w:r>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pPr>
      <w:r>
        <w:tab/>
        <w:t xml:space="preserve">[Section 6 amended by No. 20 of 1955 s.7; No. 113 of 1987 s.32; No. 32 of 1994 s.19.] </w:t>
      </w:r>
    </w:p>
    <w:p>
      <w:pPr>
        <w:pStyle w:val="Heading5"/>
        <w:rPr>
          <w:snapToGrid w:val="0"/>
        </w:rPr>
      </w:pPr>
      <w:bookmarkStart w:id="24" w:name="_Toc411311972"/>
      <w:bookmarkStart w:id="25" w:name="_Toc516381095"/>
      <w:bookmarkStart w:id="26" w:name="_Toc102378044"/>
      <w:r>
        <w:rPr>
          <w:rStyle w:val="CharSectno"/>
        </w:rPr>
        <w:t>7</w:t>
      </w:r>
      <w:r>
        <w:rPr>
          <w:snapToGrid w:val="0"/>
        </w:rPr>
        <w:t>.</w:t>
      </w:r>
      <w:r>
        <w:rPr>
          <w:snapToGrid w:val="0"/>
        </w:rPr>
        <w:tab/>
        <w:t>Board a body corporate</w:t>
      </w:r>
      <w:bookmarkEnd w:id="24"/>
      <w:bookmarkEnd w:id="25"/>
      <w:bookmarkEnd w:id="26"/>
      <w:r>
        <w:rPr>
          <w:snapToGrid w:val="0"/>
        </w:rPr>
        <w:t xml:space="preserve"> </w:t>
      </w:r>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27" w:name="_Toc411311973"/>
      <w:bookmarkStart w:id="28" w:name="_Toc516381096"/>
      <w:bookmarkStart w:id="29" w:name="_Toc102378045"/>
      <w:r>
        <w:rPr>
          <w:rStyle w:val="CharSectno"/>
        </w:rPr>
        <w:t>8</w:t>
      </w:r>
      <w:r>
        <w:rPr>
          <w:snapToGrid w:val="0"/>
        </w:rPr>
        <w:t>.</w:t>
      </w:r>
      <w:r>
        <w:rPr>
          <w:snapToGrid w:val="0"/>
        </w:rPr>
        <w:tab/>
        <w:t>Contracts</w:t>
      </w:r>
      <w:bookmarkEnd w:id="27"/>
      <w:bookmarkEnd w:id="28"/>
      <w:bookmarkEnd w:id="29"/>
      <w:r>
        <w:rPr>
          <w:snapToGrid w:val="0"/>
        </w:rPr>
        <w:t xml:space="preserve"> </w:t>
      </w:r>
    </w:p>
    <w:p>
      <w:pPr>
        <w:pStyle w:val="Subsection"/>
        <w:rPr>
          <w:snapToGrid w:val="0"/>
        </w:rPr>
      </w:pPr>
      <w:r>
        <w:rPr>
          <w:snapToGrid w:val="0"/>
        </w:rPr>
        <w:tab/>
      </w:r>
      <w:r>
        <w:rPr>
          <w:snapToGrid w:val="0"/>
        </w:rPr>
        <w:tab/>
        <w:t>In relation to contracts to which the Board is a party, the following provisions shall apply —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 xml:space="preserve">[Section 8 amended by No. 20 of 1955 s.8.] </w:t>
      </w:r>
    </w:p>
    <w:p>
      <w:pPr>
        <w:pStyle w:val="Heading5"/>
        <w:rPr>
          <w:snapToGrid w:val="0"/>
        </w:rPr>
      </w:pPr>
      <w:bookmarkStart w:id="30" w:name="_Toc411311974"/>
      <w:bookmarkStart w:id="31" w:name="_Toc516381097"/>
      <w:bookmarkStart w:id="32" w:name="_Toc102378046"/>
      <w:r>
        <w:rPr>
          <w:rStyle w:val="CharSectno"/>
        </w:rPr>
        <w:t>9</w:t>
      </w:r>
      <w:r>
        <w:rPr>
          <w:snapToGrid w:val="0"/>
        </w:rPr>
        <w:t>.</w:t>
      </w:r>
      <w:r>
        <w:rPr>
          <w:snapToGrid w:val="0"/>
        </w:rPr>
        <w:tab/>
        <w:t>Protection of members of Board, officers, etc.</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33" w:name="_Toc411311975"/>
      <w:bookmarkStart w:id="34" w:name="_Toc516381098"/>
      <w:bookmarkStart w:id="35" w:name="_Toc102378047"/>
      <w:r>
        <w:rPr>
          <w:rStyle w:val="CharSectno"/>
        </w:rPr>
        <w:t>10</w:t>
      </w:r>
      <w:r>
        <w:rPr>
          <w:snapToGrid w:val="0"/>
        </w:rPr>
        <w:t>.</w:t>
      </w:r>
      <w:r>
        <w:rPr>
          <w:snapToGrid w:val="0"/>
        </w:rPr>
        <w:tab/>
        <w:t>Judicial notice of common seal</w:t>
      </w:r>
      <w:bookmarkEnd w:id="33"/>
      <w:bookmarkEnd w:id="34"/>
      <w:bookmarkEnd w:id="3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36" w:name="_Toc411311976"/>
      <w:bookmarkStart w:id="37" w:name="_Toc516381099"/>
      <w:bookmarkStart w:id="38" w:name="_Toc102378048"/>
      <w:r>
        <w:rPr>
          <w:rStyle w:val="CharSectno"/>
        </w:rPr>
        <w:t>11</w:t>
      </w:r>
      <w:r>
        <w:rPr>
          <w:snapToGrid w:val="0"/>
        </w:rPr>
        <w:t>.</w:t>
      </w:r>
      <w:r>
        <w:rPr>
          <w:snapToGrid w:val="0"/>
        </w:rPr>
        <w:tab/>
        <w:t>Documents, how authenticated</w:t>
      </w:r>
      <w:bookmarkEnd w:id="36"/>
      <w:bookmarkEnd w:id="37"/>
      <w:bookmarkEnd w:id="38"/>
      <w:r>
        <w:rPr>
          <w:snapToGrid w:val="0"/>
        </w:rPr>
        <w:t xml:space="preserve"> </w:t>
      </w:r>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authorized to sign it.</w:t>
      </w:r>
    </w:p>
    <w:p>
      <w:pPr>
        <w:pStyle w:val="Heading5"/>
        <w:rPr>
          <w:snapToGrid w:val="0"/>
        </w:rPr>
      </w:pPr>
      <w:bookmarkStart w:id="39" w:name="_Toc411311977"/>
      <w:bookmarkStart w:id="40" w:name="_Toc516381100"/>
      <w:bookmarkStart w:id="41" w:name="_Toc102378049"/>
      <w:r>
        <w:rPr>
          <w:rStyle w:val="CharSectno"/>
        </w:rPr>
        <w:t>12</w:t>
      </w:r>
      <w:r>
        <w:rPr>
          <w:snapToGrid w:val="0"/>
        </w:rPr>
        <w:t>.</w:t>
      </w:r>
      <w:r>
        <w:rPr>
          <w:snapToGrid w:val="0"/>
        </w:rPr>
        <w:tab/>
        <w:t>Power of officer to represent Board</w:t>
      </w:r>
      <w:bookmarkEnd w:id="39"/>
      <w:bookmarkEnd w:id="40"/>
      <w:bookmarkEnd w:id="41"/>
      <w:r>
        <w:rPr>
          <w:snapToGrid w:val="0"/>
        </w:rPr>
        <w:t xml:space="preserve"> </w:t>
      </w:r>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 xml:space="preserve">[Section 12 amended by No. 59 of 2004 s. 141.] </w:t>
      </w:r>
    </w:p>
    <w:p>
      <w:pPr>
        <w:pStyle w:val="Heading5"/>
        <w:rPr>
          <w:snapToGrid w:val="0"/>
        </w:rPr>
      </w:pPr>
      <w:bookmarkStart w:id="42" w:name="UpToHere"/>
      <w:bookmarkStart w:id="43" w:name="_Toc411311978"/>
      <w:bookmarkStart w:id="44" w:name="_Toc516381101"/>
      <w:bookmarkStart w:id="45" w:name="_Toc102378050"/>
      <w:bookmarkEnd w:id="42"/>
      <w:r>
        <w:rPr>
          <w:rStyle w:val="CharSectno"/>
        </w:rPr>
        <w:t>13</w:t>
      </w:r>
      <w:r>
        <w:rPr>
          <w:snapToGrid w:val="0"/>
        </w:rPr>
        <w:t>.</w:t>
      </w:r>
      <w:r>
        <w:rPr>
          <w:snapToGrid w:val="0"/>
        </w:rPr>
        <w:tab/>
        <w:t>Proof of certain matters not required</w:t>
      </w:r>
      <w:bookmarkEnd w:id="43"/>
      <w:bookmarkEnd w:id="44"/>
      <w:bookmarkEnd w:id="45"/>
      <w:r>
        <w:rPr>
          <w:snapToGrid w:val="0"/>
        </w:rPr>
        <w:t xml:space="preserve"> </w:t>
      </w:r>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authorized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 xml:space="preserve">[Section 13 amended by No. 75 of 1987 s.6.] </w:t>
      </w:r>
    </w:p>
    <w:p>
      <w:pPr>
        <w:pStyle w:val="Heading5"/>
        <w:rPr>
          <w:snapToGrid w:val="0"/>
        </w:rPr>
      </w:pPr>
      <w:bookmarkStart w:id="46" w:name="_Toc411311979"/>
      <w:bookmarkStart w:id="47" w:name="_Toc516381102"/>
      <w:bookmarkStart w:id="48" w:name="_Toc102378051"/>
      <w:r>
        <w:rPr>
          <w:rStyle w:val="CharSectno"/>
        </w:rPr>
        <w:t>14</w:t>
      </w:r>
      <w:r>
        <w:rPr>
          <w:snapToGrid w:val="0"/>
        </w:rPr>
        <w:t>.</w:t>
      </w:r>
      <w:r>
        <w:rPr>
          <w:snapToGrid w:val="0"/>
        </w:rPr>
        <w:tab/>
        <w:t>Evidence of documents issued by the Board</w:t>
      </w:r>
      <w:bookmarkEnd w:id="46"/>
      <w:bookmarkEnd w:id="47"/>
      <w:bookmarkEnd w:id="48"/>
      <w:r>
        <w:rPr>
          <w:snapToGrid w:val="0"/>
        </w:rPr>
        <w:t xml:space="preserve"> </w:t>
      </w:r>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authorized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49" w:name="_Toc411311980"/>
      <w:bookmarkStart w:id="50" w:name="_Toc516381103"/>
      <w:bookmarkStart w:id="51" w:name="_Toc102378052"/>
      <w:r>
        <w:rPr>
          <w:rStyle w:val="CharSectno"/>
        </w:rPr>
        <w:t>15</w:t>
      </w:r>
      <w:r>
        <w:rPr>
          <w:snapToGrid w:val="0"/>
        </w:rPr>
        <w:t>.</w:t>
      </w:r>
      <w:r>
        <w:rPr>
          <w:snapToGrid w:val="0"/>
        </w:rPr>
        <w:tab/>
        <w:t>Functions of the Board</w:t>
      </w:r>
      <w:bookmarkEnd w:id="49"/>
      <w:bookmarkEnd w:id="50"/>
      <w:bookmarkEnd w:id="51"/>
      <w:r>
        <w:rPr>
          <w:snapToGrid w:val="0"/>
        </w:rPr>
        <w:t xml:space="preserve"> </w:t>
      </w:r>
    </w:p>
    <w:p>
      <w:pPr>
        <w:pStyle w:val="Subsection"/>
        <w:rPr>
          <w:snapToGrid w:val="0"/>
        </w:rPr>
      </w:pPr>
      <w:r>
        <w:rPr>
          <w:snapToGrid w:val="0"/>
        </w:rPr>
        <w:tab/>
        <w:t>(1)</w:t>
      </w:r>
      <w:r>
        <w:rPr>
          <w:snapToGrid w:val="0"/>
        </w:rPr>
        <w:tab/>
        <w:t>It shall be the duty of the Board to —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 xml:space="preserve">[Section 15 amended by No. 20 of 1955 s.9; No. 29 of 1974 s.5.] </w:t>
      </w:r>
    </w:p>
    <w:p>
      <w:pPr>
        <w:pStyle w:val="Heading5"/>
        <w:spacing w:before="120"/>
        <w:rPr>
          <w:snapToGrid w:val="0"/>
        </w:rPr>
      </w:pPr>
      <w:bookmarkStart w:id="52" w:name="_Toc411311981"/>
      <w:bookmarkStart w:id="53" w:name="_Toc516381104"/>
      <w:bookmarkStart w:id="54" w:name="_Toc102378053"/>
      <w:r>
        <w:rPr>
          <w:rStyle w:val="CharSectno"/>
        </w:rPr>
        <w:t>16</w:t>
      </w:r>
      <w:r>
        <w:rPr>
          <w:snapToGrid w:val="0"/>
        </w:rPr>
        <w:t>.</w:t>
      </w:r>
      <w:r>
        <w:rPr>
          <w:snapToGrid w:val="0"/>
        </w:rPr>
        <w:tab/>
        <w:t>Financial provisions</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The funds necessary for the effectual exercise by the Board of the powers conferred and duties imposed upon it by this Act shall be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authorized to effect and which may properly be so used;</w:t>
      </w:r>
    </w:p>
    <w:p>
      <w:pPr>
        <w:pStyle w:val="Indenta"/>
        <w:rPr>
          <w:snapToGrid w:val="0"/>
        </w:rPr>
      </w:pPr>
      <w:r>
        <w:rPr>
          <w:snapToGrid w:val="0"/>
        </w:rPr>
        <w:tab/>
        <w:t>(d)</w:t>
      </w:r>
      <w:r>
        <w:rPr>
          <w:snapToGrid w:val="0"/>
        </w:rPr>
        <w:tab/>
        <w:t>the proceeds of investment of any part of the Fund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Library Board of Western Australia Fund and shall be applied to the purposes of this Act.</w:t>
      </w:r>
    </w:p>
    <w:p>
      <w:pPr>
        <w:pStyle w:val="Subsection"/>
        <w:rPr>
          <w:snapToGrid w:val="0"/>
        </w:rPr>
      </w:pPr>
      <w:r>
        <w:rPr>
          <w:snapToGrid w:val="0"/>
        </w:rPr>
        <w:tab/>
        <w:t>(3)</w:t>
      </w:r>
      <w:r>
        <w:rPr>
          <w:snapToGrid w:val="0"/>
        </w:rPr>
        <w:tab/>
        <w:t>The Fund shall be operated upon in such manner as may be prescribed.</w:t>
      </w:r>
    </w:p>
    <w:p>
      <w:pPr>
        <w:pStyle w:val="Subsection"/>
        <w:rPr>
          <w:snapToGrid w:val="0"/>
        </w:rPr>
      </w:pPr>
      <w:r>
        <w:rPr>
          <w:snapToGrid w:val="0"/>
        </w:rPr>
        <w:tab/>
        <w:t>(4)</w:t>
      </w:r>
      <w:r>
        <w:rPr>
          <w:snapToGrid w:val="0"/>
        </w:rPr>
        <w:tab/>
        <w:t>Without other authorization than this Act, the sum of $10 000 is hereby appropriated from the Consolidated Fund for payment to the Board for carrying out the provisions of this Act during the first year of the operation of this Act.</w:t>
      </w:r>
    </w:p>
    <w:p>
      <w:pPr>
        <w:pStyle w:val="Footnotesection"/>
      </w:pPr>
      <w:r>
        <w:tab/>
        <w:t xml:space="preserve">[Section 16 amended by No. 20 of 1955 s.10; No. 113 of 1965 s.4; No. 6 of 1993 s.11; No. 49 of 1996 s.64.] </w:t>
      </w:r>
    </w:p>
    <w:p>
      <w:pPr>
        <w:pStyle w:val="Heading5"/>
        <w:rPr>
          <w:snapToGrid w:val="0"/>
        </w:rPr>
      </w:pPr>
      <w:bookmarkStart w:id="55" w:name="_Toc411311982"/>
      <w:bookmarkStart w:id="56" w:name="_Toc516381105"/>
      <w:bookmarkStart w:id="57" w:name="_Toc102378054"/>
      <w:r>
        <w:rPr>
          <w:rStyle w:val="CharSectno"/>
        </w:rPr>
        <w:t>17</w:t>
      </w:r>
      <w:r>
        <w:rPr>
          <w:snapToGrid w:val="0"/>
        </w:rPr>
        <w:t>.</w:t>
      </w:r>
      <w:r>
        <w:rPr>
          <w:snapToGrid w:val="0"/>
        </w:rPr>
        <w:tab/>
        <w:t>Temporary investment</w:t>
      </w:r>
      <w:bookmarkEnd w:id="55"/>
      <w:bookmarkEnd w:id="56"/>
      <w:bookmarkEnd w:id="57"/>
      <w:r>
        <w:rPr>
          <w:snapToGrid w:val="0"/>
        </w:rPr>
        <w:t xml:space="preserve"> </w:t>
      </w:r>
    </w:p>
    <w:p>
      <w:pPr>
        <w:pStyle w:val="Subsection"/>
        <w:rPr>
          <w:snapToGrid w:val="0"/>
        </w:rPr>
      </w:pPr>
      <w:r>
        <w:rPr>
          <w:snapToGrid w:val="0"/>
        </w:rPr>
        <w:tab/>
      </w:r>
      <w:r>
        <w:rPr>
          <w:snapToGrid w:val="0"/>
        </w:rPr>
        <w:tab/>
        <w:t xml:space="preserve">All moneys standing to the credit of the Fund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snapToGrid w:val="0"/>
        </w:rPr>
        <w:t>Financial Administration and Audit Act 1985</w:t>
      </w:r>
      <w:r>
        <w:rPr>
          <w:snapToGrid w:val="0"/>
        </w:rPr>
        <w:t xml:space="preserve"> may lawfully be invested, and all interest derived from such investment shall be credited to the Fund.</w:t>
      </w:r>
    </w:p>
    <w:p>
      <w:pPr>
        <w:pStyle w:val="Footnotesection"/>
      </w:pPr>
      <w:r>
        <w:tab/>
        <w:t xml:space="preserve">[Section 17 amended by No. 98 of 1985 s.3; No. 49 of 1996 s.64.] </w:t>
      </w:r>
    </w:p>
    <w:p>
      <w:pPr>
        <w:pStyle w:val="Heading5"/>
        <w:rPr>
          <w:snapToGrid w:val="0"/>
        </w:rPr>
      </w:pPr>
      <w:bookmarkStart w:id="58" w:name="_Toc411311983"/>
      <w:bookmarkStart w:id="59" w:name="_Toc516381106"/>
      <w:bookmarkStart w:id="60" w:name="_Toc102378055"/>
      <w:r>
        <w:rPr>
          <w:rStyle w:val="CharSectno"/>
        </w:rPr>
        <w:t>18</w:t>
      </w:r>
      <w:r>
        <w:rPr>
          <w:snapToGrid w:val="0"/>
        </w:rPr>
        <w:t>.</w:t>
      </w:r>
      <w:r>
        <w:rPr>
          <w:snapToGrid w:val="0"/>
        </w:rPr>
        <w:tab/>
        <w:t>Financial assistance</w:t>
      </w:r>
      <w:bookmarkEnd w:id="58"/>
      <w:bookmarkEnd w:id="59"/>
      <w:bookmarkEnd w:id="60"/>
      <w:r>
        <w:rPr>
          <w:snapToGrid w:val="0"/>
        </w:rPr>
        <w:t xml:space="preserve"> </w:t>
      </w:r>
    </w:p>
    <w:p>
      <w:pPr>
        <w:pStyle w:val="Subsection"/>
        <w:keepNext/>
        <w:spacing w:before="120"/>
        <w:rPr>
          <w:snapToGrid w:val="0"/>
        </w:rPr>
      </w:pPr>
      <w:r>
        <w:rPr>
          <w:snapToGrid w:val="0"/>
        </w:rPr>
        <w:tab/>
      </w:r>
      <w:r>
        <w:rPr>
          <w:snapToGrid w:val="0"/>
        </w:rPr>
        <w:tab/>
        <w:t>The Board may — </w:t>
      </w:r>
    </w:p>
    <w:p>
      <w:pPr>
        <w:pStyle w:val="Indenta"/>
        <w:rPr>
          <w:snapToGrid w:val="0"/>
        </w:rPr>
      </w:pPr>
      <w:r>
        <w:rPr>
          <w:snapToGrid w:val="0"/>
        </w:rPr>
        <w:tab/>
        <w:t>(a)</w:t>
      </w:r>
      <w:r>
        <w:rPr>
          <w:snapToGrid w:val="0"/>
        </w:rPr>
        <w:tab/>
        <w:t>subsidize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 xml:space="preserve">[Section 18 amended by No. 20 of 1955 s.11; No. 113 of 1965 s.4; No. 14 of 1996 s.4.] </w:t>
      </w:r>
    </w:p>
    <w:p>
      <w:pPr>
        <w:pStyle w:val="Heading5"/>
        <w:rPr>
          <w:snapToGrid w:val="0"/>
        </w:rPr>
      </w:pPr>
      <w:bookmarkStart w:id="61" w:name="_Toc411311984"/>
      <w:bookmarkStart w:id="62" w:name="_Toc516381107"/>
      <w:bookmarkStart w:id="63" w:name="_Toc102378056"/>
      <w:r>
        <w:rPr>
          <w:rStyle w:val="CharSectno"/>
        </w:rPr>
        <w:t>19</w:t>
      </w:r>
      <w:r>
        <w:rPr>
          <w:snapToGrid w:val="0"/>
        </w:rPr>
        <w:t>.</w:t>
      </w:r>
      <w:r>
        <w:rPr>
          <w:snapToGrid w:val="0"/>
        </w:rPr>
        <w:tab/>
        <w:t>Rating powers of local government</w:t>
      </w:r>
      <w:bookmarkEnd w:id="61"/>
      <w:bookmarkEnd w:id="62"/>
      <w:bookmarkEnd w:id="63"/>
      <w:r>
        <w:rPr>
          <w:snapToGrid w:val="0"/>
        </w:rPr>
        <w:t xml:space="preserve"> </w:t>
      </w:r>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authorized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s.12; No. 113 of 1965 s.4; No. 29 of 1974 s.6; No. 14 of 1996 s.4.]</w:t>
      </w:r>
    </w:p>
    <w:p>
      <w:pPr>
        <w:pStyle w:val="Heading5"/>
        <w:rPr>
          <w:snapToGrid w:val="0"/>
        </w:rPr>
      </w:pPr>
      <w:bookmarkStart w:id="64" w:name="_Toc411311985"/>
      <w:bookmarkStart w:id="65" w:name="_Toc516381108"/>
      <w:bookmarkStart w:id="66" w:name="_Toc102378057"/>
      <w:r>
        <w:rPr>
          <w:rStyle w:val="CharSectno"/>
        </w:rPr>
        <w:t>20</w:t>
      </w:r>
      <w:r>
        <w:rPr>
          <w:i/>
          <w:snapToGrid w:val="0"/>
        </w:rPr>
        <w:t>.</w:t>
      </w:r>
      <w:r>
        <w:rPr>
          <w:i/>
          <w:snapToGrid w:val="0"/>
        </w:rPr>
        <w:tab/>
      </w:r>
      <w:r>
        <w:rPr>
          <w:snapToGrid w:val="0"/>
        </w:rPr>
        <w:t>Application of</w:t>
      </w:r>
      <w:r>
        <w:rPr>
          <w:i/>
          <w:snapToGrid w:val="0"/>
        </w:rPr>
        <w:t xml:space="preserve"> Financial Administration and Audit Act 1985</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20 inserted by No. 98 of 1985 s.3.] </w:t>
      </w:r>
    </w:p>
    <w:p>
      <w:pPr>
        <w:pStyle w:val="Heading5"/>
        <w:rPr>
          <w:snapToGrid w:val="0"/>
        </w:rPr>
      </w:pPr>
      <w:bookmarkStart w:id="67" w:name="_Toc411311986"/>
      <w:bookmarkStart w:id="68" w:name="_Toc516381109"/>
      <w:bookmarkStart w:id="69" w:name="_Toc102378058"/>
      <w:r>
        <w:rPr>
          <w:rStyle w:val="CharSectno"/>
        </w:rPr>
        <w:t>20A</w:t>
      </w:r>
      <w:r>
        <w:rPr>
          <w:snapToGrid w:val="0"/>
        </w:rPr>
        <w:t>.</w:t>
      </w:r>
      <w:r>
        <w:rPr>
          <w:snapToGrid w:val="0"/>
        </w:rPr>
        <w:tab/>
        <w:t>Transition provisions relating to transfer of Public Library to the Board</w:t>
      </w:r>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unless the context requires otherwise — </w:t>
      </w:r>
    </w:p>
    <w:p>
      <w:pPr>
        <w:pStyle w:val="Defstart"/>
      </w:pPr>
      <w:r>
        <w:rPr>
          <w:b/>
        </w:rPr>
        <w:tab/>
        <w:t>“</w:t>
      </w:r>
      <w:r>
        <w:rPr>
          <w:rStyle w:val="CharDefText"/>
        </w:rPr>
        <w:t>appointed day</w:t>
      </w:r>
      <w:r>
        <w:rPr>
          <w:b/>
        </w:rPr>
        <w:t>”</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t>“</w:t>
      </w:r>
      <w:r>
        <w:rPr>
          <w:rStyle w:val="CharDefText"/>
        </w:rPr>
        <w:t>Public Library</w:t>
      </w:r>
      <w:r>
        <w:rPr>
          <w:b/>
        </w:rPr>
        <w:t>”</w:t>
      </w:r>
      <w:r>
        <w:t xml:space="preserve"> means the Public Library of Western Australia mentioned in the Public Library Act;</w:t>
      </w:r>
    </w:p>
    <w:p>
      <w:pPr>
        <w:pStyle w:val="Defstart"/>
      </w:pPr>
      <w:r>
        <w:rPr>
          <w:b/>
        </w:rPr>
        <w:tab/>
        <w:t>“</w:t>
      </w:r>
      <w:r>
        <w:rPr>
          <w:rStyle w:val="CharDefText"/>
        </w:rPr>
        <w:t>Public Library Act</w:t>
      </w:r>
      <w:r>
        <w:rPr>
          <w:b/>
        </w:rPr>
        <w:t>”</w:t>
      </w:r>
      <w:r>
        <w:t xml:space="preserve"> means the </w:t>
      </w:r>
      <w:r>
        <w:rPr>
          <w:i/>
        </w:rPr>
        <w:t>Public Library, Museum, and Art Gallery of Western Australia Act 1911</w:t>
      </w:r>
      <w:r>
        <w:t xml:space="preserve"> </w:t>
      </w:r>
      <w:r>
        <w:rPr>
          <w:vertAlign w:val="superscript"/>
        </w:rPr>
        <w:t>5</w:t>
      </w:r>
      <w:r>
        <w:t>;</w:t>
      </w:r>
    </w:p>
    <w:p>
      <w:pPr>
        <w:pStyle w:val="Defstart"/>
      </w:pPr>
      <w:r>
        <w:rPr>
          <w:b/>
        </w:rPr>
        <w:tab/>
        <w:t>“</w:t>
      </w:r>
      <w:bookmarkStart w:id="70" w:name="endcomma"/>
      <w:bookmarkEnd w:id="70"/>
      <w:r>
        <w:rPr>
          <w:rStyle w:val="CharDefText"/>
        </w:rPr>
        <w:t>Trustees</w:t>
      </w:r>
      <w:r>
        <w:rPr>
          <w:b/>
        </w:rPr>
        <w:t>”</w:t>
      </w:r>
      <w:r>
        <w:t xml:space="preserve"> </w:t>
      </w:r>
      <w:bookmarkStart w:id="71" w:name="comma"/>
      <w:bookmarkEnd w:id="71"/>
      <w:r>
        <w:t>means the trustees in office under the Public Library Act.</w:t>
      </w:r>
    </w:p>
    <w:p>
      <w:pPr>
        <w:pStyle w:val="Ednotesubsection"/>
      </w:pPr>
      <w:r>
        <w:tab/>
        <w:t>[(2)</w:t>
      </w:r>
      <w:r>
        <w:tab/>
        <w:t>repealed]</w:t>
      </w:r>
    </w:p>
    <w:p>
      <w:pPr>
        <w:pStyle w:val="Indenta"/>
        <w:tabs>
          <w:tab w:val="right" w:pos="595"/>
        </w:tabs>
        <w:rPr>
          <w:snapToGrid w:val="0"/>
        </w:rPr>
      </w:pPr>
      <w:r>
        <w:rPr>
          <w:snapToGrid w:val="0"/>
        </w:rPr>
        <w:tab/>
        <w:t>(3)</w:t>
      </w:r>
      <w:r>
        <w:rPr>
          <w:snapToGrid w:val="0"/>
        </w:rPr>
        <w:tab/>
        <w:t>(a)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Indenta"/>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pPr>
        <w:pStyle w:val="Indenta"/>
        <w:tabs>
          <w:tab w:val="right" w:pos="595"/>
        </w:tabs>
        <w:rPr>
          <w:snapToGrid w:val="0"/>
        </w:rPr>
      </w:pPr>
      <w:r>
        <w:rPr>
          <w:snapToGrid w:val="0"/>
        </w:rPr>
        <w:tab/>
        <w:t>(4)</w:t>
      </w:r>
      <w:r>
        <w:rPr>
          <w:snapToGrid w:val="0"/>
        </w:rPr>
        <w:tab/>
        <w:t>(a)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Indenta"/>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pPr>
        <w:pStyle w:val="Indenta"/>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Indenta"/>
        <w:tabs>
          <w:tab w:val="right" w:pos="595"/>
        </w:tabs>
        <w:rPr>
          <w:snapToGrid w:val="0"/>
        </w:rPr>
      </w:pPr>
      <w:r>
        <w:rPr>
          <w:snapToGrid w:val="0"/>
        </w:rPr>
        <w:tab/>
        <w:t>(5)</w:t>
      </w:r>
      <w:r>
        <w:rPr>
          <w:snapToGrid w:val="0"/>
        </w:rPr>
        <w:tab/>
        <w:t>(a)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Indenta"/>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Indenta"/>
        <w:tabs>
          <w:tab w:val="right" w:pos="595"/>
        </w:tabs>
        <w:rPr>
          <w:snapToGrid w:val="0"/>
        </w:rPr>
      </w:pPr>
      <w:r>
        <w:rPr>
          <w:snapToGrid w:val="0"/>
        </w:rPr>
        <w:tab/>
        <w:t>(7)</w:t>
      </w:r>
      <w:r>
        <w:rPr>
          <w:snapToGrid w:val="0"/>
        </w:rPr>
        <w:tab/>
        <w:t>(a)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Indenta"/>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 xml:space="preserve">[Section 20A inserted by No. 20 of 1955 s.13; amended by No. 29 of 1974 s.7.] </w:t>
      </w:r>
    </w:p>
    <w:p>
      <w:pPr>
        <w:pStyle w:val="Heading5"/>
        <w:rPr>
          <w:snapToGrid w:val="0"/>
        </w:rPr>
      </w:pPr>
      <w:bookmarkStart w:id="72" w:name="_Toc411311987"/>
      <w:bookmarkStart w:id="73" w:name="_Toc516381110"/>
      <w:bookmarkStart w:id="74" w:name="_Toc102378059"/>
      <w:r>
        <w:rPr>
          <w:rStyle w:val="CharSectno"/>
        </w:rPr>
        <w:t>21</w:t>
      </w:r>
      <w:r>
        <w:rPr>
          <w:snapToGrid w:val="0"/>
        </w:rPr>
        <w:t>.</w:t>
      </w:r>
      <w:r>
        <w:rPr>
          <w:snapToGrid w:val="0"/>
        </w:rPr>
        <w:tab/>
        <w:t>Regulations</w:t>
      </w:r>
      <w:bookmarkEnd w:id="72"/>
      <w:bookmarkEnd w:id="73"/>
      <w:bookmarkEnd w:id="74"/>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authorize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 xml:space="preserve">[Section 21 amended by No. 113 of 1965 s.4; No. 29 of 1974 s.8; No. 44 of 1983 s.4; No. 53 of 2000 s.12.] </w:t>
      </w:r>
    </w:p>
    <w:p>
      <w:pPr>
        <w:pStyle w:val="Ednotesection"/>
      </w:pPr>
      <w:bookmarkStart w:id="75" w:name="_Toc411311989"/>
      <w:bookmarkStart w:id="76" w:name="_Toc516381112"/>
      <w:r>
        <w:t>[Heading deleted by No. 53 of 2000 s.12.]</w:t>
      </w:r>
    </w:p>
    <w:p>
      <w:pPr>
        <w:pStyle w:val="Ednotesection"/>
      </w:pPr>
      <w:r>
        <w:t>[</w:t>
      </w:r>
      <w:r>
        <w:rPr>
          <w:b/>
        </w:rPr>
        <w:t>22-33.</w:t>
      </w:r>
      <w:r>
        <w:tab/>
        <w:t>Repealed by No. 53 of 2000 s.12.]</w:t>
      </w:r>
    </w:p>
    <w:bookmarkEnd w:id="75"/>
    <w:bookmarkEnd w:id="76"/>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7" w:name="_Toc89510860"/>
      <w:bookmarkStart w:id="78" w:name="_Toc89566927"/>
      <w:bookmarkStart w:id="79" w:name="_Toc100398470"/>
      <w:bookmarkStart w:id="80" w:name="_Toc100570089"/>
      <w:bookmarkStart w:id="81" w:name="_Toc102378060"/>
      <w:r>
        <w:t>Notes</w:t>
      </w:r>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2" w:name="_Toc102378061"/>
      <w:r>
        <w:rPr>
          <w:snapToGrid w:val="0"/>
        </w:rPr>
        <w:t>Compilation table</w:t>
      </w:r>
      <w:bookmarkEnd w:id="82"/>
    </w:p>
    <w:tbl>
      <w:tblPr>
        <w:tblW w:w="7088" w:type="dxa"/>
        <w:tblInd w:w="28" w:type="dxa"/>
        <w:tblLayout w:type="fixed"/>
        <w:tblCellMar>
          <w:left w:w="28" w:type="dxa"/>
          <w:right w:w="28" w:type="dxa"/>
        </w:tblCellMar>
        <w:tblLook w:val="0000" w:firstRow="0" w:lastRow="0" w:firstColumn="0" w:lastColumn="0" w:noHBand="0" w:noVBand="0"/>
      </w:tblPr>
      <w:tblGrid>
        <w:gridCol w:w="1700"/>
        <w:gridCol w:w="993"/>
        <w:gridCol w:w="1276"/>
        <w:gridCol w:w="1757"/>
        <w:gridCol w:w="1362"/>
      </w:tblGrid>
      <w:tr>
        <w:trPr>
          <w:cantSplit/>
          <w:tblHeader/>
        </w:trPr>
        <w:tc>
          <w:tcPr>
            <w:tcW w:w="1700"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993"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276" w:type="dxa"/>
            <w:tcBorders>
              <w:top w:val="single" w:sz="8" w:space="0" w:color="auto"/>
              <w:bottom w:val="single" w:sz="8" w:space="0" w:color="auto"/>
            </w:tcBorders>
          </w:tcPr>
          <w:p>
            <w:pPr>
              <w:pStyle w:val="nTable"/>
              <w:spacing w:before="60" w:after="60"/>
              <w:rPr>
                <w:b/>
                <w:sz w:val="19"/>
              </w:rPr>
            </w:pPr>
            <w:r>
              <w:rPr>
                <w:b/>
                <w:sz w:val="19"/>
              </w:rPr>
              <w:t>Assent</w:t>
            </w:r>
          </w:p>
        </w:tc>
        <w:tc>
          <w:tcPr>
            <w:tcW w:w="1757" w:type="dxa"/>
            <w:tcBorders>
              <w:top w:val="single" w:sz="8" w:space="0" w:color="auto"/>
              <w:bottom w:val="single" w:sz="8" w:space="0" w:color="auto"/>
            </w:tcBorders>
          </w:tcPr>
          <w:p>
            <w:pPr>
              <w:pStyle w:val="nTable"/>
              <w:spacing w:before="60" w:after="60"/>
              <w:rPr>
                <w:b/>
                <w:sz w:val="19"/>
              </w:rPr>
            </w:pPr>
            <w:r>
              <w:rPr>
                <w:b/>
                <w:sz w:val="19"/>
              </w:rPr>
              <w:t>Commencement</w:t>
            </w:r>
          </w:p>
        </w:tc>
        <w:tc>
          <w:tcPr>
            <w:tcW w:w="1362" w:type="dxa"/>
            <w:tcBorders>
              <w:top w:val="single" w:sz="8" w:space="0" w:color="auto"/>
              <w:bottom w:val="single" w:sz="8" w:space="0" w:color="auto"/>
            </w:tcBorders>
          </w:tcPr>
          <w:p>
            <w:pPr>
              <w:pStyle w:val="nTable"/>
              <w:spacing w:before="60" w:after="60"/>
              <w:rPr>
                <w:b/>
                <w:sz w:val="19"/>
              </w:rPr>
            </w:pPr>
            <w:r>
              <w:rPr>
                <w:b/>
                <w:sz w:val="19"/>
              </w:rPr>
              <w:t>Miscellaneous</w:t>
            </w:r>
          </w:p>
        </w:tc>
      </w:tr>
      <w:tr>
        <w:trPr>
          <w:cantSplit/>
        </w:trPr>
        <w:tc>
          <w:tcPr>
            <w:tcW w:w="1700" w:type="dxa"/>
          </w:tcPr>
          <w:p>
            <w:pPr>
              <w:pStyle w:val="nTable"/>
              <w:spacing w:before="120"/>
              <w:ind w:right="113"/>
              <w:rPr>
                <w:sz w:val="19"/>
              </w:rPr>
            </w:pPr>
            <w:r>
              <w:rPr>
                <w:i/>
                <w:sz w:val="19"/>
              </w:rPr>
              <w:t>Library Board of Western Australia Act 1951</w:t>
            </w:r>
          </w:p>
        </w:tc>
        <w:tc>
          <w:tcPr>
            <w:tcW w:w="993" w:type="dxa"/>
          </w:tcPr>
          <w:p>
            <w:pPr>
              <w:pStyle w:val="nTable"/>
              <w:spacing w:before="120"/>
              <w:rPr>
                <w:sz w:val="19"/>
              </w:rPr>
            </w:pPr>
            <w:r>
              <w:rPr>
                <w:sz w:val="19"/>
              </w:rPr>
              <w:t>42 of 1951</w:t>
            </w:r>
          </w:p>
        </w:tc>
        <w:tc>
          <w:tcPr>
            <w:tcW w:w="1276" w:type="dxa"/>
          </w:tcPr>
          <w:p>
            <w:pPr>
              <w:pStyle w:val="nTable"/>
              <w:spacing w:before="120"/>
              <w:rPr>
                <w:sz w:val="19"/>
              </w:rPr>
            </w:pPr>
            <w:r>
              <w:rPr>
                <w:sz w:val="19"/>
              </w:rPr>
              <w:t>20 December 1951</w:t>
            </w:r>
          </w:p>
        </w:tc>
        <w:tc>
          <w:tcPr>
            <w:tcW w:w="1757" w:type="dxa"/>
          </w:tcPr>
          <w:p>
            <w:pPr>
              <w:pStyle w:val="nTable"/>
              <w:spacing w:before="120"/>
              <w:rPr>
                <w:sz w:val="19"/>
              </w:rPr>
            </w:pPr>
            <w:r>
              <w:rPr>
                <w:sz w:val="19"/>
              </w:rPr>
              <w:t xml:space="preserve">30 September 1952 </w:t>
            </w:r>
            <w:r>
              <w:rPr>
                <w:sz w:val="19"/>
              </w:rPr>
              <w:br/>
              <w:t xml:space="preserve">(see section 2 and </w:t>
            </w:r>
            <w:r>
              <w:rPr>
                <w:i/>
                <w:sz w:val="19"/>
              </w:rPr>
              <w:t xml:space="preserve">Gazette </w:t>
            </w:r>
            <w:r>
              <w:rPr>
                <w:sz w:val="19"/>
              </w:rPr>
              <w:t>26 September 1952 p.2358)</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Acts Amendment (Libraries) Act 1955</w:t>
            </w:r>
            <w:r>
              <w:rPr>
                <w:sz w:val="19"/>
              </w:rPr>
              <w:t xml:space="preserve">, </w:t>
            </w:r>
          </w:p>
          <w:p>
            <w:pPr>
              <w:pStyle w:val="nTable"/>
              <w:spacing w:before="0"/>
              <w:ind w:right="113"/>
              <w:rPr>
                <w:sz w:val="19"/>
              </w:rPr>
            </w:pPr>
            <w:r>
              <w:rPr>
                <w:sz w:val="19"/>
              </w:rPr>
              <w:t>Part I</w:t>
            </w:r>
          </w:p>
        </w:tc>
        <w:tc>
          <w:tcPr>
            <w:tcW w:w="993" w:type="dxa"/>
          </w:tcPr>
          <w:p>
            <w:pPr>
              <w:pStyle w:val="nTable"/>
              <w:spacing w:before="120"/>
              <w:rPr>
                <w:sz w:val="19"/>
              </w:rPr>
            </w:pPr>
            <w:r>
              <w:rPr>
                <w:sz w:val="19"/>
              </w:rPr>
              <w:t>20 of 1955</w:t>
            </w:r>
          </w:p>
        </w:tc>
        <w:tc>
          <w:tcPr>
            <w:tcW w:w="1276" w:type="dxa"/>
          </w:tcPr>
          <w:p>
            <w:pPr>
              <w:pStyle w:val="nTable"/>
              <w:spacing w:before="120"/>
              <w:rPr>
                <w:sz w:val="19"/>
              </w:rPr>
            </w:pPr>
            <w:r>
              <w:rPr>
                <w:sz w:val="19"/>
              </w:rPr>
              <w:t>3 November 1955</w:t>
            </w:r>
          </w:p>
        </w:tc>
        <w:tc>
          <w:tcPr>
            <w:tcW w:w="1757" w:type="dxa"/>
          </w:tcPr>
          <w:p>
            <w:pPr>
              <w:pStyle w:val="nTable"/>
              <w:spacing w:before="120"/>
              <w:rPr>
                <w:sz w:val="19"/>
              </w:rPr>
            </w:pPr>
            <w:r>
              <w:rPr>
                <w:sz w:val="19"/>
              </w:rPr>
              <w:t xml:space="preserve">1 December 1955 </w:t>
            </w:r>
            <w:r>
              <w:rPr>
                <w:sz w:val="19"/>
              </w:rPr>
              <w:br/>
              <w:t>(see section 2)</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Decimal Currency Act 1965</w:t>
            </w:r>
            <w:r>
              <w:rPr>
                <w:sz w:val="19"/>
              </w:rPr>
              <w:t>,</w:t>
            </w:r>
            <w:r>
              <w:rPr>
                <w:sz w:val="19"/>
              </w:rPr>
              <w:br/>
              <w:t>section 4(1)</w:t>
            </w:r>
          </w:p>
        </w:tc>
        <w:tc>
          <w:tcPr>
            <w:tcW w:w="993" w:type="dxa"/>
          </w:tcPr>
          <w:p>
            <w:pPr>
              <w:pStyle w:val="nTable"/>
              <w:spacing w:before="120"/>
              <w:rPr>
                <w:sz w:val="19"/>
              </w:rPr>
            </w:pPr>
            <w:r>
              <w:rPr>
                <w:sz w:val="19"/>
              </w:rPr>
              <w:t>113 of 1965</w:t>
            </w:r>
          </w:p>
        </w:tc>
        <w:tc>
          <w:tcPr>
            <w:tcW w:w="1276" w:type="dxa"/>
          </w:tcPr>
          <w:p>
            <w:pPr>
              <w:pStyle w:val="nTable"/>
              <w:spacing w:before="120"/>
              <w:rPr>
                <w:sz w:val="19"/>
              </w:rPr>
            </w:pPr>
            <w:r>
              <w:rPr>
                <w:sz w:val="19"/>
              </w:rPr>
              <w:t>21 December 1965</w:t>
            </w:r>
          </w:p>
        </w:tc>
        <w:tc>
          <w:tcPr>
            <w:tcW w:w="1757" w:type="dxa"/>
          </w:tcPr>
          <w:p>
            <w:pPr>
              <w:pStyle w:val="nTable"/>
              <w:spacing w:before="120"/>
              <w:rPr>
                <w:sz w:val="19"/>
              </w:rPr>
            </w:pPr>
            <w:r>
              <w:rPr>
                <w:sz w:val="19"/>
              </w:rPr>
              <w:t xml:space="preserve">14 February 1966 </w:t>
            </w:r>
            <w:r>
              <w:rPr>
                <w:sz w:val="19"/>
              </w:rPr>
              <w:br/>
              <w:t>(see section 2)</w:t>
            </w:r>
          </w:p>
        </w:tc>
        <w:tc>
          <w:tcPr>
            <w:tcW w:w="1362" w:type="dxa"/>
          </w:tcPr>
          <w:p>
            <w:pPr>
              <w:pStyle w:val="nTable"/>
              <w:spacing w:before="120"/>
              <w:rPr>
                <w:sz w:val="19"/>
              </w:rPr>
            </w:pPr>
          </w:p>
        </w:tc>
      </w:tr>
      <w:tr>
        <w:trPr>
          <w:cantSplit/>
        </w:trPr>
        <w:tc>
          <w:tcPr>
            <w:tcW w:w="1700" w:type="dxa"/>
          </w:tcPr>
          <w:p>
            <w:pPr>
              <w:pStyle w:val="nTable"/>
              <w:spacing w:before="120"/>
              <w:ind w:right="113"/>
              <w:rPr>
                <w:i/>
                <w:sz w:val="19"/>
              </w:rPr>
            </w:pPr>
            <w:r>
              <w:rPr>
                <w:i/>
                <w:sz w:val="19"/>
              </w:rPr>
              <w:t>Library Board of Western Australia Act Amendment Act 1974</w:t>
            </w:r>
          </w:p>
        </w:tc>
        <w:tc>
          <w:tcPr>
            <w:tcW w:w="993" w:type="dxa"/>
          </w:tcPr>
          <w:p>
            <w:pPr>
              <w:pStyle w:val="nTable"/>
              <w:spacing w:before="120"/>
              <w:rPr>
                <w:sz w:val="19"/>
              </w:rPr>
            </w:pPr>
            <w:r>
              <w:rPr>
                <w:sz w:val="19"/>
              </w:rPr>
              <w:t>29 of 1974</w:t>
            </w:r>
          </w:p>
        </w:tc>
        <w:tc>
          <w:tcPr>
            <w:tcW w:w="1276" w:type="dxa"/>
          </w:tcPr>
          <w:p>
            <w:pPr>
              <w:pStyle w:val="nTable"/>
              <w:spacing w:before="120"/>
              <w:rPr>
                <w:sz w:val="19"/>
              </w:rPr>
            </w:pPr>
            <w:r>
              <w:rPr>
                <w:sz w:val="19"/>
              </w:rPr>
              <w:t>29 October 1974</w:t>
            </w:r>
          </w:p>
        </w:tc>
        <w:tc>
          <w:tcPr>
            <w:tcW w:w="1757" w:type="dxa"/>
          </w:tcPr>
          <w:p>
            <w:pPr>
              <w:pStyle w:val="nTable"/>
              <w:spacing w:before="120"/>
              <w:rPr>
                <w:sz w:val="19"/>
              </w:rPr>
            </w:pPr>
            <w:r>
              <w:rPr>
                <w:sz w:val="19"/>
              </w:rPr>
              <w:t>29 October 1974</w:t>
            </w:r>
          </w:p>
        </w:tc>
        <w:tc>
          <w:tcPr>
            <w:tcW w:w="1362" w:type="dxa"/>
          </w:tcPr>
          <w:p>
            <w:pPr>
              <w:pStyle w:val="nTable"/>
              <w:spacing w:before="120"/>
              <w:rPr>
                <w:sz w:val="19"/>
              </w:rPr>
            </w:pPr>
          </w:p>
        </w:tc>
      </w:tr>
      <w:tr>
        <w:trPr>
          <w:cantSplit/>
        </w:trPr>
        <w:tc>
          <w:tcPr>
            <w:tcW w:w="1700" w:type="dxa"/>
          </w:tcPr>
          <w:p>
            <w:pPr>
              <w:pStyle w:val="nTable"/>
              <w:spacing w:before="120"/>
              <w:ind w:right="113"/>
              <w:rPr>
                <w:i/>
                <w:sz w:val="19"/>
              </w:rPr>
            </w:pPr>
            <w:r>
              <w:rPr>
                <w:i/>
                <w:sz w:val="19"/>
              </w:rPr>
              <w:t>Library Board of Western Australia Amendment Act 1983</w:t>
            </w:r>
          </w:p>
        </w:tc>
        <w:tc>
          <w:tcPr>
            <w:tcW w:w="993" w:type="dxa"/>
          </w:tcPr>
          <w:p>
            <w:pPr>
              <w:pStyle w:val="nTable"/>
              <w:spacing w:before="120"/>
              <w:rPr>
                <w:sz w:val="19"/>
              </w:rPr>
            </w:pPr>
            <w:r>
              <w:rPr>
                <w:sz w:val="19"/>
              </w:rPr>
              <w:t>44 of 1983</w:t>
            </w:r>
          </w:p>
        </w:tc>
        <w:tc>
          <w:tcPr>
            <w:tcW w:w="1276" w:type="dxa"/>
          </w:tcPr>
          <w:p>
            <w:pPr>
              <w:pStyle w:val="nTable"/>
              <w:spacing w:before="120"/>
              <w:rPr>
                <w:sz w:val="19"/>
              </w:rPr>
            </w:pPr>
            <w:r>
              <w:rPr>
                <w:sz w:val="19"/>
              </w:rPr>
              <w:t>5 December 1983</w:t>
            </w:r>
          </w:p>
        </w:tc>
        <w:tc>
          <w:tcPr>
            <w:tcW w:w="1757" w:type="dxa"/>
          </w:tcPr>
          <w:p>
            <w:pPr>
              <w:pStyle w:val="nTable"/>
              <w:spacing w:before="120"/>
              <w:rPr>
                <w:sz w:val="19"/>
              </w:rPr>
            </w:pPr>
            <w:r>
              <w:rPr>
                <w:sz w:val="19"/>
              </w:rPr>
              <w:t>5 December 1983</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Acts Amendment (Financial Administration and Audit) Act 1985,</w:t>
            </w:r>
            <w:r>
              <w:rPr>
                <w:sz w:val="19"/>
              </w:rPr>
              <w:br/>
              <w:t>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757" w:type="dxa"/>
          </w:tcPr>
          <w:p>
            <w:pPr>
              <w:pStyle w:val="nTable"/>
              <w:spacing w:before="120"/>
              <w:rPr>
                <w:sz w:val="19"/>
              </w:rPr>
            </w:pPr>
            <w:r>
              <w:rPr>
                <w:sz w:val="19"/>
              </w:rPr>
              <w:t>1 July 1986</w:t>
            </w:r>
            <w:r>
              <w:rPr>
                <w:sz w:val="19"/>
              </w:rPr>
              <w:br/>
              <w:t xml:space="preserve">(see section 2 </w:t>
            </w:r>
            <w:r>
              <w:rPr>
                <w:sz w:val="19"/>
              </w:rPr>
              <w:br/>
              <w:t xml:space="preserve">and </w:t>
            </w:r>
            <w:r>
              <w:rPr>
                <w:i/>
                <w:sz w:val="19"/>
              </w:rPr>
              <w:t>Gazette</w:t>
            </w:r>
            <w:r>
              <w:rPr>
                <w:sz w:val="19"/>
              </w:rPr>
              <w:br/>
              <w:t>30 June 1986</w:t>
            </w:r>
            <w:r>
              <w:rPr>
                <w:sz w:val="19"/>
              </w:rPr>
              <w:br/>
              <w:t>p.2255)</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Acts Amendment (Arts Representation) Act 1987</w:t>
            </w:r>
            <w:r>
              <w:rPr>
                <w:sz w:val="19"/>
              </w:rPr>
              <w:t>,</w:t>
            </w:r>
            <w:r>
              <w:rPr>
                <w:sz w:val="19"/>
              </w:rPr>
              <w:br/>
              <w:t>Part III</w:t>
            </w:r>
          </w:p>
        </w:tc>
        <w:tc>
          <w:tcPr>
            <w:tcW w:w="993" w:type="dxa"/>
          </w:tcPr>
          <w:p>
            <w:pPr>
              <w:pStyle w:val="nTable"/>
              <w:spacing w:before="120"/>
              <w:rPr>
                <w:sz w:val="19"/>
              </w:rPr>
            </w:pPr>
            <w:r>
              <w:rPr>
                <w:sz w:val="19"/>
              </w:rPr>
              <w:t>75 of 1987</w:t>
            </w:r>
          </w:p>
        </w:tc>
        <w:tc>
          <w:tcPr>
            <w:tcW w:w="1276" w:type="dxa"/>
          </w:tcPr>
          <w:p>
            <w:pPr>
              <w:pStyle w:val="nTable"/>
              <w:spacing w:before="120"/>
              <w:rPr>
                <w:sz w:val="19"/>
              </w:rPr>
            </w:pPr>
            <w:r>
              <w:rPr>
                <w:sz w:val="19"/>
              </w:rPr>
              <w:t>26 November 1987</w:t>
            </w:r>
          </w:p>
        </w:tc>
        <w:tc>
          <w:tcPr>
            <w:tcW w:w="1757" w:type="dxa"/>
          </w:tcPr>
          <w:p>
            <w:pPr>
              <w:pStyle w:val="nTable"/>
              <w:spacing w:before="120"/>
              <w:rPr>
                <w:sz w:val="19"/>
              </w:rPr>
            </w:pPr>
            <w:r>
              <w:rPr>
                <w:sz w:val="19"/>
              </w:rPr>
              <w:t xml:space="preserve">12 February 1988 </w:t>
            </w:r>
            <w:r>
              <w:rPr>
                <w:sz w:val="19"/>
              </w:rPr>
              <w:br/>
              <w:t xml:space="preserve">(see section 2 and </w:t>
            </w:r>
            <w:r>
              <w:rPr>
                <w:i/>
                <w:sz w:val="19"/>
              </w:rPr>
              <w:t>Gazette</w:t>
            </w:r>
            <w:r>
              <w:rPr>
                <w:sz w:val="19"/>
              </w:rPr>
              <w:t xml:space="preserve"> 12 February 1988 p.399)</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Acts Amendment (Public Service) Act 1987</w:t>
            </w:r>
            <w:r>
              <w:rPr>
                <w:sz w:val="19"/>
              </w:rPr>
              <w:t>,</w:t>
            </w:r>
            <w:r>
              <w:rPr>
                <w:sz w:val="19"/>
              </w:rPr>
              <w:br/>
              <w:t>section 32</w:t>
            </w:r>
          </w:p>
        </w:tc>
        <w:tc>
          <w:tcPr>
            <w:tcW w:w="993" w:type="dxa"/>
          </w:tcPr>
          <w:p>
            <w:pPr>
              <w:pStyle w:val="nTable"/>
              <w:spacing w:before="120"/>
              <w:rPr>
                <w:sz w:val="19"/>
              </w:rPr>
            </w:pPr>
            <w:r>
              <w:rPr>
                <w:sz w:val="19"/>
              </w:rPr>
              <w:t>113 of 1987</w:t>
            </w:r>
          </w:p>
        </w:tc>
        <w:tc>
          <w:tcPr>
            <w:tcW w:w="1276" w:type="dxa"/>
          </w:tcPr>
          <w:p>
            <w:pPr>
              <w:pStyle w:val="nTable"/>
              <w:spacing w:before="120"/>
              <w:rPr>
                <w:sz w:val="19"/>
              </w:rPr>
            </w:pPr>
            <w:r>
              <w:rPr>
                <w:sz w:val="19"/>
              </w:rPr>
              <w:t>31 December 1987</w:t>
            </w:r>
          </w:p>
        </w:tc>
        <w:tc>
          <w:tcPr>
            <w:tcW w:w="1757" w:type="dxa"/>
          </w:tcPr>
          <w:p>
            <w:pPr>
              <w:pStyle w:val="nTable"/>
              <w:spacing w:before="120"/>
              <w:rPr>
                <w:sz w:val="19"/>
              </w:rPr>
            </w:pPr>
            <w:r>
              <w:rPr>
                <w:sz w:val="19"/>
              </w:rPr>
              <w:t xml:space="preserve">16 March 1988 </w:t>
            </w:r>
            <w:r>
              <w:rPr>
                <w:sz w:val="19"/>
              </w:rPr>
              <w:br/>
              <w:t xml:space="preserve">(see section 2 and </w:t>
            </w:r>
            <w:r>
              <w:rPr>
                <w:i/>
                <w:sz w:val="19"/>
              </w:rPr>
              <w:t>Gazette</w:t>
            </w:r>
            <w:r>
              <w:rPr>
                <w:sz w:val="19"/>
              </w:rPr>
              <w:t xml:space="preserve"> </w:t>
            </w:r>
            <w:r>
              <w:rPr>
                <w:sz w:val="19"/>
              </w:rPr>
              <w:br/>
              <w:t xml:space="preserve">16 March 1988 </w:t>
            </w:r>
            <w:r>
              <w:rPr>
                <w:sz w:val="19"/>
              </w:rPr>
              <w:br/>
              <w:t>p.813)</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Acts Amendment (Education) Act 1988</w:t>
            </w:r>
            <w:r>
              <w:rPr>
                <w:sz w:val="19"/>
              </w:rPr>
              <w:t>,</w:t>
            </w:r>
            <w:r>
              <w:rPr>
                <w:sz w:val="19"/>
              </w:rPr>
              <w:br/>
              <w:t>Part 7</w:t>
            </w:r>
          </w:p>
        </w:tc>
        <w:tc>
          <w:tcPr>
            <w:tcW w:w="993" w:type="dxa"/>
          </w:tcPr>
          <w:p>
            <w:pPr>
              <w:pStyle w:val="nTable"/>
              <w:spacing w:before="120"/>
              <w:rPr>
                <w:sz w:val="19"/>
              </w:rPr>
            </w:pPr>
            <w:r>
              <w:rPr>
                <w:sz w:val="19"/>
              </w:rPr>
              <w:t>7 of 1988</w:t>
            </w:r>
          </w:p>
        </w:tc>
        <w:tc>
          <w:tcPr>
            <w:tcW w:w="1276" w:type="dxa"/>
          </w:tcPr>
          <w:p>
            <w:pPr>
              <w:pStyle w:val="nTable"/>
              <w:spacing w:before="120"/>
              <w:rPr>
                <w:sz w:val="19"/>
              </w:rPr>
            </w:pPr>
            <w:r>
              <w:rPr>
                <w:sz w:val="19"/>
              </w:rPr>
              <w:t>30 June 1988</w:t>
            </w:r>
          </w:p>
        </w:tc>
        <w:tc>
          <w:tcPr>
            <w:tcW w:w="1757" w:type="dxa"/>
          </w:tcPr>
          <w:p>
            <w:pPr>
              <w:pStyle w:val="nTable"/>
              <w:spacing w:before="120"/>
              <w:rPr>
                <w:sz w:val="19"/>
              </w:rPr>
            </w:pPr>
            <w:r>
              <w:rPr>
                <w:sz w:val="19"/>
              </w:rPr>
              <w:t xml:space="preserve">8 July 1988 </w:t>
            </w:r>
            <w:r>
              <w:rPr>
                <w:sz w:val="19"/>
              </w:rPr>
              <w:br/>
              <w:t xml:space="preserve">(see section 2 and </w:t>
            </w:r>
            <w:r>
              <w:rPr>
                <w:i/>
                <w:sz w:val="19"/>
              </w:rPr>
              <w:t>Gazette</w:t>
            </w:r>
            <w:r>
              <w:rPr>
                <w:sz w:val="19"/>
              </w:rPr>
              <w:t xml:space="preserve"> </w:t>
            </w:r>
            <w:r>
              <w:rPr>
                <w:sz w:val="19"/>
              </w:rPr>
              <w:br/>
              <w:t xml:space="preserve">8 July 1988 </w:t>
            </w:r>
            <w:r>
              <w:rPr>
                <w:sz w:val="19"/>
              </w:rPr>
              <w:br/>
              <w:t>p.2371)</w:t>
            </w:r>
          </w:p>
        </w:tc>
        <w:tc>
          <w:tcPr>
            <w:tcW w:w="1362" w:type="dxa"/>
          </w:tcPr>
          <w:p>
            <w:pPr>
              <w:pStyle w:val="nTable"/>
              <w:spacing w:before="120"/>
              <w:rPr>
                <w:sz w:val="19"/>
              </w:rPr>
            </w:pPr>
          </w:p>
        </w:tc>
      </w:tr>
      <w:tr>
        <w:trPr>
          <w:cantSplit/>
        </w:trPr>
        <w:tc>
          <w:tcPr>
            <w:tcW w:w="1700" w:type="dxa"/>
          </w:tcPr>
          <w:p>
            <w:pPr>
              <w:pStyle w:val="nTable"/>
              <w:keepNext/>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keepNext/>
              <w:spacing w:before="120"/>
              <w:rPr>
                <w:sz w:val="19"/>
              </w:rPr>
            </w:pPr>
            <w:r>
              <w:rPr>
                <w:sz w:val="19"/>
              </w:rPr>
              <w:t>6 of 1993</w:t>
            </w:r>
          </w:p>
        </w:tc>
        <w:tc>
          <w:tcPr>
            <w:tcW w:w="1276" w:type="dxa"/>
          </w:tcPr>
          <w:p>
            <w:pPr>
              <w:pStyle w:val="nTable"/>
              <w:keepNext/>
              <w:spacing w:before="120"/>
              <w:rPr>
                <w:sz w:val="19"/>
              </w:rPr>
            </w:pPr>
            <w:r>
              <w:rPr>
                <w:sz w:val="19"/>
              </w:rPr>
              <w:t>27 August 1993</w:t>
            </w:r>
          </w:p>
        </w:tc>
        <w:tc>
          <w:tcPr>
            <w:tcW w:w="1757" w:type="dxa"/>
          </w:tcPr>
          <w:p>
            <w:pPr>
              <w:pStyle w:val="nTable"/>
              <w:keepNext/>
              <w:spacing w:before="120"/>
              <w:rPr>
                <w:sz w:val="19"/>
              </w:rPr>
            </w:pPr>
            <w:r>
              <w:rPr>
                <w:sz w:val="19"/>
              </w:rPr>
              <w:t>Deemed operative 1 July 1993</w:t>
            </w:r>
            <w:r>
              <w:rPr>
                <w:sz w:val="19"/>
              </w:rPr>
              <w:br/>
              <w:t>(see section 2(1))</w:t>
            </w:r>
          </w:p>
        </w:tc>
        <w:tc>
          <w:tcPr>
            <w:tcW w:w="1362" w:type="dxa"/>
          </w:tcPr>
          <w:p>
            <w:pPr>
              <w:pStyle w:val="nTable"/>
              <w:keepNext/>
              <w:spacing w:before="120"/>
              <w:rPr>
                <w:sz w:val="19"/>
              </w:rPr>
            </w:pPr>
          </w:p>
        </w:tc>
      </w:tr>
      <w:tr>
        <w:trPr>
          <w:cantSplit/>
        </w:trPr>
        <w:tc>
          <w:tcPr>
            <w:tcW w:w="1700" w:type="dxa"/>
          </w:tcPr>
          <w:p>
            <w:pPr>
              <w:pStyle w:val="nTable"/>
              <w:spacing w:before="120"/>
              <w:ind w:right="113"/>
              <w:rPr>
                <w:sz w:val="19"/>
              </w:rPr>
            </w:pPr>
            <w:r>
              <w:rPr>
                <w:i/>
                <w:sz w:val="19"/>
              </w:rPr>
              <w:t>Acts Amendment (Public Sector Management) Act 1994</w:t>
            </w:r>
            <w:r>
              <w:rPr>
                <w:sz w:val="19"/>
              </w:rPr>
              <w:t>,</w:t>
            </w:r>
            <w:r>
              <w:rPr>
                <w:sz w:val="19"/>
              </w:rPr>
              <w:br/>
              <w:t>Part 4</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757" w:type="dxa"/>
          </w:tcPr>
          <w:p>
            <w:pPr>
              <w:pStyle w:val="nTable"/>
              <w:spacing w:before="120"/>
              <w:rPr>
                <w:sz w:val="19"/>
              </w:rPr>
            </w:pPr>
            <w:r>
              <w:rPr>
                <w:sz w:val="19"/>
              </w:rPr>
              <w:t xml:space="preserve">1 October 1994 </w:t>
            </w:r>
            <w:r>
              <w:rPr>
                <w:sz w:val="19"/>
              </w:rPr>
              <w:br/>
              <w:t xml:space="preserve">(see section 2 and </w:t>
            </w:r>
            <w:r>
              <w:rPr>
                <w:i/>
                <w:sz w:val="19"/>
              </w:rPr>
              <w:t>Gazette</w:t>
            </w:r>
            <w:r>
              <w:rPr>
                <w:sz w:val="19"/>
              </w:rPr>
              <w:t xml:space="preserve"> 30 September 1994 p.4948)</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Local Government (Consequential Amendments) Act 1996</w:t>
            </w:r>
            <w:r>
              <w:rPr>
                <w:sz w:val="19"/>
              </w:rPr>
              <w:t>,</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 xml:space="preserve">1 July 1996 </w:t>
            </w:r>
            <w:r>
              <w:rPr>
                <w:sz w:val="19"/>
              </w:rPr>
              <w:br/>
              <w:t>(see section 2)</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Education Amendment Act 1996</w:t>
            </w:r>
            <w:r>
              <w:rPr>
                <w:sz w:val="19"/>
              </w:rPr>
              <w:t>,</w:t>
            </w:r>
            <w:r>
              <w:rPr>
                <w:sz w:val="19"/>
              </w:rPr>
              <w:br/>
              <w:t>section 16(6)</w:t>
            </w:r>
          </w:p>
        </w:tc>
        <w:tc>
          <w:tcPr>
            <w:tcW w:w="993" w:type="dxa"/>
          </w:tcPr>
          <w:p>
            <w:pPr>
              <w:pStyle w:val="nTable"/>
              <w:spacing w:before="120"/>
              <w:rPr>
                <w:sz w:val="19"/>
              </w:rPr>
            </w:pPr>
            <w:r>
              <w:rPr>
                <w:sz w:val="19"/>
              </w:rPr>
              <w:t>22 of 1996</w:t>
            </w:r>
          </w:p>
        </w:tc>
        <w:tc>
          <w:tcPr>
            <w:tcW w:w="1276" w:type="dxa"/>
          </w:tcPr>
          <w:p>
            <w:pPr>
              <w:pStyle w:val="nTable"/>
              <w:spacing w:before="120"/>
              <w:rPr>
                <w:sz w:val="19"/>
              </w:rPr>
            </w:pPr>
            <w:r>
              <w:rPr>
                <w:sz w:val="19"/>
              </w:rPr>
              <w:t>11 July 1996</w:t>
            </w:r>
          </w:p>
        </w:tc>
        <w:tc>
          <w:tcPr>
            <w:tcW w:w="1757" w:type="dxa"/>
          </w:tcPr>
          <w:p>
            <w:pPr>
              <w:pStyle w:val="nTable"/>
              <w:spacing w:before="120"/>
              <w:rPr>
                <w:sz w:val="19"/>
              </w:rPr>
            </w:pPr>
            <w:r>
              <w:rPr>
                <w:sz w:val="19"/>
              </w:rPr>
              <w:t xml:space="preserve">11 July 1996 </w:t>
            </w:r>
            <w:r>
              <w:rPr>
                <w:sz w:val="19"/>
              </w:rPr>
              <w:br/>
              <w:t>(see section 2(1))</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rPr>
                <w:sz w:val="19"/>
              </w:rPr>
            </w:pPr>
            <w:r>
              <w:rPr>
                <w:sz w:val="19"/>
              </w:rPr>
              <w:t>49 of 1996</w:t>
            </w:r>
          </w:p>
        </w:tc>
        <w:tc>
          <w:tcPr>
            <w:tcW w:w="1276" w:type="dxa"/>
          </w:tcPr>
          <w:p>
            <w:pPr>
              <w:pStyle w:val="nTable"/>
              <w:spacing w:before="120"/>
              <w:rPr>
                <w:sz w:val="19"/>
              </w:rPr>
            </w:pPr>
            <w:r>
              <w:rPr>
                <w:sz w:val="19"/>
              </w:rPr>
              <w:t>25 October 1996</w:t>
            </w:r>
          </w:p>
        </w:tc>
        <w:tc>
          <w:tcPr>
            <w:tcW w:w="1757" w:type="dxa"/>
          </w:tcPr>
          <w:p>
            <w:pPr>
              <w:pStyle w:val="nTable"/>
              <w:spacing w:before="120"/>
              <w:rPr>
                <w:sz w:val="19"/>
              </w:rPr>
            </w:pPr>
            <w:r>
              <w:rPr>
                <w:sz w:val="19"/>
              </w:rPr>
              <w:t xml:space="preserve">25 October 1996 </w:t>
            </w:r>
            <w:r>
              <w:rPr>
                <w:sz w:val="19"/>
              </w:rPr>
              <w:br/>
              <w:t>(see section 2(1))</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Statutes (Repeals and Minor Amendments) Act 1997</w:t>
            </w:r>
            <w:r>
              <w:rPr>
                <w:sz w:val="19"/>
              </w:rPr>
              <w:t>,</w:t>
            </w:r>
            <w:r>
              <w:rPr>
                <w:sz w:val="19"/>
              </w:rPr>
              <w:br/>
              <w:t>section 80</w:t>
            </w:r>
          </w:p>
        </w:tc>
        <w:tc>
          <w:tcPr>
            <w:tcW w:w="993" w:type="dxa"/>
          </w:tcPr>
          <w:p>
            <w:pPr>
              <w:pStyle w:val="nTable"/>
              <w:spacing w:before="120"/>
              <w:rPr>
                <w:sz w:val="19"/>
              </w:rPr>
            </w:pPr>
            <w:r>
              <w:rPr>
                <w:sz w:val="19"/>
              </w:rPr>
              <w:t>57 of 1997</w:t>
            </w:r>
          </w:p>
        </w:tc>
        <w:tc>
          <w:tcPr>
            <w:tcW w:w="1276" w:type="dxa"/>
          </w:tcPr>
          <w:p>
            <w:pPr>
              <w:pStyle w:val="nTable"/>
              <w:spacing w:before="120"/>
              <w:rPr>
                <w:sz w:val="19"/>
              </w:rPr>
            </w:pPr>
            <w:r>
              <w:rPr>
                <w:sz w:val="19"/>
              </w:rPr>
              <w:t>15 December 1997</w:t>
            </w:r>
          </w:p>
        </w:tc>
        <w:tc>
          <w:tcPr>
            <w:tcW w:w="1757" w:type="dxa"/>
          </w:tcPr>
          <w:p>
            <w:pPr>
              <w:pStyle w:val="nTable"/>
              <w:spacing w:before="120"/>
              <w:rPr>
                <w:sz w:val="19"/>
              </w:rPr>
            </w:pPr>
            <w:r>
              <w:rPr>
                <w:sz w:val="19"/>
              </w:rPr>
              <w:t xml:space="preserve">15 December 1997 </w:t>
            </w:r>
            <w:r>
              <w:rPr>
                <w:sz w:val="19"/>
              </w:rPr>
              <w:br/>
              <w:t>(see section 2(1))</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School Education Act 1999</w:t>
            </w:r>
            <w:r>
              <w:rPr>
                <w:sz w:val="19"/>
              </w:rPr>
              <w:t>,</w:t>
            </w:r>
          </w:p>
          <w:p>
            <w:pPr>
              <w:pStyle w:val="nTable"/>
              <w:spacing w:before="0"/>
              <w:ind w:right="113"/>
              <w:rPr>
                <w:i/>
                <w:sz w:val="19"/>
              </w:rPr>
            </w:pPr>
            <w:r>
              <w:rPr>
                <w:sz w:val="19"/>
              </w:rPr>
              <w:t>section 247</w:t>
            </w:r>
          </w:p>
        </w:tc>
        <w:tc>
          <w:tcPr>
            <w:tcW w:w="993" w:type="dxa"/>
          </w:tcPr>
          <w:p>
            <w:pPr>
              <w:pStyle w:val="nTable"/>
              <w:spacing w:before="120"/>
              <w:rPr>
                <w:sz w:val="19"/>
              </w:rPr>
            </w:pPr>
            <w:r>
              <w:rPr>
                <w:sz w:val="19"/>
              </w:rPr>
              <w:t>36 of 1999</w:t>
            </w:r>
          </w:p>
        </w:tc>
        <w:tc>
          <w:tcPr>
            <w:tcW w:w="1276" w:type="dxa"/>
          </w:tcPr>
          <w:p>
            <w:pPr>
              <w:pStyle w:val="nTable"/>
              <w:spacing w:before="120"/>
              <w:rPr>
                <w:sz w:val="19"/>
              </w:rPr>
            </w:pPr>
            <w:r>
              <w:rPr>
                <w:sz w:val="19"/>
              </w:rPr>
              <w:t>2 November 1999</w:t>
            </w:r>
          </w:p>
        </w:tc>
        <w:tc>
          <w:tcPr>
            <w:tcW w:w="1757" w:type="dxa"/>
          </w:tcPr>
          <w:p>
            <w:pPr>
              <w:pStyle w:val="nTable"/>
              <w:spacing w:before="120"/>
              <w:rPr>
                <w:sz w:val="19"/>
              </w:rPr>
            </w:pPr>
            <w:r>
              <w:rPr>
                <w:sz w:val="19"/>
              </w:rPr>
              <w:t xml:space="preserve">Proclaimed 1 January 2001 (see section 2 and </w:t>
            </w:r>
            <w:r>
              <w:rPr>
                <w:i/>
                <w:sz w:val="19"/>
              </w:rPr>
              <w:t>Gazette</w:t>
            </w:r>
            <w:r>
              <w:rPr>
                <w:sz w:val="19"/>
              </w:rPr>
              <w:t xml:space="preserve"> 29 December 2000 p.7904)</w:t>
            </w:r>
          </w:p>
        </w:tc>
        <w:tc>
          <w:tcPr>
            <w:tcW w:w="1362" w:type="dxa"/>
          </w:tcPr>
          <w:p>
            <w:pPr>
              <w:pStyle w:val="nTable"/>
              <w:spacing w:before="120"/>
              <w:rPr>
                <w:sz w:val="19"/>
              </w:rPr>
            </w:pPr>
          </w:p>
        </w:tc>
      </w:tr>
      <w:tr>
        <w:trPr>
          <w:cantSplit/>
        </w:trPr>
        <w:tc>
          <w:tcPr>
            <w:tcW w:w="1700" w:type="dxa"/>
          </w:tcPr>
          <w:p>
            <w:pPr>
              <w:pStyle w:val="nTable"/>
              <w:spacing w:before="120"/>
              <w:ind w:right="113"/>
              <w:rPr>
                <w:sz w:val="19"/>
              </w:rPr>
            </w:pPr>
            <w:r>
              <w:rPr>
                <w:i/>
                <w:sz w:val="19"/>
              </w:rPr>
              <w:t>State Records (Consequential Provisions) Act 2000</w:t>
            </w:r>
            <w:r>
              <w:rPr>
                <w:sz w:val="19"/>
              </w:rPr>
              <w:t>,</w:t>
            </w:r>
            <w:r>
              <w:rPr>
                <w:sz w:val="19"/>
              </w:rPr>
              <w:br/>
              <w:t>Part 6</w:t>
            </w:r>
          </w:p>
        </w:tc>
        <w:tc>
          <w:tcPr>
            <w:tcW w:w="993" w:type="dxa"/>
          </w:tcPr>
          <w:p>
            <w:pPr>
              <w:pStyle w:val="nTable"/>
              <w:spacing w:before="120"/>
              <w:rPr>
                <w:sz w:val="19"/>
              </w:rPr>
            </w:pPr>
            <w:r>
              <w:rPr>
                <w:sz w:val="19"/>
              </w:rPr>
              <w:t>53 of 2000</w:t>
            </w:r>
          </w:p>
        </w:tc>
        <w:tc>
          <w:tcPr>
            <w:tcW w:w="1276" w:type="dxa"/>
          </w:tcPr>
          <w:p>
            <w:pPr>
              <w:pStyle w:val="nTable"/>
              <w:spacing w:before="120"/>
              <w:rPr>
                <w:sz w:val="19"/>
              </w:rPr>
            </w:pPr>
            <w:r>
              <w:rPr>
                <w:sz w:val="19"/>
              </w:rPr>
              <w:t>28 November 2000</w:t>
            </w:r>
          </w:p>
        </w:tc>
        <w:tc>
          <w:tcPr>
            <w:tcW w:w="1757" w:type="dxa"/>
          </w:tcPr>
          <w:p>
            <w:pPr>
              <w:pStyle w:val="nTable"/>
              <w:spacing w:before="120"/>
              <w:rPr>
                <w:sz w:val="19"/>
              </w:rPr>
            </w:pPr>
            <w:r>
              <w:rPr>
                <w:sz w:val="19"/>
              </w:rPr>
              <w:t xml:space="preserve">1 December 2001 (see section 2 and </w:t>
            </w:r>
            <w:r>
              <w:rPr>
                <w:i/>
                <w:sz w:val="19"/>
              </w:rPr>
              <w:t>Gazette</w:t>
            </w:r>
            <w:r>
              <w:rPr>
                <w:sz w:val="19"/>
              </w:rPr>
              <w:t xml:space="preserve"> 30 November 2001 p.6067)</w:t>
            </w:r>
          </w:p>
        </w:tc>
        <w:tc>
          <w:tcPr>
            <w:tcW w:w="1362" w:type="dxa"/>
          </w:tcPr>
          <w:p>
            <w:pPr>
              <w:pStyle w:val="nTable"/>
              <w:spacing w:before="120"/>
              <w:rPr>
                <w:sz w:val="19"/>
              </w:rPr>
            </w:pPr>
            <w:r>
              <w:rPr>
                <w:sz w:val="19"/>
              </w:rPr>
              <w:t>Division 2:</w:t>
            </w:r>
            <w:r>
              <w:rPr>
                <w:sz w:val="19"/>
              </w:rPr>
              <w:br/>
              <w:t>transitional</w:t>
            </w:r>
            <w:r>
              <w:rPr>
                <w:sz w:val="19"/>
                <w:vertAlign w:val="superscript"/>
              </w:rPr>
              <w:t> 8</w:t>
            </w:r>
          </w:p>
        </w:tc>
      </w:tr>
      <w:tr>
        <w:trPr>
          <w:cantSplit/>
        </w:trPr>
        <w:tc>
          <w:tcPr>
            <w:tcW w:w="1700"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6" w:type="dxa"/>
          </w:tcPr>
          <w:p>
            <w:pPr>
              <w:pStyle w:val="nTable"/>
              <w:spacing w:before="100"/>
              <w:rPr>
                <w:sz w:val="19"/>
              </w:rPr>
            </w:pPr>
            <w:r>
              <w:rPr>
                <w:sz w:val="19"/>
              </w:rPr>
              <w:t>12 Nov 2004</w:t>
            </w:r>
          </w:p>
        </w:tc>
        <w:tc>
          <w:tcPr>
            <w:tcW w:w="3119"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1700" w:type="dxa"/>
            <w:tcBorders>
              <w:bottom w:val="single" w:sz="4" w:space="0" w:color="auto"/>
            </w:tcBorders>
          </w:tcPr>
          <w:p>
            <w:pPr>
              <w:pStyle w:val="nTable"/>
              <w:spacing w:before="100"/>
              <w:rPr>
                <w:i/>
                <w:sz w:val="19"/>
              </w:rPr>
            </w:pPr>
            <w:r>
              <w:rPr>
                <w:i/>
                <w:snapToGrid w:val="0"/>
                <w:sz w:val="19"/>
                <w:lang w:val="en-US"/>
              </w:rPr>
              <w:t xml:space="preserve">Courts Legislation Amendment and Repeal Act 2004 </w:t>
            </w:r>
            <w:r>
              <w:rPr>
                <w:snapToGrid w:val="0"/>
                <w:sz w:val="19"/>
                <w:lang w:val="en-US"/>
              </w:rPr>
              <w:t>s. 141</w:t>
            </w:r>
          </w:p>
        </w:tc>
        <w:tc>
          <w:tcPr>
            <w:tcW w:w="993" w:type="dxa"/>
            <w:tcBorders>
              <w:bottom w:val="single" w:sz="4" w:space="0" w:color="auto"/>
            </w:tcBorders>
          </w:tcPr>
          <w:p>
            <w:pPr>
              <w:pStyle w:val="nTable"/>
              <w:spacing w:before="100"/>
              <w:rPr>
                <w:snapToGrid w:val="0"/>
                <w:sz w:val="19"/>
              </w:rPr>
            </w:pPr>
            <w:r>
              <w:rPr>
                <w:snapToGrid w:val="0"/>
                <w:sz w:val="19"/>
                <w:lang w:val="en-US"/>
              </w:rPr>
              <w:t>59 of 2004</w:t>
            </w:r>
          </w:p>
        </w:tc>
        <w:tc>
          <w:tcPr>
            <w:tcW w:w="1276" w:type="dxa"/>
            <w:tcBorders>
              <w:bottom w:val="single" w:sz="4" w:space="0" w:color="auto"/>
            </w:tcBorders>
          </w:tcPr>
          <w:p>
            <w:pPr>
              <w:pStyle w:val="nTable"/>
              <w:spacing w:before="100"/>
              <w:rPr>
                <w:sz w:val="19"/>
              </w:rPr>
            </w:pPr>
            <w:r>
              <w:rPr>
                <w:snapToGrid w:val="0"/>
                <w:sz w:val="19"/>
                <w:lang w:val="en-US"/>
              </w:rPr>
              <w:t>23 Nov 2004</w:t>
            </w:r>
          </w:p>
        </w:tc>
        <w:tc>
          <w:tcPr>
            <w:tcW w:w="3119" w:type="dxa"/>
            <w:gridSpan w:val="2"/>
            <w:tcBorders>
              <w:bottom w:val="single" w:sz="4" w:space="0" w:color="auto"/>
            </w:tcBorders>
          </w:tcPr>
          <w:p>
            <w:pPr>
              <w:pStyle w:val="nTable"/>
              <w:spacing w:before="10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511102521"/>
      <w:bookmarkStart w:id="84" w:name="_Toc512327500"/>
      <w:bookmarkStart w:id="85" w:name="_Toc513346684"/>
      <w:bookmarkStart w:id="86" w:name="_Toc102378062"/>
      <w:r>
        <w:t>Provisions that have not come into operation</w:t>
      </w:r>
      <w:bookmarkEnd w:id="83"/>
      <w:bookmarkEnd w:id="84"/>
      <w:bookmarkEnd w:id="85"/>
      <w:bookmarkEnd w:id="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rPr>
            </w:pPr>
            <w:r>
              <w:rPr>
                <w:i/>
                <w:sz w:val="19"/>
              </w:rPr>
              <w:t>State Superannuation (Transitional and Consequential Provisions) Act 2000</w:t>
            </w:r>
            <w:r>
              <w:rPr>
                <w:sz w:val="19"/>
              </w:rPr>
              <w:t> s. 54 </w:t>
            </w:r>
            <w:r>
              <w:rPr>
                <w:sz w:val="19"/>
                <w:vertAlign w:val="superscript"/>
              </w:rPr>
              <w:t>7</w:t>
            </w:r>
          </w:p>
        </w:tc>
        <w:tc>
          <w:tcPr>
            <w:tcW w:w="1134" w:type="dxa"/>
            <w:tcBorders>
              <w:top w:val="single" w:sz="8" w:space="0" w:color="auto"/>
              <w:bottom w:val="single" w:sz="8" w:space="0" w:color="auto"/>
            </w:tcBorders>
          </w:tcPr>
          <w:p>
            <w:pPr>
              <w:pStyle w:val="nTable"/>
              <w:spacing w:before="120"/>
              <w:rPr>
                <w:sz w:val="19"/>
              </w:rPr>
            </w:pPr>
            <w:r>
              <w:rPr>
                <w:sz w:val="19"/>
              </w:rPr>
              <w:t>43 of 2000</w:t>
            </w:r>
          </w:p>
        </w:tc>
        <w:tc>
          <w:tcPr>
            <w:tcW w:w="1134" w:type="dxa"/>
            <w:tcBorders>
              <w:top w:val="single" w:sz="8" w:space="0" w:color="auto"/>
              <w:bottom w:val="single" w:sz="8" w:space="0" w:color="auto"/>
            </w:tcBorders>
          </w:tcPr>
          <w:p>
            <w:pPr>
              <w:pStyle w:val="nTable"/>
              <w:spacing w:before="120"/>
              <w:rPr>
                <w:sz w:val="19"/>
              </w:rPr>
            </w:pPr>
            <w:r>
              <w:rPr>
                <w:sz w:val="19"/>
              </w:rPr>
              <w:t>2 Nov 2000</w:t>
            </w:r>
          </w:p>
        </w:tc>
        <w:tc>
          <w:tcPr>
            <w:tcW w:w="2552" w:type="dxa"/>
            <w:tcBorders>
              <w:top w:val="single" w:sz="8" w:space="0" w:color="auto"/>
              <w:bottom w:val="single" w:sz="8" w:space="0" w:color="auto"/>
            </w:tcBorders>
          </w:tcPr>
          <w:p>
            <w:pPr>
              <w:pStyle w:val="nTable"/>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Under section 31(1)(f) of the </w:t>
      </w:r>
      <w:r>
        <w:rPr>
          <w:i/>
          <w:snapToGrid w:val="0"/>
        </w:rPr>
        <w:t>Acts Amendment (Public Service) Act 1987</w:t>
      </w:r>
      <w:r>
        <w:rPr>
          <w:snapToGrid w:val="0"/>
        </w:rPr>
        <w:t xml:space="preserve"> (No. 113 of 1987) references to “Permanent Head” may be construed as references to “chief executive officer”.</w:t>
      </w:r>
    </w:p>
    <w:p>
      <w:pPr>
        <w:pStyle w:val="nSubsection"/>
        <w:rPr>
          <w:snapToGrid w:val="0"/>
        </w:rPr>
      </w:pPr>
      <w:r>
        <w:rPr>
          <w:snapToGrid w:val="0"/>
          <w:vertAlign w:val="superscript"/>
        </w:rPr>
        <w:t>3</w:t>
      </w:r>
      <w:r>
        <w:rPr>
          <w:snapToGrid w:val="0"/>
        </w:rPr>
        <w:tab/>
        <w:t>Name changed to Ministry for Culture and the Arts.</w:t>
      </w:r>
    </w:p>
    <w:p>
      <w:pPr>
        <w:pStyle w:val="nSubsection"/>
      </w:pPr>
      <w:r>
        <w:rPr>
          <w:snapToGrid w:val="0"/>
          <w:vertAlign w:val="superscript"/>
        </w:rPr>
        <w:t>4</w:t>
      </w:r>
      <w:r>
        <w:rPr>
          <w:snapToGrid w:val="0"/>
        </w:rPr>
        <w:tab/>
      </w:r>
      <w:r>
        <w:t xml:space="preserve">A reference to the </w:t>
      </w:r>
      <w:r>
        <w:rPr>
          <w:i/>
        </w:rPr>
        <w:t>Public Service Act 1978</w:t>
      </w:r>
      <w:r>
        <w:t xml:space="preserve"> may be read as a reference to the </w:t>
      </w:r>
      <w:r>
        <w:rPr>
          <w:i/>
        </w:rPr>
        <w:t>Public Sector</w:t>
      </w:r>
      <w:r>
        <w:t xml:space="preserve"> </w:t>
      </w:r>
      <w:r>
        <w:rPr>
          <w:i/>
        </w:rPr>
        <w:t>Management Act 1994</w:t>
      </w:r>
      <w:r>
        <w:t xml:space="preserve"> according to s. 112(1) of that Act.</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Art Gallery Act 1959</w:t>
      </w:r>
      <w:r>
        <w:rPr>
          <w:snapToGrid w:val="0"/>
        </w:rPr>
        <w:t xml:space="preserve"> (No. 62 of 1959) s. 3.</w:t>
      </w:r>
    </w:p>
    <w:p>
      <w:pPr>
        <w:pStyle w:val="nSubsection"/>
      </w:pPr>
      <w:r>
        <w:rPr>
          <w:snapToGrid w:val="0"/>
          <w:vertAlign w:val="superscript"/>
        </w:rPr>
        <w:t>6</w:t>
      </w:r>
      <w:r>
        <w:rPr>
          <w:snapToGrid w:val="0"/>
        </w:rPr>
        <w:tab/>
        <w:t>No longer applicable.</w:t>
      </w:r>
      <w:bookmarkStart w:id="87" w:name="_Ref460385213"/>
      <w:bookmarkEnd w:id="87"/>
    </w:p>
    <w:p>
      <w:pPr>
        <w:pStyle w:val="nSubsection"/>
        <w:keepNext/>
        <w:rPr>
          <w:snapToGrid w:val="0"/>
        </w:rPr>
      </w:pPr>
      <w:r>
        <w:rPr>
          <w:snapToGrid w:val="0"/>
          <w:vertAlign w:val="superscript"/>
        </w:rPr>
        <w:t>7</w:t>
      </w:r>
      <w:r>
        <w:rPr>
          <w:snapToGrid w:val="0"/>
        </w:rPr>
        <w:tab/>
        <w:t xml:space="preserve">On the date as at which this compilation was prepared, </w:t>
      </w:r>
      <w:r>
        <w:rPr>
          <w:i/>
          <w:sz w:val="19"/>
        </w:rPr>
        <w:t>State Superannuation (Transitional and Consequential Provisions) Act 2000</w:t>
      </w:r>
      <w:r>
        <w:rPr>
          <w:sz w:val="19"/>
        </w:rPr>
        <w:t xml:space="preserve">  s. 54 </w:t>
      </w:r>
      <w:r>
        <w:rPr>
          <w:snapToGrid w:val="0"/>
        </w:rPr>
        <w:t>had not come into operation.  It reads:</w:t>
      </w:r>
    </w:p>
    <w:p>
      <w:pPr>
        <w:pStyle w:val="MiscOpen"/>
        <w:rPr>
          <w:snapToGrid w:val="0"/>
        </w:rPr>
      </w:pPr>
      <w:r>
        <w:rPr>
          <w:snapToGrid w:val="0"/>
        </w:rPr>
        <w:t>“</w:t>
      </w:r>
    </w:p>
    <w:p>
      <w:pPr>
        <w:pStyle w:val="nzHeading5"/>
      </w:pPr>
      <w:bookmarkStart w:id="88" w:name="_Toc497533373"/>
      <w:r>
        <w:rPr>
          <w:rStyle w:val="CharSectno"/>
        </w:rPr>
        <w:t>54</w:t>
      </w:r>
      <w:r>
        <w:t>.</w:t>
      </w:r>
      <w:r>
        <w:tab/>
      </w:r>
      <w:r>
        <w:rPr>
          <w:i/>
        </w:rPr>
        <w:t>Library Board of Western Australia Act 1951</w:t>
      </w:r>
      <w:r>
        <w:t xml:space="preserve"> amended</w:t>
      </w:r>
      <w:bookmarkEnd w:id="88"/>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 xml:space="preserve">,”. </w:t>
      </w:r>
    </w:p>
    <w:p>
      <w:pPr>
        <w:pStyle w:val="MiscClose"/>
        <w:rPr>
          <w:snapToGrid w:val="0"/>
        </w:rPr>
      </w:pPr>
      <w:r>
        <w:rPr>
          <w:snapToGrid w:val="0"/>
        </w:rPr>
        <w:t>”.</w:t>
      </w:r>
    </w:p>
    <w:p>
      <w:pPr>
        <w:pStyle w:val="nSubsection"/>
      </w:pPr>
      <w:r>
        <w:rPr>
          <w:vertAlign w:val="superscript"/>
        </w:rPr>
        <w:t>8</w:t>
      </w:r>
      <w:r>
        <w:tab/>
        <w:t xml:space="preserve">Division 2 of Part 6 of the </w:t>
      </w:r>
      <w:r>
        <w:rPr>
          <w:i/>
        </w:rPr>
        <w:t>State Records (Consequential Provisions) Act 2000</w:t>
      </w:r>
      <w:r>
        <w:t xml:space="preserve"> reads as follows:</w:t>
      </w:r>
    </w:p>
    <w:p>
      <w:pPr>
        <w:pStyle w:val="MiscOpen"/>
      </w:pPr>
      <w:r>
        <w:t>“</w:t>
      </w:r>
    </w:p>
    <w:p>
      <w:pPr>
        <w:pStyle w:val="nzHeading3"/>
      </w:pPr>
      <w:r>
        <w:rPr>
          <w:rStyle w:val="CharDivNo"/>
        </w:rPr>
        <w:t>Division 2</w:t>
      </w:r>
      <w:r>
        <w:rPr>
          <w:snapToGrid w:val="0"/>
        </w:rPr>
        <w:t xml:space="preserve"> — </w:t>
      </w:r>
      <w:r>
        <w:rPr>
          <w:rStyle w:val="CharDivText"/>
        </w:rPr>
        <w:t xml:space="preserve">Transitional provisions </w:t>
      </w:r>
    </w:p>
    <w:p>
      <w:pPr>
        <w:pStyle w:val="nzHeading5"/>
        <w:rPr>
          <w:snapToGrid w:val="0"/>
        </w:rPr>
      </w:pPr>
      <w:r>
        <w:rPr>
          <w:snapToGrid w:val="0"/>
        </w:rPr>
        <w:t>13.</w:t>
      </w:r>
      <w:r>
        <w:rPr>
          <w:snapToGrid w:val="0"/>
        </w:rPr>
        <w:tab/>
        <w:t xml:space="preserve">Interpretation </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w:t>
      </w:r>
      <w:r>
        <w:rPr>
          <w:b/>
        </w:rPr>
        <w:t>commencement</w:t>
      </w:r>
      <w:r>
        <w:rPr>
          <w:rStyle w:val="CharDefText"/>
        </w:rPr>
        <w:t xml:space="preserve">” </w:t>
      </w:r>
      <w:r>
        <w:t xml:space="preserve">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w:t>
      </w:r>
      <w:r>
        <w:rPr>
          <w:i/>
          <w:snapToGrid w:val="0"/>
        </w:rPr>
        <w:t>the State Records Act 2000</w:t>
      </w:r>
      <w:r>
        <w:rPr>
          <w:snapToGrid w:val="0"/>
        </w:rPr>
        <w:t>.</w:t>
      </w:r>
    </w:p>
    <w:p>
      <w:pPr>
        <w:pStyle w:val="nzHeading5"/>
        <w:rPr>
          <w:snapToGrid w:val="0"/>
        </w:rPr>
      </w:pPr>
      <w:r>
        <w:rPr>
          <w:snapToGrid w:val="0"/>
        </w:rPr>
        <w:t>14.</w:t>
      </w:r>
      <w:r>
        <w:rPr>
          <w:snapToGrid w:val="0"/>
        </w:rPr>
        <w:tab/>
        <w:t xml:space="preserve">State archives to continue as such </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 xml:space="preserve">Certain State archives to be restricted access archives </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 xml:space="preserve">State archives with unrestricted access not to be restricted </w:t>
      </w:r>
    </w:p>
    <w:p>
      <w:pPr>
        <w:pStyle w:val="nzSubsection"/>
        <w:rPr>
          <w:snapToGrid w:val="0"/>
        </w:rPr>
      </w:pPr>
      <w:r>
        <w:rPr>
          <w:snapToGrid w:val="0"/>
        </w:rPr>
        <w:tab/>
      </w:r>
      <w:r>
        <w:rPr>
          <w:snapToGrid w:val="0"/>
        </w:rPr>
        <w:tab/>
        <w:t>If immediately before commencement a record —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 xml:space="preserve">Provisions that apply until record keeping plan approved </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 xml:space="preserve">Agreements as to State archives </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 xml:space="preserve">Applications to restrict access to archives not limited </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bookmarkStart w:id="89" w:name="AutoSch"/>
      <w:bookmarkEnd w:id="89"/>
    </w:p>
    <w:p>
      <w:pPr>
        <w:sectPr>
          <w:headerReference w:type="even"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Library Board of Western Australia Act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0298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4A2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AA6F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DC8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DA0C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D4BC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0407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103C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A8AEAC"/>
    <w:lvl w:ilvl="0">
      <w:start w:val="1"/>
      <w:numFmt w:val="decimal"/>
      <w:pStyle w:val="ListNumber"/>
      <w:lvlText w:val="%1."/>
      <w:lvlJc w:val="left"/>
      <w:pPr>
        <w:tabs>
          <w:tab w:val="num" w:pos="360"/>
        </w:tabs>
        <w:ind w:left="360" w:hanging="360"/>
      </w:pPr>
    </w:lvl>
  </w:abstractNum>
  <w:abstractNum w:abstractNumId="9">
    <w:nsid w:val="FFFFFF89"/>
    <w:multiLevelType w:val="singleLevel"/>
    <w:tmpl w:val="D070F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D403A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1D28D8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588E0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E466A9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30"/>
    <w:docVar w:name="WAFER_20151207101030" w:val="RemoveTrackChanges"/>
    <w:docVar w:name="WAFER_20151207101030_GUID" w:val="d4a0092e-5cd7-4030-83a3-c2263078f3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7221</Words>
  <Characters>34160</Characters>
  <Application>Microsoft Office Word</Application>
  <DocSecurity>0</DocSecurity>
  <Lines>1035</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1951 - 03-d0-04</dc:title>
  <dc:subject/>
  <dc:creator/>
  <cp:keywords/>
  <dc:description/>
  <cp:lastModifiedBy>svcMRProcess</cp:lastModifiedBy>
  <cp:revision>4</cp:revision>
  <cp:lastPrinted>1999-11-25T07:22:00Z</cp:lastPrinted>
  <dcterms:created xsi:type="dcterms:W3CDTF">2015-12-08T01:14:00Z</dcterms:created>
  <dcterms:modified xsi:type="dcterms:W3CDTF">2015-12-08T01:14:00Z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453</vt:i4>
  </property>
  <property fmtid="{D5CDD505-2E9C-101B-9397-08002B2CF9AE}" pid="6" name="AsAtDate">
    <vt:lpwstr>01 May 2005</vt:lpwstr>
  </property>
  <property fmtid="{D5CDD505-2E9C-101B-9397-08002B2CF9AE}" pid="7" name="Suffix">
    <vt:lpwstr>03-d0-04</vt:lpwstr>
  </property>
</Properties>
</file>